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C4605" w14:textId="77777777" w:rsidR="008E787A" w:rsidRPr="00A74CC6" w:rsidRDefault="008E787A" w:rsidP="001E7238">
      <w:pPr>
        <w:spacing w:after="0" w:line="240" w:lineRule="auto"/>
        <w:ind w:left="819" w:right="796" w:hanging="10"/>
        <w:contextualSpacing/>
        <w:jc w:val="center"/>
        <w:rPr>
          <w:b/>
          <w:lang w:val="sv-SE"/>
        </w:rPr>
      </w:pPr>
      <w:bookmarkStart w:id="0" w:name="_Hlk118117781"/>
      <w:bookmarkEnd w:id="0"/>
    </w:p>
    <w:p w14:paraId="0866DC80" w14:textId="77777777" w:rsidR="008E787A" w:rsidRPr="00A74CC6" w:rsidRDefault="008E787A" w:rsidP="001E7238">
      <w:pPr>
        <w:spacing w:after="0" w:line="240" w:lineRule="auto"/>
        <w:ind w:left="819" w:right="796" w:hanging="10"/>
        <w:contextualSpacing/>
        <w:jc w:val="center"/>
        <w:rPr>
          <w:b/>
          <w:lang w:val="sv-SE"/>
        </w:rPr>
      </w:pPr>
    </w:p>
    <w:p w14:paraId="6D25D431" w14:textId="77777777" w:rsidR="008E787A" w:rsidRPr="00A74CC6" w:rsidRDefault="008E787A" w:rsidP="001E7238">
      <w:pPr>
        <w:spacing w:after="0" w:line="240" w:lineRule="auto"/>
        <w:ind w:left="819" w:right="796" w:hanging="10"/>
        <w:contextualSpacing/>
        <w:jc w:val="center"/>
        <w:rPr>
          <w:b/>
          <w:lang w:val="sv-SE"/>
        </w:rPr>
      </w:pPr>
    </w:p>
    <w:p w14:paraId="5F4A56C2" w14:textId="77777777" w:rsidR="008E787A" w:rsidRPr="00A74CC6" w:rsidRDefault="008E787A" w:rsidP="001E7238">
      <w:pPr>
        <w:spacing w:after="0" w:line="240" w:lineRule="auto"/>
        <w:ind w:left="819" w:right="796" w:hanging="10"/>
        <w:contextualSpacing/>
        <w:jc w:val="center"/>
        <w:rPr>
          <w:b/>
          <w:lang w:val="sv-SE"/>
        </w:rPr>
      </w:pPr>
    </w:p>
    <w:p w14:paraId="41EF2D2A" w14:textId="77777777" w:rsidR="008E787A" w:rsidRPr="00A74CC6" w:rsidRDefault="008E787A" w:rsidP="001E7238">
      <w:pPr>
        <w:spacing w:after="0" w:line="240" w:lineRule="auto"/>
        <w:ind w:left="819" w:right="796" w:hanging="10"/>
        <w:contextualSpacing/>
        <w:jc w:val="center"/>
        <w:rPr>
          <w:b/>
          <w:lang w:val="sv-SE"/>
        </w:rPr>
      </w:pPr>
    </w:p>
    <w:p w14:paraId="0FA47230" w14:textId="77777777" w:rsidR="008E787A" w:rsidRPr="00A74CC6" w:rsidRDefault="008E787A" w:rsidP="001E7238">
      <w:pPr>
        <w:spacing w:after="0" w:line="240" w:lineRule="auto"/>
        <w:ind w:left="819" w:right="796" w:hanging="10"/>
        <w:contextualSpacing/>
        <w:jc w:val="center"/>
        <w:rPr>
          <w:b/>
          <w:lang w:val="sv-SE"/>
        </w:rPr>
      </w:pPr>
    </w:p>
    <w:p w14:paraId="32BD4B51" w14:textId="77777777" w:rsidR="008E787A" w:rsidRPr="00A74CC6" w:rsidRDefault="008E787A" w:rsidP="001E7238">
      <w:pPr>
        <w:spacing w:after="0" w:line="240" w:lineRule="auto"/>
        <w:ind w:left="819" w:right="796" w:hanging="10"/>
        <w:contextualSpacing/>
        <w:jc w:val="center"/>
        <w:rPr>
          <w:b/>
          <w:lang w:val="sv-SE"/>
        </w:rPr>
      </w:pPr>
    </w:p>
    <w:p w14:paraId="22FF3EE4" w14:textId="77777777" w:rsidR="008E787A" w:rsidRPr="00A74CC6" w:rsidRDefault="008E787A" w:rsidP="001E7238">
      <w:pPr>
        <w:spacing w:after="0" w:line="240" w:lineRule="auto"/>
        <w:ind w:left="819" w:right="796" w:hanging="10"/>
        <w:contextualSpacing/>
        <w:jc w:val="center"/>
        <w:rPr>
          <w:b/>
          <w:lang w:val="sv-SE"/>
        </w:rPr>
      </w:pPr>
    </w:p>
    <w:p w14:paraId="351C69D9" w14:textId="77777777" w:rsidR="008E787A" w:rsidRPr="00A74CC6" w:rsidRDefault="008E787A" w:rsidP="001E7238">
      <w:pPr>
        <w:spacing w:after="0" w:line="240" w:lineRule="auto"/>
        <w:ind w:left="819" w:right="796" w:hanging="10"/>
        <w:contextualSpacing/>
        <w:jc w:val="center"/>
        <w:rPr>
          <w:b/>
          <w:lang w:val="sv-SE"/>
        </w:rPr>
      </w:pPr>
    </w:p>
    <w:p w14:paraId="1E158C71" w14:textId="77777777" w:rsidR="008E787A" w:rsidRPr="00A74CC6" w:rsidRDefault="008E787A" w:rsidP="001E7238">
      <w:pPr>
        <w:spacing w:after="0" w:line="240" w:lineRule="auto"/>
        <w:ind w:left="819" w:right="796" w:hanging="10"/>
        <w:contextualSpacing/>
        <w:jc w:val="center"/>
        <w:rPr>
          <w:b/>
          <w:lang w:val="sv-SE"/>
        </w:rPr>
      </w:pPr>
    </w:p>
    <w:p w14:paraId="3BB98007" w14:textId="77777777" w:rsidR="008E787A" w:rsidRPr="00A74CC6" w:rsidRDefault="008E787A" w:rsidP="001E7238">
      <w:pPr>
        <w:spacing w:after="0" w:line="240" w:lineRule="auto"/>
        <w:ind w:left="819" w:right="796" w:hanging="10"/>
        <w:contextualSpacing/>
        <w:jc w:val="center"/>
        <w:rPr>
          <w:b/>
          <w:lang w:val="sv-SE"/>
        </w:rPr>
      </w:pPr>
    </w:p>
    <w:p w14:paraId="56715021" w14:textId="77777777" w:rsidR="008E787A" w:rsidRPr="00A74CC6" w:rsidRDefault="008E787A" w:rsidP="001E7238">
      <w:pPr>
        <w:spacing w:after="0" w:line="240" w:lineRule="auto"/>
        <w:ind w:left="819" w:right="796" w:hanging="10"/>
        <w:contextualSpacing/>
        <w:jc w:val="center"/>
        <w:rPr>
          <w:b/>
          <w:lang w:val="sv-SE"/>
        </w:rPr>
      </w:pPr>
    </w:p>
    <w:p w14:paraId="541BD5AF" w14:textId="77777777" w:rsidR="008E787A" w:rsidRPr="00A74CC6" w:rsidRDefault="008E787A" w:rsidP="001E7238">
      <w:pPr>
        <w:spacing w:after="0" w:line="240" w:lineRule="auto"/>
        <w:ind w:left="819" w:right="796" w:hanging="10"/>
        <w:contextualSpacing/>
        <w:jc w:val="center"/>
        <w:rPr>
          <w:b/>
          <w:lang w:val="sv-SE"/>
        </w:rPr>
      </w:pPr>
    </w:p>
    <w:p w14:paraId="4AE1704B" w14:textId="77777777" w:rsidR="008E787A" w:rsidRPr="00A74CC6" w:rsidRDefault="008E787A" w:rsidP="001E7238">
      <w:pPr>
        <w:spacing w:after="0" w:line="240" w:lineRule="auto"/>
        <w:ind w:left="819" w:right="796" w:hanging="10"/>
        <w:contextualSpacing/>
        <w:jc w:val="center"/>
        <w:rPr>
          <w:b/>
          <w:lang w:val="sv-SE"/>
        </w:rPr>
      </w:pPr>
    </w:p>
    <w:p w14:paraId="459DBF4B" w14:textId="77777777" w:rsidR="008E787A" w:rsidRPr="00A74CC6" w:rsidRDefault="008E787A" w:rsidP="001E7238">
      <w:pPr>
        <w:spacing w:after="0" w:line="240" w:lineRule="auto"/>
        <w:ind w:left="819" w:right="796" w:hanging="10"/>
        <w:contextualSpacing/>
        <w:jc w:val="center"/>
        <w:rPr>
          <w:b/>
          <w:lang w:val="sv-SE"/>
        </w:rPr>
      </w:pPr>
    </w:p>
    <w:p w14:paraId="4FC0761D" w14:textId="77777777" w:rsidR="008E787A" w:rsidRPr="00A74CC6" w:rsidRDefault="008E787A" w:rsidP="001E7238">
      <w:pPr>
        <w:spacing w:after="0" w:line="240" w:lineRule="auto"/>
        <w:ind w:left="819" w:right="796" w:hanging="10"/>
        <w:contextualSpacing/>
        <w:jc w:val="center"/>
        <w:rPr>
          <w:b/>
          <w:lang w:val="sv-SE"/>
        </w:rPr>
      </w:pPr>
    </w:p>
    <w:p w14:paraId="25801685" w14:textId="77777777" w:rsidR="008E787A" w:rsidRPr="00A74CC6" w:rsidRDefault="008E787A" w:rsidP="001E7238">
      <w:pPr>
        <w:spacing w:after="0" w:line="240" w:lineRule="auto"/>
        <w:ind w:left="819" w:right="796" w:hanging="10"/>
        <w:contextualSpacing/>
        <w:jc w:val="center"/>
        <w:rPr>
          <w:b/>
          <w:lang w:val="sv-SE"/>
        </w:rPr>
      </w:pPr>
    </w:p>
    <w:p w14:paraId="3DECB9F1" w14:textId="77777777" w:rsidR="008E787A" w:rsidRPr="00A74CC6" w:rsidRDefault="008E787A" w:rsidP="001E7238">
      <w:pPr>
        <w:spacing w:after="0" w:line="240" w:lineRule="auto"/>
        <w:ind w:left="819" w:right="796" w:hanging="10"/>
        <w:contextualSpacing/>
        <w:jc w:val="center"/>
        <w:rPr>
          <w:b/>
          <w:lang w:val="sv-SE"/>
        </w:rPr>
      </w:pPr>
    </w:p>
    <w:p w14:paraId="3DA63349" w14:textId="77777777" w:rsidR="008E787A" w:rsidRPr="00A74CC6" w:rsidRDefault="008E787A" w:rsidP="001E7238">
      <w:pPr>
        <w:spacing w:after="0" w:line="240" w:lineRule="auto"/>
        <w:ind w:left="819" w:right="796" w:hanging="10"/>
        <w:contextualSpacing/>
        <w:jc w:val="center"/>
        <w:rPr>
          <w:b/>
          <w:lang w:val="sv-SE"/>
        </w:rPr>
      </w:pPr>
    </w:p>
    <w:p w14:paraId="2C0A3E1B" w14:textId="77777777" w:rsidR="008E787A" w:rsidRPr="00A74CC6" w:rsidRDefault="008E787A" w:rsidP="001E7238">
      <w:pPr>
        <w:spacing w:after="0" w:line="240" w:lineRule="auto"/>
        <w:ind w:left="819" w:right="796" w:hanging="10"/>
        <w:contextualSpacing/>
        <w:jc w:val="center"/>
        <w:rPr>
          <w:b/>
          <w:lang w:val="sv-SE"/>
        </w:rPr>
      </w:pPr>
    </w:p>
    <w:p w14:paraId="1FFD4955" w14:textId="77777777" w:rsidR="008E787A" w:rsidRPr="00A74CC6" w:rsidRDefault="008E787A" w:rsidP="001E7238">
      <w:pPr>
        <w:spacing w:after="0" w:line="240" w:lineRule="auto"/>
        <w:ind w:left="819" w:right="796" w:hanging="10"/>
        <w:contextualSpacing/>
        <w:jc w:val="center"/>
        <w:rPr>
          <w:b/>
          <w:lang w:val="sv-SE"/>
        </w:rPr>
      </w:pPr>
    </w:p>
    <w:p w14:paraId="52F30C35" w14:textId="77777777" w:rsidR="008E787A" w:rsidRPr="00A74CC6" w:rsidRDefault="008E787A" w:rsidP="001E7238">
      <w:pPr>
        <w:spacing w:after="0" w:line="240" w:lineRule="auto"/>
        <w:ind w:left="819" w:right="796" w:hanging="10"/>
        <w:contextualSpacing/>
        <w:jc w:val="center"/>
        <w:rPr>
          <w:b/>
          <w:lang w:val="sv-SE"/>
        </w:rPr>
      </w:pPr>
    </w:p>
    <w:p w14:paraId="51282E49" w14:textId="77777777" w:rsidR="008E787A" w:rsidRPr="00A74CC6" w:rsidRDefault="008E787A" w:rsidP="001E7238">
      <w:pPr>
        <w:spacing w:after="0" w:line="240" w:lineRule="auto"/>
        <w:ind w:left="819" w:right="796" w:hanging="10"/>
        <w:contextualSpacing/>
        <w:jc w:val="center"/>
        <w:rPr>
          <w:b/>
          <w:lang w:val="sv-SE"/>
        </w:rPr>
      </w:pPr>
    </w:p>
    <w:p w14:paraId="0D8488FB" w14:textId="77777777" w:rsidR="005027AB" w:rsidRPr="00A74CC6" w:rsidRDefault="00264096" w:rsidP="001E7238">
      <w:pPr>
        <w:spacing w:after="0" w:line="240" w:lineRule="auto"/>
        <w:ind w:left="819" w:right="796" w:hanging="10"/>
        <w:contextualSpacing/>
        <w:jc w:val="center"/>
        <w:rPr>
          <w:b/>
          <w:lang w:val="sv-SE"/>
        </w:rPr>
      </w:pPr>
      <w:r w:rsidRPr="00A74CC6">
        <w:rPr>
          <w:b/>
          <w:lang w:val="sv-SE"/>
        </w:rPr>
        <w:t>BILAGA I</w:t>
      </w:r>
    </w:p>
    <w:p w14:paraId="3087AC39" w14:textId="77777777" w:rsidR="008E787A" w:rsidRPr="00A74CC6" w:rsidRDefault="008E787A" w:rsidP="001E7238">
      <w:pPr>
        <w:spacing w:after="0" w:line="240" w:lineRule="auto"/>
        <w:ind w:left="819" w:right="796" w:hanging="10"/>
        <w:contextualSpacing/>
        <w:jc w:val="center"/>
        <w:rPr>
          <w:lang w:val="sv-SE"/>
        </w:rPr>
      </w:pPr>
    </w:p>
    <w:p w14:paraId="5FE6D288" w14:textId="77777777" w:rsidR="008E787A" w:rsidRPr="00A74CC6" w:rsidRDefault="00264096" w:rsidP="001E7238">
      <w:pPr>
        <w:pStyle w:val="TitleA"/>
        <w:widowControl/>
      </w:pPr>
      <w:r w:rsidRPr="00A74CC6">
        <w:t>PRODUKTRESUMÉ</w:t>
      </w:r>
    </w:p>
    <w:p w14:paraId="3527A4B7" w14:textId="77777777" w:rsidR="005027AB" w:rsidRPr="00A74CC6" w:rsidRDefault="00264096" w:rsidP="001E7238">
      <w:pPr>
        <w:spacing w:after="0" w:line="240" w:lineRule="auto"/>
        <w:ind w:left="3538" w:hanging="10"/>
        <w:contextualSpacing/>
        <w:rPr>
          <w:lang w:val="sv-SE"/>
        </w:rPr>
      </w:pPr>
      <w:r w:rsidRPr="00A74CC6">
        <w:rPr>
          <w:lang w:val="sv-SE"/>
        </w:rPr>
        <w:br w:type="page"/>
      </w:r>
    </w:p>
    <w:p w14:paraId="7B75C71B" w14:textId="77777777" w:rsidR="005027AB" w:rsidRPr="00A74CC6" w:rsidRDefault="008E787A" w:rsidP="001505E5">
      <w:pPr>
        <w:keepNext/>
        <w:tabs>
          <w:tab w:val="center" w:pos="1801"/>
        </w:tabs>
        <w:spacing w:after="0" w:line="240" w:lineRule="auto"/>
        <w:ind w:left="567" w:hanging="567"/>
        <w:contextualSpacing/>
        <w:rPr>
          <w:b/>
          <w:lang w:val="sv-SE"/>
        </w:rPr>
      </w:pPr>
      <w:r w:rsidRPr="00A74CC6">
        <w:rPr>
          <w:b/>
          <w:lang w:val="sv-SE"/>
        </w:rPr>
        <w:t>1.</w:t>
      </w:r>
      <w:r w:rsidRPr="00A74CC6">
        <w:rPr>
          <w:b/>
          <w:lang w:val="sv-SE"/>
        </w:rPr>
        <w:tab/>
      </w:r>
      <w:r w:rsidR="00264096" w:rsidRPr="00A74CC6">
        <w:rPr>
          <w:b/>
          <w:lang w:val="sv-SE"/>
        </w:rPr>
        <w:t>LÄKEMEDLETS NAMN</w:t>
      </w:r>
    </w:p>
    <w:p w14:paraId="7064591B" w14:textId="77777777" w:rsidR="008E787A" w:rsidRPr="00A74CC6" w:rsidRDefault="008E787A" w:rsidP="001505E5">
      <w:pPr>
        <w:keepNext/>
        <w:spacing w:after="0" w:line="240" w:lineRule="auto"/>
        <w:ind w:left="0" w:right="13" w:firstLine="0"/>
        <w:contextualSpacing/>
        <w:rPr>
          <w:lang w:val="sv-SE"/>
        </w:rPr>
      </w:pPr>
    </w:p>
    <w:p w14:paraId="54BB5C37" w14:textId="119EBBAF" w:rsidR="005027AB" w:rsidRPr="00A74CC6" w:rsidRDefault="00904DE7" w:rsidP="002314CE">
      <w:pPr>
        <w:spacing w:after="0" w:line="240" w:lineRule="auto"/>
        <w:ind w:left="0" w:right="13" w:firstLine="0"/>
        <w:contextualSpacing/>
        <w:rPr>
          <w:lang w:val="sv-SE"/>
        </w:rPr>
      </w:pPr>
      <w:r w:rsidRPr="00A74CC6">
        <w:rPr>
          <w:lang w:val="sv-SE"/>
        </w:rPr>
        <w:t xml:space="preserve">KANJINTI </w:t>
      </w:r>
      <w:r w:rsidR="008E787A" w:rsidRPr="00A74CC6">
        <w:rPr>
          <w:lang w:val="sv-SE"/>
        </w:rPr>
        <w:t>150 </w:t>
      </w:r>
      <w:r w:rsidR="00264096" w:rsidRPr="00A74CC6">
        <w:rPr>
          <w:lang w:val="sv-SE"/>
        </w:rPr>
        <w:t>mg pulver till koncentrat till infusionsvätska, lösning</w:t>
      </w:r>
    </w:p>
    <w:p w14:paraId="32CD8A1D" w14:textId="1192E5F2" w:rsidR="00904DE7" w:rsidRPr="00A74CC6" w:rsidRDefault="00904DE7" w:rsidP="002314CE">
      <w:pPr>
        <w:spacing w:after="0" w:line="240" w:lineRule="auto"/>
        <w:ind w:left="0" w:right="13" w:firstLine="0"/>
        <w:contextualSpacing/>
        <w:rPr>
          <w:lang w:val="sv-SE"/>
        </w:rPr>
      </w:pPr>
      <w:r w:rsidRPr="00A74CC6">
        <w:rPr>
          <w:lang w:val="sv-SE"/>
        </w:rPr>
        <w:t>KANJINTI 420 mg pulver till koncentrat till infusionsvätska, lösning</w:t>
      </w:r>
    </w:p>
    <w:p w14:paraId="1238561A" w14:textId="77777777" w:rsidR="008E787A" w:rsidRPr="00A74CC6" w:rsidRDefault="008E787A" w:rsidP="002314CE">
      <w:pPr>
        <w:spacing w:after="0" w:line="240" w:lineRule="auto"/>
        <w:ind w:left="4" w:right="13"/>
        <w:contextualSpacing/>
        <w:rPr>
          <w:lang w:val="sv-SE"/>
        </w:rPr>
      </w:pPr>
    </w:p>
    <w:p w14:paraId="164BD593" w14:textId="77777777" w:rsidR="008E787A" w:rsidRPr="00A74CC6" w:rsidRDefault="008E787A" w:rsidP="002314CE">
      <w:pPr>
        <w:spacing w:after="0" w:line="240" w:lineRule="auto"/>
        <w:ind w:left="4" w:right="13"/>
        <w:contextualSpacing/>
        <w:rPr>
          <w:lang w:val="sv-SE"/>
        </w:rPr>
      </w:pPr>
    </w:p>
    <w:p w14:paraId="764D2FBB" w14:textId="77777777" w:rsidR="005027AB" w:rsidRPr="00A74CC6" w:rsidRDefault="00264096" w:rsidP="001505E5">
      <w:pPr>
        <w:pStyle w:val="Heading1"/>
        <w:keepLines w:val="0"/>
        <w:tabs>
          <w:tab w:val="center" w:pos="3493"/>
        </w:tabs>
        <w:spacing w:after="0" w:line="240" w:lineRule="auto"/>
        <w:ind w:left="567" w:hanging="567"/>
        <w:contextualSpacing/>
        <w:rPr>
          <w:lang w:val="sv-SE"/>
        </w:rPr>
      </w:pPr>
      <w:r w:rsidRPr="00A74CC6">
        <w:rPr>
          <w:lang w:val="sv-SE"/>
        </w:rPr>
        <w:t>2.</w:t>
      </w:r>
      <w:r w:rsidRPr="00A74CC6">
        <w:rPr>
          <w:lang w:val="sv-SE"/>
        </w:rPr>
        <w:tab/>
        <w:t>KVALITATIV OCH KVANTITATIV SAMMANSÄTTNING</w:t>
      </w:r>
    </w:p>
    <w:p w14:paraId="0A2D1624" w14:textId="77777777" w:rsidR="008E787A" w:rsidRPr="00A74CC6" w:rsidRDefault="008E787A" w:rsidP="001505E5">
      <w:pPr>
        <w:keepNext/>
        <w:spacing w:after="0" w:line="240" w:lineRule="auto"/>
        <w:contextualSpacing/>
        <w:rPr>
          <w:lang w:val="sv-SE"/>
        </w:rPr>
      </w:pPr>
    </w:p>
    <w:p w14:paraId="7EB72AA2" w14:textId="77777777" w:rsidR="00904DE7" w:rsidRPr="008763E6" w:rsidRDefault="00904DE7" w:rsidP="00904DE7">
      <w:pPr>
        <w:spacing w:after="0" w:line="240" w:lineRule="auto"/>
        <w:ind w:left="0" w:right="13" w:firstLine="0"/>
        <w:contextualSpacing/>
        <w:rPr>
          <w:u w:val="single"/>
          <w:lang w:val="sv-SE"/>
        </w:rPr>
      </w:pPr>
      <w:r w:rsidRPr="008763E6">
        <w:rPr>
          <w:u w:val="single"/>
          <w:lang w:val="sv-SE"/>
        </w:rPr>
        <w:t>KANJINTI 150 mg pulver till koncentrat till infusionsvätska, lösning</w:t>
      </w:r>
    </w:p>
    <w:p w14:paraId="53EB7499" w14:textId="77777777" w:rsidR="00904DE7" w:rsidRPr="00A74CC6" w:rsidRDefault="00904DE7" w:rsidP="00904DE7">
      <w:pPr>
        <w:spacing w:after="0" w:line="240" w:lineRule="auto"/>
        <w:ind w:left="0" w:right="13" w:firstLine="0"/>
        <w:contextualSpacing/>
        <w:rPr>
          <w:lang w:val="sv-SE"/>
        </w:rPr>
      </w:pPr>
    </w:p>
    <w:p w14:paraId="0AE4F338" w14:textId="4B8C1F53" w:rsidR="005027AB" w:rsidRPr="00A74CC6" w:rsidRDefault="00264096" w:rsidP="002314CE">
      <w:pPr>
        <w:spacing w:after="0" w:line="240" w:lineRule="auto"/>
        <w:ind w:left="4" w:right="13"/>
        <w:contextualSpacing/>
        <w:rPr>
          <w:lang w:val="sv-SE"/>
        </w:rPr>
      </w:pPr>
      <w:r w:rsidRPr="00A74CC6">
        <w:rPr>
          <w:lang w:val="sv-SE"/>
        </w:rPr>
        <w:t xml:space="preserve">En </w:t>
      </w:r>
      <w:r w:rsidR="008E787A" w:rsidRPr="00A74CC6">
        <w:rPr>
          <w:lang w:val="sv-SE"/>
        </w:rPr>
        <w:t>injektionsflaska innehåller 150 </w:t>
      </w:r>
      <w:r w:rsidRPr="00A74CC6">
        <w:rPr>
          <w:lang w:val="sv-SE"/>
        </w:rPr>
        <w:t>mg trastuzumab, en humaniserad</w:t>
      </w:r>
      <w:r w:rsidR="003D3852" w:rsidRPr="00A74CC6">
        <w:rPr>
          <w:lang w:val="sv-SE"/>
        </w:rPr>
        <w:t>,</w:t>
      </w:r>
      <w:r w:rsidRPr="00A74CC6">
        <w:rPr>
          <w:lang w:val="sv-SE"/>
        </w:rPr>
        <w:t xml:space="preserve"> monoklonal </w:t>
      </w:r>
      <w:r w:rsidR="003D3852" w:rsidRPr="00A74CC6">
        <w:rPr>
          <w:lang w:val="sv-SE"/>
        </w:rPr>
        <w:t>IgG1-</w:t>
      </w:r>
      <w:r w:rsidRPr="00A74CC6">
        <w:rPr>
          <w:lang w:val="sv-SE"/>
        </w:rPr>
        <w:t>antikropp producerad av en mammal (ovarium från kinesisk hamster) cellsuspensionskultur och renad med affinitets- och jonbyteskromatografi inklusive specifika virala inakti</w:t>
      </w:r>
      <w:r w:rsidR="008E787A" w:rsidRPr="00A74CC6">
        <w:rPr>
          <w:lang w:val="sv-SE"/>
        </w:rPr>
        <w:t>verings- och reningsprocedurer.</w:t>
      </w:r>
    </w:p>
    <w:p w14:paraId="0C535276" w14:textId="77777777" w:rsidR="00904DE7" w:rsidRPr="00A74CC6" w:rsidRDefault="00904DE7" w:rsidP="002314CE">
      <w:pPr>
        <w:spacing w:after="0" w:line="240" w:lineRule="auto"/>
        <w:ind w:left="4" w:right="13"/>
        <w:contextualSpacing/>
        <w:rPr>
          <w:lang w:val="sv-SE"/>
        </w:rPr>
      </w:pPr>
    </w:p>
    <w:p w14:paraId="738F254C" w14:textId="77777777" w:rsidR="00904DE7" w:rsidRPr="00A74CC6" w:rsidRDefault="00904DE7" w:rsidP="00904DE7">
      <w:pPr>
        <w:spacing w:after="0" w:line="240" w:lineRule="auto"/>
        <w:ind w:left="0" w:right="13" w:firstLine="0"/>
        <w:contextualSpacing/>
        <w:rPr>
          <w:u w:val="single"/>
          <w:lang w:val="sv-SE"/>
        </w:rPr>
      </w:pPr>
      <w:r w:rsidRPr="00A74CC6">
        <w:rPr>
          <w:u w:val="single"/>
          <w:lang w:val="sv-SE"/>
        </w:rPr>
        <w:t>KANJINTI 420 mg pulver till koncentrat till infusionsvätska, lösning</w:t>
      </w:r>
    </w:p>
    <w:p w14:paraId="5596C9CC" w14:textId="77777777" w:rsidR="00904DE7" w:rsidRPr="00A74CC6" w:rsidRDefault="00904DE7" w:rsidP="00904DE7">
      <w:pPr>
        <w:spacing w:after="0" w:line="240" w:lineRule="auto"/>
        <w:ind w:left="0" w:right="13" w:firstLine="0"/>
        <w:contextualSpacing/>
        <w:rPr>
          <w:lang w:val="sv-SE"/>
        </w:rPr>
      </w:pPr>
    </w:p>
    <w:p w14:paraId="14C87440" w14:textId="599A85A6" w:rsidR="00904DE7" w:rsidRPr="00A74CC6" w:rsidRDefault="00904DE7" w:rsidP="00904DE7">
      <w:pPr>
        <w:spacing w:after="0" w:line="240" w:lineRule="auto"/>
        <w:ind w:left="4" w:right="13"/>
        <w:contextualSpacing/>
        <w:rPr>
          <w:lang w:val="sv-SE"/>
        </w:rPr>
      </w:pPr>
      <w:r w:rsidRPr="00A74CC6">
        <w:rPr>
          <w:lang w:val="sv-SE"/>
        </w:rPr>
        <w:t>En injektionsflaska innehåller 420 mg trastuzumab, en humaniserad</w:t>
      </w:r>
      <w:r w:rsidR="003D3852" w:rsidRPr="00A74CC6">
        <w:rPr>
          <w:lang w:val="sv-SE"/>
        </w:rPr>
        <w:t>,</w:t>
      </w:r>
      <w:r w:rsidRPr="00A74CC6">
        <w:rPr>
          <w:lang w:val="sv-SE"/>
        </w:rPr>
        <w:t xml:space="preserve"> monoklonal </w:t>
      </w:r>
      <w:r w:rsidR="003D3852" w:rsidRPr="00A74CC6">
        <w:rPr>
          <w:lang w:val="sv-SE"/>
        </w:rPr>
        <w:t>IgG1-</w:t>
      </w:r>
      <w:r w:rsidRPr="00A74CC6">
        <w:rPr>
          <w:lang w:val="sv-SE"/>
        </w:rPr>
        <w:t>antikropp producerad av en mammal (ovarium från kinesisk hamster) cellsuspensionskultur och renad med affinitets- och jonbyteskromatografi inklusive specifika virala inaktiverings- och reningsprocedurer.</w:t>
      </w:r>
    </w:p>
    <w:p w14:paraId="69206642" w14:textId="77777777" w:rsidR="00904DE7" w:rsidRPr="00A74CC6" w:rsidRDefault="00904DE7" w:rsidP="002314CE">
      <w:pPr>
        <w:spacing w:after="0" w:line="240" w:lineRule="auto"/>
        <w:ind w:left="4" w:right="13"/>
        <w:contextualSpacing/>
        <w:rPr>
          <w:lang w:val="sv-SE"/>
        </w:rPr>
      </w:pPr>
    </w:p>
    <w:p w14:paraId="63BC1144" w14:textId="18060A9F" w:rsidR="008E787A" w:rsidRPr="00A74CC6" w:rsidRDefault="00264096" w:rsidP="002314CE">
      <w:pPr>
        <w:spacing w:after="0" w:line="240" w:lineRule="auto"/>
        <w:ind w:left="4" w:right="13"/>
        <w:contextualSpacing/>
        <w:rPr>
          <w:lang w:val="sv-SE"/>
        </w:rPr>
      </w:pPr>
      <w:r w:rsidRPr="00A74CC6">
        <w:rPr>
          <w:lang w:val="sv-SE"/>
        </w:rPr>
        <w:t xml:space="preserve">Beredd </w:t>
      </w:r>
      <w:r w:rsidR="00904DE7" w:rsidRPr="00A74CC6">
        <w:rPr>
          <w:lang w:val="sv-SE"/>
        </w:rPr>
        <w:t>KANJINTI-</w:t>
      </w:r>
      <w:r w:rsidR="008E787A" w:rsidRPr="00A74CC6">
        <w:rPr>
          <w:lang w:val="sv-SE"/>
        </w:rPr>
        <w:t xml:space="preserve">lösning innehåller </w:t>
      </w:r>
      <w:r w:rsidR="00AB315E" w:rsidRPr="00A74CC6">
        <w:rPr>
          <w:lang w:val="sv-SE"/>
        </w:rPr>
        <w:t>21 </w:t>
      </w:r>
      <w:r w:rsidRPr="00A74CC6">
        <w:rPr>
          <w:lang w:val="sv-SE"/>
        </w:rPr>
        <w:t xml:space="preserve">mg/ml trastuzumab. </w:t>
      </w:r>
    </w:p>
    <w:p w14:paraId="40EF4E52" w14:textId="77777777" w:rsidR="008E787A" w:rsidRPr="00A74CC6" w:rsidRDefault="008E787A" w:rsidP="002314CE">
      <w:pPr>
        <w:spacing w:after="0" w:line="240" w:lineRule="auto"/>
        <w:ind w:left="4" w:right="13"/>
        <w:contextualSpacing/>
        <w:rPr>
          <w:lang w:val="sv-SE"/>
        </w:rPr>
      </w:pPr>
    </w:p>
    <w:p w14:paraId="379C79DB" w14:textId="3AD23D05" w:rsidR="005027AB" w:rsidRPr="00A74CC6" w:rsidRDefault="00264096" w:rsidP="002314CE">
      <w:pPr>
        <w:spacing w:after="0" w:line="240" w:lineRule="auto"/>
        <w:ind w:left="4" w:right="13"/>
        <w:contextualSpacing/>
        <w:rPr>
          <w:lang w:val="sv-SE"/>
        </w:rPr>
      </w:pPr>
      <w:r w:rsidRPr="00A74CC6">
        <w:rPr>
          <w:lang w:val="sv-SE"/>
        </w:rPr>
        <w:t>För fullständig förteckning över hjälpämnen, se avsnitt</w:t>
      </w:r>
      <w:r w:rsidR="00C665FE" w:rsidRPr="00A74CC6">
        <w:rPr>
          <w:lang w:val="sv-SE"/>
        </w:rPr>
        <w:t> </w:t>
      </w:r>
      <w:r w:rsidRPr="00A74CC6">
        <w:rPr>
          <w:lang w:val="sv-SE"/>
        </w:rPr>
        <w:t>6.1.</w:t>
      </w:r>
    </w:p>
    <w:p w14:paraId="08FB86C7" w14:textId="77777777" w:rsidR="008E787A" w:rsidRPr="00A74CC6" w:rsidRDefault="008E787A" w:rsidP="002314CE">
      <w:pPr>
        <w:spacing w:after="0" w:line="240" w:lineRule="auto"/>
        <w:ind w:left="4" w:right="13"/>
        <w:contextualSpacing/>
        <w:rPr>
          <w:lang w:val="sv-SE"/>
        </w:rPr>
      </w:pPr>
    </w:p>
    <w:p w14:paraId="346E26F5" w14:textId="77777777" w:rsidR="008E787A" w:rsidRPr="00A74CC6" w:rsidRDefault="008E787A" w:rsidP="002314CE">
      <w:pPr>
        <w:spacing w:after="0" w:line="240" w:lineRule="auto"/>
        <w:ind w:left="4" w:right="13"/>
        <w:contextualSpacing/>
        <w:rPr>
          <w:lang w:val="sv-SE"/>
        </w:rPr>
      </w:pPr>
    </w:p>
    <w:p w14:paraId="00D9545B" w14:textId="77777777" w:rsidR="005027AB" w:rsidRPr="00A74CC6" w:rsidRDefault="00264096" w:rsidP="001505E5">
      <w:pPr>
        <w:pStyle w:val="Heading1"/>
        <w:keepLines w:val="0"/>
        <w:tabs>
          <w:tab w:val="center" w:pos="1694"/>
        </w:tabs>
        <w:spacing w:after="0" w:line="240" w:lineRule="auto"/>
        <w:ind w:left="567" w:hanging="567"/>
        <w:contextualSpacing/>
        <w:rPr>
          <w:lang w:val="sv-SE"/>
        </w:rPr>
      </w:pPr>
      <w:r w:rsidRPr="00A74CC6">
        <w:rPr>
          <w:lang w:val="sv-SE"/>
        </w:rPr>
        <w:t>3.</w:t>
      </w:r>
      <w:r w:rsidRPr="00A74CC6">
        <w:rPr>
          <w:lang w:val="sv-SE"/>
        </w:rPr>
        <w:tab/>
        <w:t>LÄKEMEDELSFORM</w:t>
      </w:r>
    </w:p>
    <w:p w14:paraId="2C85E83F" w14:textId="77777777" w:rsidR="00450D71" w:rsidRPr="00A74CC6" w:rsidRDefault="00450D71" w:rsidP="001505E5">
      <w:pPr>
        <w:keepNext/>
        <w:spacing w:after="0" w:line="240" w:lineRule="auto"/>
        <w:contextualSpacing/>
        <w:rPr>
          <w:lang w:val="sv-SE"/>
        </w:rPr>
      </w:pPr>
    </w:p>
    <w:p w14:paraId="282B93C7" w14:textId="77777777" w:rsidR="005027AB" w:rsidRPr="00A74CC6" w:rsidRDefault="00264096" w:rsidP="002314CE">
      <w:pPr>
        <w:spacing w:after="0" w:line="240" w:lineRule="auto"/>
        <w:ind w:left="4" w:right="13"/>
        <w:contextualSpacing/>
        <w:rPr>
          <w:lang w:val="sv-SE"/>
        </w:rPr>
      </w:pPr>
      <w:r w:rsidRPr="00A74CC6">
        <w:rPr>
          <w:lang w:val="sv-SE"/>
        </w:rPr>
        <w:t>Pulver till koncentrat till infusionsvätska, lösning.</w:t>
      </w:r>
    </w:p>
    <w:p w14:paraId="2AD104EF" w14:textId="77777777" w:rsidR="00450D71" w:rsidRPr="00A74CC6" w:rsidRDefault="00450D71" w:rsidP="002314CE">
      <w:pPr>
        <w:spacing w:after="0" w:line="240" w:lineRule="auto"/>
        <w:ind w:left="4" w:right="13"/>
        <w:contextualSpacing/>
        <w:rPr>
          <w:lang w:val="sv-SE"/>
        </w:rPr>
      </w:pPr>
    </w:p>
    <w:p w14:paraId="2FB71988" w14:textId="2E7BB8B1" w:rsidR="005027AB" w:rsidRPr="00A74CC6" w:rsidRDefault="00264096" w:rsidP="002314CE">
      <w:pPr>
        <w:spacing w:after="0" w:line="240" w:lineRule="auto"/>
        <w:ind w:left="4" w:right="13"/>
        <w:contextualSpacing/>
        <w:rPr>
          <w:lang w:val="sv-SE"/>
        </w:rPr>
      </w:pPr>
      <w:r w:rsidRPr="00A74CC6">
        <w:rPr>
          <w:lang w:val="sv-SE"/>
        </w:rPr>
        <w:t>Vi</w:t>
      </w:r>
      <w:r w:rsidR="003D3852" w:rsidRPr="00A74CC6">
        <w:rPr>
          <w:lang w:val="sv-SE"/>
        </w:rPr>
        <w:t>t</w:t>
      </w:r>
      <w:r w:rsidRPr="00A74CC6">
        <w:rPr>
          <w:lang w:val="sv-SE"/>
        </w:rPr>
        <w:t xml:space="preserve">t till svagt gulfärgat frystorkat pulver. </w:t>
      </w:r>
    </w:p>
    <w:p w14:paraId="1E5B4A4A" w14:textId="77777777" w:rsidR="008E787A" w:rsidRPr="00A74CC6" w:rsidRDefault="008E787A" w:rsidP="002314CE">
      <w:pPr>
        <w:spacing w:after="0" w:line="240" w:lineRule="auto"/>
        <w:ind w:left="4" w:right="13"/>
        <w:contextualSpacing/>
        <w:rPr>
          <w:lang w:val="sv-SE"/>
        </w:rPr>
      </w:pPr>
    </w:p>
    <w:p w14:paraId="2F3DCCD7" w14:textId="77777777" w:rsidR="008E787A" w:rsidRPr="00A74CC6" w:rsidRDefault="008E787A" w:rsidP="002314CE">
      <w:pPr>
        <w:spacing w:after="0" w:line="240" w:lineRule="auto"/>
        <w:ind w:left="4" w:right="13"/>
        <w:contextualSpacing/>
        <w:rPr>
          <w:lang w:val="sv-SE"/>
        </w:rPr>
      </w:pPr>
    </w:p>
    <w:p w14:paraId="70E82F07" w14:textId="77777777" w:rsidR="005027AB" w:rsidRPr="00A74CC6" w:rsidRDefault="00264096" w:rsidP="002314CE">
      <w:pPr>
        <w:pStyle w:val="Heading1"/>
        <w:tabs>
          <w:tab w:val="center" w:pos="1796"/>
        </w:tabs>
        <w:spacing w:after="0" w:line="240" w:lineRule="auto"/>
        <w:ind w:left="567" w:hanging="567"/>
        <w:contextualSpacing/>
        <w:rPr>
          <w:lang w:val="sv-SE"/>
        </w:rPr>
      </w:pPr>
      <w:r w:rsidRPr="00A74CC6">
        <w:rPr>
          <w:lang w:val="sv-SE"/>
        </w:rPr>
        <w:t>4.</w:t>
      </w:r>
      <w:r w:rsidRPr="00A74CC6">
        <w:rPr>
          <w:lang w:val="sv-SE"/>
        </w:rPr>
        <w:tab/>
        <w:t>KLINISKA UPPGIFTER</w:t>
      </w:r>
    </w:p>
    <w:p w14:paraId="16611CB7" w14:textId="77777777" w:rsidR="00450D71" w:rsidRPr="00A74CC6" w:rsidRDefault="00450D71" w:rsidP="002314CE">
      <w:pPr>
        <w:keepNext/>
        <w:keepLines/>
        <w:spacing w:after="0" w:line="240" w:lineRule="auto"/>
        <w:contextualSpacing/>
        <w:rPr>
          <w:lang w:val="sv-SE"/>
        </w:rPr>
      </w:pPr>
    </w:p>
    <w:p w14:paraId="26974969" w14:textId="77777777" w:rsidR="005027AB" w:rsidRPr="00A74CC6" w:rsidRDefault="00264096" w:rsidP="002314CE">
      <w:pPr>
        <w:keepNext/>
        <w:keepLines/>
        <w:tabs>
          <w:tab w:val="center" w:pos="1813"/>
        </w:tabs>
        <w:spacing w:after="0" w:line="240" w:lineRule="auto"/>
        <w:ind w:left="567" w:hanging="567"/>
        <w:contextualSpacing/>
        <w:rPr>
          <w:b/>
          <w:lang w:val="sv-SE"/>
        </w:rPr>
      </w:pPr>
      <w:r w:rsidRPr="00A74CC6">
        <w:rPr>
          <w:b/>
          <w:lang w:val="sv-SE"/>
        </w:rPr>
        <w:t>4.1</w:t>
      </w:r>
      <w:r w:rsidRPr="00A74CC6">
        <w:rPr>
          <w:b/>
          <w:lang w:val="sv-SE"/>
        </w:rPr>
        <w:tab/>
        <w:t>Terapeutiska indikationer</w:t>
      </w:r>
    </w:p>
    <w:p w14:paraId="14E80C13" w14:textId="77777777" w:rsidR="00450D71" w:rsidRPr="00A74CC6" w:rsidRDefault="00450D71" w:rsidP="002314CE">
      <w:pPr>
        <w:keepNext/>
        <w:keepLines/>
        <w:tabs>
          <w:tab w:val="center" w:pos="1813"/>
        </w:tabs>
        <w:spacing w:after="0" w:line="240" w:lineRule="auto"/>
        <w:ind w:left="567" w:hanging="567"/>
        <w:contextualSpacing/>
        <w:rPr>
          <w:lang w:val="sv-SE"/>
        </w:rPr>
      </w:pPr>
    </w:p>
    <w:p w14:paraId="252400F5" w14:textId="77777777" w:rsidR="005027AB" w:rsidRPr="00A74CC6" w:rsidRDefault="00264096" w:rsidP="002314CE">
      <w:pPr>
        <w:pStyle w:val="Heading2"/>
        <w:spacing w:after="0" w:line="240" w:lineRule="auto"/>
        <w:ind w:left="9"/>
        <w:contextualSpacing/>
        <w:rPr>
          <w:lang w:val="sv-SE"/>
        </w:rPr>
      </w:pPr>
      <w:r w:rsidRPr="00A74CC6">
        <w:rPr>
          <w:lang w:val="sv-SE"/>
        </w:rPr>
        <w:t>Bröstcancer</w:t>
      </w:r>
    </w:p>
    <w:p w14:paraId="7145787D" w14:textId="77777777" w:rsidR="00450D71" w:rsidRPr="00A74CC6" w:rsidRDefault="00450D71" w:rsidP="002314CE">
      <w:pPr>
        <w:keepNext/>
        <w:keepLines/>
        <w:spacing w:after="0" w:line="240" w:lineRule="auto"/>
        <w:contextualSpacing/>
        <w:rPr>
          <w:lang w:val="sv-SE"/>
        </w:rPr>
      </w:pPr>
    </w:p>
    <w:p w14:paraId="112C4A2D" w14:textId="77777777" w:rsidR="005027AB" w:rsidRPr="00A74CC6" w:rsidRDefault="00264096" w:rsidP="002314CE">
      <w:pPr>
        <w:pStyle w:val="Heading3"/>
        <w:spacing w:after="0" w:line="240" w:lineRule="auto"/>
        <w:ind w:left="9"/>
        <w:contextualSpacing/>
        <w:rPr>
          <w:lang w:val="sv-SE"/>
        </w:rPr>
      </w:pPr>
      <w:r w:rsidRPr="00A74CC6">
        <w:rPr>
          <w:lang w:val="sv-SE"/>
        </w:rPr>
        <w:t>Metastaserad bröstcancer</w:t>
      </w:r>
    </w:p>
    <w:p w14:paraId="6B265013" w14:textId="77777777" w:rsidR="00450D71" w:rsidRPr="00A74CC6" w:rsidRDefault="00450D71" w:rsidP="002314CE">
      <w:pPr>
        <w:keepNext/>
        <w:keepLines/>
        <w:spacing w:after="0" w:line="240" w:lineRule="auto"/>
        <w:contextualSpacing/>
        <w:rPr>
          <w:lang w:val="sv-SE"/>
        </w:rPr>
      </w:pPr>
    </w:p>
    <w:p w14:paraId="37DADDCB" w14:textId="5B6929E7" w:rsidR="005027AB" w:rsidRPr="00A74CC6" w:rsidRDefault="00904DE7" w:rsidP="002314CE">
      <w:pPr>
        <w:spacing w:after="0" w:line="240" w:lineRule="auto"/>
        <w:ind w:left="4" w:right="13"/>
        <w:contextualSpacing/>
        <w:rPr>
          <w:lang w:val="sv-SE"/>
        </w:rPr>
      </w:pPr>
      <w:r w:rsidRPr="00A74CC6">
        <w:rPr>
          <w:lang w:val="sv-SE"/>
        </w:rPr>
        <w:t xml:space="preserve">KANJINTI </w:t>
      </w:r>
      <w:r w:rsidR="00264096" w:rsidRPr="00A74CC6">
        <w:rPr>
          <w:lang w:val="sv-SE"/>
        </w:rPr>
        <w:t>är indicerat för behandling av vuxna patienter med HER2-positiv metastaserad bröstcancer:</w:t>
      </w:r>
    </w:p>
    <w:p w14:paraId="627B7602" w14:textId="77777777" w:rsidR="00450D71" w:rsidRPr="00A74CC6" w:rsidRDefault="00450D71" w:rsidP="002314CE">
      <w:pPr>
        <w:spacing w:after="0" w:line="240" w:lineRule="auto"/>
        <w:ind w:left="4" w:right="13"/>
        <w:contextualSpacing/>
        <w:rPr>
          <w:lang w:val="sv-SE"/>
        </w:rPr>
      </w:pPr>
    </w:p>
    <w:p w14:paraId="356B0C95" w14:textId="77777777" w:rsidR="005027AB" w:rsidRPr="00A74CC6" w:rsidRDefault="00264096" w:rsidP="002314CE">
      <w:pPr>
        <w:numPr>
          <w:ilvl w:val="0"/>
          <w:numId w:val="1"/>
        </w:numPr>
        <w:spacing w:after="0" w:line="240" w:lineRule="auto"/>
        <w:ind w:right="13" w:hanging="566"/>
        <w:contextualSpacing/>
        <w:rPr>
          <w:lang w:val="sv-SE"/>
        </w:rPr>
      </w:pPr>
      <w:r w:rsidRPr="00A74CC6">
        <w:rPr>
          <w:lang w:val="sv-SE"/>
        </w:rPr>
        <w:t>som monoterapi för behandling av de patienter som har fått åtminstone två kemoterapiregimer mot metastaserad sjukdom. Tidigare kemoterapi måste ha inkluderat åtminstone ett antracyklin</w:t>
      </w:r>
      <w:r w:rsidR="007D11C0" w:rsidRPr="00A74CC6">
        <w:rPr>
          <w:lang w:val="sv-SE"/>
        </w:rPr>
        <w:t>-</w:t>
      </w:r>
      <w:r w:rsidRPr="00A74CC6">
        <w:rPr>
          <w:lang w:val="sv-SE"/>
        </w:rPr>
        <w:t>och ett taxanpreparat såvida inte sådana behandlingar är olämpliga för dessa patienter. Hormonreceptorpositiva patienter måste också ha sviktat på hormonterapi, såvida inte sådan behandling är olämplig för dessa patienter.</w:t>
      </w:r>
    </w:p>
    <w:p w14:paraId="66CE9282" w14:textId="77777777" w:rsidR="00450D71" w:rsidRPr="00A74CC6" w:rsidRDefault="00450D71" w:rsidP="002314CE">
      <w:pPr>
        <w:spacing w:after="0" w:line="240" w:lineRule="auto"/>
        <w:ind w:left="0" w:right="13" w:firstLine="0"/>
        <w:contextualSpacing/>
        <w:rPr>
          <w:lang w:val="sv-SE"/>
        </w:rPr>
      </w:pPr>
    </w:p>
    <w:p w14:paraId="1DD77206" w14:textId="77777777" w:rsidR="005027AB" w:rsidRPr="00A74CC6" w:rsidRDefault="00264096" w:rsidP="002314CE">
      <w:pPr>
        <w:numPr>
          <w:ilvl w:val="0"/>
          <w:numId w:val="1"/>
        </w:numPr>
        <w:spacing w:after="0" w:line="240" w:lineRule="auto"/>
        <w:ind w:right="13" w:hanging="566"/>
        <w:contextualSpacing/>
        <w:rPr>
          <w:lang w:val="sv-SE"/>
        </w:rPr>
      </w:pPr>
      <w:r w:rsidRPr="00A74CC6">
        <w:rPr>
          <w:lang w:val="sv-SE"/>
        </w:rPr>
        <w:t>i kombination med paklitaxel för behandling av de patienter som inte fått kemoterapi mot metastaserad sjukdom och för vilka ett antracyklinpreparat ej är lämpligt.</w:t>
      </w:r>
    </w:p>
    <w:p w14:paraId="6D3E2020" w14:textId="77777777" w:rsidR="00450D71" w:rsidRPr="00A74CC6" w:rsidRDefault="00450D71" w:rsidP="002314CE">
      <w:pPr>
        <w:spacing w:after="0" w:line="240" w:lineRule="auto"/>
        <w:ind w:left="0" w:right="13" w:firstLine="0"/>
        <w:contextualSpacing/>
        <w:rPr>
          <w:lang w:val="sv-SE"/>
        </w:rPr>
      </w:pPr>
    </w:p>
    <w:p w14:paraId="03636490" w14:textId="77777777" w:rsidR="005027AB" w:rsidRPr="00A74CC6" w:rsidRDefault="00264096" w:rsidP="002314CE">
      <w:pPr>
        <w:numPr>
          <w:ilvl w:val="0"/>
          <w:numId w:val="1"/>
        </w:numPr>
        <w:spacing w:after="0" w:line="240" w:lineRule="auto"/>
        <w:ind w:right="13" w:hanging="566"/>
        <w:contextualSpacing/>
        <w:rPr>
          <w:lang w:val="sv-SE"/>
        </w:rPr>
      </w:pPr>
      <w:r w:rsidRPr="00A74CC6">
        <w:rPr>
          <w:lang w:val="sv-SE"/>
        </w:rPr>
        <w:t>i kombination med docetaxel för behandling av de patienter som inte fått kemot</w:t>
      </w:r>
      <w:r w:rsidR="00450D71" w:rsidRPr="00A74CC6">
        <w:rPr>
          <w:lang w:val="sv-SE"/>
        </w:rPr>
        <w:t>erapi mot metastaserad sjukdom.</w:t>
      </w:r>
    </w:p>
    <w:p w14:paraId="1715A262" w14:textId="77777777" w:rsidR="00450D71" w:rsidRPr="00A74CC6" w:rsidRDefault="00450D71" w:rsidP="002314CE">
      <w:pPr>
        <w:spacing w:after="0" w:line="240" w:lineRule="auto"/>
        <w:ind w:left="0" w:right="13" w:firstLine="0"/>
        <w:contextualSpacing/>
        <w:rPr>
          <w:lang w:val="sv-SE"/>
        </w:rPr>
      </w:pPr>
    </w:p>
    <w:p w14:paraId="34035AAD" w14:textId="6C796752" w:rsidR="005027AB" w:rsidRPr="00A74CC6" w:rsidRDefault="00264096" w:rsidP="002314CE">
      <w:pPr>
        <w:numPr>
          <w:ilvl w:val="0"/>
          <w:numId w:val="1"/>
        </w:numPr>
        <w:spacing w:after="0" w:line="240" w:lineRule="auto"/>
        <w:ind w:right="13" w:hanging="566"/>
        <w:contextualSpacing/>
        <w:rPr>
          <w:lang w:val="sv-SE"/>
        </w:rPr>
      </w:pPr>
      <w:r w:rsidRPr="00A74CC6">
        <w:rPr>
          <w:lang w:val="sv-SE"/>
        </w:rPr>
        <w:lastRenderedPageBreak/>
        <w:t>i kombination med en aromatashämmare för behandling av postmenopausala patienter med hormonreceptorpositiv metastaserad bröstcancer som inte tidigare behandlats med trastuzumab.</w:t>
      </w:r>
    </w:p>
    <w:p w14:paraId="7FBA66DA" w14:textId="77777777" w:rsidR="00450D71" w:rsidRPr="00A74CC6" w:rsidRDefault="00450D71" w:rsidP="002314CE">
      <w:pPr>
        <w:spacing w:after="0" w:line="240" w:lineRule="auto"/>
        <w:ind w:left="0" w:right="13" w:firstLine="0"/>
        <w:contextualSpacing/>
        <w:rPr>
          <w:lang w:val="sv-SE"/>
        </w:rPr>
      </w:pPr>
    </w:p>
    <w:p w14:paraId="2D08A864" w14:textId="77777777" w:rsidR="005027AB" w:rsidRPr="00A74CC6" w:rsidRDefault="00264096" w:rsidP="002314CE">
      <w:pPr>
        <w:pStyle w:val="Heading3"/>
        <w:keepLines w:val="0"/>
        <w:suppressAutoHyphens/>
        <w:spacing w:after="0" w:line="240" w:lineRule="auto"/>
        <w:ind w:left="9"/>
        <w:contextualSpacing/>
        <w:rPr>
          <w:lang w:val="sv-SE"/>
        </w:rPr>
      </w:pPr>
      <w:r w:rsidRPr="00A74CC6">
        <w:rPr>
          <w:lang w:val="sv-SE"/>
        </w:rPr>
        <w:t>Tidig bröstcancer</w:t>
      </w:r>
    </w:p>
    <w:p w14:paraId="4030CD15" w14:textId="77777777" w:rsidR="00450D71" w:rsidRPr="00A74CC6" w:rsidRDefault="00450D71" w:rsidP="002314CE">
      <w:pPr>
        <w:keepNext/>
        <w:suppressAutoHyphens/>
        <w:spacing w:after="0" w:line="240" w:lineRule="auto"/>
        <w:contextualSpacing/>
        <w:rPr>
          <w:lang w:val="sv-SE"/>
        </w:rPr>
      </w:pPr>
    </w:p>
    <w:p w14:paraId="2B3886C8" w14:textId="087D9DEB" w:rsidR="005027AB" w:rsidRPr="00A74CC6" w:rsidRDefault="00904DE7" w:rsidP="002314CE">
      <w:pPr>
        <w:keepNext/>
        <w:suppressAutoHyphens/>
        <w:spacing w:after="0" w:line="240" w:lineRule="auto"/>
        <w:ind w:left="4" w:right="13"/>
        <w:contextualSpacing/>
        <w:rPr>
          <w:lang w:val="sv-SE"/>
        </w:rPr>
      </w:pPr>
      <w:r w:rsidRPr="00A74CC6">
        <w:rPr>
          <w:lang w:val="sv-SE"/>
        </w:rPr>
        <w:t xml:space="preserve">KANJINTI </w:t>
      </w:r>
      <w:r w:rsidR="00264096" w:rsidRPr="00A74CC6">
        <w:rPr>
          <w:lang w:val="sv-SE"/>
        </w:rPr>
        <w:t>är indicerat för behandling av vuxna patienter med HER2-positiv tidig bröstcancer:</w:t>
      </w:r>
    </w:p>
    <w:p w14:paraId="32976C91" w14:textId="77777777" w:rsidR="00450D71" w:rsidRPr="00A74CC6" w:rsidRDefault="00450D71" w:rsidP="002314CE">
      <w:pPr>
        <w:keepNext/>
        <w:suppressAutoHyphens/>
        <w:spacing w:after="0" w:line="240" w:lineRule="auto"/>
        <w:ind w:left="4" w:right="13"/>
        <w:contextualSpacing/>
        <w:rPr>
          <w:lang w:val="sv-SE"/>
        </w:rPr>
      </w:pPr>
    </w:p>
    <w:p w14:paraId="762CBC35" w14:textId="21F4A7DA" w:rsidR="005027AB" w:rsidRPr="00A74CC6" w:rsidRDefault="00264096" w:rsidP="002314CE">
      <w:pPr>
        <w:keepNext/>
        <w:numPr>
          <w:ilvl w:val="0"/>
          <w:numId w:val="2"/>
        </w:numPr>
        <w:suppressAutoHyphens/>
        <w:spacing w:after="0" w:line="240" w:lineRule="auto"/>
        <w:ind w:left="567" w:hanging="567"/>
        <w:contextualSpacing/>
        <w:rPr>
          <w:lang w:val="sv-SE"/>
        </w:rPr>
      </w:pPr>
      <w:r w:rsidRPr="00A74CC6">
        <w:rPr>
          <w:lang w:val="sv-SE"/>
        </w:rPr>
        <w:t>efter kirurgi, kemoterapi (neoadjuvant eller adjuvant) och strålbehandling (om tillämp</w:t>
      </w:r>
      <w:r w:rsidR="00653A70" w:rsidRPr="00A74CC6">
        <w:rPr>
          <w:lang w:val="sv-SE"/>
        </w:rPr>
        <w:t>ligt</w:t>
      </w:r>
      <w:r w:rsidRPr="00A74CC6">
        <w:rPr>
          <w:lang w:val="sv-SE"/>
        </w:rPr>
        <w:t>) (se avsnitt</w:t>
      </w:r>
      <w:r w:rsidR="00653A70" w:rsidRPr="00A74CC6">
        <w:rPr>
          <w:lang w:val="sv-SE"/>
        </w:rPr>
        <w:t> </w:t>
      </w:r>
      <w:r w:rsidRPr="00A74CC6">
        <w:rPr>
          <w:lang w:val="sv-SE"/>
        </w:rPr>
        <w:t>5.1).</w:t>
      </w:r>
    </w:p>
    <w:p w14:paraId="2D3D2CAC" w14:textId="77777777" w:rsidR="00450D71" w:rsidRPr="00A74CC6" w:rsidRDefault="00450D71" w:rsidP="002314CE">
      <w:pPr>
        <w:keepNext/>
        <w:tabs>
          <w:tab w:val="left" w:pos="2424"/>
        </w:tabs>
        <w:suppressAutoHyphens/>
        <w:spacing w:after="0" w:line="240" w:lineRule="auto"/>
        <w:ind w:left="567" w:hanging="567"/>
        <w:contextualSpacing/>
        <w:rPr>
          <w:lang w:val="sv-SE"/>
        </w:rPr>
      </w:pPr>
    </w:p>
    <w:p w14:paraId="1EE7A039" w14:textId="77777777" w:rsidR="005027AB" w:rsidRPr="00A74CC6" w:rsidRDefault="00264096" w:rsidP="002314CE">
      <w:pPr>
        <w:keepNext/>
        <w:numPr>
          <w:ilvl w:val="0"/>
          <w:numId w:val="2"/>
        </w:numPr>
        <w:suppressAutoHyphens/>
        <w:spacing w:after="0" w:line="240" w:lineRule="auto"/>
        <w:ind w:left="567" w:hanging="567"/>
        <w:contextualSpacing/>
        <w:rPr>
          <w:lang w:val="sv-SE"/>
        </w:rPr>
      </w:pPr>
      <w:r w:rsidRPr="00A74CC6">
        <w:rPr>
          <w:lang w:val="sv-SE"/>
        </w:rPr>
        <w:t>efter adjuvant kemoterapi med doxorubicin och cyklofosfamid, i kombination med paklitaxel eller docetaxel.</w:t>
      </w:r>
    </w:p>
    <w:p w14:paraId="36FA671A" w14:textId="77777777" w:rsidR="00B10357" w:rsidRPr="00A74CC6" w:rsidRDefault="00B10357" w:rsidP="002314CE">
      <w:pPr>
        <w:spacing w:after="0" w:line="240" w:lineRule="auto"/>
        <w:ind w:left="567" w:hanging="567"/>
        <w:contextualSpacing/>
        <w:rPr>
          <w:lang w:val="sv-SE"/>
        </w:rPr>
      </w:pPr>
    </w:p>
    <w:p w14:paraId="3F52135B" w14:textId="77777777" w:rsidR="005027AB" w:rsidRPr="00A74CC6" w:rsidRDefault="00264096" w:rsidP="002314CE">
      <w:pPr>
        <w:numPr>
          <w:ilvl w:val="0"/>
          <w:numId w:val="2"/>
        </w:numPr>
        <w:spacing w:after="0" w:line="240" w:lineRule="auto"/>
        <w:ind w:left="567" w:hanging="567"/>
        <w:contextualSpacing/>
        <w:rPr>
          <w:lang w:val="sv-SE"/>
        </w:rPr>
      </w:pPr>
      <w:r w:rsidRPr="00A74CC6">
        <w:rPr>
          <w:lang w:val="sv-SE"/>
        </w:rPr>
        <w:t>i kombination med adjuvant kemoterapi som utgörs av docetaxel och karboplatin.</w:t>
      </w:r>
    </w:p>
    <w:p w14:paraId="4ABD6BC4" w14:textId="77777777" w:rsidR="00450D71" w:rsidRPr="00A74CC6" w:rsidRDefault="00450D71" w:rsidP="002314CE">
      <w:pPr>
        <w:spacing w:after="0" w:line="240" w:lineRule="auto"/>
        <w:ind w:left="567" w:hanging="567"/>
        <w:contextualSpacing/>
        <w:rPr>
          <w:lang w:val="sv-SE"/>
        </w:rPr>
      </w:pPr>
    </w:p>
    <w:p w14:paraId="5FDC12A5" w14:textId="1B50769F" w:rsidR="005027AB" w:rsidRPr="00A74CC6" w:rsidRDefault="00264096" w:rsidP="002314CE">
      <w:pPr>
        <w:numPr>
          <w:ilvl w:val="0"/>
          <w:numId w:val="2"/>
        </w:numPr>
        <w:spacing w:after="0" w:line="240" w:lineRule="auto"/>
        <w:ind w:left="567" w:hanging="567"/>
        <w:contextualSpacing/>
        <w:rPr>
          <w:lang w:val="sv-SE"/>
        </w:rPr>
      </w:pPr>
      <w:r w:rsidRPr="00A74CC6">
        <w:rPr>
          <w:lang w:val="sv-SE"/>
        </w:rPr>
        <w:t xml:space="preserve">i kombination med neoadjuvant kemoterapi följt av adjuvant behandling med </w:t>
      </w:r>
      <w:r w:rsidR="00904DE7" w:rsidRPr="00A74CC6">
        <w:rPr>
          <w:lang w:val="sv-SE"/>
        </w:rPr>
        <w:t>KANJINTI</w:t>
      </w:r>
      <w:r w:rsidRPr="00A74CC6">
        <w:rPr>
          <w:lang w:val="sv-SE"/>
        </w:rPr>
        <w:t>, för lokalt avancerad (inklusive inflammatorisk) sjukdom eller för tumörer &gt;</w:t>
      </w:r>
      <w:r w:rsidR="00B10357" w:rsidRPr="00A74CC6">
        <w:rPr>
          <w:lang w:val="sv-SE"/>
        </w:rPr>
        <w:t> 2 </w:t>
      </w:r>
      <w:r w:rsidRPr="00A74CC6">
        <w:rPr>
          <w:lang w:val="sv-SE"/>
        </w:rPr>
        <w:t>cm i diameter (se avsnitt</w:t>
      </w:r>
      <w:r w:rsidR="00653A70" w:rsidRPr="00A74CC6">
        <w:rPr>
          <w:lang w:val="sv-SE"/>
        </w:rPr>
        <w:t> </w:t>
      </w:r>
      <w:r w:rsidRPr="00A74CC6">
        <w:rPr>
          <w:lang w:val="sv-SE"/>
        </w:rPr>
        <w:t>4.4 och 5.1).</w:t>
      </w:r>
    </w:p>
    <w:p w14:paraId="18C438FB" w14:textId="77777777" w:rsidR="00450D71" w:rsidRPr="00A74CC6" w:rsidRDefault="00450D71" w:rsidP="002314CE">
      <w:pPr>
        <w:spacing w:after="0" w:line="240" w:lineRule="auto"/>
        <w:ind w:left="567" w:hanging="567"/>
        <w:contextualSpacing/>
        <w:rPr>
          <w:lang w:val="sv-SE"/>
        </w:rPr>
      </w:pPr>
    </w:p>
    <w:p w14:paraId="3ACAC462" w14:textId="144D1AD3" w:rsidR="005027AB" w:rsidRPr="00A74CC6" w:rsidRDefault="00904DE7" w:rsidP="002314CE">
      <w:pPr>
        <w:spacing w:after="0" w:line="240" w:lineRule="auto"/>
        <w:ind w:left="4" w:right="13"/>
        <w:contextualSpacing/>
        <w:rPr>
          <w:lang w:val="sv-SE"/>
        </w:rPr>
      </w:pPr>
      <w:r w:rsidRPr="00A74CC6">
        <w:rPr>
          <w:lang w:val="sv-SE"/>
        </w:rPr>
        <w:t xml:space="preserve">KANJINTI </w:t>
      </w:r>
      <w:r w:rsidR="006E2536">
        <w:rPr>
          <w:lang w:val="sv-SE"/>
        </w:rPr>
        <w:t>bör</w:t>
      </w:r>
      <w:r w:rsidR="006E2536" w:rsidRPr="00A74CC6">
        <w:rPr>
          <w:lang w:val="sv-SE"/>
        </w:rPr>
        <w:t xml:space="preserve"> </w:t>
      </w:r>
      <w:r w:rsidR="00264096" w:rsidRPr="00A74CC6">
        <w:rPr>
          <w:lang w:val="sv-SE"/>
        </w:rPr>
        <w:t>endast användas till patienter med metastaserad eller tidig bröstcancer vilkas tumörer antingen överuttrycker HER2 eller har HER2</w:t>
      </w:r>
      <w:r w:rsidR="00653A70" w:rsidRPr="00A74CC6">
        <w:rPr>
          <w:lang w:val="sv-SE"/>
        </w:rPr>
        <w:t>-</w:t>
      </w:r>
      <w:r w:rsidR="00264096" w:rsidRPr="00A74CC6">
        <w:rPr>
          <w:lang w:val="sv-SE"/>
        </w:rPr>
        <w:t>genamplifiering påvisad med en tillförlitlig och validerad metod (se avsnitt</w:t>
      </w:r>
      <w:r w:rsidR="00653A70" w:rsidRPr="00A74CC6">
        <w:rPr>
          <w:lang w:val="sv-SE"/>
        </w:rPr>
        <w:t> </w:t>
      </w:r>
      <w:r w:rsidR="00264096" w:rsidRPr="00A74CC6">
        <w:rPr>
          <w:lang w:val="sv-SE"/>
        </w:rPr>
        <w:t>4.4 och 5.1).</w:t>
      </w:r>
    </w:p>
    <w:p w14:paraId="0FDCBD38" w14:textId="77777777" w:rsidR="00450D71" w:rsidRPr="00A74CC6" w:rsidRDefault="00450D71" w:rsidP="002314CE">
      <w:pPr>
        <w:spacing w:after="0" w:line="240" w:lineRule="auto"/>
        <w:ind w:left="4" w:right="13"/>
        <w:contextualSpacing/>
        <w:rPr>
          <w:lang w:val="sv-SE"/>
        </w:rPr>
      </w:pPr>
    </w:p>
    <w:p w14:paraId="2253CA1D" w14:textId="77777777" w:rsidR="005027AB" w:rsidRPr="00A74CC6" w:rsidRDefault="00264096" w:rsidP="002314CE">
      <w:pPr>
        <w:pStyle w:val="Heading3"/>
        <w:suppressAutoHyphens/>
        <w:spacing w:after="0" w:line="240" w:lineRule="auto"/>
        <w:ind w:left="9"/>
        <w:contextualSpacing/>
        <w:rPr>
          <w:u w:val="none"/>
          <w:lang w:val="sv-SE"/>
        </w:rPr>
      </w:pPr>
      <w:r w:rsidRPr="00A74CC6">
        <w:rPr>
          <w:lang w:val="sv-SE"/>
        </w:rPr>
        <w:t>Metastaserad ventrikelcancer</w:t>
      </w:r>
    </w:p>
    <w:p w14:paraId="037D79EE" w14:textId="77777777" w:rsidR="00B10357" w:rsidRPr="00A74CC6" w:rsidRDefault="00B10357" w:rsidP="002314CE">
      <w:pPr>
        <w:keepNext/>
        <w:keepLines/>
        <w:suppressAutoHyphens/>
        <w:spacing w:after="0" w:line="240" w:lineRule="auto"/>
        <w:contextualSpacing/>
        <w:rPr>
          <w:lang w:val="sv-SE"/>
        </w:rPr>
      </w:pPr>
    </w:p>
    <w:p w14:paraId="7FBB4632" w14:textId="394607F5" w:rsidR="005027AB" w:rsidRPr="00A74CC6" w:rsidRDefault="00904DE7" w:rsidP="002314CE">
      <w:pPr>
        <w:spacing w:after="0" w:line="240" w:lineRule="auto"/>
        <w:ind w:left="4" w:right="13"/>
        <w:contextualSpacing/>
        <w:rPr>
          <w:lang w:val="sv-SE"/>
        </w:rPr>
      </w:pPr>
      <w:r w:rsidRPr="00A74CC6">
        <w:rPr>
          <w:lang w:val="sv-SE"/>
        </w:rPr>
        <w:t xml:space="preserve">KANJINTI </w:t>
      </w:r>
      <w:r w:rsidR="00264096" w:rsidRPr="00A74CC6">
        <w:rPr>
          <w:lang w:val="sv-SE"/>
        </w:rPr>
        <w:t xml:space="preserve">i kombination med </w:t>
      </w:r>
      <w:r w:rsidR="00653A70" w:rsidRPr="00A74CC6">
        <w:rPr>
          <w:lang w:val="sv-SE"/>
        </w:rPr>
        <w:t>k</w:t>
      </w:r>
      <w:r w:rsidR="00264096" w:rsidRPr="00A74CC6">
        <w:rPr>
          <w:lang w:val="sv-SE"/>
        </w:rPr>
        <w:t>apecitabin eller 5-fluorouracil och cisplatin är indicerat för behandling av vuxna patienter med metastaserat HER2-positivt adenokarcinom i ventrikeln eller cardia (övre magmunnen) som inte tidigare fått behandling för sin metastaserade sjukdom.</w:t>
      </w:r>
    </w:p>
    <w:p w14:paraId="4E80E8D8" w14:textId="77777777" w:rsidR="00B10357" w:rsidRPr="00A74CC6" w:rsidRDefault="00B10357" w:rsidP="002314CE">
      <w:pPr>
        <w:spacing w:after="0" w:line="240" w:lineRule="auto"/>
        <w:ind w:left="4" w:right="13"/>
        <w:contextualSpacing/>
        <w:rPr>
          <w:lang w:val="sv-SE"/>
        </w:rPr>
      </w:pPr>
    </w:p>
    <w:p w14:paraId="427189E6" w14:textId="3D5BB577" w:rsidR="005027AB" w:rsidRPr="00A74CC6" w:rsidRDefault="00904DE7" w:rsidP="002314CE">
      <w:pPr>
        <w:spacing w:after="0" w:line="240" w:lineRule="auto"/>
        <w:ind w:left="4" w:right="13"/>
        <w:contextualSpacing/>
        <w:rPr>
          <w:lang w:val="sv-SE"/>
        </w:rPr>
      </w:pPr>
      <w:r w:rsidRPr="00A74CC6">
        <w:rPr>
          <w:lang w:val="sv-SE"/>
        </w:rPr>
        <w:t xml:space="preserve">KANJINTI </w:t>
      </w:r>
      <w:r w:rsidR="00264096" w:rsidRPr="00A74CC6">
        <w:rPr>
          <w:lang w:val="sv-SE"/>
        </w:rPr>
        <w:t>ska endast användas till patienter med metastaserad ventrikelcancer vilkas tumörer överuttrycker HER2 definierat som IHC</w:t>
      </w:r>
      <w:r w:rsidR="00653A70" w:rsidRPr="00A74CC6">
        <w:rPr>
          <w:lang w:val="sv-SE"/>
        </w:rPr>
        <w:t> </w:t>
      </w:r>
      <w:r w:rsidR="00264096" w:rsidRPr="00A74CC6">
        <w:rPr>
          <w:lang w:val="sv-SE"/>
        </w:rPr>
        <w:t>2+ och ett konfirmerande positivt SISH</w:t>
      </w:r>
      <w:r w:rsidR="00653A70" w:rsidRPr="00A74CC6">
        <w:rPr>
          <w:lang w:val="sv-SE"/>
        </w:rPr>
        <w:t>-</w:t>
      </w:r>
      <w:r w:rsidR="00264096" w:rsidRPr="00A74CC6">
        <w:rPr>
          <w:lang w:val="sv-SE"/>
        </w:rPr>
        <w:t xml:space="preserve"> eller FISH</w:t>
      </w:r>
      <w:r w:rsidR="00653A70" w:rsidRPr="00A74CC6">
        <w:rPr>
          <w:lang w:val="sv-SE"/>
        </w:rPr>
        <w:t>-</w:t>
      </w:r>
      <w:r w:rsidR="00264096" w:rsidRPr="00A74CC6">
        <w:rPr>
          <w:lang w:val="sv-SE"/>
        </w:rPr>
        <w:t>resultat, eller definierat som IHC</w:t>
      </w:r>
      <w:r w:rsidR="00653A70" w:rsidRPr="00A74CC6">
        <w:rPr>
          <w:lang w:val="sv-SE"/>
        </w:rPr>
        <w:t> </w:t>
      </w:r>
      <w:r w:rsidR="00264096" w:rsidRPr="00A74CC6">
        <w:rPr>
          <w:lang w:val="sv-SE"/>
        </w:rPr>
        <w:t>3+. Tillförlitliga och validerade metoder ska användas (se avsnitt</w:t>
      </w:r>
      <w:r w:rsidR="00653A70" w:rsidRPr="00A74CC6">
        <w:rPr>
          <w:lang w:val="sv-SE"/>
        </w:rPr>
        <w:t> </w:t>
      </w:r>
      <w:r w:rsidR="00264096" w:rsidRPr="00A74CC6">
        <w:rPr>
          <w:lang w:val="sv-SE"/>
        </w:rPr>
        <w:t>4.4 och 5.1).</w:t>
      </w:r>
    </w:p>
    <w:p w14:paraId="18C417D2" w14:textId="77777777" w:rsidR="00186923" w:rsidRPr="00A74CC6" w:rsidRDefault="00186923" w:rsidP="002314CE">
      <w:pPr>
        <w:spacing w:after="0" w:line="240" w:lineRule="auto"/>
        <w:ind w:left="4" w:right="13"/>
        <w:contextualSpacing/>
        <w:rPr>
          <w:lang w:val="sv-SE"/>
        </w:rPr>
      </w:pPr>
    </w:p>
    <w:p w14:paraId="35D28FE8" w14:textId="77777777" w:rsidR="005027AB" w:rsidRPr="00A74CC6" w:rsidRDefault="00264096" w:rsidP="002314CE">
      <w:pPr>
        <w:pStyle w:val="Heading4"/>
        <w:tabs>
          <w:tab w:val="center" w:pos="2140"/>
        </w:tabs>
        <w:suppressAutoHyphens/>
        <w:spacing w:after="0" w:line="240" w:lineRule="auto"/>
        <w:ind w:left="567" w:hanging="567"/>
        <w:contextualSpacing/>
        <w:rPr>
          <w:b/>
          <w:i w:val="0"/>
          <w:lang w:val="sv-SE"/>
        </w:rPr>
      </w:pPr>
      <w:r w:rsidRPr="00A74CC6">
        <w:rPr>
          <w:b/>
          <w:i w:val="0"/>
          <w:lang w:val="sv-SE"/>
        </w:rPr>
        <w:t>4.2</w:t>
      </w:r>
      <w:r w:rsidRPr="00A74CC6">
        <w:rPr>
          <w:b/>
          <w:i w:val="0"/>
          <w:lang w:val="sv-SE"/>
        </w:rPr>
        <w:tab/>
        <w:t>Dosering och administreringssätt</w:t>
      </w:r>
    </w:p>
    <w:p w14:paraId="69E78F18" w14:textId="77777777" w:rsidR="00B10357" w:rsidRPr="00A74CC6" w:rsidRDefault="00B10357" w:rsidP="002314CE">
      <w:pPr>
        <w:keepNext/>
        <w:keepLines/>
        <w:suppressAutoHyphens/>
        <w:spacing w:after="0" w:line="240" w:lineRule="auto"/>
        <w:contextualSpacing/>
        <w:rPr>
          <w:lang w:val="sv-SE"/>
        </w:rPr>
      </w:pPr>
    </w:p>
    <w:p w14:paraId="7369876C" w14:textId="4F91C8FD" w:rsidR="005027AB" w:rsidRPr="00A74CC6" w:rsidRDefault="00264096" w:rsidP="002314CE">
      <w:pPr>
        <w:spacing w:after="0" w:line="240" w:lineRule="auto"/>
        <w:ind w:left="4" w:right="13"/>
        <w:contextualSpacing/>
        <w:rPr>
          <w:lang w:val="sv-SE"/>
        </w:rPr>
      </w:pPr>
      <w:r w:rsidRPr="00A74CC6">
        <w:rPr>
          <w:lang w:val="sv-SE"/>
        </w:rPr>
        <w:t>HER2-testning är obligatorisk innan behandling påb</w:t>
      </w:r>
      <w:r w:rsidR="00B10357" w:rsidRPr="00A74CC6">
        <w:rPr>
          <w:lang w:val="sv-SE"/>
        </w:rPr>
        <w:t>örjas (se avsnitt</w:t>
      </w:r>
      <w:r w:rsidR="00653A70" w:rsidRPr="00A74CC6">
        <w:rPr>
          <w:lang w:val="sv-SE"/>
        </w:rPr>
        <w:t> </w:t>
      </w:r>
      <w:r w:rsidR="00B10357" w:rsidRPr="00A74CC6">
        <w:rPr>
          <w:lang w:val="sv-SE"/>
        </w:rPr>
        <w:t xml:space="preserve">4.4 och 5.1). </w:t>
      </w:r>
      <w:r w:rsidR="00904DE7" w:rsidRPr="00A74CC6">
        <w:rPr>
          <w:lang w:val="sv-SE"/>
        </w:rPr>
        <w:t>KANJINTI-</w:t>
      </w:r>
      <w:r w:rsidRPr="00A74CC6">
        <w:rPr>
          <w:lang w:val="sv-SE"/>
        </w:rPr>
        <w:t xml:space="preserve">behandling </w:t>
      </w:r>
      <w:r w:rsidR="006E2536">
        <w:rPr>
          <w:lang w:val="sv-SE"/>
        </w:rPr>
        <w:t>bör</w:t>
      </w:r>
      <w:r w:rsidR="006E2536" w:rsidRPr="00A74CC6">
        <w:rPr>
          <w:lang w:val="sv-SE"/>
        </w:rPr>
        <w:t xml:space="preserve"> </w:t>
      </w:r>
      <w:r w:rsidRPr="00A74CC6">
        <w:rPr>
          <w:lang w:val="sv-SE"/>
        </w:rPr>
        <w:t>bara initieras av läkare med erfarenhet av administration av cytostatika (se avsnitt</w:t>
      </w:r>
      <w:r w:rsidR="00653A70" w:rsidRPr="00A74CC6">
        <w:rPr>
          <w:lang w:val="sv-SE"/>
        </w:rPr>
        <w:t> </w:t>
      </w:r>
      <w:r w:rsidRPr="00A74CC6">
        <w:rPr>
          <w:lang w:val="sv-SE"/>
        </w:rPr>
        <w:t>4.4) och endast administreras av sjukvårdspersonal.</w:t>
      </w:r>
    </w:p>
    <w:p w14:paraId="327D362B" w14:textId="77777777" w:rsidR="00B10357" w:rsidRPr="00A74CC6" w:rsidRDefault="00B10357" w:rsidP="002314CE">
      <w:pPr>
        <w:spacing w:after="0" w:line="240" w:lineRule="auto"/>
        <w:ind w:left="4" w:right="13"/>
        <w:contextualSpacing/>
        <w:rPr>
          <w:lang w:val="sv-SE"/>
        </w:rPr>
      </w:pPr>
    </w:p>
    <w:p w14:paraId="0893D3E2" w14:textId="19C55E8F" w:rsidR="005027AB" w:rsidRPr="00A74CC6" w:rsidRDefault="00904DE7" w:rsidP="002314CE">
      <w:pPr>
        <w:spacing w:after="0" w:line="240" w:lineRule="auto"/>
        <w:ind w:left="4" w:right="13"/>
        <w:contextualSpacing/>
        <w:rPr>
          <w:lang w:val="sv-SE"/>
        </w:rPr>
      </w:pPr>
      <w:r w:rsidRPr="00A74CC6">
        <w:rPr>
          <w:lang w:val="sv-SE"/>
        </w:rPr>
        <w:t>KANJINTI</w:t>
      </w:r>
      <w:r w:rsidR="00264096" w:rsidRPr="00A74CC6">
        <w:rPr>
          <w:lang w:val="sv-SE"/>
        </w:rPr>
        <w:t xml:space="preserve"> intravenös formulering är inte avsedd för subkutan administrering och ska enbart administreras via intravenös infusion.</w:t>
      </w:r>
    </w:p>
    <w:p w14:paraId="2A344AC9" w14:textId="77777777" w:rsidR="00B10357" w:rsidRPr="00A74CC6" w:rsidRDefault="00B10357" w:rsidP="002314CE">
      <w:pPr>
        <w:spacing w:after="0" w:line="240" w:lineRule="auto"/>
        <w:ind w:left="4" w:right="13"/>
        <w:contextualSpacing/>
        <w:rPr>
          <w:lang w:val="sv-SE"/>
        </w:rPr>
      </w:pPr>
    </w:p>
    <w:p w14:paraId="28D217C4" w14:textId="79A4B54A" w:rsidR="005027AB" w:rsidRPr="00A74CC6" w:rsidRDefault="00264096" w:rsidP="002314CE">
      <w:pPr>
        <w:spacing w:after="0" w:line="240" w:lineRule="auto"/>
        <w:ind w:left="4" w:right="13"/>
        <w:contextualSpacing/>
        <w:rPr>
          <w:lang w:val="sv-SE"/>
        </w:rPr>
      </w:pPr>
      <w:r w:rsidRPr="00A74CC6">
        <w:rPr>
          <w:lang w:val="sv-SE"/>
        </w:rPr>
        <w:t xml:space="preserve">För att förhindra medicineringsfel är det viktigt att kontrollera injektionsflaskans märkning för att säkerställa att läkemedlet som bereds och administreras är </w:t>
      </w:r>
      <w:r w:rsidR="00904DE7" w:rsidRPr="00A74CC6">
        <w:rPr>
          <w:lang w:val="sv-SE"/>
        </w:rPr>
        <w:t xml:space="preserve">KANJINTI </w:t>
      </w:r>
      <w:r w:rsidRPr="00A74CC6">
        <w:rPr>
          <w:lang w:val="sv-SE"/>
        </w:rPr>
        <w:t xml:space="preserve">(trastuzumab) och inte </w:t>
      </w:r>
      <w:r w:rsidR="00A56C96">
        <w:rPr>
          <w:lang w:val="sv-SE"/>
        </w:rPr>
        <w:t xml:space="preserve">någon annan produkt som innehåller </w:t>
      </w:r>
      <w:r w:rsidRPr="00A74CC6">
        <w:rPr>
          <w:lang w:val="sv-SE"/>
        </w:rPr>
        <w:t>trastuzumab</w:t>
      </w:r>
      <w:r w:rsidR="00DD03A0">
        <w:rPr>
          <w:lang w:val="sv-SE"/>
        </w:rPr>
        <w:t xml:space="preserve"> </w:t>
      </w:r>
      <w:r w:rsidR="00A56C96">
        <w:rPr>
          <w:lang w:val="sv-SE"/>
        </w:rPr>
        <w:t xml:space="preserve">(t ex </w:t>
      </w:r>
      <w:r w:rsidR="00A56C96">
        <w:rPr>
          <w:lang w:val="sv-SE" w:eastAsia="sv-SE" w:bidi="sv-SE"/>
        </w:rPr>
        <w:t xml:space="preserve">trastuzumab </w:t>
      </w:r>
      <w:r w:rsidRPr="00A74CC6">
        <w:rPr>
          <w:lang w:val="sv-SE"/>
        </w:rPr>
        <w:t>emtansin</w:t>
      </w:r>
      <w:r w:rsidR="00A56C96">
        <w:rPr>
          <w:lang w:val="sv-SE" w:eastAsia="sv-SE" w:bidi="sv-SE"/>
        </w:rPr>
        <w:t xml:space="preserve"> eller trastuzumab deruxtecan).</w:t>
      </w:r>
    </w:p>
    <w:p w14:paraId="1EE67A32" w14:textId="77777777" w:rsidR="00186923" w:rsidRPr="00A74CC6" w:rsidRDefault="00186923" w:rsidP="002314CE">
      <w:pPr>
        <w:spacing w:after="0" w:line="240" w:lineRule="auto"/>
        <w:ind w:left="4" w:right="13"/>
        <w:contextualSpacing/>
        <w:rPr>
          <w:lang w:val="sv-SE"/>
        </w:rPr>
      </w:pPr>
    </w:p>
    <w:p w14:paraId="0AEA884A" w14:textId="77777777" w:rsidR="005027AB" w:rsidRPr="00A74CC6" w:rsidRDefault="00264096" w:rsidP="002314CE">
      <w:pPr>
        <w:pStyle w:val="Heading2"/>
        <w:suppressAutoHyphens/>
        <w:spacing w:after="0" w:line="240" w:lineRule="auto"/>
        <w:ind w:left="9"/>
        <w:contextualSpacing/>
        <w:rPr>
          <w:lang w:val="sv-SE"/>
        </w:rPr>
      </w:pPr>
      <w:r w:rsidRPr="00A74CC6">
        <w:rPr>
          <w:lang w:val="sv-SE"/>
        </w:rPr>
        <w:t>Dosering</w:t>
      </w:r>
    </w:p>
    <w:p w14:paraId="627B343B" w14:textId="77777777" w:rsidR="00B10357" w:rsidRPr="00A74CC6" w:rsidRDefault="00B10357" w:rsidP="002314CE">
      <w:pPr>
        <w:keepNext/>
        <w:keepLines/>
        <w:suppressAutoHyphens/>
        <w:spacing w:after="0" w:line="240" w:lineRule="auto"/>
        <w:contextualSpacing/>
        <w:rPr>
          <w:lang w:val="sv-SE"/>
        </w:rPr>
      </w:pPr>
    </w:p>
    <w:p w14:paraId="2B8FA1DD" w14:textId="77777777" w:rsidR="005027AB" w:rsidRPr="00A74CC6" w:rsidRDefault="00264096" w:rsidP="002314CE">
      <w:pPr>
        <w:pStyle w:val="Heading3"/>
        <w:suppressAutoHyphens/>
        <w:spacing w:after="0" w:line="240" w:lineRule="auto"/>
        <w:ind w:left="9"/>
        <w:contextualSpacing/>
        <w:rPr>
          <w:lang w:val="sv-SE"/>
        </w:rPr>
      </w:pPr>
      <w:r w:rsidRPr="00A74CC6">
        <w:rPr>
          <w:lang w:val="sv-SE"/>
        </w:rPr>
        <w:t>Metastaserad bröstcancer</w:t>
      </w:r>
    </w:p>
    <w:p w14:paraId="40415A60" w14:textId="77777777" w:rsidR="00B10357" w:rsidRPr="00A74CC6" w:rsidRDefault="00B10357" w:rsidP="002314CE">
      <w:pPr>
        <w:keepNext/>
        <w:keepLines/>
        <w:suppressAutoHyphens/>
        <w:spacing w:after="0" w:line="240" w:lineRule="auto"/>
        <w:contextualSpacing/>
        <w:rPr>
          <w:lang w:val="sv-SE"/>
        </w:rPr>
      </w:pPr>
    </w:p>
    <w:p w14:paraId="2634EC78" w14:textId="15B6478B" w:rsidR="005027AB" w:rsidRPr="00A74CC6" w:rsidRDefault="00264096" w:rsidP="002314CE">
      <w:pPr>
        <w:pStyle w:val="Heading4"/>
        <w:suppressAutoHyphens/>
        <w:spacing w:after="0" w:line="240" w:lineRule="auto"/>
        <w:ind w:left="9"/>
        <w:contextualSpacing/>
        <w:rPr>
          <w:lang w:val="sv-SE"/>
        </w:rPr>
      </w:pPr>
      <w:r w:rsidRPr="00A74CC6">
        <w:rPr>
          <w:lang w:val="sv-SE"/>
        </w:rPr>
        <w:t>Treveckors doseringsschema</w:t>
      </w:r>
    </w:p>
    <w:p w14:paraId="57607808" w14:textId="0CE36A81" w:rsidR="005027AB" w:rsidRPr="00A74CC6" w:rsidRDefault="00264096" w:rsidP="002314CE">
      <w:pPr>
        <w:spacing w:after="0" w:line="240" w:lineRule="auto"/>
        <w:ind w:left="4" w:right="13"/>
        <w:contextualSpacing/>
        <w:rPr>
          <w:lang w:val="sv-SE"/>
        </w:rPr>
      </w:pPr>
      <w:r w:rsidRPr="00A74CC6">
        <w:rPr>
          <w:lang w:val="sv-SE"/>
        </w:rPr>
        <w:t>Den</w:t>
      </w:r>
      <w:r w:rsidR="00B10357" w:rsidRPr="00A74CC6">
        <w:rPr>
          <w:lang w:val="sv-SE"/>
        </w:rPr>
        <w:t xml:space="preserve"> rekommenderade startdosen är 8 </w:t>
      </w:r>
      <w:r w:rsidRPr="00A74CC6">
        <w:rPr>
          <w:lang w:val="sv-SE"/>
        </w:rPr>
        <w:t>mg/kg kroppsvikt. Den rekommenderade underhållsdosen vi</w:t>
      </w:r>
      <w:r w:rsidR="00B10357" w:rsidRPr="00A74CC6">
        <w:rPr>
          <w:lang w:val="sv-SE"/>
        </w:rPr>
        <w:t>d treveckors dosintervall är 6 </w:t>
      </w:r>
      <w:r w:rsidRPr="00A74CC6">
        <w:rPr>
          <w:lang w:val="sv-SE"/>
        </w:rPr>
        <w:t>mg/kg kroppsvikt, med börj</w:t>
      </w:r>
      <w:r w:rsidR="00B10357" w:rsidRPr="00A74CC6">
        <w:rPr>
          <w:lang w:val="sv-SE"/>
        </w:rPr>
        <w:t>an tre veckor efter startdosen.</w:t>
      </w:r>
    </w:p>
    <w:p w14:paraId="2AE9ACD7" w14:textId="77777777" w:rsidR="00B10357" w:rsidRPr="00A74CC6" w:rsidRDefault="00B10357" w:rsidP="002314CE">
      <w:pPr>
        <w:spacing w:after="0" w:line="240" w:lineRule="auto"/>
        <w:ind w:left="4" w:right="13"/>
        <w:contextualSpacing/>
        <w:rPr>
          <w:lang w:val="sv-SE"/>
        </w:rPr>
      </w:pPr>
    </w:p>
    <w:p w14:paraId="61987717" w14:textId="77777777" w:rsidR="005027AB" w:rsidRPr="00A74CC6" w:rsidRDefault="00264096" w:rsidP="002314CE">
      <w:pPr>
        <w:pStyle w:val="Heading4"/>
        <w:spacing w:after="0" w:line="240" w:lineRule="auto"/>
        <w:ind w:left="0" w:hanging="11"/>
        <w:contextualSpacing/>
        <w:rPr>
          <w:lang w:val="sv-SE"/>
        </w:rPr>
      </w:pPr>
      <w:r w:rsidRPr="00A74CC6">
        <w:rPr>
          <w:lang w:val="sv-SE"/>
        </w:rPr>
        <w:lastRenderedPageBreak/>
        <w:t>Veckovis doseringsschema</w:t>
      </w:r>
    </w:p>
    <w:p w14:paraId="311D9608" w14:textId="4FB7690C" w:rsidR="005027AB" w:rsidRPr="00A74CC6" w:rsidRDefault="00264096" w:rsidP="002314CE">
      <w:pPr>
        <w:spacing w:after="0" w:line="240" w:lineRule="auto"/>
        <w:ind w:left="0"/>
        <w:contextualSpacing/>
        <w:rPr>
          <w:lang w:val="sv-SE"/>
        </w:rPr>
      </w:pPr>
      <w:r w:rsidRPr="00A74CC6">
        <w:rPr>
          <w:lang w:val="sv-SE"/>
        </w:rPr>
        <w:t>Den rekommendera</w:t>
      </w:r>
      <w:r w:rsidR="00B10357" w:rsidRPr="00A74CC6">
        <w:rPr>
          <w:lang w:val="sv-SE"/>
        </w:rPr>
        <w:t xml:space="preserve">de startdosen av </w:t>
      </w:r>
      <w:r w:rsidR="00904DE7" w:rsidRPr="00A74CC6">
        <w:rPr>
          <w:lang w:val="sv-SE"/>
        </w:rPr>
        <w:t xml:space="preserve">KANJINTI </w:t>
      </w:r>
      <w:r w:rsidR="00B10357" w:rsidRPr="00A74CC6">
        <w:rPr>
          <w:lang w:val="sv-SE"/>
        </w:rPr>
        <w:t>är 4 </w:t>
      </w:r>
      <w:r w:rsidRPr="00A74CC6">
        <w:rPr>
          <w:lang w:val="sv-SE"/>
        </w:rPr>
        <w:t>mg/kg kroppsvikt. Den rekommenderade veckovisa un</w:t>
      </w:r>
      <w:r w:rsidR="00B10357" w:rsidRPr="00A74CC6">
        <w:rPr>
          <w:lang w:val="sv-SE"/>
        </w:rPr>
        <w:t xml:space="preserve">derhållsdosen av </w:t>
      </w:r>
      <w:r w:rsidR="00904DE7" w:rsidRPr="00A74CC6">
        <w:rPr>
          <w:lang w:val="sv-SE"/>
        </w:rPr>
        <w:t xml:space="preserve">KANJINTI </w:t>
      </w:r>
      <w:r w:rsidR="00B10357" w:rsidRPr="00A74CC6">
        <w:rPr>
          <w:lang w:val="sv-SE"/>
        </w:rPr>
        <w:t>är 2 </w:t>
      </w:r>
      <w:r w:rsidRPr="00A74CC6">
        <w:rPr>
          <w:lang w:val="sv-SE"/>
        </w:rPr>
        <w:t>mg/kg kroppsvikt med bö</w:t>
      </w:r>
      <w:r w:rsidR="00B10357" w:rsidRPr="00A74CC6">
        <w:rPr>
          <w:lang w:val="sv-SE"/>
        </w:rPr>
        <w:t>rjan en vecka efter startdosen.</w:t>
      </w:r>
    </w:p>
    <w:p w14:paraId="5711813A" w14:textId="77777777" w:rsidR="00B10357" w:rsidRPr="00A74CC6" w:rsidRDefault="00B10357" w:rsidP="002314CE">
      <w:pPr>
        <w:spacing w:after="0" w:line="240" w:lineRule="auto"/>
        <w:ind w:left="0"/>
        <w:contextualSpacing/>
        <w:rPr>
          <w:lang w:val="sv-SE"/>
        </w:rPr>
      </w:pPr>
    </w:p>
    <w:p w14:paraId="5597837B" w14:textId="77777777" w:rsidR="005027AB" w:rsidRPr="00A74CC6" w:rsidRDefault="00264096" w:rsidP="002314CE">
      <w:pPr>
        <w:pStyle w:val="Heading4"/>
        <w:spacing w:after="0" w:line="240" w:lineRule="auto"/>
        <w:ind w:left="0" w:hanging="11"/>
        <w:contextualSpacing/>
        <w:rPr>
          <w:lang w:val="sv-SE"/>
        </w:rPr>
      </w:pPr>
      <w:r w:rsidRPr="00A74CC6">
        <w:rPr>
          <w:lang w:val="sv-SE"/>
        </w:rPr>
        <w:t>Administrering i kombination med paklitaxel eller docetaxel</w:t>
      </w:r>
    </w:p>
    <w:p w14:paraId="309BF7BA" w14:textId="7DEAECAF" w:rsidR="005027AB" w:rsidRPr="00A74CC6" w:rsidRDefault="00264096" w:rsidP="002314CE">
      <w:pPr>
        <w:spacing w:after="0" w:line="240" w:lineRule="auto"/>
        <w:ind w:left="0"/>
        <w:contextualSpacing/>
        <w:rPr>
          <w:lang w:val="sv-SE"/>
        </w:rPr>
      </w:pPr>
      <w:r w:rsidRPr="00A74CC6">
        <w:rPr>
          <w:lang w:val="sv-SE"/>
        </w:rPr>
        <w:t xml:space="preserve">I de pivotala studierna (H0648g, M77001) gavs paklitaxel eller docetaxel dagen efter den första dosen av </w:t>
      </w:r>
      <w:r w:rsidR="00904DE7" w:rsidRPr="00A74CC6">
        <w:rPr>
          <w:lang w:val="sv-SE"/>
        </w:rPr>
        <w:t xml:space="preserve">trastuzumab </w:t>
      </w:r>
      <w:r w:rsidRPr="00A74CC6">
        <w:rPr>
          <w:lang w:val="sv-SE"/>
        </w:rPr>
        <w:t xml:space="preserve">(för dosering se produktresumén för paklitaxel eller docetaxel) och omedelbart efter påföljande </w:t>
      </w:r>
      <w:r w:rsidR="00904DE7" w:rsidRPr="00A74CC6">
        <w:rPr>
          <w:lang w:val="sv-SE"/>
        </w:rPr>
        <w:t>trastuzumab</w:t>
      </w:r>
      <w:r w:rsidRPr="00A74CC6">
        <w:rPr>
          <w:lang w:val="sv-SE"/>
        </w:rPr>
        <w:t xml:space="preserve">doser om föregående </w:t>
      </w:r>
      <w:r w:rsidR="00904DE7" w:rsidRPr="00A74CC6">
        <w:rPr>
          <w:lang w:val="sv-SE"/>
        </w:rPr>
        <w:t>trastuzumab</w:t>
      </w:r>
      <w:r w:rsidRPr="00A74CC6">
        <w:rPr>
          <w:lang w:val="sv-SE"/>
        </w:rPr>
        <w:t>dos tolererades väl.</w:t>
      </w:r>
    </w:p>
    <w:p w14:paraId="6A7B5F94" w14:textId="77777777" w:rsidR="00B10357" w:rsidRPr="00A74CC6" w:rsidRDefault="00B10357" w:rsidP="002314CE">
      <w:pPr>
        <w:spacing w:after="0" w:line="240" w:lineRule="auto"/>
        <w:ind w:left="0"/>
        <w:contextualSpacing/>
        <w:rPr>
          <w:lang w:val="sv-SE"/>
        </w:rPr>
      </w:pPr>
    </w:p>
    <w:p w14:paraId="1A0E95C6" w14:textId="77777777" w:rsidR="005027AB" w:rsidRPr="00A74CC6" w:rsidRDefault="00264096" w:rsidP="002314CE">
      <w:pPr>
        <w:pStyle w:val="Heading4"/>
        <w:spacing w:after="0" w:line="240" w:lineRule="auto"/>
        <w:ind w:left="0" w:hanging="11"/>
        <w:contextualSpacing/>
        <w:rPr>
          <w:lang w:val="sv-SE"/>
        </w:rPr>
      </w:pPr>
      <w:r w:rsidRPr="00A74CC6">
        <w:rPr>
          <w:lang w:val="sv-SE"/>
        </w:rPr>
        <w:t>Administrering i kombination med en aromatashämmare</w:t>
      </w:r>
    </w:p>
    <w:p w14:paraId="3C947AB6" w14:textId="4578B9C4" w:rsidR="005027AB" w:rsidRPr="00A74CC6" w:rsidRDefault="00264096" w:rsidP="002314CE">
      <w:pPr>
        <w:spacing w:after="0" w:line="240" w:lineRule="auto"/>
        <w:ind w:left="0"/>
        <w:contextualSpacing/>
        <w:rPr>
          <w:lang w:val="sv-SE"/>
        </w:rPr>
      </w:pPr>
      <w:r w:rsidRPr="00A74CC6">
        <w:rPr>
          <w:lang w:val="sv-SE"/>
        </w:rPr>
        <w:t xml:space="preserve">I den pivotala studien (BO16216) administrerades </w:t>
      </w:r>
      <w:r w:rsidR="00904DE7" w:rsidRPr="00A74CC6">
        <w:rPr>
          <w:lang w:val="sv-SE"/>
        </w:rPr>
        <w:t xml:space="preserve">trastuzumab </w:t>
      </w:r>
      <w:r w:rsidRPr="00A74CC6">
        <w:rPr>
          <w:lang w:val="sv-SE"/>
        </w:rPr>
        <w:t>och anastrozol från dag</w:t>
      </w:r>
      <w:r w:rsidR="00653A70" w:rsidRPr="00A74CC6">
        <w:rPr>
          <w:lang w:val="sv-SE"/>
        </w:rPr>
        <w:t> </w:t>
      </w:r>
      <w:r w:rsidRPr="00A74CC6">
        <w:rPr>
          <w:lang w:val="sv-SE"/>
        </w:rPr>
        <w:t xml:space="preserve">1. Det fanns inga restriktioner avseende tidpunkt för administrering av </w:t>
      </w:r>
      <w:r w:rsidR="00904DE7" w:rsidRPr="00A74CC6">
        <w:rPr>
          <w:lang w:val="sv-SE"/>
        </w:rPr>
        <w:t xml:space="preserve">trastuzumab </w:t>
      </w:r>
      <w:r w:rsidRPr="00A74CC6">
        <w:rPr>
          <w:lang w:val="sv-SE"/>
        </w:rPr>
        <w:t>och anastrozol (se produktresumén för anastrozol eller annan aromatashämmare).</w:t>
      </w:r>
    </w:p>
    <w:p w14:paraId="27347149" w14:textId="77777777" w:rsidR="00B10357" w:rsidRPr="00A74CC6" w:rsidRDefault="00B10357" w:rsidP="002314CE">
      <w:pPr>
        <w:spacing w:after="0" w:line="240" w:lineRule="auto"/>
        <w:ind w:left="0"/>
        <w:contextualSpacing/>
        <w:rPr>
          <w:lang w:val="sv-SE"/>
        </w:rPr>
      </w:pPr>
    </w:p>
    <w:p w14:paraId="21EAB6D8" w14:textId="77777777" w:rsidR="005027AB" w:rsidRPr="00A74CC6" w:rsidRDefault="00264096" w:rsidP="002314CE">
      <w:pPr>
        <w:pStyle w:val="Heading3"/>
        <w:spacing w:after="0" w:line="240" w:lineRule="auto"/>
        <w:ind w:left="0"/>
        <w:contextualSpacing/>
        <w:rPr>
          <w:lang w:val="sv-SE"/>
        </w:rPr>
      </w:pPr>
      <w:r w:rsidRPr="00A74CC6">
        <w:rPr>
          <w:lang w:val="sv-SE"/>
        </w:rPr>
        <w:t>Tidig bröstcancer</w:t>
      </w:r>
    </w:p>
    <w:p w14:paraId="44752E39" w14:textId="77777777" w:rsidR="00B10357" w:rsidRPr="00A74CC6" w:rsidRDefault="00B10357" w:rsidP="002314CE">
      <w:pPr>
        <w:keepNext/>
        <w:keepLines/>
        <w:spacing w:after="0" w:line="240" w:lineRule="auto"/>
        <w:ind w:left="0"/>
        <w:contextualSpacing/>
        <w:rPr>
          <w:lang w:val="sv-SE"/>
        </w:rPr>
      </w:pPr>
    </w:p>
    <w:p w14:paraId="5E7B0B8F" w14:textId="437B63DA" w:rsidR="00B10357" w:rsidRPr="00A74CC6" w:rsidRDefault="00264096" w:rsidP="002314CE">
      <w:pPr>
        <w:pStyle w:val="Heading4"/>
        <w:spacing w:after="0" w:line="240" w:lineRule="auto"/>
        <w:ind w:left="0"/>
        <w:contextualSpacing/>
        <w:rPr>
          <w:lang w:val="sv-SE"/>
        </w:rPr>
      </w:pPr>
      <w:r w:rsidRPr="00A74CC6">
        <w:rPr>
          <w:lang w:val="sv-SE"/>
        </w:rPr>
        <w:t>Treveckors och veckovis doseringsschema</w:t>
      </w:r>
    </w:p>
    <w:p w14:paraId="31775866" w14:textId="09DDC7CE" w:rsidR="005027AB" w:rsidRPr="00A74CC6" w:rsidRDefault="00264096" w:rsidP="002314CE">
      <w:pPr>
        <w:spacing w:after="0" w:line="240" w:lineRule="auto"/>
        <w:ind w:left="0"/>
        <w:contextualSpacing/>
        <w:rPr>
          <w:lang w:val="sv-SE"/>
        </w:rPr>
      </w:pPr>
      <w:r w:rsidRPr="00A74CC6">
        <w:rPr>
          <w:lang w:val="sv-SE"/>
        </w:rPr>
        <w:t>Vid treveckorsregim är den rekommende</w:t>
      </w:r>
      <w:r w:rsidR="00067BF9" w:rsidRPr="00A74CC6">
        <w:rPr>
          <w:lang w:val="sv-SE"/>
        </w:rPr>
        <w:t xml:space="preserve">rade startdosen </w:t>
      </w:r>
      <w:r w:rsidR="00090A3C" w:rsidRPr="00A74CC6">
        <w:rPr>
          <w:lang w:val="sv-SE"/>
        </w:rPr>
        <w:t>av</w:t>
      </w:r>
      <w:r w:rsidR="00067BF9" w:rsidRPr="00A74CC6">
        <w:rPr>
          <w:lang w:val="sv-SE"/>
        </w:rPr>
        <w:t xml:space="preserve"> </w:t>
      </w:r>
      <w:r w:rsidR="00904DE7" w:rsidRPr="00A74CC6">
        <w:rPr>
          <w:lang w:val="sv-SE"/>
        </w:rPr>
        <w:t xml:space="preserve">KANJINTI </w:t>
      </w:r>
      <w:r w:rsidR="00067BF9" w:rsidRPr="00A74CC6">
        <w:rPr>
          <w:lang w:val="sv-SE"/>
        </w:rPr>
        <w:t>8 </w:t>
      </w:r>
      <w:r w:rsidRPr="00A74CC6">
        <w:rPr>
          <w:lang w:val="sv-SE"/>
        </w:rPr>
        <w:t xml:space="preserve">mg/kg kroppsvikt. Den rekommenderade underhållsdosen av </w:t>
      </w:r>
      <w:r w:rsidR="00904DE7" w:rsidRPr="00A74CC6">
        <w:rPr>
          <w:lang w:val="sv-SE"/>
        </w:rPr>
        <w:t xml:space="preserve">KANJINTI </w:t>
      </w:r>
      <w:r w:rsidRPr="00A74CC6">
        <w:rPr>
          <w:lang w:val="sv-SE"/>
        </w:rPr>
        <w:t>vi</w:t>
      </w:r>
      <w:r w:rsidR="00067BF9" w:rsidRPr="00A74CC6">
        <w:rPr>
          <w:lang w:val="sv-SE"/>
        </w:rPr>
        <w:t>d treveckors dosintervall är 6 </w:t>
      </w:r>
      <w:r w:rsidRPr="00A74CC6">
        <w:rPr>
          <w:lang w:val="sv-SE"/>
        </w:rPr>
        <w:t>mg/kg kroppsvikt, med början tre veckor efter startdosen.</w:t>
      </w:r>
    </w:p>
    <w:p w14:paraId="4A8706AA" w14:textId="77777777" w:rsidR="00067BF9" w:rsidRPr="00A74CC6" w:rsidRDefault="00067BF9" w:rsidP="002314CE">
      <w:pPr>
        <w:spacing w:after="0" w:line="240" w:lineRule="auto"/>
        <w:ind w:left="0"/>
        <w:contextualSpacing/>
        <w:rPr>
          <w:lang w:val="sv-SE"/>
        </w:rPr>
      </w:pPr>
    </w:p>
    <w:p w14:paraId="391777C8" w14:textId="1C46F285" w:rsidR="001B2E1E" w:rsidRPr="00A74CC6" w:rsidRDefault="00264096" w:rsidP="002314CE">
      <w:pPr>
        <w:spacing w:after="0" w:line="240" w:lineRule="auto"/>
        <w:ind w:left="0"/>
        <w:contextualSpacing/>
        <w:rPr>
          <w:lang w:val="sv-SE"/>
        </w:rPr>
      </w:pPr>
      <w:r w:rsidRPr="00A74CC6">
        <w:rPr>
          <w:lang w:val="sv-SE"/>
        </w:rPr>
        <w:t xml:space="preserve">Vid veckovis regim är </w:t>
      </w:r>
      <w:r w:rsidR="00067BF9" w:rsidRPr="00A74CC6">
        <w:rPr>
          <w:lang w:val="sv-SE"/>
        </w:rPr>
        <w:t>den rekommenderade startdosen 4 </w:t>
      </w:r>
      <w:r w:rsidRPr="00A74CC6">
        <w:rPr>
          <w:lang w:val="sv-SE"/>
        </w:rPr>
        <w:t>mg/kg följ</w:t>
      </w:r>
      <w:r w:rsidR="003D3852" w:rsidRPr="00A74CC6">
        <w:rPr>
          <w:lang w:val="sv-SE"/>
        </w:rPr>
        <w:t>d</w:t>
      </w:r>
      <w:r w:rsidRPr="00A74CC6">
        <w:rPr>
          <w:lang w:val="sv-SE"/>
        </w:rPr>
        <w:t xml:space="preserve"> av 2</w:t>
      </w:r>
      <w:r w:rsidR="00067BF9" w:rsidRPr="00A74CC6">
        <w:rPr>
          <w:lang w:val="sv-SE"/>
        </w:rPr>
        <w:t> </w:t>
      </w:r>
      <w:r w:rsidRPr="00A74CC6">
        <w:rPr>
          <w:lang w:val="sv-SE"/>
        </w:rPr>
        <w:t>mg/kg varje vecka tillsammans med paklitaxel efter kemoterapi med doxorubicin och cyklofosfamid.</w:t>
      </w:r>
    </w:p>
    <w:p w14:paraId="545B0D32" w14:textId="77777777" w:rsidR="001B2E1E" w:rsidRPr="00A74CC6" w:rsidRDefault="001B2E1E" w:rsidP="002314CE">
      <w:pPr>
        <w:spacing w:after="0" w:line="240" w:lineRule="auto"/>
        <w:ind w:left="0"/>
        <w:contextualSpacing/>
        <w:rPr>
          <w:lang w:val="sv-SE"/>
        </w:rPr>
      </w:pPr>
    </w:p>
    <w:p w14:paraId="44161353" w14:textId="68D29322" w:rsidR="005027AB" w:rsidRPr="00A74CC6" w:rsidRDefault="00264096" w:rsidP="002314CE">
      <w:pPr>
        <w:spacing w:after="0" w:line="240" w:lineRule="auto"/>
        <w:ind w:left="0"/>
        <w:contextualSpacing/>
        <w:rPr>
          <w:lang w:val="sv-SE"/>
        </w:rPr>
      </w:pPr>
      <w:r w:rsidRPr="00A74CC6">
        <w:rPr>
          <w:lang w:val="sv-SE"/>
        </w:rPr>
        <w:t>Se avsnitt</w:t>
      </w:r>
      <w:r w:rsidR="00090A3C" w:rsidRPr="00A74CC6">
        <w:rPr>
          <w:lang w:val="sv-SE"/>
        </w:rPr>
        <w:t> </w:t>
      </w:r>
      <w:r w:rsidRPr="00A74CC6">
        <w:rPr>
          <w:lang w:val="sv-SE"/>
        </w:rPr>
        <w:t>5.1 för dosering av kemoterapikombinationen.</w:t>
      </w:r>
    </w:p>
    <w:p w14:paraId="1DF04107" w14:textId="77777777" w:rsidR="001B2E1E" w:rsidRPr="00A74CC6" w:rsidRDefault="001B2E1E" w:rsidP="002314CE">
      <w:pPr>
        <w:spacing w:after="0" w:line="240" w:lineRule="auto"/>
        <w:ind w:left="0"/>
        <w:contextualSpacing/>
        <w:rPr>
          <w:lang w:val="sv-SE"/>
        </w:rPr>
      </w:pPr>
    </w:p>
    <w:p w14:paraId="24FB7646" w14:textId="77777777" w:rsidR="005027AB" w:rsidRPr="00A74CC6" w:rsidRDefault="00264096" w:rsidP="002314CE">
      <w:pPr>
        <w:pStyle w:val="Heading3"/>
        <w:spacing w:after="0" w:line="240" w:lineRule="auto"/>
        <w:ind w:left="0"/>
        <w:contextualSpacing/>
        <w:rPr>
          <w:u w:val="none"/>
          <w:lang w:val="sv-SE"/>
        </w:rPr>
      </w:pPr>
      <w:r w:rsidRPr="00A74CC6">
        <w:rPr>
          <w:lang w:val="sv-SE"/>
        </w:rPr>
        <w:t>Metastaserad ventrikelcancer</w:t>
      </w:r>
    </w:p>
    <w:p w14:paraId="5DF50EE7" w14:textId="77777777" w:rsidR="001B2E1E" w:rsidRPr="00A74CC6" w:rsidRDefault="001B2E1E" w:rsidP="002314CE">
      <w:pPr>
        <w:keepNext/>
        <w:keepLines/>
        <w:spacing w:after="0" w:line="240" w:lineRule="auto"/>
        <w:ind w:left="0"/>
        <w:contextualSpacing/>
        <w:rPr>
          <w:lang w:val="sv-SE"/>
        </w:rPr>
      </w:pPr>
    </w:p>
    <w:p w14:paraId="1D49ABF5" w14:textId="71636FBE" w:rsidR="005027AB" w:rsidRPr="00A74CC6" w:rsidRDefault="00264096" w:rsidP="002314CE">
      <w:pPr>
        <w:pStyle w:val="Heading4"/>
        <w:spacing w:after="0" w:line="240" w:lineRule="auto"/>
        <w:ind w:left="0"/>
        <w:contextualSpacing/>
        <w:rPr>
          <w:lang w:val="sv-SE"/>
        </w:rPr>
      </w:pPr>
      <w:r w:rsidRPr="00A74CC6">
        <w:rPr>
          <w:lang w:val="sv-SE"/>
        </w:rPr>
        <w:t>Treveckors doseringsschema</w:t>
      </w:r>
    </w:p>
    <w:p w14:paraId="2E568908" w14:textId="0EC2B78D" w:rsidR="005027AB" w:rsidRPr="00A74CC6" w:rsidRDefault="00264096" w:rsidP="002314CE">
      <w:pPr>
        <w:spacing w:after="0" w:line="240" w:lineRule="auto"/>
        <w:ind w:left="0"/>
        <w:contextualSpacing/>
        <w:rPr>
          <w:lang w:val="sv-SE"/>
        </w:rPr>
      </w:pPr>
      <w:r w:rsidRPr="00A74CC6">
        <w:rPr>
          <w:lang w:val="sv-SE"/>
        </w:rPr>
        <w:t>Den</w:t>
      </w:r>
      <w:r w:rsidR="001B2E1E" w:rsidRPr="00A74CC6">
        <w:rPr>
          <w:lang w:val="sv-SE"/>
        </w:rPr>
        <w:t xml:space="preserve"> rekommenderade startdosen är 8 </w:t>
      </w:r>
      <w:r w:rsidRPr="00A74CC6">
        <w:rPr>
          <w:lang w:val="sv-SE"/>
        </w:rPr>
        <w:t>mg/kg kroppsvikt. Den rekommenderade underhållsdosen vid treveckors dosintervall är 6</w:t>
      </w:r>
      <w:r w:rsidR="001B2E1E" w:rsidRPr="00A74CC6">
        <w:rPr>
          <w:lang w:val="sv-SE"/>
        </w:rPr>
        <w:t> </w:t>
      </w:r>
      <w:r w:rsidRPr="00A74CC6">
        <w:rPr>
          <w:lang w:val="sv-SE"/>
        </w:rPr>
        <w:t>mg/kg kroppsvikt, med början tre veckor efter startdosen.</w:t>
      </w:r>
    </w:p>
    <w:p w14:paraId="48D3C622" w14:textId="77777777" w:rsidR="001B2E1E" w:rsidRPr="00A74CC6" w:rsidRDefault="001B2E1E" w:rsidP="002314CE">
      <w:pPr>
        <w:spacing w:after="0" w:line="240" w:lineRule="auto"/>
        <w:ind w:left="0"/>
        <w:contextualSpacing/>
        <w:rPr>
          <w:lang w:val="sv-SE"/>
        </w:rPr>
      </w:pPr>
    </w:p>
    <w:p w14:paraId="7F64D21A" w14:textId="77777777" w:rsidR="005027AB" w:rsidRPr="00A74CC6" w:rsidRDefault="00264096" w:rsidP="002314CE">
      <w:pPr>
        <w:pStyle w:val="Heading2"/>
        <w:spacing w:after="0" w:line="240" w:lineRule="auto"/>
        <w:ind w:left="0"/>
        <w:contextualSpacing/>
        <w:rPr>
          <w:i/>
          <w:lang w:val="sv-SE"/>
        </w:rPr>
      </w:pPr>
      <w:r w:rsidRPr="00A74CC6">
        <w:rPr>
          <w:i/>
          <w:lang w:val="sv-SE"/>
        </w:rPr>
        <w:t>Bröstcancer samt ventrikelcancer</w:t>
      </w:r>
    </w:p>
    <w:p w14:paraId="59DD21C9" w14:textId="77777777" w:rsidR="001B2E1E" w:rsidRPr="00A74CC6" w:rsidRDefault="001B2E1E" w:rsidP="002314CE">
      <w:pPr>
        <w:keepNext/>
        <w:keepLines/>
        <w:spacing w:after="0" w:line="240" w:lineRule="auto"/>
        <w:ind w:left="0"/>
        <w:contextualSpacing/>
        <w:rPr>
          <w:lang w:val="sv-SE"/>
        </w:rPr>
      </w:pPr>
    </w:p>
    <w:p w14:paraId="1365FD0E" w14:textId="77777777" w:rsidR="005027AB" w:rsidRPr="00A74CC6" w:rsidRDefault="00264096" w:rsidP="002314CE">
      <w:pPr>
        <w:pStyle w:val="Heading3"/>
        <w:spacing w:after="0" w:line="240" w:lineRule="auto"/>
        <w:ind w:left="0"/>
        <w:contextualSpacing/>
        <w:rPr>
          <w:lang w:val="sv-SE"/>
        </w:rPr>
      </w:pPr>
      <w:r w:rsidRPr="00A74CC6">
        <w:rPr>
          <w:u w:val="none"/>
          <w:lang w:val="sv-SE"/>
        </w:rPr>
        <w:t>Behandlingsduration</w:t>
      </w:r>
    </w:p>
    <w:p w14:paraId="4AA9BE2E" w14:textId="7FAC7E68" w:rsidR="005027AB" w:rsidRPr="00A74CC6" w:rsidRDefault="00264096" w:rsidP="002314CE">
      <w:pPr>
        <w:spacing w:after="0" w:line="240" w:lineRule="auto"/>
        <w:ind w:left="0"/>
        <w:contextualSpacing/>
        <w:rPr>
          <w:lang w:val="sv-SE"/>
        </w:rPr>
      </w:pPr>
      <w:r w:rsidRPr="00A74CC6">
        <w:rPr>
          <w:lang w:val="sv-SE"/>
        </w:rPr>
        <w:t xml:space="preserve">Patienter med metastaserad bröstcancer eller metastaserad ventrikelcancer ska behandlas med </w:t>
      </w:r>
      <w:r w:rsidR="00904DE7" w:rsidRPr="00A74CC6">
        <w:rPr>
          <w:lang w:val="sv-SE"/>
        </w:rPr>
        <w:t xml:space="preserve">KANJINTI </w:t>
      </w:r>
      <w:r w:rsidRPr="00A74CC6">
        <w:rPr>
          <w:lang w:val="sv-SE"/>
        </w:rPr>
        <w:t xml:space="preserve">till sjukdomsprogress. Patienter med tidig bröstcancer ska behandlas med </w:t>
      </w:r>
      <w:r w:rsidR="00904DE7" w:rsidRPr="00A74CC6">
        <w:rPr>
          <w:lang w:val="sv-SE"/>
        </w:rPr>
        <w:t xml:space="preserve">KANJINTI </w:t>
      </w:r>
      <w:r w:rsidRPr="00A74CC6">
        <w:rPr>
          <w:lang w:val="sv-SE"/>
        </w:rPr>
        <w:t>under 1</w:t>
      </w:r>
      <w:r w:rsidR="00090A3C" w:rsidRPr="00A74CC6">
        <w:rPr>
          <w:lang w:val="sv-SE"/>
        </w:rPr>
        <w:t> </w:t>
      </w:r>
      <w:r w:rsidRPr="00A74CC6">
        <w:rPr>
          <w:lang w:val="sv-SE"/>
        </w:rPr>
        <w:t>år eller till sjukdomsrecidiv, beroende på vilket som inträffar först. Att förlänga behandlingen vid tidig bröstcancer utöver ett år rekommenderas inte (se avsnitt</w:t>
      </w:r>
      <w:r w:rsidR="00090A3C" w:rsidRPr="00A74CC6">
        <w:rPr>
          <w:lang w:val="sv-SE"/>
        </w:rPr>
        <w:t> </w:t>
      </w:r>
      <w:r w:rsidRPr="00A74CC6">
        <w:rPr>
          <w:lang w:val="sv-SE"/>
        </w:rPr>
        <w:t>5.1).</w:t>
      </w:r>
    </w:p>
    <w:p w14:paraId="6CF1B81C" w14:textId="77777777" w:rsidR="001B2E1E" w:rsidRPr="00A74CC6" w:rsidRDefault="001B2E1E" w:rsidP="002314CE">
      <w:pPr>
        <w:spacing w:after="0" w:line="240" w:lineRule="auto"/>
        <w:ind w:left="0"/>
        <w:contextualSpacing/>
        <w:rPr>
          <w:lang w:val="sv-SE"/>
        </w:rPr>
      </w:pPr>
    </w:p>
    <w:p w14:paraId="1030FC5E" w14:textId="77777777" w:rsidR="005027AB" w:rsidRPr="00A74CC6" w:rsidRDefault="00264096" w:rsidP="002314CE">
      <w:pPr>
        <w:pStyle w:val="Heading3"/>
        <w:spacing w:after="0" w:line="240" w:lineRule="auto"/>
        <w:ind w:left="0" w:hanging="11"/>
        <w:contextualSpacing/>
        <w:rPr>
          <w:lang w:val="sv-SE"/>
        </w:rPr>
      </w:pPr>
      <w:r w:rsidRPr="00A74CC6">
        <w:rPr>
          <w:u w:val="none"/>
          <w:lang w:val="sv-SE"/>
        </w:rPr>
        <w:t>Dosreduktion</w:t>
      </w:r>
    </w:p>
    <w:p w14:paraId="424E4EBB" w14:textId="10732CAF" w:rsidR="005027AB" w:rsidRPr="00A74CC6" w:rsidRDefault="00264096" w:rsidP="002314CE">
      <w:pPr>
        <w:spacing w:after="0" w:line="240" w:lineRule="auto"/>
        <w:ind w:left="0"/>
        <w:contextualSpacing/>
        <w:rPr>
          <w:lang w:val="sv-SE"/>
        </w:rPr>
      </w:pPr>
      <w:r w:rsidRPr="00A74CC6">
        <w:rPr>
          <w:lang w:val="sv-SE"/>
        </w:rPr>
        <w:t xml:space="preserve">Inga dosreduceringar av </w:t>
      </w:r>
      <w:r w:rsidR="00904DE7" w:rsidRPr="00A74CC6">
        <w:rPr>
          <w:lang w:val="sv-SE"/>
        </w:rPr>
        <w:t xml:space="preserve">trastuzumab </w:t>
      </w:r>
      <w:r w:rsidRPr="00A74CC6">
        <w:rPr>
          <w:lang w:val="sv-SE"/>
        </w:rPr>
        <w:t xml:space="preserve">gjordes under kliniska </w:t>
      </w:r>
      <w:r w:rsidR="004B0B79">
        <w:rPr>
          <w:lang w:val="sv-SE"/>
        </w:rPr>
        <w:t>studier</w:t>
      </w:r>
      <w:r w:rsidRPr="00A74CC6">
        <w:rPr>
          <w:lang w:val="sv-SE"/>
        </w:rPr>
        <w:t xml:space="preserve">. Patienter kan fortsätta behandling under perioder </w:t>
      </w:r>
      <w:r w:rsidR="003D3852" w:rsidRPr="00A74CC6">
        <w:rPr>
          <w:lang w:val="sv-SE"/>
        </w:rPr>
        <w:t>med</w:t>
      </w:r>
      <w:r w:rsidRPr="00A74CC6">
        <w:rPr>
          <w:lang w:val="sv-SE"/>
        </w:rPr>
        <w:t xml:space="preserve"> reversibel, kemoterapiinducerad myelosuppression, men de ska övervakas noggrant under denna tid med avseende på komplikationer i form av neutropeni. Se produktresumén för paklitaxel, docetaxel eller aromatashämmare för information om dosreduktion eller </w:t>
      </w:r>
      <w:r w:rsidR="00090A3C" w:rsidRPr="00A74CC6">
        <w:rPr>
          <w:lang w:val="sv-SE"/>
        </w:rPr>
        <w:t>uppskjuten</w:t>
      </w:r>
      <w:r w:rsidRPr="00A74CC6">
        <w:rPr>
          <w:lang w:val="sv-SE"/>
        </w:rPr>
        <w:t xml:space="preserve"> administrering.</w:t>
      </w:r>
    </w:p>
    <w:p w14:paraId="512F38B2" w14:textId="77777777" w:rsidR="001B2E1E" w:rsidRPr="00A74CC6" w:rsidRDefault="001B2E1E" w:rsidP="002314CE">
      <w:pPr>
        <w:spacing w:after="0" w:line="240" w:lineRule="auto"/>
        <w:ind w:left="0"/>
        <w:contextualSpacing/>
        <w:rPr>
          <w:lang w:val="sv-SE"/>
        </w:rPr>
      </w:pPr>
    </w:p>
    <w:p w14:paraId="1B9ED98F" w14:textId="3774AC20" w:rsidR="005027AB" w:rsidRPr="00A74CC6" w:rsidRDefault="00264096" w:rsidP="002314CE">
      <w:pPr>
        <w:spacing w:after="0" w:line="240" w:lineRule="auto"/>
        <w:ind w:left="0"/>
        <w:contextualSpacing/>
        <w:rPr>
          <w:lang w:val="sv-SE"/>
        </w:rPr>
      </w:pPr>
      <w:r w:rsidRPr="00A74CC6">
        <w:rPr>
          <w:lang w:val="sv-SE"/>
        </w:rPr>
        <w:t>Om procentsatsen för vänsterkammar</w:t>
      </w:r>
      <w:r w:rsidR="00090A3C" w:rsidRPr="00A74CC6">
        <w:rPr>
          <w:lang w:val="sv-SE"/>
        </w:rPr>
        <w:t xml:space="preserve">ens </w:t>
      </w:r>
      <w:r w:rsidRPr="00A74CC6">
        <w:rPr>
          <w:lang w:val="sv-SE"/>
        </w:rPr>
        <w:t xml:space="preserve">ejektionsfraktion (LVEF) </w:t>
      </w:r>
      <w:r w:rsidR="00090A3C" w:rsidRPr="00A74CC6">
        <w:rPr>
          <w:lang w:val="sv-SE"/>
        </w:rPr>
        <w:t>minskar</w:t>
      </w:r>
      <w:r w:rsidRPr="00A74CC6">
        <w:rPr>
          <w:lang w:val="sv-SE"/>
        </w:rPr>
        <w:t xml:space="preserve"> med </w:t>
      </w:r>
      <w:r w:rsidR="001B2E1E" w:rsidRPr="00A74CC6">
        <w:rPr>
          <w:lang w:val="sv-SE"/>
        </w:rPr>
        <w:t>≥ </w:t>
      </w:r>
      <w:r w:rsidRPr="00A74CC6">
        <w:rPr>
          <w:lang w:val="sv-SE"/>
        </w:rPr>
        <w:t>10</w:t>
      </w:r>
      <w:r w:rsidR="00090A3C" w:rsidRPr="00A74CC6">
        <w:rPr>
          <w:lang w:val="sv-SE"/>
        </w:rPr>
        <w:t> </w:t>
      </w:r>
      <w:r w:rsidRPr="00A74CC6">
        <w:rPr>
          <w:lang w:val="sv-SE"/>
        </w:rPr>
        <w:t>enheter från värdet vid behandlingsstart OCH till under 50</w:t>
      </w:r>
      <w:r w:rsidR="00B268E6" w:rsidRPr="00A74CC6">
        <w:rPr>
          <w:lang w:val="sv-SE"/>
        </w:rPr>
        <w:t> %</w:t>
      </w:r>
      <w:r w:rsidR="00090A3C" w:rsidRPr="00A74CC6">
        <w:rPr>
          <w:lang w:val="sv-SE"/>
        </w:rPr>
        <w:t>,</w:t>
      </w:r>
      <w:r w:rsidRPr="00A74CC6">
        <w:rPr>
          <w:lang w:val="sv-SE"/>
        </w:rPr>
        <w:t xml:space="preserve"> ska behandling inte ges och en förnyad mätning av LVEF utföras inom ca 3</w:t>
      </w:r>
      <w:r w:rsidR="00090A3C" w:rsidRPr="00A74CC6">
        <w:rPr>
          <w:lang w:val="sv-SE"/>
        </w:rPr>
        <w:t> </w:t>
      </w:r>
      <w:r w:rsidRPr="00A74CC6">
        <w:rPr>
          <w:lang w:val="sv-SE"/>
        </w:rPr>
        <w:t>veckor. Om LVEF inte har förbättrats, eller om de</w:t>
      </w:r>
      <w:r w:rsidR="00090A3C" w:rsidRPr="00A74CC6">
        <w:rPr>
          <w:lang w:val="sv-SE"/>
        </w:rPr>
        <w:t>n</w:t>
      </w:r>
      <w:r w:rsidRPr="00A74CC6">
        <w:rPr>
          <w:lang w:val="sv-SE"/>
        </w:rPr>
        <w:t xml:space="preserve"> har </w:t>
      </w:r>
      <w:r w:rsidR="00090A3C" w:rsidRPr="00A74CC6">
        <w:rPr>
          <w:lang w:val="sv-SE"/>
        </w:rPr>
        <w:t>minskat</w:t>
      </w:r>
      <w:r w:rsidRPr="00A74CC6">
        <w:rPr>
          <w:lang w:val="sv-SE"/>
        </w:rPr>
        <w:t xml:space="preserve"> ytterligare, eller </w:t>
      </w:r>
      <w:r w:rsidR="003D3852" w:rsidRPr="00A74CC6">
        <w:rPr>
          <w:lang w:val="sv-SE"/>
        </w:rPr>
        <w:t xml:space="preserve">om </w:t>
      </w:r>
      <w:r w:rsidRPr="00A74CC6">
        <w:rPr>
          <w:lang w:val="sv-SE"/>
        </w:rPr>
        <w:t xml:space="preserve">symtomatisk hjärtsvikt har utvecklats, ska utsättning av </w:t>
      </w:r>
      <w:r w:rsidR="00055205" w:rsidRPr="00A74CC6">
        <w:rPr>
          <w:lang w:val="sv-SE"/>
        </w:rPr>
        <w:t xml:space="preserve">KANJINTI </w:t>
      </w:r>
      <w:r w:rsidRPr="00A74CC6">
        <w:rPr>
          <w:lang w:val="sv-SE"/>
        </w:rPr>
        <w:t>starkt övervägas såvida inte fördelarna för den enskilda patienten bedöms överväga riskerna. Alla sådana patienter ska remitteras för undersökning hos en kardiolog och följas upp.</w:t>
      </w:r>
    </w:p>
    <w:p w14:paraId="380D1512" w14:textId="77777777" w:rsidR="001B2E1E" w:rsidRPr="00A74CC6" w:rsidRDefault="001B2E1E" w:rsidP="002314CE">
      <w:pPr>
        <w:spacing w:after="0" w:line="240" w:lineRule="auto"/>
        <w:ind w:left="0"/>
        <w:contextualSpacing/>
        <w:rPr>
          <w:lang w:val="sv-SE"/>
        </w:rPr>
      </w:pPr>
    </w:p>
    <w:p w14:paraId="68EE305F" w14:textId="4A551C84" w:rsidR="005027AB" w:rsidRPr="00A74CC6" w:rsidRDefault="00264096" w:rsidP="002314CE">
      <w:pPr>
        <w:pStyle w:val="Heading3"/>
        <w:spacing w:after="0" w:line="240" w:lineRule="auto"/>
        <w:ind w:left="0" w:hanging="11"/>
        <w:contextualSpacing/>
        <w:rPr>
          <w:lang w:val="sv-SE"/>
        </w:rPr>
      </w:pPr>
      <w:r w:rsidRPr="00A74CC6">
        <w:rPr>
          <w:u w:val="none"/>
          <w:lang w:val="sv-SE"/>
        </w:rPr>
        <w:t>Missade doser</w:t>
      </w:r>
    </w:p>
    <w:p w14:paraId="0BB656AA" w14:textId="59DDDD13" w:rsidR="005027AB" w:rsidRPr="00A74CC6" w:rsidRDefault="00264096" w:rsidP="008763E6">
      <w:pPr>
        <w:spacing w:after="0" w:line="240" w:lineRule="auto"/>
        <w:ind w:left="0"/>
        <w:contextualSpacing/>
        <w:rPr>
          <w:lang w:val="sv-SE"/>
        </w:rPr>
      </w:pPr>
      <w:r w:rsidRPr="00A74CC6">
        <w:rPr>
          <w:lang w:val="sv-SE"/>
        </w:rPr>
        <w:t xml:space="preserve">Om en patient har missat en </w:t>
      </w:r>
      <w:r w:rsidR="00055205" w:rsidRPr="00A74CC6">
        <w:rPr>
          <w:lang w:val="sv-SE"/>
        </w:rPr>
        <w:t>KANJINTI-</w:t>
      </w:r>
      <w:r w:rsidRPr="00A74CC6">
        <w:rPr>
          <w:lang w:val="sv-SE"/>
        </w:rPr>
        <w:t xml:space="preserve">dos med en vecka eller mindre, </w:t>
      </w:r>
      <w:r w:rsidR="006E2536">
        <w:rPr>
          <w:lang w:val="sv-SE"/>
        </w:rPr>
        <w:t>bör</w:t>
      </w:r>
      <w:r w:rsidR="006E2536" w:rsidRPr="00A74CC6">
        <w:rPr>
          <w:lang w:val="sv-SE"/>
        </w:rPr>
        <w:t xml:space="preserve"> </w:t>
      </w:r>
      <w:r w:rsidRPr="00A74CC6">
        <w:rPr>
          <w:lang w:val="sv-SE"/>
        </w:rPr>
        <w:t>den normala underh</w:t>
      </w:r>
      <w:r w:rsidR="001B2E1E" w:rsidRPr="00A74CC6">
        <w:rPr>
          <w:lang w:val="sv-SE"/>
        </w:rPr>
        <w:t>ållsdosen (veckovis dosering: 2 </w:t>
      </w:r>
      <w:r w:rsidRPr="00A74CC6">
        <w:rPr>
          <w:lang w:val="sv-SE"/>
        </w:rPr>
        <w:t>mg/kg;</w:t>
      </w:r>
      <w:r w:rsidR="001B2E1E" w:rsidRPr="00A74CC6">
        <w:rPr>
          <w:lang w:val="sv-SE"/>
        </w:rPr>
        <w:t xml:space="preserve"> treveckors doseringsschema: 6 </w:t>
      </w:r>
      <w:r w:rsidRPr="00A74CC6">
        <w:rPr>
          <w:lang w:val="sv-SE"/>
        </w:rPr>
        <w:t xml:space="preserve">mg/kg) administreras så </w:t>
      </w:r>
      <w:r w:rsidRPr="00A74CC6">
        <w:rPr>
          <w:lang w:val="sv-SE"/>
        </w:rPr>
        <w:lastRenderedPageBreak/>
        <w:t>snart som möjligt. Vänta inte till nästa planerade behandlingscykel. Påföljande underhållsdoser bör administreras 7</w:t>
      </w:r>
      <w:r w:rsidR="00090A3C" w:rsidRPr="00A74CC6">
        <w:rPr>
          <w:lang w:val="sv-SE"/>
        </w:rPr>
        <w:t> </w:t>
      </w:r>
      <w:r w:rsidRPr="00A74CC6">
        <w:rPr>
          <w:lang w:val="sv-SE"/>
        </w:rPr>
        <w:t>dagar eller 21</w:t>
      </w:r>
      <w:r w:rsidR="00090A3C" w:rsidRPr="00A74CC6">
        <w:rPr>
          <w:lang w:val="sv-SE"/>
        </w:rPr>
        <w:t> </w:t>
      </w:r>
      <w:r w:rsidRPr="00A74CC6">
        <w:rPr>
          <w:lang w:val="sv-SE"/>
        </w:rPr>
        <w:t>dagar senare enligt respektive doseringsschema veckovis (en gång per vecka) eller treveckors doseringsschema (var tredje vecka).</w:t>
      </w:r>
    </w:p>
    <w:p w14:paraId="6D276E9A" w14:textId="77777777" w:rsidR="001B2E1E" w:rsidRPr="00A74CC6" w:rsidRDefault="001B2E1E" w:rsidP="002314CE">
      <w:pPr>
        <w:spacing w:after="0" w:line="240" w:lineRule="auto"/>
        <w:ind w:left="0" w:firstLine="0"/>
        <w:contextualSpacing/>
        <w:rPr>
          <w:lang w:val="sv-SE"/>
        </w:rPr>
      </w:pPr>
    </w:p>
    <w:p w14:paraId="1CCB08A7" w14:textId="0242BE19" w:rsidR="005027AB" w:rsidRPr="00A74CC6" w:rsidRDefault="00264096" w:rsidP="002314CE">
      <w:pPr>
        <w:spacing w:after="0" w:line="240" w:lineRule="auto"/>
        <w:ind w:left="0" w:firstLine="0"/>
        <w:contextualSpacing/>
        <w:rPr>
          <w:lang w:val="sv-SE"/>
        </w:rPr>
      </w:pPr>
      <w:r w:rsidRPr="00A74CC6">
        <w:rPr>
          <w:lang w:val="sv-SE"/>
        </w:rPr>
        <w:t xml:space="preserve">Om en patient har missat en </w:t>
      </w:r>
      <w:r w:rsidR="00055205" w:rsidRPr="00A74CC6">
        <w:rPr>
          <w:lang w:val="sv-SE"/>
        </w:rPr>
        <w:t>KANJINTI-</w:t>
      </w:r>
      <w:r w:rsidRPr="00A74CC6">
        <w:rPr>
          <w:lang w:val="sv-SE"/>
        </w:rPr>
        <w:t xml:space="preserve">dos med mer än en vecka, </w:t>
      </w:r>
      <w:r w:rsidR="006E2536">
        <w:rPr>
          <w:lang w:val="sv-SE"/>
        </w:rPr>
        <w:t>bör</w:t>
      </w:r>
      <w:r w:rsidR="006E2536" w:rsidRPr="00A74CC6">
        <w:rPr>
          <w:lang w:val="sv-SE"/>
        </w:rPr>
        <w:t xml:space="preserve"> </w:t>
      </w:r>
      <w:r w:rsidRPr="00A74CC6">
        <w:rPr>
          <w:lang w:val="sv-SE"/>
        </w:rPr>
        <w:t xml:space="preserve">en ny startdos av </w:t>
      </w:r>
      <w:r w:rsidR="00055205" w:rsidRPr="00A74CC6">
        <w:rPr>
          <w:lang w:val="sv-SE"/>
        </w:rPr>
        <w:t xml:space="preserve">KANJINTI </w:t>
      </w:r>
      <w:r w:rsidRPr="00A74CC6">
        <w:rPr>
          <w:lang w:val="sv-SE"/>
        </w:rPr>
        <w:t xml:space="preserve">administreras </w:t>
      </w:r>
      <w:r w:rsidR="00090A3C" w:rsidRPr="00A74CC6">
        <w:rPr>
          <w:lang w:val="sv-SE"/>
        </w:rPr>
        <w:t xml:space="preserve">så snart som möjligt </w:t>
      </w:r>
      <w:r w:rsidRPr="00A74CC6">
        <w:rPr>
          <w:lang w:val="sv-SE"/>
        </w:rPr>
        <w:t>under ca 90</w:t>
      </w:r>
      <w:r w:rsidR="00090A3C" w:rsidRPr="00A74CC6">
        <w:rPr>
          <w:lang w:val="sv-SE"/>
        </w:rPr>
        <w:t> </w:t>
      </w:r>
      <w:r w:rsidRPr="00A74CC6">
        <w:rPr>
          <w:lang w:val="sv-SE"/>
        </w:rPr>
        <w:t>minuter (veckovis dosering: 4</w:t>
      </w:r>
      <w:r w:rsidR="001B2E1E" w:rsidRPr="00A74CC6">
        <w:rPr>
          <w:lang w:val="sv-SE"/>
        </w:rPr>
        <w:t> </w:t>
      </w:r>
      <w:r w:rsidRPr="00A74CC6">
        <w:rPr>
          <w:lang w:val="sv-SE"/>
        </w:rPr>
        <w:t>mg/kg;</w:t>
      </w:r>
      <w:r w:rsidR="001B2E1E" w:rsidRPr="00A74CC6">
        <w:rPr>
          <w:lang w:val="sv-SE"/>
        </w:rPr>
        <w:t xml:space="preserve"> tre-veckors doseringsschema: 8 </w:t>
      </w:r>
      <w:r w:rsidRPr="00A74CC6">
        <w:rPr>
          <w:lang w:val="sv-SE"/>
        </w:rPr>
        <w:t xml:space="preserve">mg/kg). Påföljande underhållsdoser av </w:t>
      </w:r>
      <w:r w:rsidR="00055205" w:rsidRPr="00A74CC6">
        <w:rPr>
          <w:lang w:val="sv-SE"/>
        </w:rPr>
        <w:t xml:space="preserve">KANJINTI </w:t>
      </w:r>
      <w:r w:rsidRPr="00A74CC6">
        <w:rPr>
          <w:lang w:val="sv-SE"/>
        </w:rPr>
        <w:t>(veckovis dosering: 2</w:t>
      </w:r>
      <w:r w:rsidR="001B2E1E" w:rsidRPr="00A74CC6">
        <w:rPr>
          <w:lang w:val="sv-SE"/>
        </w:rPr>
        <w:t> </w:t>
      </w:r>
      <w:r w:rsidRPr="00A74CC6">
        <w:rPr>
          <w:lang w:val="sv-SE"/>
        </w:rPr>
        <w:t>mg/kg; tre-veckors doseringsschema: 6</w:t>
      </w:r>
      <w:r w:rsidR="001B2E1E" w:rsidRPr="00A74CC6">
        <w:rPr>
          <w:lang w:val="sv-SE"/>
        </w:rPr>
        <w:t> </w:t>
      </w:r>
      <w:r w:rsidRPr="00A74CC6">
        <w:rPr>
          <w:lang w:val="sv-SE"/>
        </w:rPr>
        <w:t>mg/kg) bör administreras 7</w:t>
      </w:r>
      <w:r w:rsidR="00C1764C" w:rsidRPr="00A74CC6">
        <w:rPr>
          <w:lang w:val="sv-SE"/>
        </w:rPr>
        <w:t> </w:t>
      </w:r>
      <w:r w:rsidRPr="00A74CC6">
        <w:rPr>
          <w:lang w:val="sv-SE"/>
        </w:rPr>
        <w:t>dagar eller 21</w:t>
      </w:r>
      <w:r w:rsidR="00C1764C" w:rsidRPr="00A74CC6">
        <w:rPr>
          <w:lang w:val="sv-SE"/>
        </w:rPr>
        <w:t> </w:t>
      </w:r>
      <w:r w:rsidRPr="00A74CC6">
        <w:rPr>
          <w:lang w:val="sv-SE"/>
        </w:rPr>
        <w:t xml:space="preserve">dagar senare enligt veckovis </w:t>
      </w:r>
      <w:r w:rsidR="00C1764C" w:rsidRPr="00A74CC6">
        <w:rPr>
          <w:lang w:val="sv-SE"/>
        </w:rPr>
        <w:t xml:space="preserve">respektive </w:t>
      </w:r>
      <w:r w:rsidR="001B2E1E" w:rsidRPr="00A74CC6">
        <w:rPr>
          <w:lang w:val="sv-SE"/>
        </w:rPr>
        <w:t>treveckors doseringsschema.</w:t>
      </w:r>
    </w:p>
    <w:p w14:paraId="3417A824" w14:textId="77777777" w:rsidR="001B2E1E" w:rsidRPr="00A74CC6" w:rsidRDefault="001B2E1E" w:rsidP="002314CE">
      <w:pPr>
        <w:spacing w:after="0" w:line="240" w:lineRule="auto"/>
        <w:ind w:left="0" w:firstLine="0"/>
        <w:contextualSpacing/>
        <w:rPr>
          <w:lang w:val="sv-SE"/>
        </w:rPr>
      </w:pPr>
    </w:p>
    <w:p w14:paraId="0A9A2CC5" w14:textId="77777777" w:rsidR="005027AB" w:rsidRPr="00A74CC6" w:rsidRDefault="00264096" w:rsidP="002314CE">
      <w:pPr>
        <w:pStyle w:val="Heading3"/>
        <w:spacing w:after="0" w:line="240" w:lineRule="auto"/>
        <w:ind w:left="0" w:firstLine="0"/>
        <w:contextualSpacing/>
        <w:rPr>
          <w:lang w:val="sv-SE"/>
        </w:rPr>
      </w:pPr>
      <w:r w:rsidRPr="00A74CC6">
        <w:rPr>
          <w:u w:val="none"/>
          <w:lang w:val="sv-SE"/>
        </w:rPr>
        <w:t>Speciella populationer</w:t>
      </w:r>
    </w:p>
    <w:p w14:paraId="57B4442D" w14:textId="77777777" w:rsidR="005027AB" w:rsidRPr="00A74CC6" w:rsidRDefault="00264096" w:rsidP="002314CE">
      <w:pPr>
        <w:spacing w:after="0" w:line="240" w:lineRule="auto"/>
        <w:ind w:left="0" w:firstLine="0"/>
        <w:contextualSpacing/>
        <w:rPr>
          <w:lang w:val="sv-SE"/>
        </w:rPr>
      </w:pPr>
      <w:r w:rsidRPr="00A74CC6">
        <w:rPr>
          <w:lang w:val="sv-SE"/>
        </w:rPr>
        <w:t>Specifika farmakokinetiska studier hos äldre och hos de med nedsatt njur- eller leverfunktion har inte utförts. I en populationsfarmakokinetisk analys visades att varken ålder eller nedsatt njurfunktion påverkade distributionen av trastuzumab.</w:t>
      </w:r>
    </w:p>
    <w:p w14:paraId="39A85E8B" w14:textId="77777777" w:rsidR="001B2E1E" w:rsidRPr="00A74CC6" w:rsidRDefault="001B2E1E" w:rsidP="002314CE">
      <w:pPr>
        <w:spacing w:after="0" w:line="240" w:lineRule="auto"/>
        <w:ind w:left="0" w:firstLine="0"/>
        <w:contextualSpacing/>
        <w:rPr>
          <w:i/>
          <w:lang w:val="sv-SE"/>
        </w:rPr>
      </w:pPr>
    </w:p>
    <w:p w14:paraId="0B3FDF6E" w14:textId="77777777" w:rsidR="005027AB" w:rsidRPr="00A74CC6" w:rsidRDefault="00264096" w:rsidP="002314CE">
      <w:pPr>
        <w:keepNext/>
        <w:keepLines/>
        <w:spacing w:after="0" w:line="240" w:lineRule="auto"/>
        <w:ind w:left="0" w:firstLine="0"/>
        <w:contextualSpacing/>
        <w:rPr>
          <w:lang w:val="sv-SE"/>
        </w:rPr>
      </w:pPr>
      <w:r w:rsidRPr="00A74CC6">
        <w:rPr>
          <w:i/>
          <w:lang w:val="sv-SE"/>
        </w:rPr>
        <w:t>Pediatrisk population</w:t>
      </w:r>
    </w:p>
    <w:p w14:paraId="2C6B25C6" w14:textId="6A1EDC1C" w:rsidR="005027AB" w:rsidRPr="00A74CC6" w:rsidRDefault="00264096" w:rsidP="002314CE">
      <w:pPr>
        <w:spacing w:after="0" w:line="240" w:lineRule="auto"/>
        <w:ind w:left="0" w:firstLine="0"/>
        <w:contextualSpacing/>
        <w:rPr>
          <w:lang w:val="sv-SE"/>
        </w:rPr>
      </w:pPr>
      <w:r w:rsidRPr="00A74CC6">
        <w:rPr>
          <w:lang w:val="sv-SE"/>
        </w:rPr>
        <w:t xml:space="preserve">Det finns ingen relevant användning av </w:t>
      </w:r>
      <w:r w:rsidR="00055205" w:rsidRPr="00A74CC6">
        <w:rPr>
          <w:lang w:val="sv-SE"/>
        </w:rPr>
        <w:t xml:space="preserve">trastuzumab </w:t>
      </w:r>
      <w:r w:rsidRPr="00A74CC6">
        <w:rPr>
          <w:lang w:val="sv-SE"/>
        </w:rPr>
        <w:t>för en pediatrisk population.</w:t>
      </w:r>
    </w:p>
    <w:p w14:paraId="2594FA38" w14:textId="77777777" w:rsidR="001B2E1E" w:rsidRPr="00A74CC6" w:rsidRDefault="001B2E1E" w:rsidP="002314CE">
      <w:pPr>
        <w:pStyle w:val="Heading2"/>
        <w:keepNext w:val="0"/>
        <w:keepLines w:val="0"/>
        <w:spacing w:after="0" w:line="240" w:lineRule="auto"/>
        <w:ind w:left="0" w:firstLine="0"/>
        <w:contextualSpacing/>
        <w:rPr>
          <w:lang w:val="sv-SE"/>
        </w:rPr>
      </w:pPr>
    </w:p>
    <w:p w14:paraId="5F4FEF4A" w14:textId="77777777" w:rsidR="005027AB" w:rsidRPr="00A74CC6" w:rsidRDefault="00264096" w:rsidP="002314CE">
      <w:pPr>
        <w:pStyle w:val="Heading2"/>
        <w:spacing w:after="0" w:line="240" w:lineRule="auto"/>
        <w:ind w:left="0" w:firstLine="0"/>
        <w:contextualSpacing/>
        <w:rPr>
          <w:lang w:val="sv-SE"/>
        </w:rPr>
      </w:pPr>
      <w:r w:rsidRPr="00A74CC6">
        <w:rPr>
          <w:lang w:val="sv-SE"/>
        </w:rPr>
        <w:t>Administreringssätt</w:t>
      </w:r>
    </w:p>
    <w:p w14:paraId="189BC586" w14:textId="77777777" w:rsidR="00C56B2C" w:rsidRPr="00A74CC6" w:rsidRDefault="00C56B2C" w:rsidP="002314CE">
      <w:pPr>
        <w:keepNext/>
        <w:keepLines/>
        <w:spacing w:after="0" w:line="240" w:lineRule="auto"/>
        <w:ind w:left="0" w:firstLine="0"/>
        <w:contextualSpacing/>
        <w:rPr>
          <w:lang w:val="sv-SE"/>
        </w:rPr>
      </w:pPr>
    </w:p>
    <w:p w14:paraId="2AF55EC7" w14:textId="2D86E5B7" w:rsidR="005027AB" w:rsidRPr="00A74CC6" w:rsidRDefault="00CB289F" w:rsidP="002314CE">
      <w:pPr>
        <w:spacing w:after="0" w:line="240" w:lineRule="auto"/>
        <w:ind w:left="0" w:firstLine="0"/>
        <w:contextualSpacing/>
        <w:rPr>
          <w:lang w:val="sv-SE"/>
        </w:rPr>
      </w:pPr>
      <w:r>
        <w:rPr>
          <w:lang w:val="sv-SE"/>
        </w:rPr>
        <w:t xml:space="preserve">KANJINTI är enbart avsett för intravenös användning. </w:t>
      </w:r>
      <w:r w:rsidR="00264096" w:rsidRPr="00A74CC6">
        <w:rPr>
          <w:lang w:val="sv-SE"/>
        </w:rPr>
        <w:t>Startdosen ges som en intravenös infusion under 90</w:t>
      </w:r>
      <w:r w:rsidR="007C15C6" w:rsidRPr="00A74CC6">
        <w:rPr>
          <w:lang w:val="sv-SE"/>
        </w:rPr>
        <w:t> </w:t>
      </w:r>
      <w:r w:rsidR="00264096" w:rsidRPr="00A74CC6">
        <w:rPr>
          <w:lang w:val="sv-SE"/>
        </w:rPr>
        <w:t xml:space="preserve">minuter. </w:t>
      </w:r>
      <w:r w:rsidR="00FE397E" w:rsidRPr="00E5647A">
        <w:rPr>
          <w:lang w:val="sv-SE"/>
        </w:rPr>
        <w:t>Administrera inte</w:t>
      </w:r>
      <w:r w:rsidR="00FE397E" w:rsidDel="00FE397E">
        <w:rPr>
          <w:lang w:val="sv-SE"/>
        </w:rPr>
        <w:t xml:space="preserve"> </w:t>
      </w:r>
      <w:r w:rsidR="00264096" w:rsidRPr="00A74CC6">
        <w:rPr>
          <w:lang w:val="sv-SE"/>
        </w:rPr>
        <w:t xml:space="preserve">som en intravenös injektion eller bolusinfusion. </w:t>
      </w:r>
      <w:r w:rsidR="00055205" w:rsidRPr="00A74CC6">
        <w:rPr>
          <w:lang w:val="sv-SE"/>
        </w:rPr>
        <w:t xml:space="preserve">KANJINTI </w:t>
      </w:r>
      <w:r w:rsidR="00C1764C" w:rsidRPr="00A74CC6">
        <w:rPr>
          <w:lang w:val="sv-SE"/>
        </w:rPr>
        <w:t xml:space="preserve">ska ges </w:t>
      </w:r>
      <w:r w:rsidR="00264096" w:rsidRPr="00A74CC6">
        <w:rPr>
          <w:lang w:val="sv-SE"/>
        </w:rPr>
        <w:t>som intravenös infusion av sjukvårdspersonal med beredskap att hantera anafylaxi och utrustning för ett akut omhändertagande måste finnas tillgänglig. Patienterna bör övervakas i minst sex timmar efter start av den första infusionen och under två timmar efter start av efterföljande intravenösa infusioner med avseende på symtom som feber och frossa eller andra infusionsrelaterade symtom (se avsnitt</w:t>
      </w:r>
      <w:r w:rsidR="007C15C6" w:rsidRPr="00A74CC6">
        <w:rPr>
          <w:lang w:val="sv-SE"/>
        </w:rPr>
        <w:t> </w:t>
      </w:r>
      <w:r w:rsidR="00264096" w:rsidRPr="00A74CC6">
        <w:rPr>
          <w:lang w:val="sv-SE"/>
        </w:rPr>
        <w:t>4.4 och 4.8). Avbrytande av infusionen eller långsammare infusionshastighet kan hjälpa till att kontrollera sådana symtom. Infusionen kan återupptas när symtomen avklingar.</w:t>
      </w:r>
    </w:p>
    <w:p w14:paraId="2241BB81" w14:textId="77777777" w:rsidR="00C56B2C" w:rsidRPr="00A74CC6" w:rsidRDefault="00C56B2C" w:rsidP="002314CE">
      <w:pPr>
        <w:spacing w:after="0" w:line="240" w:lineRule="auto"/>
        <w:ind w:left="0" w:firstLine="0"/>
        <w:contextualSpacing/>
        <w:rPr>
          <w:lang w:val="sv-SE"/>
        </w:rPr>
      </w:pPr>
    </w:p>
    <w:p w14:paraId="4EC31B14" w14:textId="770ACFCA" w:rsidR="005027AB" w:rsidRPr="00A74CC6" w:rsidRDefault="00264096" w:rsidP="002314CE">
      <w:pPr>
        <w:spacing w:after="0" w:line="240" w:lineRule="auto"/>
        <w:ind w:left="0" w:firstLine="0"/>
        <w:contextualSpacing/>
        <w:rPr>
          <w:lang w:val="sv-SE"/>
        </w:rPr>
      </w:pPr>
      <w:r w:rsidRPr="00A74CC6">
        <w:rPr>
          <w:lang w:val="sv-SE"/>
        </w:rPr>
        <w:t>Om startdosen tolereras väl kan påföljande doser ges so</w:t>
      </w:r>
      <w:r w:rsidR="00C56B2C" w:rsidRPr="00A74CC6">
        <w:rPr>
          <w:lang w:val="sv-SE"/>
        </w:rPr>
        <w:t>m en infusion under 30</w:t>
      </w:r>
      <w:r w:rsidR="007C15C6" w:rsidRPr="00A74CC6">
        <w:rPr>
          <w:lang w:val="sv-SE"/>
        </w:rPr>
        <w:t> </w:t>
      </w:r>
      <w:r w:rsidR="00C56B2C" w:rsidRPr="00A74CC6">
        <w:rPr>
          <w:lang w:val="sv-SE"/>
        </w:rPr>
        <w:t>minuter.</w:t>
      </w:r>
    </w:p>
    <w:p w14:paraId="2DF2B897" w14:textId="77777777" w:rsidR="00C56B2C" w:rsidRPr="00A74CC6" w:rsidRDefault="00C56B2C" w:rsidP="002314CE">
      <w:pPr>
        <w:spacing w:after="0" w:line="240" w:lineRule="auto"/>
        <w:ind w:left="0" w:firstLine="0"/>
        <w:contextualSpacing/>
        <w:rPr>
          <w:lang w:val="sv-SE"/>
        </w:rPr>
      </w:pPr>
    </w:p>
    <w:p w14:paraId="53A04907" w14:textId="474C7C8D" w:rsidR="005027AB" w:rsidRPr="00A74CC6" w:rsidRDefault="00264096" w:rsidP="002314CE">
      <w:pPr>
        <w:spacing w:after="0" w:line="240" w:lineRule="auto"/>
        <w:ind w:left="0" w:firstLine="0"/>
        <w:contextualSpacing/>
        <w:rPr>
          <w:lang w:val="sv-SE"/>
        </w:rPr>
      </w:pPr>
      <w:r w:rsidRPr="00A74CC6">
        <w:rPr>
          <w:lang w:val="sv-SE"/>
        </w:rPr>
        <w:t xml:space="preserve">Anvisningar om spädning av </w:t>
      </w:r>
      <w:r w:rsidR="0015719C" w:rsidRPr="00A74CC6">
        <w:rPr>
          <w:lang w:val="sv-SE"/>
        </w:rPr>
        <w:t xml:space="preserve">KANJINTI </w:t>
      </w:r>
      <w:r w:rsidRPr="00A74CC6">
        <w:rPr>
          <w:lang w:val="sv-SE"/>
        </w:rPr>
        <w:t>intravenös formulering före administrering finns i avsnitt</w:t>
      </w:r>
      <w:r w:rsidR="007C15C6" w:rsidRPr="00A74CC6">
        <w:rPr>
          <w:lang w:val="sv-SE"/>
        </w:rPr>
        <w:t> </w:t>
      </w:r>
      <w:r w:rsidRPr="00A74CC6">
        <w:rPr>
          <w:lang w:val="sv-SE"/>
        </w:rPr>
        <w:t>6.6.</w:t>
      </w:r>
    </w:p>
    <w:p w14:paraId="471E7905" w14:textId="77777777" w:rsidR="00C56B2C" w:rsidRPr="00A74CC6" w:rsidRDefault="00C56B2C" w:rsidP="002314CE">
      <w:pPr>
        <w:pStyle w:val="Heading3"/>
        <w:keepNext w:val="0"/>
        <w:keepLines w:val="0"/>
        <w:tabs>
          <w:tab w:val="center" w:pos="1505"/>
        </w:tabs>
        <w:spacing w:after="0" w:line="240" w:lineRule="auto"/>
        <w:ind w:left="0" w:firstLine="0"/>
        <w:contextualSpacing/>
        <w:rPr>
          <w:i w:val="0"/>
          <w:u w:val="none"/>
          <w:lang w:val="sv-SE"/>
        </w:rPr>
      </w:pPr>
    </w:p>
    <w:p w14:paraId="771588BC" w14:textId="77777777" w:rsidR="005027AB" w:rsidRPr="00A74CC6" w:rsidRDefault="00264096" w:rsidP="001E7238">
      <w:pPr>
        <w:pStyle w:val="Heading3"/>
        <w:tabs>
          <w:tab w:val="center" w:pos="1505"/>
        </w:tabs>
        <w:spacing w:after="0" w:line="240" w:lineRule="auto"/>
        <w:ind w:left="567" w:hanging="567"/>
        <w:contextualSpacing/>
        <w:rPr>
          <w:lang w:val="sv-SE"/>
        </w:rPr>
      </w:pPr>
      <w:r w:rsidRPr="00A74CC6">
        <w:rPr>
          <w:b/>
          <w:i w:val="0"/>
          <w:u w:val="none"/>
          <w:lang w:val="sv-SE"/>
        </w:rPr>
        <w:t>4.3</w:t>
      </w:r>
      <w:r w:rsidRPr="00A74CC6">
        <w:rPr>
          <w:b/>
          <w:i w:val="0"/>
          <w:u w:val="none"/>
          <w:lang w:val="sv-SE"/>
        </w:rPr>
        <w:tab/>
        <w:t>Kontraindikationer</w:t>
      </w:r>
    </w:p>
    <w:p w14:paraId="102B7EEC" w14:textId="77777777" w:rsidR="00C56B2C" w:rsidRPr="00A74CC6" w:rsidRDefault="00C56B2C" w:rsidP="001E7238">
      <w:pPr>
        <w:keepNext/>
        <w:keepLines/>
        <w:spacing w:after="0" w:line="240" w:lineRule="auto"/>
        <w:ind w:right="13"/>
        <w:contextualSpacing/>
        <w:rPr>
          <w:lang w:val="sv-SE"/>
        </w:rPr>
      </w:pPr>
    </w:p>
    <w:p w14:paraId="6FB0E97D" w14:textId="2FE1ABE2" w:rsidR="005027AB" w:rsidRPr="00A74CC6" w:rsidRDefault="00264096" w:rsidP="001E7238">
      <w:pPr>
        <w:keepNext/>
        <w:keepLines/>
        <w:numPr>
          <w:ilvl w:val="0"/>
          <w:numId w:val="3"/>
        </w:numPr>
        <w:spacing w:after="0" w:line="240" w:lineRule="auto"/>
        <w:ind w:left="567" w:hanging="567"/>
        <w:contextualSpacing/>
        <w:rPr>
          <w:lang w:val="sv-SE"/>
        </w:rPr>
      </w:pPr>
      <w:r w:rsidRPr="00A74CC6">
        <w:rPr>
          <w:lang w:val="sv-SE"/>
        </w:rPr>
        <w:t>Överkänslighet mot trastuzumab, murina proteiner eller mot något hjälpämne som anges i avsnitt</w:t>
      </w:r>
      <w:r w:rsidR="007C15C6" w:rsidRPr="00A74CC6">
        <w:rPr>
          <w:lang w:val="sv-SE"/>
        </w:rPr>
        <w:t> </w:t>
      </w:r>
      <w:r w:rsidRPr="00A74CC6">
        <w:rPr>
          <w:lang w:val="sv-SE"/>
        </w:rPr>
        <w:t>6.1.</w:t>
      </w:r>
    </w:p>
    <w:p w14:paraId="70FA64BB" w14:textId="30158C01" w:rsidR="005027AB" w:rsidRPr="00A74CC6" w:rsidRDefault="00264096" w:rsidP="001E7238">
      <w:pPr>
        <w:numPr>
          <w:ilvl w:val="0"/>
          <w:numId w:val="3"/>
        </w:numPr>
        <w:spacing w:after="0" w:line="240" w:lineRule="auto"/>
        <w:ind w:left="567" w:hanging="567"/>
        <w:contextualSpacing/>
        <w:rPr>
          <w:lang w:val="sv-SE"/>
        </w:rPr>
      </w:pPr>
      <w:r w:rsidRPr="00A74CC6">
        <w:rPr>
          <w:lang w:val="sv-SE"/>
        </w:rPr>
        <w:t>Svår dyspné i vila p</w:t>
      </w:r>
      <w:r w:rsidR="007C15C6" w:rsidRPr="00A74CC6">
        <w:rPr>
          <w:lang w:val="sv-SE"/>
        </w:rPr>
        <w:t>.</w:t>
      </w:r>
      <w:r w:rsidRPr="00A74CC6">
        <w:rPr>
          <w:lang w:val="sv-SE"/>
        </w:rPr>
        <w:t>g</w:t>
      </w:r>
      <w:r w:rsidR="007C15C6" w:rsidRPr="00A74CC6">
        <w:rPr>
          <w:lang w:val="sv-SE"/>
        </w:rPr>
        <w:t>.</w:t>
      </w:r>
      <w:r w:rsidRPr="00A74CC6">
        <w:rPr>
          <w:lang w:val="sv-SE"/>
        </w:rPr>
        <w:t>a</w:t>
      </w:r>
      <w:r w:rsidR="007C15C6" w:rsidRPr="00A74CC6">
        <w:rPr>
          <w:lang w:val="sv-SE"/>
        </w:rPr>
        <w:t>.</w:t>
      </w:r>
      <w:r w:rsidRPr="00A74CC6">
        <w:rPr>
          <w:lang w:val="sv-SE"/>
        </w:rPr>
        <w:t xml:space="preserve"> komplikationer </w:t>
      </w:r>
      <w:r w:rsidR="00526C20" w:rsidRPr="00A74CC6">
        <w:rPr>
          <w:lang w:val="sv-SE"/>
        </w:rPr>
        <w:t>till</w:t>
      </w:r>
      <w:r w:rsidRPr="00A74CC6">
        <w:rPr>
          <w:lang w:val="sv-SE"/>
        </w:rPr>
        <w:t xml:space="preserve"> avancerad malignitet eller behov av understödjande syrgasbehandling.</w:t>
      </w:r>
    </w:p>
    <w:p w14:paraId="50F751BE" w14:textId="77777777" w:rsidR="00C56B2C" w:rsidRPr="00A74CC6" w:rsidRDefault="00C56B2C" w:rsidP="001E7238">
      <w:pPr>
        <w:spacing w:after="0" w:line="240" w:lineRule="auto"/>
        <w:ind w:left="0" w:right="13" w:firstLine="0"/>
        <w:contextualSpacing/>
        <w:rPr>
          <w:lang w:val="sv-SE"/>
        </w:rPr>
      </w:pPr>
    </w:p>
    <w:p w14:paraId="3B07D0F2" w14:textId="77777777" w:rsidR="005027AB" w:rsidRPr="00A74CC6" w:rsidRDefault="00264096" w:rsidP="001E7238">
      <w:pPr>
        <w:pStyle w:val="Heading3"/>
        <w:tabs>
          <w:tab w:val="center" w:pos="1840"/>
        </w:tabs>
        <w:spacing w:after="0" w:line="240" w:lineRule="auto"/>
        <w:ind w:left="567" w:hanging="567"/>
        <w:contextualSpacing/>
        <w:rPr>
          <w:b/>
          <w:i w:val="0"/>
          <w:u w:val="none"/>
          <w:lang w:val="sv-SE"/>
        </w:rPr>
      </w:pPr>
      <w:r w:rsidRPr="00A74CC6">
        <w:rPr>
          <w:b/>
          <w:i w:val="0"/>
          <w:u w:val="none"/>
          <w:lang w:val="sv-SE"/>
        </w:rPr>
        <w:t>4.4</w:t>
      </w:r>
      <w:r w:rsidRPr="00A74CC6">
        <w:rPr>
          <w:b/>
          <w:i w:val="0"/>
          <w:u w:val="none"/>
          <w:lang w:val="sv-SE"/>
        </w:rPr>
        <w:tab/>
        <w:t>Varningar och försiktighet</w:t>
      </w:r>
    </w:p>
    <w:p w14:paraId="35E7B579" w14:textId="77777777" w:rsidR="00C56B2C" w:rsidRPr="00A74CC6" w:rsidRDefault="00C56B2C" w:rsidP="001E7238">
      <w:pPr>
        <w:keepNext/>
        <w:keepLines/>
        <w:spacing w:after="0" w:line="240" w:lineRule="auto"/>
        <w:rPr>
          <w:lang w:val="sv-SE"/>
        </w:rPr>
      </w:pPr>
    </w:p>
    <w:p w14:paraId="717DB0F5" w14:textId="3BD3F89A" w:rsidR="006376EB" w:rsidRPr="0093020C" w:rsidRDefault="006376EB" w:rsidP="001E7238">
      <w:pPr>
        <w:spacing w:after="0" w:line="240" w:lineRule="auto"/>
        <w:ind w:left="4" w:right="13"/>
        <w:contextualSpacing/>
        <w:rPr>
          <w:u w:val="single"/>
          <w:lang w:val="sv-SE"/>
        </w:rPr>
      </w:pPr>
      <w:r w:rsidRPr="0093020C">
        <w:rPr>
          <w:u w:val="single"/>
          <w:lang w:val="sv-SE"/>
        </w:rPr>
        <w:t>Spårbarhet</w:t>
      </w:r>
    </w:p>
    <w:p w14:paraId="7DFAA435" w14:textId="77777777" w:rsidR="006376EB" w:rsidRDefault="006376EB" w:rsidP="001E7238">
      <w:pPr>
        <w:spacing w:after="0" w:line="240" w:lineRule="auto"/>
        <w:ind w:left="4" w:right="13"/>
        <w:contextualSpacing/>
        <w:rPr>
          <w:lang w:val="sv-SE"/>
        </w:rPr>
      </w:pPr>
    </w:p>
    <w:p w14:paraId="51A39538" w14:textId="08DC9A5E" w:rsidR="00F44519" w:rsidRPr="004A019F" w:rsidRDefault="00F44519" w:rsidP="00F44519">
      <w:pPr>
        <w:autoSpaceDE w:val="0"/>
        <w:autoSpaceDN w:val="0"/>
        <w:adjustRightInd w:val="0"/>
        <w:spacing w:after="0" w:line="240" w:lineRule="auto"/>
        <w:ind w:left="0" w:firstLine="0"/>
        <w:rPr>
          <w:rFonts w:ascii="TimesNewRomanPSMT" w:eastAsia="Yu Mincho" w:hAnsi="TimesNewRomanPSMT" w:cs="TimesNewRomanPSMT"/>
          <w:color w:val="auto"/>
          <w:lang w:val="sv-SE"/>
        </w:rPr>
      </w:pPr>
      <w:r w:rsidRPr="004A019F">
        <w:rPr>
          <w:rFonts w:ascii="TimesNewRomanPSMT" w:eastAsia="Yu Mincho" w:hAnsi="TimesNewRomanPSMT" w:cs="TimesNewRomanPSMT"/>
          <w:color w:val="auto"/>
          <w:lang w:val="sv-SE"/>
        </w:rPr>
        <w:t>För att underlätta spårbarhet av biologiska läkemedel ska läkemedlets produktnamn och</w:t>
      </w:r>
    </w:p>
    <w:p w14:paraId="1529A978" w14:textId="34367E69" w:rsidR="005027AB" w:rsidRPr="00A74CC6" w:rsidRDefault="00F44519" w:rsidP="00F44519">
      <w:pPr>
        <w:spacing w:after="0" w:line="240" w:lineRule="auto"/>
        <w:ind w:left="4" w:right="13"/>
        <w:contextualSpacing/>
        <w:rPr>
          <w:lang w:val="sv-SE"/>
        </w:rPr>
      </w:pPr>
      <w:r w:rsidRPr="004A019F">
        <w:rPr>
          <w:rFonts w:ascii="TimesNewRomanPSMT" w:eastAsia="Yu Mincho" w:hAnsi="TimesNewRomanPSMT" w:cs="TimesNewRomanPSMT"/>
          <w:color w:val="auto"/>
          <w:lang w:val="sv-SE"/>
        </w:rPr>
        <w:t>tillverkningssatsnummer dokumenteras</w:t>
      </w:r>
      <w:r w:rsidR="00264096" w:rsidRPr="00A74CC6">
        <w:rPr>
          <w:lang w:val="sv-SE"/>
        </w:rPr>
        <w:t>.</w:t>
      </w:r>
    </w:p>
    <w:p w14:paraId="7A571125" w14:textId="77777777" w:rsidR="00C56B2C" w:rsidRPr="00A74CC6" w:rsidRDefault="00C56B2C" w:rsidP="001E7238">
      <w:pPr>
        <w:spacing w:after="0" w:line="240" w:lineRule="auto"/>
        <w:ind w:left="4" w:right="13"/>
        <w:contextualSpacing/>
        <w:rPr>
          <w:lang w:val="sv-SE"/>
        </w:rPr>
      </w:pPr>
    </w:p>
    <w:p w14:paraId="7939AD40" w14:textId="1D66BA76" w:rsidR="005027AB" w:rsidRPr="00A74CC6" w:rsidRDefault="00264096" w:rsidP="001E7238">
      <w:pPr>
        <w:spacing w:after="0" w:line="240" w:lineRule="auto"/>
        <w:ind w:left="4" w:right="13"/>
        <w:contextualSpacing/>
        <w:rPr>
          <w:lang w:val="sv-SE"/>
        </w:rPr>
      </w:pPr>
      <w:r w:rsidRPr="00A74CC6">
        <w:rPr>
          <w:lang w:val="sv-SE"/>
        </w:rPr>
        <w:t>Bestämning av HER2 ska genomföras i ett specialiserat laboratorium som kan säkerställa adekvat validering av testmetoderna (se avsnitt</w:t>
      </w:r>
      <w:r w:rsidR="00526C20" w:rsidRPr="00A74CC6">
        <w:rPr>
          <w:lang w:val="sv-SE"/>
        </w:rPr>
        <w:t> </w:t>
      </w:r>
      <w:r w:rsidRPr="00A74CC6">
        <w:rPr>
          <w:lang w:val="sv-SE"/>
        </w:rPr>
        <w:t>5.1).</w:t>
      </w:r>
    </w:p>
    <w:p w14:paraId="34B87759" w14:textId="77777777" w:rsidR="00C56B2C" w:rsidRPr="00A74CC6" w:rsidRDefault="00C56B2C" w:rsidP="001E7238">
      <w:pPr>
        <w:spacing w:after="0" w:line="240" w:lineRule="auto"/>
        <w:ind w:left="4" w:right="13"/>
        <w:contextualSpacing/>
        <w:rPr>
          <w:lang w:val="sv-SE"/>
        </w:rPr>
      </w:pPr>
    </w:p>
    <w:p w14:paraId="23C757FE" w14:textId="2D85E455" w:rsidR="005027AB" w:rsidRPr="00A74CC6" w:rsidRDefault="00264096" w:rsidP="001E7238">
      <w:pPr>
        <w:spacing w:after="0" w:line="240" w:lineRule="auto"/>
        <w:ind w:left="4" w:right="13"/>
        <w:contextualSpacing/>
        <w:rPr>
          <w:lang w:val="sv-SE"/>
        </w:rPr>
      </w:pPr>
      <w:r w:rsidRPr="00A74CC6">
        <w:rPr>
          <w:lang w:val="sv-SE"/>
        </w:rPr>
        <w:t xml:space="preserve">För tillfället finns inga data från kliniska </w:t>
      </w:r>
      <w:r w:rsidR="00B02689">
        <w:rPr>
          <w:lang w:val="sv-SE"/>
        </w:rPr>
        <w:t>studier</w:t>
      </w:r>
      <w:r w:rsidR="00B02689" w:rsidRPr="00A74CC6">
        <w:rPr>
          <w:lang w:val="sv-SE"/>
        </w:rPr>
        <w:t xml:space="preserve"> </w:t>
      </w:r>
      <w:r w:rsidRPr="00A74CC6">
        <w:rPr>
          <w:lang w:val="sv-SE"/>
        </w:rPr>
        <w:t xml:space="preserve">tillgängliga avseende återbehandling </w:t>
      </w:r>
      <w:r w:rsidR="00526C20" w:rsidRPr="00A74CC6">
        <w:rPr>
          <w:lang w:val="sv-SE"/>
        </w:rPr>
        <w:t>av</w:t>
      </w:r>
      <w:r w:rsidRPr="00A74CC6">
        <w:rPr>
          <w:lang w:val="sv-SE"/>
        </w:rPr>
        <w:t xml:space="preserve"> patienter som tidigare fått adjuvant behandling med </w:t>
      </w:r>
      <w:r w:rsidR="00055205" w:rsidRPr="00A74CC6">
        <w:rPr>
          <w:lang w:val="sv-SE"/>
        </w:rPr>
        <w:t>trastuzumab</w:t>
      </w:r>
      <w:r w:rsidRPr="00A74CC6">
        <w:rPr>
          <w:lang w:val="sv-SE"/>
        </w:rPr>
        <w:t>.</w:t>
      </w:r>
    </w:p>
    <w:p w14:paraId="318769C4" w14:textId="77777777" w:rsidR="00C56B2C" w:rsidRPr="00A74CC6" w:rsidRDefault="00C56B2C" w:rsidP="001E7238">
      <w:pPr>
        <w:spacing w:after="0" w:line="240" w:lineRule="auto"/>
        <w:ind w:left="4" w:right="13"/>
        <w:contextualSpacing/>
        <w:rPr>
          <w:lang w:val="sv-SE"/>
        </w:rPr>
      </w:pPr>
    </w:p>
    <w:p w14:paraId="32F14A69" w14:textId="77777777" w:rsidR="005027AB" w:rsidRPr="00A74CC6" w:rsidRDefault="00264096" w:rsidP="002314CE">
      <w:pPr>
        <w:pStyle w:val="Heading2"/>
        <w:suppressAutoHyphens/>
        <w:spacing w:after="0" w:line="240" w:lineRule="auto"/>
        <w:ind w:left="0" w:firstLine="0"/>
        <w:contextualSpacing/>
        <w:rPr>
          <w:lang w:val="sv-SE"/>
        </w:rPr>
      </w:pPr>
      <w:r w:rsidRPr="00A74CC6">
        <w:rPr>
          <w:lang w:val="sv-SE"/>
        </w:rPr>
        <w:lastRenderedPageBreak/>
        <w:t>Hjärtdysfunktion</w:t>
      </w:r>
    </w:p>
    <w:p w14:paraId="6DC07F8D" w14:textId="77777777" w:rsidR="00C56B2C" w:rsidRPr="00A74CC6" w:rsidRDefault="00C56B2C" w:rsidP="002314CE">
      <w:pPr>
        <w:pStyle w:val="Heading3"/>
        <w:suppressAutoHyphens/>
        <w:spacing w:after="0" w:line="240" w:lineRule="auto"/>
        <w:ind w:left="0" w:firstLine="0"/>
        <w:contextualSpacing/>
        <w:rPr>
          <w:lang w:val="sv-SE"/>
        </w:rPr>
      </w:pPr>
    </w:p>
    <w:p w14:paraId="0CEA2329" w14:textId="77777777" w:rsidR="005027AB" w:rsidRPr="00A74CC6" w:rsidRDefault="00264096" w:rsidP="002314CE">
      <w:pPr>
        <w:pStyle w:val="Heading3"/>
        <w:suppressAutoHyphens/>
        <w:spacing w:after="0" w:line="240" w:lineRule="auto"/>
        <w:ind w:left="0" w:firstLine="0"/>
        <w:contextualSpacing/>
        <w:rPr>
          <w:lang w:val="sv-SE"/>
        </w:rPr>
      </w:pPr>
      <w:r w:rsidRPr="00A74CC6">
        <w:rPr>
          <w:lang w:val="sv-SE"/>
        </w:rPr>
        <w:t>Allmänna överväganden</w:t>
      </w:r>
    </w:p>
    <w:p w14:paraId="0D5394C5" w14:textId="77777777" w:rsidR="00C56B2C" w:rsidRPr="00A74CC6" w:rsidRDefault="00C56B2C" w:rsidP="002314CE">
      <w:pPr>
        <w:keepNext/>
        <w:keepLines/>
        <w:suppressAutoHyphens/>
        <w:spacing w:after="0" w:line="240" w:lineRule="auto"/>
        <w:ind w:left="0" w:firstLine="0"/>
        <w:contextualSpacing/>
        <w:rPr>
          <w:lang w:val="sv-SE"/>
        </w:rPr>
      </w:pPr>
    </w:p>
    <w:p w14:paraId="5A7EF7DF" w14:textId="1193B0BE" w:rsidR="005027AB" w:rsidRPr="00A74CC6" w:rsidRDefault="00264096" w:rsidP="002314CE">
      <w:pPr>
        <w:spacing w:after="0" w:line="240" w:lineRule="auto"/>
        <w:ind w:left="0" w:firstLine="0"/>
        <w:contextualSpacing/>
        <w:rPr>
          <w:lang w:val="sv-SE"/>
        </w:rPr>
      </w:pPr>
      <w:r w:rsidRPr="00A74CC6">
        <w:rPr>
          <w:lang w:val="sv-SE"/>
        </w:rPr>
        <w:t xml:space="preserve">Patienter behandlade med </w:t>
      </w:r>
      <w:r w:rsidR="00055205" w:rsidRPr="00A74CC6">
        <w:rPr>
          <w:lang w:val="sv-SE"/>
        </w:rPr>
        <w:t xml:space="preserve">KANJINTI </w:t>
      </w:r>
      <w:r w:rsidRPr="00A74CC6">
        <w:rPr>
          <w:lang w:val="sv-SE"/>
        </w:rPr>
        <w:t xml:space="preserve">har en förhöjd risk att utveckla hjärtsvikt (New York Heart Association [NYHA] klass II-IV) eller asymtomatisk hjärtdysfunktion. Dessa händelser har observerats hos patienter som behandlats med enbart </w:t>
      </w:r>
      <w:r w:rsidR="00055205" w:rsidRPr="00A74CC6">
        <w:rPr>
          <w:lang w:val="sv-SE"/>
        </w:rPr>
        <w:t xml:space="preserve">trastuzumab </w:t>
      </w:r>
      <w:r w:rsidRPr="00A74CC6">
        <w:rPr>
          <w:lang w:val="sv-SE"/>
        </w:rPr>
        <w:t>eller i kombination med paklitaxel eller docetaxel, speciellt efter antracyklininnehållande (doxorubicin eller epirubicin) kemoterapi. De kan vara måttliga till allvarliga och har varit förenade med dödsfall (se avsnitt</w:t>
      </w:r>
      <w:r w:rsidR="00526C20" w:rsidRPr="00A74CC6">
        <w:rPr>
          <w:lang w:val="sv-SE"/>
        </w:rPr>
        <w:t> </w:t>
      </w:r>
      <w:r w:rsidRPr="00A74CC6">
        <w:rPr>
          <w:lang w:val="sv-SE"/>
        </w:rPr>
        <w:t xml:space="preserve">4.8). Försiktighet ska även iakttas </w:t>
      </w:r>
      <w:r w:rsidR="00526C20" w:rsidRPr="00A74CC6">
        <w:rPr>
          <w:lang w:val="sv-SE"/>
        </w:rPr>
        <w:t>vid behandling av</w:t>
      </w:r>
      <w:r w:rsidRPr="00A74CC6">
        <w:rPr>
          <w:lang w:val="sv-SE"/>
        </w:rPr>
        <w:t xml:space="preserve"> patienter med ökad risk för hjärtpåverkan, såsom hypert</w:t>
      </w:r>
      <w:r w:rsidR="00BF270F" w:rsidRPr="00A74CC6">
        <w:rPr>
          <w:lang w:val="sv-SE"/>
        </w:rPr>
        <w:t>oni</w:t>
      </w:r>
      <w:r w:rsidRPr="00A74CC6">
        <w:rPr>
          <w:lang w:val="sv-SE"/>
        </w:rPr>
        <w:t>, tidigare dokumenterad kranskärlssjukdom, hjärtsvikt, LVEF på &lt;</w:t>
      </w:r>
      <w:r w:rsidR="00BC4EC0" w:rsidRPr="00A74CC6">
        <w:rPr>
          <w:lang w:val="sv-SE"/>
        </w:rPr>
        <w:t> </w:t>
      </w:r>
      <w:r w:rsidRPr="00A74CC6">
        <w:rPr>
          <w:lang w:val="sv-SE"/>
        </w:rPr>
        <w:t>55</w:t>
      </w:r>
      <w:r w:rsidR="00B268E6" w:rsidRPr="00A74CC6">
        <w:rPr>
          <w:lang w:val="sv-SE"/>
        </w:rPr>
        <w:t> %</w:t>
      </w:r>
      <w:r w:rsidRPr="00A74CC6">
        <w:rPr>
          <w:lang w:val="sv-SE"/>
        </w:rPr>
        <w:t>, hög ålder.</w:t>
      </w:r>
    </w:p>
    <w:p w14:paraId="53F80997" w14:textId="77777777" w:rsidR="00BC4EC0" w:rsidRPr="00A74CC6" w:rsidRDefault="00BC4EC0" w:rsidP="002314CE">
      <w:pPr>
        <w:spacing w:after="0" w:line="240" w:lineRule="auto"/>
        <w:ind w:left="0" w:firstLine="0"/>
        <w:contextualSpacing/>
        <w:rPr>
          <w:lang w:val="sv-SE"/>
        </w:rPr>
      </w:pPr>
    </w:p>
    <w:p w14:paraId="6D94CF0D" w14:textId="55836AC5" w:rsidR="005027AB" w:rsidRPr="00A74CC6" w:rsidRDefault="00264096" w:rsidP="002314CE">
      <w:pPr>
        <w:spacing w:after="0" w:line="240" w:lineRule="auto"/>
        <w:ind w:left="0" w:firstLine="0"/>
        <w:contextualSpacing/>
        <w:rPr>
          <w:lang w:val="sv-SE"/>
        </w:rPr>
      </w:pPr>
      <w:r w:rsidRPr="00A74CC6">
        <w:rPr>
          <w:lang w:val="sv-SE"/>
        </w:rPr>
        <w:t>Alla patienter som bedöms</w:t>
      </w:r>
      <w:r w:rsidR="00526C20" w:rsidRPr="00A74CC6">
        <w:rPr>
          <w:lang w:val="sv-SE"/>
        </w:rPr>
        <w:t xml:space="preserve"> vara</w:t>
      </w:r>
      <w:r w:rsidRPr="00A74CC6">
        <w:rPr>
          <w:lang w:val="sv-SE"/>
        </w:rPr>
        <w:t xml:space="preserve"> lämpliga för </w:t>
      </w:r>
      <w:r w:rsidR="00055205" w:rsidRPr="00A74CC6">
        <w:rPr>
          <w:lang w:val="sv-SE"/>
        </w:rPr>
        <w:t>KANJINTI-</w:t>
      </w:r>
      <w:r w:rsidRPr="00A74CC6">
        <w:rPr>
          <w:lang w:val="sv-SE"/>
        </w:rPr>
        <w:t>behandling, men särskilt de som tidigare behandlats med antracykliner och cyklofosfamid, ska genomgå initial hjärtundersökning som omfattar anamnes och klinisk undersökning, elektrokardiogram (EKG), ekokardiogram och/eller radioventrikulogram (MUGA</w:t>
      </w:r>
      <w:r w:rsidR="00C27620" w:rsidRPr="00A74CC6">
        <w:rPr>
          <w:lang w:val="sv-SE"/>
        </w:rPr>
        <w:t> = </w:t>
      </w:r>
      <w:r w:rsidRPr="00A74CC6">
        <w:rPr>
          <w:lang w:val="sv-SE"/>
        </w:rPr>
        <w:t>multigated acquisition) eller magnetisk resonanstomografi. Dessa undersökningar kan underlätta identifiering av patienter som kan utveckla hjärtdysfunktion. Hjärtundersökningen ska, såsom före behandling, upprepas var tredje månad under behandling samt var sjätte månad efter avslutad behandling fram till 24</w:t>
      </w:r>
      <w:r w:rsidR="00AD1566" w:rsidRPr="00A74CC6">
        <w:rPr>
          <w:lang w:val="sv-SE"/>
        </w:rPr>
        <w:t> </w:t>
      </w:r>
      <w:r w:rsidRPr="00A74CC6">
        <w:rPr>
          <w:lang w:val="sv-SE"/>
        </w:rPr>
        <w:t xml:space="preserve">månader efter att </w:t>
      </w:r>
      <w:r w:rsidR="00055205" w:rsidRPr="00A74CC6">
        <w:rPr>
          <w:lang w:val="sv-SE"/>
        </w:rPr>
        <w:t>KANJINTI-</w:t>
      </w:r>
      <w:r w:rsidR="007D3C64" w:rsidRPr="00A74CC6">
        <w:rPr>
          <w:lang w:val="sv-SE"/>
        </w:rPr>
        <w:t xml:space="preserve">behandlingen </w:t>
      </w:r>
      <w:r w:rsidR="00C1764C" w:rsidRPr="00A74CC6">
        <w:rPr>
          <w:lang w:val="sv-SE"/>
        </w:rPr>
        <w:t xml:space="preserve">har </w:t>
      </w:r>
      <w:r w:rsidR="007D3C64" w:rsidRPr="00A74CC6">
        <w:rPr>
          <w:lang w:val="sv-SE"/>
        </w:rPr>
        <w:t xml:space="preserve">avslutats. </w:t>
      </w:r>
      <w:r w:rsidRPr="00A74CC6">
        <w:rPr>
          <w:lang w:val="sv-SE"/>
        </w:rPr>
        <w:t xml:space="preserve">En noggrann nytta-riskbedömning </w:t>
      </w:r>
      <w:r w:rsidR="006E2536">
        <w:rPr>
          <w:lang w:val="sv-SE"/>
        </w:rPr>
        <w:t>ska</w:t>
      </w:r>
      <w:r w:rsidR="006E2536" w:rsidRPr="00A74CC6">
        <w:rPr>
          <w:lang w:val="sv-SE"/>
        </w:rPr>
        <w:t xml:space="preserve"> </w:t>
      </w:r>
      <w:r w:rsidR="00AD1566" w:rsidRPr="00A74CC6">
        <w:rPr>
          <w:lang w:val="sv-SE"/>
        </w:rPr>
        <w:t>göras</w:t>
      </w:r>
      <w:r w:rsidRPr="00A74CC6">
        <w:rPr>
          <w:lang w:val="sv-SE"/>
        </w:rPr>
        <w:t xml:space="preserve"> innan bes</w:t>
      </w:r>
      <w:r w:rsidR="00BC4EC0" w:rsidRPr="00A74CC6">
        <w:rPr>
          <w:lang w:val="sv-SE"/>
        </w:rPr>
        <w:t xml:space="preserve">lut </w:t>
      </w:r>
      <w:r w:rsidR="00C1764C" w:rsidRPr="00A74CC6">
        <w:rPr>
          <w:lang w:val="sv-SE"/>
        </w:rPr>
        <w:t>fat</w:t>
      </w:r>
      <w:r w:rsidR="00BC4EC0" w:rsidRPr="00A74CC6">
        <w:rPr>
          <w:lang w:val="sv-SE"/>
        </w:rPr>
        <w:t xml:space="preserve">tas om </w:t>
      </w:r>
      <w:r w:rsidR="00055205" w:rsidRPr="00A74CC6">
        <w:rPr>
          <w:lang w:val="sv-SE"/>
        </w:rPr>
        <w:t>KANJINTI-</w:t>
      </w:r>
      <w:r w:rsidR="00BC4EC0" w:rsidRPr="00A74CC6">
        <w:rPr>
          <w:lang w:val="sv-SE"/>
        </w:rPr>
        <w:t>behandling.</w:t>
      </w:r>
    </w:p>
    <w:p w14:paraId="00D826D4" w14:textId="77777777" w:rsidR="00BC4EC0" w:rsidRPr="00A74CC6" w:rsidRDefault="00BC4EC0" w:rsidP="002314CE">
      <w:pPr>
        <w:spacing w:after="0" w:line="240" w:lineRule="auto"/>
        <w:ind w:left="0" w:firstLine="0"/>
        <w:contextualSpacing/>
        <w:rPr>
          <w:lang w:val="sv-SE"/>
        </w:rPr>
      </w:pPr>
    </w:p>
    <w:p w14:paraId="7F56454A" w14:textId="42DBB4F6" w:rsidR="005027AB" w:rsidRPr="00A74CC6" w:rsidRDefault="00264096" w:rsidP="002314CE">
      <w:pPr>
        <w:spacing w:after="0" w:line="240" w:lineRule="auto"/>
        <w:ind w:left="0" w:firstLine="0"/>
        <w:contextualSpacing/>
        <w:rPr>
          <w:lang w:val="sv-SE"/>
        </w:rPr>
      </w:pPr>
      <w:r w:rsidRPr="00A74CC6">
        <w:rPr>
          <w:lang w:val="sv-SE"/>
        </w:rPr>
        <w:t>Trastuzumab kan finnas kvar i cirkulationen i upp till 7</w:t>
      </w:r>
      <w:r w:rsidR="00AD1566" w:rsidRPr="00A74CC6">
        <w:rPr>
          <w:lang w:val="sv-SE"/>
        </w:rPr>
        <w:t> </w:t>
      </w:r>
      <w:r w:rsidRPr="00A74CC6">
        <w:rPr>
          <w:lang w:val="sv-SE"/>
        </w:rPr>
        <w:t xml:space="preserve">månader efter </w:t>
      </w:r>
      <w:r w:rsidR="00AD1566" w:rsidRPr="00A74CC6">
        <w:rPr>
          <w:lang w:val="sv-SE"/>
        </w:rPr>
        <w:t xml:space="preserve">att </w:t>
      </w:r>
      <w:r w:rsidR="00055205" w:rsidRPr="00A74CC6">
        <w:rPr>
          <w:lang w:val="sv-SE"/>
        </w:rPr>
        <w:t>KANJINTI-</w:t>
      </w:r>
      <w:r w:rsidRPr="00A74CC6">
        <w:rPr>
          <w:lang w:val="sv-SE"/>
        </w:rPr>
        <w:t xml:space="preserve">behandlingen </w:t>
      </w:r>
      <w:r w:rsidR="00AD1566" w:rsidRPr="00A74CC6">
        <w:rPr>
          <w:lang w:val="sv-SE"/>
        </w:rPr>
        <w:t xml:space="preserve">har </w:t>
      </w:r>
      <w:r w:rsidRPr="00A74CC6">
        <w:rPr>
          <w:lang w:val="sv-SE"/>
        </w:rPr>
        <w:t>avslutats baserat på populationsfarmakokinetiska analyser av alla tillgängliga data (se avsnitt</w:t>
      </w:r>
      <w:r w:rsidR="00AD1566" w:rsidRPr="00A74CC6">
        <w:rPr>
          <w:lang w:val="sv-SE"/>
        </w:rPr>
        <w:t> </w:t>
      </w:r>
      <w:r w:rsidRPr="00A74CC6">
        <w:rPr>
          <w:lang w:val="sv-SE"/>
        </w:rPr>
        <w:t xml:space="preserve">5.2). Patienter som får antracykliner efter att </w:t>
      </w:r>
      <w:r w:rsidR="00055205" w:rsidRPr="00A74CC6">
        <w:rPr>
          <w:lang w:val="sv-SE"/>
        </w:rPr>
        <w:t xml:space="preserve">KANJINTI </w:t>
      </w:r>
      <w:r w:rsidR="00AD1566" w:rsidRPr="00A74CC6">
        <w:rPr>
          <w:lang w:val="sv-SE"/>
        </w:rPr>
        <w:t xml:space="preserve">har </w:t>
      </w:r>
      <w:r w:rsidRPr="00A74CC6">
        <w:rPr>
          <w:lang w:val="sv-SE"/>
        </w:rPr>
        <w:t>avslutats kan möjligen ha en ökad risk för hjärtdysfunktion. Om möjligt bör läkarna undvika antracyklinbaserad behand</w:t>
      </w:r>
      <w:r w:rsidR="00BC4EC0" w:rsidRPr="00A74CC6">
        <w:rPr>
          <w:lang w:val="sv-SE"/>
        </w:rPr>
        <w:t>ling i upp till 7</w:t>
      </w:r>
      <w:r w:rsidR="00AD1566" w:rsidRPr="00A74CC6">
        <w:rPr>
          <w:lang w:val="sv-SE"/>
        </w:rPr>
        <w:t> </w:t>
      </w:r>
      <w:r w:rsidR="00BC4EC0" w:rsidRPr="00A74CC6">
        <w:rPr>
          <w:lang w:val="sv-SE"/>
        </w:rPr>
        <w:t xml:space="preserve">månader efter </w:t>
      </w:r>
      <w:r w:rsidR="00AD1566" w:rsidRPr="00A74CC6">
        <w:rPr>
          <w:lang w:val="sv-SE"/>
        </w:rPr>
        <w:t xml:space="preserve">att </w:t>
      </w:r>
      <w:r w:rsidR="00055205" w:rsidRPr="00A74CC6">
        <w:rPr>
          <w:lang w:val="sv-SE"/>
        </w:rPr>
        <w:t>KANJINTI-</w:t>
      </w:r>
      <w:r w:rsidRPr="00A74CC6">
        <w:rPr>
          <w:lang w:val="sv-SE"/>
        </w:rPr>
        <w:t>behandlingen</w:t>
      </w:r>
      <w:r w:rsidR="00AD1566" w:rsidRPr="00A74CC6">
        <w:rPr>
          <w:lang w:val="sv-SE"/>
        </w:rPr>
        <w:t xml:space="preserve"> har</w:t>
      </w:r>
      <w:r w:rsidRPr="00A74CC6">
        <w:rPr>
          <w:lang w:val="sv-SE"/>
        </w:rPr>
        <w:t xml:space="preserve"> avslutats. Om antracykliner används ska patientens hjärtfunktion noggrant övervakas.</w:t>
      </w:r>
    </w:p>
    <w:p w14:paraId="2BAD2384" w14:textId="77777777" w:rsidR="00BC4EC0" w:rsidRPr="00A74CC6" w:rsidRDefault="00BC4EC0" w:rsidP="002314CE">
      <w:pPr>
        <w:spacing w:after="0" w:line="240" w:lineRule="auto"/>
        <w:ind w:left="0" w:firstLine="0"/>
        <w:contextualSpacing/>
        <w:rPr>
          <w:lang w:val="sv-SE"/>
        </w:rPr>
      </w:pPr>
    </w:p>
    <w:p w14:paraId="2C385918" w14:textId="131A9DCD" w:rsidR="005027AB" w:rsidRPr="00A74CC6" w:rsidRDefault="00264096" w:rsidP="002314CE">
      <w:pPr>
        <w:spacing w:after="0" w:line="240" w:lineRule="auto"/>
        <w:ind w:left="0" w:firstLine="0"/>
        <w:contextualSpacing/>
        <w:rPr>
          <w:lang w:val="sv-SE"/>
        </w:rPr>
      </w:pPr>
      <w:r w:rsidRPr="00A74CC6">
        <w:rPr>
          <w:lang w:val="sv-SE"/>
        </w:rPr>
        <w:t xml:space="preserve">Kardiologisk utredning bör övervägas hos patienter </w:t>
      </w:r>
      <w:r w:rsidR="00AD1566" w:rsidRPr="00A74CC6">
        <w:rPr>
          <w:lang w:val="sv-SE"/>
        </w:rPr>
        <w:t>med</w:t>
      </w:r>
      <w:r w:rsidRPr="00A74CC6">
        <w:rPr>
          <w:lang w:val="sv-SE"/>
        </w:rPr>
        <w:t xml:space="preserve"> tecken på kardiella riskfaktorer </w:t>
      </w:r>
      <w:r w:rsidR="00AD1566" w:rsidRPr="00A74CC6">
        <w:rPr>
          <w:lang w:val="sv-SE"/>
        </w:rPr>
        <w:t>vid</w:t>
      </w:r>
      <w:r w:rsidRPr="00A74CC6">
        <w:rPr>
          <w:lang w:val="sv-SE"/>
        </w:rPr>
        <w:t xml:space="preserve"> screeningen </w:t>
      </w:r>
      <w:r w:rsidR="00AD1566" w:rsidRPr="00A74CC6">
        <w:rPr>
          <w:lang w:val="sv-SE"/>
        </w:rPr>
        <w:t>före</w:t>
      </w:r>
      <w:r w:rsidRPr="00A74CC6">
        <w:rPr>
          <w:lang w:val="sv-SE"/>
        </w:rPr>
        <w:t xml:space="preserve"> behandlingsstart. Hjärtfunktionen bör kontrolleras under </w:t>
      </w:r>
      <w:r w:rsidR="0015719C" w:rsidRPr="00A74CC6">
        <w:rPr>
          <w:lang w:val="sv-SE"/>
        </w:rPr>
        <w:t xml:space="preserve">KANJINTI-behandlingen </w:t>
      </w:r>
      <w:r w:rsidRPr="00A74CC6">
        <w:rPr>
          <w:lang w:val="sv-SE"/>
        </w:rPr>
        <w:t>(t.ex. var 12:e vecka)</w:t>
      </w:r>
      <w:r w:rsidR="00AD1566" w:rsidRPr="00A74CC6">
        <w:rPr>
          <w:lang w:val="sv-SE"/>
        </w:rPr>
        <w:t xml:space="preserve"> hos alla patienter</w:t>
      </w:r>
      <w:r w:rsidRPr="00A74CC6">
        <w:rPr>
          <w:lang w:val="sv-SE"/>
        </w:rPr>
        <w:t xml:space="preserve">. Dessa kontroller kan underlätta identifieringen av patienter som utvecklar </w:t>
      </w:r>
      <w:r w:rsidR="00AD1566" w:rsidRPr="00A74CC6">
        <w:rPr>
          <w:lang w:val="sv-SE"/>
        </w:rPr>
        <w:t>hjärt</w:t>
      </w:r>
      <w:r w:rsidRPr="00A74CC6">
        <w:rPr>
          <w:lang w:val="sv-SE"/>
        </w:rPr>
        <w:t xml:space="preserve">dysfunktion. Patienter som utvecklar asymtomatisk </w:t>
      </w:r>
      <w:r w:rsidR="00AD1566" w:rsidRPr="00A74CC6">
        <w:rPr>
          <w:lang w:val="sv-SE"/>
        </w:rPr>
        <w:t>hjärt</w:t>
      </w:r>
      <w:r w:rsidRPr="00A74CC6">
        <w:rPr>
          <w:lang w:val="sv-SE"/>
        </w:rPr>
        <w:t xml:space="preserve">dysfunktion kan ha nytta av </w:t>
      </w:r>
      <w:r w:rsidR="004462B3" w:rsidRPr="00A74CC6">
        <w:rPr>
          <w:lang w:val="sv-SE"/>
        </w:rPr>
        <w:t>tätare</w:t>
      </w:r>
      <w:r w:rsidR="00E36A8F" w:rsidRPr="00A74CC6">
        <w:rPr>
          <w:lang w:val="sv-SE"/>
        </w:rPr>
        <w:t xml:space="preserve"> kontroller (t.ex. var 6</w:t>
      </w:r>
      <w:r w:rsidR="00C1764C" w:rsidRPr="00A74CC6">
        <w:rPr>
          <w:lang w:val="sv-SE"/>
        </w:rPr>
        <w:t xml:space="preserve">:e till var </w:t>
      </w:r>
      <w:r w:rsidRPr="00A74CC6">
        <w:rPr>
          <w:lang w:val="sv-SE"/>
        </w:rPr>
        <w:t>8</w:t>
      </w:r>
      <w:r w:rsidR="004462B3" w:rsidRPr="00A74CC6">
        <w:rPr>
          <w:lang w:val="sv-SE"/>
        </w:rPr>
        <w:t>:e</w:t>
      </w:r>
      <w:r w:rsidRPr="00A74CC6">
        <w:rPr>
          <w:lang w:val="sv-SE"/>
        </w:rPr>
        <w:t xml:space="preserve"> vecka). Om patiente</w:t>
      </w:r>
      <w:r w:rsidR="004462B3" w:rsidRPr="00A74CC6">
        <w:rPr>
          <w:lang w:val="sv-SE"/>
        </w:rPr>
        <w:t>n</w:t>
      </w:r>
      <w:r w:rsidRPr="00A74CC6">
        <w:rPr>
          <w:lang w:val="sv-SE"/>
        </w:rPr>
        <w:t xml:space="preserve"> uppvisar en kontinuerlig minskning av vänsterkammarfunktion</w:t>
      </w:r>
      <w:r w:rsidR="004462B3" w:rsidRPr="00A74CC6">
        <w:rPr>
          <w:lang w:val="sv-SE"/>
        </w:rPr>
        <w:t>en</w:t>
      </w:r>
      <w:r w:rsidRPr="00A74CC6">
        <w:rPr>
          <w:lang w:val="sv-SE"/>
        </w:rPr>
        <w:t>, men förblir asymtomatisk, bör läkaren överväga att avbryta behandlingen om ingen klinisk nytta av be</w:t>
      </w:r>
      <w:r w:rsidR="00BC4EC0" w:rsidRPr="00A74CC6">
        <w:rPr>
          <w:lang w:val="sv-SE"/>
        </w:rPr>
        <w:t xml:space="preserve">handlingen med </w:t>
      </w:r>
      <w:r w:rsidR="00055205" w:rsidRPr="00A74CC6">
        <w:rPr>
          <w:lang w:val="sv-SE"/>
        </w:rPr>
        <w:t xml:space="preserve">KANJINTI </w:t>
      </w:r>
      <w:r w:rsidR="00C1764C" w:rsidRPr="00A74CC6">
        <w:rPr>
          <w:lang w:val="sv-SE"/>
        </w:rPr>
        <w:t xml:space="preserve">har </w:t>
      </w:r>
      <w:r w:rsidR="00BC4EC0" w:rsidRPr="00A74CC6">
        <w:rPr>
          <w:lang w:val="sv-SE"/>
        </w:rPr>
        <w:t>setts.</w:t>
      </w:r>
    </w:p>
    <w:p w14:paraId="08BEB4E8" w14:textId="77777777" w:rsidR="00BC4EC0" w:rsidRPr="00A74CC6" w:rsidRDefault="00BC4EC0" w:rsidP="002314CE">
      <w:pPr>
        <w:spacing w:after="0" w:line="240" w:lineRule="auto"/>
        <w:ind w:left="0" w:firstLine="0"/>
        <w:contextualSpacing/>
        <w:rPr>
          <w:lang w:val="sv-SE"/>
        </w:rPr>
      </w:pPr>
    </w:p>
    <w:p w14:paraId="172ECAD3" w14:textId="3E6E8E79" w:rsidR="005027AB" w:rsidRPr="00A74CC6" w:rsidRDefault="00264096" w:rsidP="002314CE">
      <w:pPr>
        <w:spacing w:after="0" w:line="240" w:lineRule="auto"/>
        <w:ind w:left="0" w:firstLine="0"/>
        <w:contextualSpacing/>
        <w:rPr>
          <w:lang w:val="sv-SE"/>
        </w:rPr>
      </w:pPr>
      <w:r w:rsidRPr="00A74CC6">
        <w:rPr>
          <w:lang w:val="sv-SE"/>
        </w:rPr>
        <w:t xml:space="preserve">Säkerhetsaspekten av att fortsätta eller återuppta behandlingen med </w:t>
      </w:r>
      <w:r w:rsidR="00055205" w:rsidRPr="00A74CC6">
        <w:rPr>
          <w:lang w:val="sv-SE"/>
        </w:rPr>
        <w:t xml:space="preserve">trastuzumab </w:t>
      </w:r>
      <w:r w:rsidRPr="00A74CC6">
        <w:rPr>
          <w:lang w:val="sv-SE"/>
        </w:rPr>
        <w:t xml:space="preserve">hos patienter som </w:t>
      </w:r>
      <w:r w:rsidR="004462B3" w:rsidRPr="00A74CC6">
        <w:rPr>
          <w:lang w:val="sv-SE"/>
        </w:rPr>
        <w:t>drabbas av</w:t>
      </w:r>
      <w:r w:rsidRPr="00A74CC6">
        <w:rPr>
          <w:lang w:val="sv-SE"/>
        </w:rPr>
        <w:t xml:space="preserve"> hjärtdysfunktion har ej studerats prospektivt. Om procentsatsen för LVEF </w:t>
      </w:r>
      <w:r w:rsidR="004462B3" w:rsidRPr="00A74CC6">
        <w:rPr>
          <w:lang w:val="sv-SE"/>
        </w:rPr>
        <w:t>minskar</w:t>
      </w:r>
      <w:r w:rsidRPr="00A74CC6">
        <w:rPr>
          <w:lang w:val="sv-SE"/>
        </w:rPr>
        <w:t xml:space="preserve"> med ≥</w:t>
      </w:r>
      <w:r w:rsidR="005B1DCE" w:rsidRPr="00A74CC6">
        <w:rPr>
          <w:lang w:val="sv-SE"/>
        </w:rPr>
        <w:t> </w:t>
      </w:r>
      <w:r w:rsidRPr="00A74CC6">
        <w:rPr>
          <w:lang w:val="sv-SE"/>
        </w:rPr>
        <w:t>10</w:t>
      </w:r>
      <w:r w:rsidR="004462B3" w:rsidRPr="00A74CC6">
        <w:rPr>
          <w:lang w:val="sv-SE"/>
        </w:rPr>
        <w:t> </w:t>
      </w:r>
      <w:r w:rsidRPr="00A74CC6">
        <w:rPr>
          <w:lang w:val="sv-SE"/>
        </w:rPr>
        <w:t>enheter från värdet vid behandlingsstart OCH till under 50</w:t>
      </w:r>
      <w:r w:rsidR="00B268E6" w:rsidRPr="00A74CC6">
        <w:rPr>
          <w:lang w:val="sv-SE"/>
        </w:rPr>
        <w:t> %</w:t>
      </w:r>
      <w:r w:rsidR="00C1764C" w:rsidRPr="00A74CC6">
        <w:rPr>
          <w:lang w:val="sv-SE"/>
        </w:rPr>
        <w:t>,</w:t>
      </w:r>
      <w:r w:rsidRPr="00A74CC6">
        <w:rPr>
          <w:lang w:val="sv-SE"/>
        </w:rPr>
        <w:t xml:space="preserve"> ska behandling inte ges och en förnyad mätning av LVEF utföras inom ca 3</w:t>
      </w:r>
      <w:r w:rsidR="004462B3" w:rsidRPr="00A74CC6">
        <w:rPr>
          <w:lang w:val="sv-SE"/>
        </w:rPr>
        <w:t> </w:t>
      </w:r>
      <w:r w:rsidRPr="00A74CC6">
        <w:rPr>
          <w:lang w:val="sv-SE"/>
        </w:rPr>
        <w:t>veckor. Om LVEF inte har förbättrats, eller om de</w:t>
      </w:r>
      <w:r w:rsidR="004462B3" w:rsidRPr="00A74CC6">
        <w:rPr>
          <w:lang w:val="sv-SE"/>
        </w:rPr>
        <w:t>n</w:t>
      </w:r>
      <w:r w:rsidRPr="00A74CC6">
        <w:rPr>
          <w:lang w:val="sv-SE"/>
        </w:rPr>
        <w:t xml:space="preserve"> har </w:t>
      </w:r>
      <w:r w:rsidR="004462B3" w:rsidRPr="00A74CC6">
        <w:rPr>
          <w:lang w:val="sv-SE"/>
        </w:rPr>
        <w:t>minskat</w:t>
      </w:r>
      <w:r w:rsidRPr="00A74CC6">
        <w:rPr>
          <w:lang w:val="sv-SE"/>
        </w:rPr>
        <w:t xml:space="preserve"> ytterligare, eller </w:t>
      </w:r>
      <w:r w:rsidR="00C1764C" w:rsidRPr="00A74CC6">
        <w:rPr>
          <w:lang w:val="sv-SE"/>
        </w:rPr>
        <w:t xml:space="preserve">om </w:t>
      </w:r>
      <w:r w:rsidRPr="00A74CC6">
        <w:rPr>
          <w:lang w:val="sv-SE"/>
        </w:rPr>
        <w:t xml:space="preserve">symtomatisk hjärtsvikt </w:t>
      </w:r>
      <w:r w:rsidR="004462B3" w:rsidRPr="00A74CC6">
        <w:rPr>
          <w:lang w:val="sv-SE"/>
        </w:rPr>
        <w:t xml:space="preserve">har </w:t>
      </w:r>
      <w:r w:rsidRPr="00A74CC6">
        <w:rPr>
          <w:lang w:val="sv-SE"/>
        </w:rPr>
        <w:t xml:space="preserve">utvecklats, ska utsättning av </w:t>
      </w:r>
      <w:r w:rsidR="00055205" w:rsidRPr="00A74CC6">
        <w:rPr>
          <w:lang w:val="sv-SE"/>
        </w:rPr>
        <w:t xml:space="preserve">KANJINTI </w:t>
      </w:r>
      <w:r w:rsidRPr="00A74CC6">
        <w:rPr>
          <w:lang w:val="sv-SE"/>
        </w:rPr>
        <w:t>starkt övervägas såvida inte fördelarna för den enskilda patienten bedöms överväga riskerna. Alla sådana patienter ska remitteras för undersökning hos en kardiolog och följas upp.</w:t>
      </w:r>
    </w:p>
    <w:p w14:paraId="7927D05F" w14:textId="77777777" w:rsidR="00BC4EC0" w:rsidRPr="00A74CC6" w:rsidRDefault="00BC4EC0" w:rsidP="002314CE">
      <w:pPr>
        <w:spacing w:after="0" w:line="240" w:lineRule="auto"/>
        <w:ind w:left="0" w:firstLine="0"/>
        <w:contextualSpacing/>
        <w:rPr>
          <w:lang w:val="sv-SE"/>
        </w:rPr>
      </w:pPr>
    </w:p>
    <w:p w14:paraId="0771D6E8" w14:textId="4A5815F1" w:rsidR="005027AB" w:rsidRPr="00A74CC6" w:rsidRDefault="00264096" w:rsidP="002314CE">
      <w:pPr>
        <w:spacing w:after="0" w:line="240" w:lineRule="auto"/>
        <w:ind w:left="0" w:firstLine="0"/>
        <w:contextualSpacing/>
        <w:rPr>
          <w:lang w:val="sv-SE"/>
        </w:rPr>
      </w:pPr>
      <w:r w:rsidRPr="00A74CC6">
        <w:rPr>
          <w:lang w:val="sv-SE"/>
        </w:rPr>
        <w:t>Om symtomatisk hjärtsvikt u</w:t>
      </w:r>
      <w:r w:rsidR="004462B3" w:rsidRPr="00A74CC6">
        <w:rPr>
          <w:lang w:val="sv-SE"/>
        </w:rPr>
        <w:t>tvecklas under</w:t>
      </w:r>
      <w:r w:rsidRPr="00A74CC6">
        <w:rPr>
          <w:lang w:val="sv-SE"/>
        </w:rPr>
        <w:t xml:space="preserve"> </w:t>
      </w:r>
      <w:r w:rsidR="00055205" w:rsidRPr="00A74CC6">
        <w:rPr>
          <w:lang w:val="sv-SE"/>
        </w:rPr>
        <w:t>KANJINTI-</w:t>
      </w:r>
      <w:r w:rsidRPr="00A74CC6">
        <w:rPr>
          <w:lang w:val="sv-SE"/>
        </w:rPr>
        <w:t xml:space="preserve">behandling ska den behandlas med sedvanliga läkemedel mot hjärtsvikt. De flesta patienter som utvecklade hjärtsvikt eller asymtomatisk hjärtdysfunktion i de pivotala studierna förbättrades med sedvanlig medicinsk hjärtsviktsbehandling, innehållande en ACE-hämmare eller angiotensinreceptorantagonist samt en betablockerare. Majoriteten av patienterna med hjärtsymtom och tecken på klinisk effekt av </w:t>
      </w:r>
      <w:r w:rsidR="00055205" w:rsidRPr="00A74CC6">
        <w:rPr>
          <w:lang w:val="sv-SE"/>
        </w:rPr>
        <w:t>trastuzum</w:t>
      </w:r>
      <w:r w:rsidR="0015719C" w:rsidRPr="00A74CC6">
        <w:rPr>
          <w:lang w:val="sv-SE"/>
        </w:rPr>
        <w:t>a</w:t>
      </w:r>
      <w:r w:rsidR="00055205" w:rsidRPr="00A74CC6">
        <w:rPr>
          <w:lang w:val="sv-SE"/>
        </w:rPr>
        <w:t xml:space="preserve">bbehandling </w:t>
      </w:r>
      <w:r w:rsidRPr="00A74CC6">
        <w:rPr>
          <w:lang w:val="sv-SE"/>
        </w:rPr>
        <w:t>fortsatte behandling</w:t>
      </w:r>
      <w:r w:rsidR="00C1764C" w:rsidRPr="00A74CC6">
        <w:rPr>
          <w:lang w:val="sv-SE"/>
        </w:rPr>
        <w:t>en</w:t>
      </w:r>
      <w:r w:rsidRPr="00A74CC6">
        <w:rPr>
          <w:lang w:val="sv-SE"/>
        </w:rPr>
        <w:t xml:space="preserve"> med </w:t>
      </w:r>
      <w:r w:rsidR="0015719C" w:rsidRPr="00A74CC6">
        <w:rPr>
          <w:lang w:val="sv-SE"/>
        </w:rPr>
        <w:t xml:space="preserve">trastuzumab </w:t>
      </w:r>
      <w:r w:rsidRPr="00A74CC6">
        <w:rPr>
          <w:lang w:val="sv-SE"/>
        </w:rPr>
        <w:t>utan ytterligare kliniska hjärtkomplikationer.</w:t>
      </w:r>
    </w:p>
    <w:p w14:paraId="354E48A4" w14:textId="77777777" w:rsidR="00BC4EC0" w:rsidRPr="00A74CC6" w:rsidRDefault="00BC4EC0" w:rsidP="002314CE">
      <w:pPr>
        <w:spacing w:after="0" w:line="240" w:lineRule="auto"/>
        <w:ind w:left="0" w:firstLine="0"/>
        <w:contextualSpacing/>
        <w:rPr>
          <w:lang w:val="sv-SE"/>
        </w:rPr>
      </w:pPr>
    </w:p>
    <w:p w14:paraId="17458490" w14:textId="77777777" w:rsidR="005027AB" w:rsidRPr="00A74CC6" w:rsidRDefault="00264096" w:rsidP="00AF0518">
      <w:pPr>
        <w:pStyle w:val="Heading3"/>
        <w:spacing w:after="0" w:line="240" w:lineRule="auto"/>
        <w:ind w:left="0" w:firstLine="0"/>
        <w:contextualSpacing/>
        <w:rPr>
          <w:lang w:val="sv-SE"/>
        </w:rPr>
      </w:pPr>
      <w:r w:rsidRPr="00A74CC6">
        <w:rPr>
          <w:lang w:val="sv-SE"/>
        </w:rPr>
        <w:lastRenderedPageBreak/>
        <w:t>Metastaserad bröstcancer</w:t>
      </w:r>
    </w:p>
    <w:p w14:paraId="60FB38A4" w14:textId="77777777" w:rsidR="00BC4EC0" w:rsidRPr="00A74CC6" w:rsidRDefault="00BC4EC0" w:rsidP="00AF0518">
      <w:pPr>
        <w:keepNext/>
        <w:keepLines/>
        <w:spacing w:after="0" w:line="240" w:lineRule="auto"/>
        <w:ind w:left="0" w:firstLine="0"/>
        <w:contextualSpacing/>
        <w:rPr>
          <w:lang w:val="sv-SE"/>
        </w:rPr>
      </w:pPr>
    </w:p>
    <w:p w14:paraId="20B8CB7D" w14:textId="304E9099" w:rsidR="005027AB" w:rsidRPr="00A74CC6" w:rsidRDefault="00055205" w:rsidP="00AF0518">
      <w:pPr>
        <w:keepNext/>
        <w:keepLines/>
        <w:spacing w:after="0" w:line="240" w:lineRule="auto"/>
        <w:ind w:left="0" w:firstLine="0"/>
        <w:contextualSpacing/>
        <w:rPr>
          <w:lang w:val="sv-SE"/>
        </w:rPr>
      </w:pPr>
      <w:r w:rsidRPr="00A74CC6">
        <w:rPr>
          <w:lang w:val="sv-SE"/>
        </w:rPr>
        <w:t xml:space="preserve">KANJINTI </w:t>
      </w:r>
      <w:r w:rsidR="00264096" w:rsidRPr="00A74CC6">
        <w:rPr>
          <w:lang w:val="sv-SE"/>
        </w:rPr>
        <w:t>och antracykliner ska inte ges samtidigt i kombinatio</w:t>
      </w:r>
      <w:r w:rsidR="00BC4EC0" w:rsidRPr="00A74CC6">
        <w:rPr>
          <w:lang w:val="sv-SE"/>
        </w:rPr>
        <w:t>n vid metastaserad bröstcancer.</w:t>
      </w:r>
    </w:p>
    <w:p w14:paraId="6C634111" w14:textId="77777777" w:rsidR="00BC4EC0" w:rsidRPr="00A74CC6" w:rsidRDefault="00BC4EC0" w:rsidP="00AF0518">
      <w:pPr>
        <w:keepNext/>
        <w:keepLines/>
        <w:spacing w:after="0" w:line="240" w:lineRule="auto"/>
        <w:ind w:left="0" w:firstLine="0"/>
        <w:contextualSpacing/>
        <w:rPr>
          <w:lang w:val="sv-SE"/>
        </w:rPr>
      </w:pPr>
    </w:p>
    <w:p w14:paraId="36C40E08" w14:textId="240D02C3" w:rsidR="005027AB" w:rsidRPr="00A74CC6" w:rsidRDefault="00264096" w:rsidP="002314CE">
      <w:pPr>
        <w:spacing w:after="0" w:line="240" w:lineRule="auto"/>
        <w:ind w:left="0" w:firstLine="0"/>
        <w:contextualSpacing/>
        <w:rPr>
          <w:lang w:val="sv-SE"/>
        </w:rPr>
      </w:pPr>
      <w:r w:rsidRPr="00A74CC6">
        <w:rPr>
          <w:lang w:val="sv-SE"/>
        </w:rPr>
        <w:t xml:space="preserve">Patienter med metastaserad bröstcancer som tidigare fått antracykliner löper också risk för hjärtdysfunktion vid behandling med </w:t>
      </w:r>
      <w:r w:rsidR="00055205" w:rsidRPr="00A74CC6">
        <w:rPr>
          <w:lang w:val="sv-SE"/>
        </w:rPr>
        <w:t>KANJINTI</w:t>
      </w:r>
      <w:r w:rsidRPr="00A74CC6">
        <w:rPr>
          <w:lang w:val="sv-SE"/>
        </w:rPr>
        <w:t xml:space="preserve">, även om risken är lägre än vid samtidig användning av </w:t>
      </w:r>
      <w:r w:rsidR="00055205" w:rsidRPr="00A74CC6">
        <w:rPr>
          <w:lang w:val="sv-SE"/>
        </w:rPr>
        <w:t xml:space="preserve">KANJINTI </w:t>
      </w:r>
      <w:r w:rsidRPr="00A74CC6">
        <w:rPr>
          <w:lang w:val="sv-SE"/>
        </w:rPr>
        <w:t>och antracykliner.</w:t>
      </w:r>
    </w:p>
    <w:p w14:paraId="1A5B0F44" w14:textId="77777777" w:rsidR="00BC4EC0" w:rsidRPr="00A74CC6" w:rsidRDefault="00BC4EC0" w:rsidP="002314CE">
      <w:pPr>
        <w:spacing w:after="0" w:line="240" w:lineRule="auto"/>
        <w:ind w:left="0" w:firstLine="0"/>
        <w:contextualSpacing/>
        <w:rPr>
          <w:lang w:val="sv-SE"/>
        </w:rPr>
      </w:pPr>
    </w:p>
    <w:p w14:paraId="32656CAF" w14:textId="77777777" w:rsidR="005027AB" w:rsidRPr="00A74CC6" w:rsidRDefault="00264096" w:rsidP="002314CE">
      <w:pPr>
        <w:pStyle w:val="Heading3"/>
        <w:suppressAutoHyphens/>
        <w:spacing w:after="0" w:line="240" w:lineRule="auto"/>
        <w:ind w:left="0" w:firstLine="0"/>
        <w:contextualSpacing/>
        <w:rPr>
          <w:lang w:val="sv-SE"/>
        </w:rPr>
      </w:pPr>
      <w:r w:rsidRPr="00A74CC6">
        <w:rPr>
          <w:lang w:val="sv-SE"/>
        </w:rPr>
        <w:t>Tidig bröstcancer</w:t>
      </w:r>
    </w:p>
    <w:p w14:paraId="78074C43" w14:textId="77777777" w:rsidR="00BC4EC0" w:rsidRPr="00A74CC6" w:rsidRDefault="00BC4EC0" w:rsidP="002314CE">
      <w:pPr>
        <w:keepNext/>
        <w:keepLines/>
        <w:suppressAutoHyphens/>
        <w:spacing w:after="0" w:line="240" w:lineRule="auto"/>
        <w:ind w:left="0" w:firstLine="0"/>
        <w:contextualSpacing/>
        <w:rPr>
          <w:lang w:val="sv-SE"/>
        </w:rPr>
      </w:pPr>
    </w:p>
    <w:p w14:paraId="4B05AC9C" w14:textId="78FB0C0F" w:rsidR="005027AB" w:rsidRPr="00A74CC6" w:rsidRDefault="00264096" w:rsidP="002314CE">
      <w:pPr>
        <w:keepNext/>
        <w:keepLines/>
        <w:spacing w:after="0" w:line="240" w:lineRule="auto"/>
        <w:ind w:left="0" w:firstLine="0"/>
        <w:contextualSpacing/>
        <w:rPr>
          <w:lang w:val="sv-SE"/>
        </w:rPr>
      </w:pPr>
      <w:r w:rsidRPr="00A74CC6">
        <w:rPr>
          <w:lang w:val="sv-SE"/>
        </w:rPr>
        <w:t>För patienter med tidig bröstcancer bör den hjärtfunktionskontroll som gjordes innan behandlingsstart upprepas var tredje månad under behandling och var sjätte månad efter avslutad behandling fram till 24</w:t>
      </w:r>
      <w:r w:rsidR="002A5BD5" w:rsidRPr="00A74CC6">
        <w:rPr>
          <w:lang w:val="sv-SE"/>
        </w:rPr>
        <w:t> </w:t>
      </w:r>
      <w:r w:rsidRPr="00A74CC6">
        <w:rPr>
          <w:lang w:val="sv-SE"/>
        </w:rPr>
        <w:t xml:space="preserve">månader efter </w:t>
      </w:r>
      <w:r w:rsidR="002A5BD5" w:rsidRPr="00A74CC6">
        <w:rPr>
          <w:lang w:val="sv-SE"/>
        </w:rPr>
        <w:t xml:space="preserve">den </w:t>
      </w:r>
      <w:r w:rsidRPr="00A74CC6">
        <w:rPr>
          <w:lang w:val="sv-SE"/>
        </w:rPr>
        <w:t xml:space="preserve">sista administreringen av </w:t>
      </w:r>
      <w:r w:rsidR="008C1490" w:rsidRPr="00A74CC6">
        <w:rPr>
          <w:lang w:val="sv-SE"/>
        </w:rPr>
        <w:t>KANJINTI</w:t>
      </w:r>
      <w:r w:rsidRPr="00A74CC6">
        <w:rPr>
          <w:lang w:val="sv-SE"/>
        </w:rPr>
        <w:t xml:space="preserve">. Hos patienter som får antracyklininnehållande kemoterapi rekommenderas ytterligare </w:t>
      </w:r>
      <w:r w:rsidR="002A5BD5" w:rsidRPr="00A74CC6">
        <w:rPr>
          <w:lang w:val="sv-SE"/>
        </w:rPr>
        <w:t>kontroller</w:t>
      </w:r>
      <w:r w:rsidRPr="00A74CC6">
        <w:rPr>
          <w:lang w:val="sv-SE"/>
        </w:rPr>
        <w:t xml:space="preserve">, </w:t>
      </w:r>
      <w:r w:rsidR="002A5BD5" w:rsidRPr="00A74CC6">
        <w:rPr>
          <w:lang w:val="sv-SE"/>
        </w:rPr>
        <w:t xml:space="preserve">som </w:t>
      </w:r>
      <w:r w:rsidRPr="00A74CC6">
        <w:rPr>
          <w:lang w:val="sv-SE"/>
        </w:rPr>
        <w:t>ska ske varje år upp till 5</w:t>
      </w:r>
      <w:r w:rsidR="004462B3" w:rsidRPr="00A74CC6">
        <w:rPr>
          <w:lang w:val="sv-SE"/>
        </w:rPr>
        <w:t> </w:t>
      </w:r>
      <w:r w:rsidRPr="00A74CC6">
        <w:rPr>
          <w:lang w:val="sv-SE"/>
        </w:rPr>
        <w:t xml:space="preserve">år efter den sista administreringen av </w:t>
      </w:r>
      <w:r w:rsidR="008C1490" w:rsidRPr="00A74CC6">
        <w:rPr>
          <w:lang w:val="sv-SE"/>
        </w:rPr>
        <w:t>KANJINTI</w:t>
      </w:r>
      <w:r w:rsidRPr="00A74CC6">
        <w:rPr>
          <w:lang w:val="sv-SE"/>
        </w:rPr>
        <w:t xml:space="preserve">, eller längre om en kontinuerlig minskning </w:t>
      </w:r>
      <w:r w:rsidR="004462B3" w:rsidRPr="00A74CC6">
        <w:rPr>
          <w:lang w:val="sv-SE"/>
        </w:rPr>
        <w:t>av</w:t>
      </w:r>
      <w:r w:rsidRPr="00A74CC6">
        <w:rPr>
          <w:lang w:val="sv-SE"/>
        </w:rPr>
        <w:t xml:space="preserve"> LVEF observeras.</w:t>
      </w:r>
    </w:p>
    <w:p w14:paraId="33BBC9B2" w14:textId="77777777" w:rsidR="00BC4EC0" w:rsidRPr="00A74CC6" w:rsidRDefault="00BC4EC0" w:rsidP="002314CE">
      <w:pPr>
        <w:spacing w:after="0" w:line="240" w:lineRule="auto"/>
        <w:ind w:left="0" w:firstLine="0"/>
        <w:contextualSpacing/>
        <w:rPr>
          <w:lang w:val="sv-SE"/>
        </w:rPr>
      </w:pPr>
    </w:p>
    <w:p w14:paraId="46357027" w14:textId="065D33EB" w:rsidR="005027AB" w:rsidRPr="00A74CC6" w:rsidRDefault="00264096" w:rsidP="002314CE">
      <w:pPr>
        <w:spacing w:after="0" w:line="240" w:lineRule="auto"/>
        <w:ind w:left="0" w:firstLine="0"/>
        <w:contextualSpacing/>
        <w:rPr>
          <w:lang w:val="sv-SE"/>
        </w:rPr>
      </w:pPr>
      <w:r w:rsidRPr="00A74CC6">
        <w:rPr>
          <w:lang w:val="sv-SE"/>
        </w:rPr>
        <w:t xml:space="preserve">Patienter </w:t>
      </w:r>
      <w:r w:rsidR="004462B3" w:rsidRPr="00A74CC6">
        <w:rPr>
          <w:lang w:val="sv-SE"/>
        </w:rPr>
        <w:t xml:space="preserve">med </w:t>
      </w:r>
      <w:r w:rsidRPr="00A74CC6">
        <w:rPr>
          <w:lang w:val="sv-SE"/>
        </w:rPr>
        <w:t>anamnes</w:t>
      </w:r>
      <w:r w:rsidR="004462B3" w:rsidRPr="00A74CC6">
        <w:rPr>
          <w:lang w:val="sv-SE"/>
        </w:rPr>
        <w:t xml:space="preserve"> på</w:t>
      </w:r>
      <w:r w:rsidRPr="00A74CC6">
        <w:rPr>
          <w:lang w:val="sv-SE"/>
        </w:rPr>
        <w:t xml:space="preserve"> hjärtinfarkt, kärlkramp som kräver läkemedelsbehandling, tidigare eller befintlig hjärtsvikt (NYHA</w:t>
      </w:r>
      <w:r w:rsidR="004462B3" w:rsidRPr="00A74CC6">
        <w:rPr>
          <w:lang w:val="sv-SE"/>
        </w:rPr>
        <w:t>-</w:t>
      </w:r>
      <w:r w:rsidRPr="00A74CC6">
        <w:rPr>
          <w:lang w:val="sv-SE"/>
        </w:rPr>
        <w:t>klass</w:t>
      </w:r>
      <w:r w:rsidR="004462B3" w:rsidRPr="00A74CC6">
        <w:rPr>
          <w:lang w:val="sv-SE"/>
        </w:rPr>
        <w:t> </w:t>
      </w:r>
      <w:r w:rsidRPr="00A74CC6">
        <w:rPr>
          <w:lang w:val="sv-SE"/>
        </w:rPr>
        <w:t>II-IV), LVEF på &lt;</w:t>
      </w:r>
      <w:r w:rsidR="00E36A8F" w:rsidRPr="00A74CC6">
        <w:rPr>
          <w:lang w:val="sv-SE"/>
        </w:rPr>
        <w:t> </w:t>
      </w:r>
      <w:r w:rsidRPr="00A74CC6">
        <w:rPr>
          <w:lang w:val="sv-SE"/>
        </w:rPr>
        <w:t>55</w:t>
      </w:r>
      <w:r w:rsidR="00B268E6" w:rsidRPr="00A74CC6">
        <w:rPr>
          <w:lang w:val="sv-SE"/>
        </w:rPr>
        <w:t> %</w:t>
      </w:r>
      <w:r w:rsidRPr="00A74CC6">
        <w:rPr>
          <w:lang w:val="sv-SE"/>
        </w:rPr>
        <w:t xml:space="preserve">, annan kardiomyopati, hjärtarrytmi som kräver läkemedelsbehandling, kliniskt signifikant </w:t>
      </w:r>
      <w:r w:rsidR="004462B3" w:rsidRPr="00A74CC6">
        <w:rPr>
          <w:lang w:val="sv-SE"/>
        </w:rPr>
        <w:t>hjärt</w:t>
      </w:r>
      <w:r w:rsidRPr="00A74CC6">
        <w:rPr>
          <w:lang w:val="sv-SE"/>
        </w:rPr>
        <w:t>klaffsjukdom, otillräckligt kontrollerad hypert</w:t>
      </w:r>
      <w:r w:rsidR="00BF270F" w:rsidRPr="00A74CC6">
        <w:rPr>
          <w:lang w:val="sv-SE"/>
        </w:rPr>
        <w:t>oni</w:t>
      </w:r>
      <w:r w:rsidRPr="00A74CC6">
        <w:rPr>
          <w:lang w:val="sv-SE"/>
        </w:rPr>
        <w:t xml:space="preserve"> (avser ej hypert</w:t>
      </w:r>
      <w:r w:rsidR="00BF270F" w:rsidRPr="00A74CC6">
        <w:rPr>
          <w:lang w:val="sv-SE"/>
        </w:rPr>
        <w:t>oni</w:t>
      </w:r>
      <w:r w:rsidRPr="00A74CC6">
        <w:rPr>
          <w:lang w:val="sv-SE"/>
        </w:rPr>
        <w:t xml:space="preserve"> som </w:t>
      </w:r>
      <w:r w:rsidR="004462B3" w:rsidRPr="00A74CC6">
        <w:rPr>
          <w:lang w:val="sv-SE"/>
        </w:rPr>
        <w:t xml:space="preserve">är under kontroll </w:t>
      </w:r>
      <w:r w:rsidRPr="00A74CC6">
        <w:rPr>
          <w:lang w:val="sv-SE"/>
        </w:rPr>
        <w:t xml:space="preserve">med standardbehandling) </w:t>
      </w:r>
      <w:r w:rsidR="004462B3" w:rsidRPr="00A74CC6">
        <w:rPr>
          <w:lang w:val="sv-SE"/>
        </w:rPr>
        <w:t>eller</w:t>
      </w:r>
      <w:r w:rsidRPr="00A74CC6">
        <w:rPr>
          <w:lang w:val="sv-SE"/>
        </w:rPr>
        <w:t xml:space="preserve"> perikardvätska med hemodynamisk påverkan exkluderades </w:t>
      </w:r>
      <w:r w:rsidR="004462B3" w:rsidRPr="00A74CC6">
        <w:rPr>
          <w:lang w:val="sv-SE"/>
        </w:rPr>
        <w:t>från</w:t>
      </w:r>
      <w:r w:rsidRPr="00A74CC6">
        <w:rPr>
          <w:lang w:val="sv-SE"/>
        </w:rPr>
        <w:t xml:space="preserve"> de pivotala </w:t>
      </w:r>
      <w:r w:rsidR="00D36E8A" w:rsidRPr="00A74CC6">
        <w:rPr>
          <w:lang w:val="sv-SE"/>
        </w:rPr>
        <w:t xml:space="preserve">studierna av trastuzumab som </w:t>
      </w:r>
      <w:r w:rsidRPr="00A74CC6">
        <w:rPr>
          <w:lang w:val="sv-SE"/>
        </w:rPr>
        <w:t xml:space="preserve">adjuvant och neoadjuvant </w:t>
      </w:r>
      <w:r w:rsidR="00D36E8A" w:rsidRPr="00A74CC6">
        <w:rPr>
          <w:lang w:val="sv-SE"/>
        </w:rPr>
        <w:t xml:space="preserve">behandling </w:t>
      </w:r>
      <w:r w:rsidRPr="00A74CC6">
        <w:rPr>
          <w:lang w:val="sv-SE"/>
        </w:rPr>
        <w:t xml:space="preserve">för tidig bröstcancer. Behandling med </w:t>
      </w:r>
      <w:r w:rsidR="008C1490" w:rsidRPr="00A74CC6">
        <w:rPr>
          <w:lang w:val="sv-SE"/>
        </w:rPr>
        <w:t xml:space="preserve">trastuzumab </w:t>
      </w:r>
      <w:r w:rsidRPr="00A74CC6">
        <w:rPr>
          <w:lang w:val="sv-SE"/>
        </w:rPr>
        <w:t>hos denna patientgrupp kan där</w:t>
      </w:r>
      <w:r w:rsidR="002A5BD5" w:rsidRPr="00A74CC6">
        <w:rPr>
          <w:lang w:val="sv-SE"/>
        </w:rPr>
        <w:t>för</w:t>
      </w:r>
      <w:r w:rsidRPr="00A74CC6">
        <w:rPr>
          <w:lang w:val="sv-SE"/>
        </w:rPr>
        <w:t xml:space="preserve"> inte rekommenderas.</w:t>
      </w:r>
    </w:p>
    <w:p w14:paraId="0B1C74BE" w14:textId="77777777" w:rsidR="00BC4EC0" w:rsidRPr="00A74CC6" w:rsidRDefault="00BC4EC0" w:rsidP="002314CE">
      <w:pPr>
        <w:spacing w:after="0" w:line="240" w:lineRule="auto"/>
        <w:ind w:left="0" w:firstLine="0"/>
        <w:contextualSpacing/>
        <w:rPr>
          <w:lang w:val="sv-SE"/>
        </w:rPr>
      </w:pPr>
    </w:p>
    <w:p w14:paraId="5DB75811" w14:textId="77777777" w:rsidR="005027AB" w:rsidRPr="00A74CC6" w:rsidRDefault="00264096" w:rsidP="002314CE">
      <w:pPr>
        <w:pStyle w:val="Heading4"/>
        <w:suppressAutoHyphens/>
        <w:spacing w:after="0" w:line="240" w:lineRule="auto"/>
        <w:ind w:left="0" w:firstLine="0"/>
        <w:contextualSpacing/>
        <w:rPr>
          <w:lang w:val="sv-SE"/>
        </w:rPr>
      </w:pPr>
      <w:r w:rsidRPr="00A74CC6">
        <w:rPr>
          <w:lang w:val="sv-SE"/>
        </w:rPr>
        <w:t>Adjuvant behandling</w:t>
      </w:r>
    </w:p>
    <w:p w14:paraId="5DBA631C" w14:textId="77777777" w:rsidR="00BC4EC0" w:rsidRPr="00A74CC6" w:rsidRDefault="00BC4EC0" w:rsidP="002314CE">
      <w:pPr>
        <w:keepNext/>
        <w:keepLines/>
        <w:suppressAutoHyphens/>
        <w:spacing w:after="0" w:line="240" w:lineRule="auto"/>
        <w:ind w:left="0" w:firstLine="0"/>
        <w:contextualSpacing/>
        <w:rPr>
          <w:lang w:val="sv-SE"/>
        </w:rPr>
      </w:pPr>
    </w:p>
    <w:p w14:paraId="52790854" w14:textId="2B2773B9" w:rsidR="005027AB" w:rsidRPr="00A74CC6" w:rsidRDefault="008C1490" w:rsidP="002314CE">
      <w:pPr>
        <w:spacing w:after="0" w:line="240" w:lineRule="auto"/>
        <w:ind w:left="0" w:firstLine="0"/>
        <w:contextualSpacing/>
        <w:rPr>
          <w:lang w:val="sv-SE"/>
        </w:rPr>
      </w:pPr>
      <w:r w:rsidRPr="00A74CC6">
        <w:rPr>
          <w:lang w:val="sv-SE"/>
        </w:rPr>
        <w:t xml:space="preserve">KANJINTI </w:t>
      </w:r>
      <w:r w:rsidR="00264096" w:rsidRPr="00A74CC6">
        <w:rPr>
          <w:lang w:val="sv-SE"/>
        </w:rPr>
        <w:t>och antracykliner ska inte ges samtidigt i kombination vid adjuvant behandling.</w:t>
      </w:r>
    </w:p>
    <w:p w14:paraId="08417295" w14:textId="77777777" w:rsidR="00BC4EC0" w:rsidRPr="00A74CC6" w:rsidRDefault="00BC4EC0" w:rsidP="002314CE">
      <w:pPr>
        <w:spacing w:after="0" w:line="240" w:lineRule="auto"/>
        <w:ind w:left="0" w:firstLine="0"/>
        <w:contextualSpacing/>
        <w:rPr>
          <w:lang w:val="sv-SE"/>
        </w:rPr>
      </w:pPr>
    </w:p>
    <w:p w14:paraId="51D57F77" w14:textId="40B2A237" w:rsidR="005027AB" w:rsidRPr="00A74CC6" w:rsidRDefault="00264096" w:rsidP="002314CE">
      <w:pPr>
        <w:spacing w:after="0" w:line="240" w:lineRule="auto"/>
        <w:ind w:left="0" w:firstLine="0"/>
        <w:contextualSpacing/>
        <w:rPr>
          <w:lang w:val="sv-SE"/>
        </w:rPr>
      </w:pPr>
      <w:r w:rsidRPr="00A74CC6">
        <w:rPr>
          <w:lang w:val="sv-SE"/>
        </w:rPr>
        <w:t xml:space="preserve">För patienter med tidig bröstcancer observerades en ökning av incidensen av symtomatiska och asymtomatiska hjärthändelser då </w:t>
      </w:r>
      <w:r w:rsidR="008C1490" w:rsidRPr="00A74CC6">
        <w:rPr>
          <w:lang w:val="sv-SE"/>
        </w:rPr>
        <w:t xml:space="preserve">trastuzumab </w:t>
      </w:r>
      <w:r w:rsidRPr="00A74CC6">
        <w:rPr>
          <w:lang w:val="sv-SE"/>
        </w:rPr>
        <w:t xml:space="preserve">gavs efter antracyklininnehållande kemoterapi jämfört med icke antracyklininnehållande kemoterapi (docetaxel och karboplatin), och var mer uttalade då </w:t>
      </w:r>
      <w:r w:rsidR="008C1490" w:rsidRPr="00A74CC6">
        <w:rPr>
          <w:lang w:val="sv-SE"/>
        </w:rPr>
        <w:t xml:space="preserve">trastuzumab </w:t>
      </w:r>
      <w:r w:rsidRPr="00A74CC6">
        <w:rPr>
          <w:lang w:val="sv-SE"/>
        </w:rPr>
        <w:t>gavs samtidigt med taxaner än då det gavs sekventiellt till taxaner. Oavsett vilken behandling som användes inträffade de flesta symtomatiska hjärthändelser inom de första 18</w:t>
      </w:r>
      <w:r w:rsidR="00D36E8A" w:rsidRPr="00A74CC6">
        <w:rPr>
          <w:lang w:val="sv-SE"/>
        </w:rPr>
        <w:t> </w:t>
      </w:r>
      <w:r w:rsidRPr="00A74CC6">
        <w:rPr>
          <w:lang w:val="sv-SE"/>
        </w:rPr>
        <w:t>månaderna. I en av de 3</w:t>
      </w:r>
      <w:r w:rsidR="00D36E8A" w:rsidRPr="00A74CC6">
        <w:rPr>
          <w:lang w:val="sv-SE"/>
        </w:rPr>
        <w:t> </w:t>
      </w:r>
      <w:r w:rsidRPr="00A74CC6">
        <w:rPr>
          <w:lang w:val="sv-SE"/>
        </w:rPr>
        <w:t>pivotala studier som utförts med en medianuppföljningstid på 5,5</w:t>
      </w:r>
      <w:r w:rsidR="00D36E8A" w:rsidRPr="00A74CC6">
        <w:rPr>
          <w:lang w:val="sv-SE"/>
        </w:rPr>
        <w:t> </w:t>
      </w:r>
      <w:r w:rsidRPr="00A74CC6">
        <w:rPr>
          <w:lang w:val="sv-SE"/>
        </w:rPr>
        <w:t>år (BCIRG</w:t>
      </w:r>
      <w:r w:rsidR="00C46DC8">
        <w:rPr>
          <w:lang w:val="sv-SE"/>
        </w:rPr>
        <w:t xml:space="preserve"> </w:t>
      </w:r>
      <w:r w:rsidRPr="00A74CC6">
        <w:rPr>
          <w:lang w:val="sv-SE"/>
        </w:rPr>
        <w:t>006) observerades en kontinuerlig ökning i den kumulativa frekvensen av symtomatiska hjärt</w:t>
      </w:r>
      <w:r w:rsidR="007D11C0" w:rsidRPr="00A74CC6">
        <w:rPr>
          <w:lang w:val="sv-SE"/>
        </w:rPr>
        <w:t>-</w:t>
      </w:r>
      <w:r w:rsidRPr="00A74CC6">
        <w:rPr>
          <w:lang w:val="sv-SE"/>
        </w:rPr>
        <w:t xml:space="preserve">eller LVEF-händelser hos patienter som gavs </w:t>
      </w:r>
      <w:r w:rsidR="008C1490" w:rsidRPr="00A74CC6">
        <w:rPr>
          <w:lang w:val="sv-SE"/>
        </w:rPr>
        <w:t xml:space="preserve">trastuzumab </w:t>
      </w:r>
      <w:r w:rsidRPr="00A74CC6">
        <w:rPr>
          <w:lang w:val="sv-SE"/>
        </w:rPr>
        <w:t>samtidigt med taxaner efter antracyklininnehållande behandling upp till 2,37</w:t>
      </w:r>
      <w:r w:rsidR="00B268E6" w:rsidRPr="00A74CC6">
        <w:rPr>
          <w:lang w:val="sv-SE"/>
        </w:rPr>
        <w:t> %</w:t>
      </w:r>
      <w:r w:rsidRPr="00A74CC6">
        <w:rPr>
          <w:lang w:val="sv-SE"/>
        </w:rPr>
        <w:t xml:space="preserve"> jämfört med ungefär 1</w:t>
      </w:r>
      <w:r w:rsidR="00B268E6" w:rsidRPr="00A74CC6">
        <w:rPr>
          <w:lang w:val="sv-SE"/>
        </w:rPr>
        <w:t> %</w:t>
      </w:r>
      <w:r w:rsidRPr="00A74CC6">
        <w:rPr>
          <w:lang w:val="sv-SE"/>
        </w:rPr>
        <w:t xml:space="preserve"> i de två jämförelsegrupperna (antracyklin plus cyklofosfamid följt av taxan respektive taxan, karboplatin och </w:t>
      </w:r>
      <w:r w:rsidR="008C1490" w:rsidRPr="00A74CC6">
        <w:rPr>
          <w:lang w:val="sv-SE"/>
        </w:rPr>
        <w:t>trastuzumab</w:t>
      </w:r>
      <w:r w:rsidRPr="00A74CC6">
        <w:rPr>
          <w:lang w:val="sv-SE"/>
        </w:rPr>
        <w:t>).</w:t>
      </w:r>
    </w:p>
    <w:p w14:paraId="0687E10F" w14:textId="77777777" w:rsidR="00BC4EC0" w:rsidRPr="00A74CC6" w:rsidRDefault="00BC4EC0" w:rsidP="002314CE">
      <w:pPr>
        <w:spacing w:after="0" w:line="240" w:lineRule="auto"/>
        <w:ind w:left="0" w:firstLine="0"/>
        <w:contextualSpacing/>
        <w:rPr>
          <w:lang w:val="sv-SE"/>
        </w:rPr>
      </w:pPr>
    </w:p>
    <w:p w14:paraId="25D1B459" w14:textId="30061BDF" w:rsidR="005027AB" w:rsidRPr="00A74CC6" w:rsidRDefault="00264096" w:rsidP="002314CE">
      <w:pPr>
        <w:spacing w:after="0" w:line="240" w:lineRule="auto"/>
        <w:ind w:left="0" w:firstLine="0"/>
        <w:contextualSpacing/>
        <w:rPr>
          <w:lang w:val="sv-SE"/>
        </w:rPr>
      </w:pPr>
      <w:r w:rsidRPr="00A74CC6">
        <w:rPr>
          <w:lang w:val="sv-SE"/>
        </w:rPr>
        <w:t xml:space="preserve">De riskfaktorer som identifierats för hjärt-kärlhändelser i fyra stora studier </w:t>
      </w:r>
      <w:r w:rsidR="002A5BD5" w:rsidRPr="00A74CC6">
        <w:rPr>
          <w:lang w:val="sv-SE"/>
        </w:rPr>
        <w:t xml:space="preserve">av adjuvant behandling </w:t>
      </w:r>
      <w:r w:rsidRPr="00A74CC6">
        <w:rPr>
          <w:lang w:val="sv-SE"/>
        </w:rPr>
        <w:t xml:space="preserve">omfattar </w:t>
      </w:r>
      <w:r w:rsidR="00AD3B60" w:rsidRPr="00A74CC6">
        <w:rPr>
          <w:lang w:val="sv-SE"/>
        </w:rPr>
        <w:t>hög ålder (&gt; 50</w:t>
      </w:r>
      <w:r w:rsidR="00D36E8A" w:rsidRPr="00A74CC6">
        <w:rPr>
          <w:lang w:val="sv-SE"/>
        </w:rPr>
        <w:t> </w:t>
      </w:r>
      <w:r w:rsidR="00AD3B60" w:rsidRPr="00A74CC6">
        <w:rPr>
          <w:lang w:val="sv-SE"/>
        </w:rPr>
        <w:t>år), låg LVEF (&lt; </w:t>
      </w:r>
      <w:r w:rsidRPr="00A74CC6">
        <w:rPr>
          <w:lang w:val="sv-SE"/>
        </w:rPr>
        <w:t>55</w:t>
      </w:r>
      <w:r w:rsidR="00B268E6" w:rsidRPr="00A74CC6">
        <w:rPr>
          <w:lang w:val="sv-SE"/>
        </w:rPr>
        <w:t> %</w:t>
      </w:r>
      <w:r w:rsidRPr="00A74CC6">
        <w:rPr>
          <w:lang w:val="sv-SE"/>
        </w:rPr>
        <w:t>) innan behandlingen inleds, före eller efter insättande av paklitaxelbehandling, minskning av LVEF med 10</w:t>
      </w:r>
      <w:r w:rsidR="00D36E8A" w:rsidRPr="00A74CC6">
        <w:rPr>
          <w:lang w:val="sv-SE"/>
        </w:rPr>
        <w:noBreakHyphen/>
      </w:r>
      <w:r w:rsidRPr="00A74CC6">
        <w:rPr>
          <w:lang w:val="sv-SE"/>
        </w:rPr>
        <w:t>15</w:t>
      </w:r>
      <w:r w:rsidR="00D36E8A" w:rsidRPr="00A74CC6">
        <w:rPr>
          <w:lang w:val="sv-SE"/>
        </w:rPr>
        <w:t> </w:t>
      </w:r>
      <w:r w:rsidRPr="00A74CC6">
        <w:rPr>
          <w:lang w:val="sv-SE"/>
        </w:rPr>
        <w:t xml:space="preserve">enheter, samt tidigare eller samtidig behandling med antihypertensiva läkemedel. För de patienter som fick </w:t>
      </w:r>
      <w:r w:rsidR="008C1490" w:rsidRPr="00A74CC6">
        <w:rPr>
          <w:lang w:val="sv-SE"/>
        </w:rPr>
        <w:t xml:space="preserve">trastuzumab </w:t>
      </w:r>
      <w:r w:rsidRPr="00A74CC6">
        <w:rPr>
          <w:lang w:val="sv-SE"/>
        </w:rPr>
        <w:t xml:space="preserve">efter avslutad adjuvant kemoterapibehandling, var risken för hjärtdysfunktion kopplad till en högre kumulativ dos av antracyklin som givits före insättning av </w:t>
      </w:r>
      <w:r w:rsidR="008C1490" w:rsidRPr="00A74CC6">
        <w:rPr>
          <w:lang w:val="sv-SE"/>
        </w:rPr>
        <w:t xml:space="preserve">trastuzumab </w:t>
      </w:r>
      <w:r w:rsidRPr="00A74CC6">
        <w:rPr>
          <w:lang w:val="sv-SE"/>
        </w:rPr>
        <w:t>samt ett Body Mass Index (BMI) &gt;</w:t>
      </w:r>
      <w:r w:rsidR="00BC4EC0" w:rsidRPr="00A74CC6">
        <w:rPr>
          <w:lang w:val="sv-SE"/>
        </w:rPr>
        <w:t> 25 </w:t>
      </w:r>
      <w:r w:rsidRPr="00A74CC6">
        <w:rPr>
          <w:lang w:val="sv-SE"/>
        </w:rPr>
        <w:t>kg/m</w:t>
      </w:r>
      <w:r w:rsidRPr="00A74CC6">
        <w:rPr>
          <w:vertAlign w:val="superscript"/>
          <w:lang w:val="sv-SE"/>
        </w:rPr>
        <w:t>2</w:t>
      </w:r>
      <w:r w:rsidRPr="00A74CC6">
        <w:rPr>
          <w:lang w:val="sv-SE"/>
        </w:rPr>
        <w:t>.</w:t>
      </w:r>
    </w:p>
    <w:p w14:paraId="79008123" w14:textId="77777777" w:rsidR="00BC4EC0" w:rsidRPr="00A74CC6" w:rsidRDefault="00BC4EC0" w:rsidP="002314CE">
      <w:pPr>
        <w:spacing w:after="0" w:line="240" w:lineRule="auto"/>
        <w:ind w:left="0" w:firstLine="0"/>
        <w:contextualSpacing/>
        <w:rPr>
          <w:lang w:val="sv-SE"/>
        </w:rPr>
      </w:pPr>
    </w:p>
    <w:p w14:paraId="23670E82" w14:textId="77777777" w:rsidR="005027AB" w:rsidRPr="00A74CC6" w:rsidRDefault="00264096" w:rsidP="002314CE">
      <w:pPr>
        <w:pStyle w:val="Heading4"/>
        <w:suppressAutoHyphens/>
        <w:spacing w:after="0" w:line="240" w:lineRule="auto"/>
        <w:ind w:left="0" w:firstLine="0"/>
        <w:rPr>
          <w:lang w:val="sv-SE"/>
        </w:rPr>
      </w:pPr>
      <w:r w:rsidRPr="00A74CC6">
        <w:rPr>
          <w:lang w:val="sv-SE"/>
        </w:rPr>
        <w:t>Neoadjuvant-adjuvant behandling</w:t>
      </w:r>
    </w:p>
    <w:p w14:paraId="43A44F31" w14:textId="77777777" w:rsidR="00BC4EC0" w:rsidRPr="00A74CC6" w:rsidRDefault="00BC4EC0" w:rsidP="002314CE">
      <w:pPr>
        <w:keepNext/>
        <w:keepLines/>
        <w:suppressAutoHyphens/>
        <w:spacing w:after="0" w:line="240" w:lineRule="auto"/>
        <w:ind w:left="0" w:firstLine="0"/>
        <w:rPr>
          <w:lang w:val="sv-SE"/>
        </w:rPr>
      </w:pPr>
    </w:p>
    <w:p w14:paraId="117EECF6" w14:textId="33EB5996" w:rsidR="005027AB" w:rsidRPr="00A74CC6" w:rsidRDefault="00264096" w:rsidP="002314CE">
      <w:pPr>
        <w:spacing w:after="0" w:line="240" w:lineRule="auto"/>
        <w:ind w:left="0" w:firstLine="0"/>
        <w:rPr>
          <w:lang w:val="sv-SE"/>
        </w:rPr>
      </w:pPr>
      <w:r w:rsidRPr="00A74CC6">
        <w:rPr>
          <w:lang w:val="sv-SE"/>
        </w:rPr>
        <w:t xml:space="preserve">Hos patienter med tidig bröstcancer, för vilka neoadjuvant-adjuvant behandling anses lämplig, ska </w:t>
      </w:r>
      <w:r w:rsidR="008C1490" w:rsidRPr="00A74CC6">
        <w:rPr>
          <w:lang w:val="sv-SE"/>
        </w:rPr>
        <w:t xml:space="preserve">KANJINTI </w:t>
      </w:r>
      <w:r w:rsidRPr="00A74CC6">
        <w:rPr>
          <w:lang w:val="sv-SE"/>
        </w:rPr>
        <w:t>användas samtidigt med antracykliner enbart hos kemoterapinaiva patienter och endast med lågdos antracyklinregimer d</w:t>
      </w:r>
      <w:r w:rsidR="00D36E8A" w:rsidRPr="00A74CC6">
        <w:rPr>
          <w:lang w:val="sv-SE"/>
        </w:rPr>
        <w:t>.</w:t>
      </w:r>
      <w:r w:rsidRPr="00A74CC6">
        <w:rPr>
          <w:lang w:val="sv-SE"/>
        </w:rPr>
        <w:t>v</w:t>
      </w:r>
      <w:r w:rsidR="00D36E8A" w:rsidRPr="00A74CC6">
        <w:rPr>
          <w:lang w:val="sv-SE"/>
        </w:rPr>
        <w:t>.</w:t>
      </w:r>
      <w:r w:rsidRPr="00A74CC6">
        <w:rPr>
          <w:lang w:val="sv-SE"/>
        </w:rPr>
        <w:t>s</w:t>
      </w:r>
      <w:r w:rsidR="00D36E8A" w:rsidRPr="00A74CC6">
        <w:rPr>
          <w:lang w:val="sv-SE"/>
        </w:rPr>
        <w:t>.</w:t>
      </w:r>
      <w:r w:rsidRPr="00A74CC6">
        <w:rPr>
          <w:lang w:val="sv-SE"/>
        </w:rPr>
        <w:t xml:space="preserve"> maximala kumulativa doser av doxorubicin 180</w:t>
      </w:r>
      <w:r w:rsidR="00BC4EC0" w:rsidRPr="00A74CC6">
        <w:rPr>
          <w:lang w:val="sv-SE"/>
        </w:rPr>
        <w:t> </w:t>
      </w:r>
      <w:r w:rsidRPr="00A74CC6">
        <w:rPr>
          <w:lang w:val="sv-SE"/>
        </w:rPr>
        <w:t>mg/m</w:t>
      </w:r>
      <w:r w:rsidRPr="00A74CC6">
        <w:rPr>
          <w:vertAlign w:val="superscript"/>
          <w:lang w:val="sv-SE"/>
        </w:rPr>
        <w:t>2</w:t>
      </w:r>
      <w:r w:rsidRPr="00A74CC6">
        <w:rPr>
          <w:lang w:val="sv-SE"/>
        </w:rPr>
        <w:t xml:space="preserve"> </w:t>
      </w:r>
      <w:r w:rsidR="00BC4EC0" w:rsidRPr="00A74CC6">
        <w:rPr>
          <w:lang w:val="sv-SE"/>
        </w:rPr>
        <w:t>eller epirubicin 360 </w:t>
      </w:r>
      <w:r w:rsidRPr="00A74CC6">
        <w:rPr>
          <w:lang w:val="sv-SE"/>
        </w:rPr>
        <w:t>mg/m</w:t>
      </w:r>
      <w:r w:rsidRPr="00A74CC6">
        <w:rPr>
          <w:vertAlign w:val="superscript"/>
          <w:lang w:val="sv-SE"/>
        </w:rPr>
        <w:t>2</w:t>
      </w:r>
      <w:r w:rsidRPr="00A74CC6">
        <w:rPr>
          <w:lang w:val="sv-SE"/>
        </w:rPr>
        <w:t>.</w:t>
      </w:r>
    </w:p>
    <w:p w14:paraId="4D554AE5" w14:textId="77777777" w:rsidR="00BC4EC0" w:rsidRPr="00A74CC6" w:rsidRDefault="00BC4EC0" w:rsidP="002314CE">
      <w:pPr>
        <w:spacing w:after="0" w:line="240" w:lineRule="auto"/>
        <w:ind w:left="0" w:firstLine="0"/>
        <w:rPr>
          <w:lang w:val="sv-SE"/>
        </w:rPr>
      </w:pPr>
    </w:p>
    <w:p w14:paraId="5C270F80" w14:textId="2015FCDD" w:rsidR="005027AB" w:rsidRPr="00A74CC6" w:rsidRDefault="00264096" w:rsidP="002314CE">
      <w:pPr>
        <w:spacing w:after="0" w:line="240" w:lineRule="auto"/>
        <w:ind w:left="0" w:firstLine="0"/>
        <w:rPr>
          <w:lang w:val="sv-SE"/>
        </w:rPr>
      </w:pPr>
      <w:r w:rsidRPr="00A74CC6">
        <w:rPr>
          <w:lang w:val="sv-SE"/>
        </w:rPr>
        <w:lastRenderedPageBreak/>
        <w:t xml:space="preserve">Om patienter har behandlats neoadjuvant med en full kur lågdos antracykliner och </w:t>
      </w:r>
      <w:r w:rsidR="008C1490" w:rsidRPr="00A74CC6">
        <w:rPr>
          <w:lang w:val="sv-SE"/>
        </w:rPr>
        <w:t xml:space="preserve">KANJINTI </w:t>
      </w:r>
      <w:r w:rsidRPr="00A74CC6">
        <w:rPr>
          <w:lang w:val="sv-SE"/>
        </w:rPr>
        <w:t>samtidigt bör ingen ytterligare cytotoxisk kemoterapi ges efter kirurgi. I övriga fall ska behovet av ytterligare cytotoxisk kemoterapi beslutas baserat på individuella faktorer.</w:t>
      </w:r>
    </w:p>
    <w:p w14:paraId="618A994F" w14:textId="77777777" w:rsidR="00BC4EC0" w:rsidRPr="00A74CC6" w:rsidRDefault="00BC4EC0" w:rsidP="002314CE">
      <w:pPr>
        <w:spacing w:after="0" w:line="240" w:lineRule="auto"/>
        <w:ind w:left="0" w:firstLine="0"/>
        <w:rPr>
          <w:lang w:val="sv-SE"/>
        </w:rPr>
      </w:pPr>
    </w:p>
    <w:p w14:paraId="1D28568D" w14:textId="77777777" w:rsidR="005027AB" w:rsidRPr="00A74CC6" w:rsidRDefault="00264096" w:rsidP="002314CE">
      <w:pPr>
        <w:spacing w:after="0" w:line="240" w:lineRule="auto"/>
        <w:ind w:left="0" w:firstLine="0"/>
        <w:rPr>
          <w:lang w:val="sv-SE"/>
        </w:rPr>
      </w:pPr>
      <w:r w:rsidRPr="00A74CC6">
        <w:rPr>
          <w:lang w:val="sv-SE"/>
        </w:rPr>
        <w:t>För närvarande är erfarenheten av samtidig behandling med trastuzumab och lågdos antracyklinregimer begränsad till två studie</w:t>
      </w:r>
      <w:r w:rsidR="00BC4EC0" w:rsidRPr="00A74CC6">
        <w:rPr>
          <w:lang w:val="sv-SE"/>
        </w:rPr>
        <w:t>r (MO16432 och BO22227).</w:t>
      </w:r>
    </w:p>
    <w:p w14:paraId="2F8D1373" w14:textId="77777777" w:rsidR="00BC4EC0" w:rsidRPr="00A74CC6" w:rsidRDefault="00BC4EC0" w:rsidP="002314CE">
      <w:pPr>
        <w:spacing w:after="0" w:line="240" w:lineRule="auto"/>
        <w:ind w:left="0" w:firstLine="0"/>
        <w:rPr>
          <w:lang w:val="sv-SE"/>
        </w:rPr>
      </w:pPr>
    </w:p>
    <w:p w14:paraId="522FED68" w14:textId="0692797D" w:rsidR="005027AB" w:rsidRPr="00A74CC6" w:rsidRDefault="00264096" w:rsidP="002314CE">
      <w:pPr>
        <w:spacing w:after="0" w:line="240" w:lineRule="auto"/>
        <w:ind w:left="0" w:firstLine="0"/>
        <w:contextualSpacing/>
        <w:rPr>
          <w:lang w:val="sv-SE"/>
        </w:rPr>
      </w:pPr>
      <w:r w:rsidRPr="00A74CC6">
        <w:rPr>
          <w:lang w:val="sv-SE"/>
        </w:rPr>
        <w:t xml:space="preserve">I den pivotala studien MO16432 gavs </w:t>
      </w:r>
      <w:r w:rsidR="008C1490" w:rsidRPr="00A74CC6">
        <w:rPr>
          <w:lang w:val="sv-SE"/>
        </w:rPr>
        <w:t xml:space="preserve">trastuzumab </w:t>
      </w:r>
      <w:r w:rsidRPr="00A74CC6">
        <w:rPr>
          <w:lang w:val="sv-SE"/>
        </w:rPr>
        <w:t>samtidigt med neoadjuvant kemoterapi innefattande tre cykler av</w:t>
      </w:r>
      <w:r w:rsidR="00BC4EC0" w:rsidRPr="00A74CC6">
        <w:rPr>
          <w:lang w:val="sv-SE"/>
        </w:rPr>
        <w:t xml:space="preserve"> doxorubicin (kumulativ dos 180 </w:t>
      </w:r>
      <w:r w:rsidRPr="00A74CC6">
        <w:rPr>
          <w:lang w:val="sv-SE"/>
        </w:rPr>
        <w:t>mg/m</w:t>
      </w:r>
      <w:r w:rsidRPr="00A74CC6">
        <w:rPr>
          <w:vertAlign w:val="superscript"/>
          <w:lang w:val="sv-SE"/>
        </w:rPr>
        <w:t>2</w:t>
      </w:r>
      <w:r w:rsidR="00BC4EC0" w:rsidRPr="00A74CC6">
        <w:rPr>
          <w:lang w:val="sv-SE"/>
        </w:rPr>
        <w:t>).</w:t>
      </w:r>
    </w:p>
    <w:p w14:paraId="13B38554" w14:textId="77777777" w:rsidR="00BC4EC0" w:rsidRPr="00A74CC6" w:rsidRDefault="00BC4EC0" w:rsidP="002314CE">
      <w:pPr>
        <w:spacing w:after="0" w:line="240" w:lineRule="auto"/>
        <w:ind w:left="0" w:firstLine="0"/>
        <w:contextualSpacing/>
        <w:rPr>
          <w:lang w:val="sv-SE"/>
        </w:rPr>
      </w:pPr>
    </w:p>
    <w:p w14:paraId="690E931F" w14:textId="004E5370" w:rsidR="005027AB" w:rsidRPr="00A74CC6" w:rsidRDefault="00264096" w:rsidP="002314CE">
      <w:pPr>
        <w:spacing w:after="0" w:line="240" w:lineRule="auto"/>
        <w:ind w:left="0" w:firstLine="0"/>
        <w:contextualSpacing/>
        <w:rPr>
          <w:lang w:val="sv-SE"/>
        </w:rPr>
      </w:pPr>
      <w:r w:rsidRPr="00A74CC6">
        <w:rPr>
          <w:lang w:val="sv-SE"/>
        </w:rPr>
        <w:t xml:space="preserve">Incidensen av symtomatisk </w:t>
      </w:r>
      <w:r w:rsidR="00BF270F" w:rsidRPr="00A74CC6">
        <w:rPr>
          <w:lang w:val="sv-SE"/>
        </w:rPr>
        <w:t>hjärt</w:t>
      </w:r>
      <w:r w:rsidRPr="00A74CC6">
        <w:rPr>
          <w:lang w:val="sv-SE"/>
        </w:rPr>
        <w:t>dysfunktion var 1,7</w:t>
      </w:r>
      <w:r w:rsidR="00B268E6" w:rsidRPr="00A74CC6">
        <w:rPr>
          <w:lang w:val="sv-SE"/>
        </w:rPr>
        <w:t> %</w:t>
      </w:r>
      <w:r w:rsidRPr="00A74CC6">
        <w:rPr>
          <w:lang w:val="sv-SE"/>
        </w:rPr>
        <w:t xml:space="preserve"> i </w:t>
      </w:r>
      <w:r w:rsidR="00C606C1" w:rsidRPr="00A74CC6">
        <w:rPr>
          <w:lang w:val="sv-SE"/>
        </w:rPr>
        <w:t>trastuzumab</w:t>
      </w:r>
      <w:r w:rsidRPr="00A74CC6">
        <w:rPr>
          <w:lang w:val="sv-SE"/>
        </w:rPr>
        <w:t>gruppen.</w:t>
      </w:r>
    </w:p>
    <w:p w14:paraId="6F2F0186" w14:textId="77777777" w:rsidR="00BC4EC0" w:rsidRPr="00A74CC6" w:rsidRDefault="00BC4EC0" w:rsidP="002314CE">
      <w:pPr>
        <w:spacing w:after="0" w:line="240" w:lineRule="auto"/>
        <w:ind w:left="0" w:firstLine="0"/>
        <w:contextualSpacing/>
        <w:rPr>
          <w:lang w:val="sv-SE"/>
        </w:rPr>
      </w:pPr>
    </w:p>
    <w:p w14:paraId="795A55C8" w14:textId="044550A8" w:rsidR="005027AB" w:rsidRPr="00A74CC6" w:rsidRDefault="00264096" w:rsidP="002314CE">
      <w:pPr>
        <w:spacing w:after="0" w:line="240" w:lineRule="auto"/>
        <w:ind w:left="0" w:firstLine="0"/>
        <w:contextualSpacing/>
        <w:rPr>
          <w:lang w:val="sv-SE"/>
        </w:rPr>
      </w:pPr>
      <w:r w:rsidRPr="00A74CC6">
        <w:rPr>
          <w:lang w:val="sv-SE"/>
        </w:rPr>
        <w:t xml:space="preserve">I den pivotala studien BO22227 administrerades </w:t>
      </w:r>
      <w:r w:rsidR="00C606C1" w:rsidRPr="00A74CC6">
        <w:rPr>
          <w:lang w:val="sv-SE"/>
        </w:rPr>
        <w:t xml:space="preserve">trastuzumab </w:t>
      </w:r>
      <w:r w:rsidRPr="00A74CC6">
        <w:rPr>
          <w:lang w:val="sv-SE"/>
        </w:rPr>
        <w:t>samtidigt med neoadjuvant kemoterapi som innefattade fyra cykler epirubicin (kumulativ dos 300</w:t>
      </w:r>
      <w:r w:rsidR="00E529DA" w:rsidRPr="00A74CC6">
        <w:rPr>
          <w:lang w:val="sv-SE"/>
        </w:rPr>
        <w:t> </w:t>
      </w:r>
      <w:r w:rsidRPr="00A74CC6">
        <w:rPr>
          <w:lang w:val="sv-SE"/>
        </w:rPr>
        <w:t>mg/m</w:t>
      </w:r>
      <w:r w:rsidRPr="00A74CC6">
        <w:rPr>
          <w:vertAlign w:val="superscript"/>
          <w:lang w:val="sv-SE"/>
        </w:rPr>
        <w:t>2</w:t>
      </w:r>
      <w:r w:rsidRPr="00A74CC6">
        <w:rPr>
          <w:lang w:val="sv-SE"/>
        </w:rPr>
        <w:t xml:space="preserve">); vid en medianuppföljning på </w:t>
      </w:r>
      <w:r w:rsidR="006376EB">
        <w:rPr>
          <w:lang w:val="sv-SE"/>
        </w:rPr>
        <w:t>mer än 7</w:t>
      </w:r>
      <w:r w:rsidRPr="00A74CC6">
        <w:rPr>
          <w:lang w:val="sv-SE"/>
        </w:rPr>
        <w:t>0</w:t>
      </w:r>
      <w:r w:rsidR="00BF270F" w:rsidRPr="00A74CC6">
        <w:rPr>
          <w:lang w:val="sv-SE"/>
        </w:rPr>
        <w:t> </w:t>
      </w:r>
      <w:r w:rsidRPr="00A74CC6">
        <w:rPr>
          <w:lang w:val="sv-SE"/>
        </w:rPr>
        <w:t>månader var incidensen av hjärtsvikt 0,</w:t>
      </w:r>
      <w:r w:rsidR="006376EB">
        <w:rPr>
          <w:lang w:val="sv-SE"/>
        </w:rPr>
        <w:t>3</w:t>
      </w:r>
      <w:r w:rsidR="00B268E6" w:rsidRPr="00A74CC6">
        <w:rPr>
          <w:lang w:val="sv-SE"/>
        </w:rPr>
        <w:t> %</w:t>
      </w:r>
      <w:r w:rsidRPr="00A74CC6">
        <w:rPr>
          <w:lang w:val="sv-SE"/>
        </w:rPr>
        <w:t xml:space="preserve"> i behandlingsgruppen med intravenöst </w:t>
      </w:r>
      <w:r w:rsidR="00C606C1" w:rsidRPr="00A74CC6">
        <w:rPr>
          <w:lang w:val="sv-SE"/>
        </w:rPr>
        <w:t>trastuzumab</w:t>
      </w:r>
      <w:r w:rsidRPr="00A74CC6">
        <w:rPr>
          <w:lang w:val="sv-SE"/>
        </w:rPr>
        <w:t xml:space="preserve">. </w:t>
      </w:r>
    </w:p>
    <w:p w14:paraId="1999CD46" w14:textId="77777777" w:rsidR="00BC4EC0" w:rsidRPr="00A74CC6" w:rsidRDefault="00BC4EC0" w:rsidP="002314CE">
      <w:pPr>
        <w:spacing w:after="0" w:line="240" w:lineRule="auto"/>
        <w:ind w:left="0" w:firstLine="0"/>
        <w:contextualSpacing/>
        <w:rPr>
          <w:lang w:val="sv-SE"/>
        </w:rPr>
      </w:pPr>
    </w:p>
    <w:p w14:paraId="3C64B465" w14:textId="123FDEF7" w:rsidR="005027AB" w:rsidRPr="00A74CC6" w:rsidRDefault="00264096" w:rsidP="002314CE">
      <w:pPr>
        <w:spacing w:after="0" w:line="240" w:lineRule="auto"/>
        <w:ind w:left="0" w:firstLine="0"/>
        <w:contextualSpacing/>
        <w:rPr>
          <w:lang w:val="sv-SE"/>
        </w:rPr>
      </w:pPr>
      <w:r w:rsidRPr="00A74CC6">
        <w:rPr>
          <w:lang w:val="sv-SE"/>
        </w:rPr>
        <w:t>Den kliniska erfarenheten gällande patienter äldre än 65</w:t>
      </w:r>
      <w:r w:rsidR="00BF270F" w:rsidRPr="00A74CC6">
        <w:rPr>
          <w:lang w:val="sv-SE"/>
        </w:rPr>
        <w:t> </w:t>
      </w:r>
      <w:r w:rsidRPr="00A74CC6">
        <w:rPr>
          <w:lang w:val="sv-SE"/>
        </w:rPr>
        <w:t>år är begränsad.</w:t>
      </w:r>
    </w:p>
    <w:p w14:paraId="7E6968D8" w14:textId="77777777" w:rsidR="00BC4EC0" w:rsidRPr="00A74CC6" w:rsidRDefault="00BC4EC0" w:rsidP="002314CE">
      <w:pPr>
        <w:spacing w:after="0" w:line="240" w:lineRule="auto"/>
        <w:ind w:left="0" w:firstLine="0"/>
        <w:contextualSpacing/>
        <w:rPr>
          <w:lang w:val="sv-SE"/>
        </w:rPr>
      </w:pPr>
    </w:p>
    <w:p w14:paraId="2CE824B9" w14:textId="77777777" w:rsidR="005027AB" w:rsidRPr="00A74CC6" w:rsidRDefault="00264096" w:rsidP="002314CE">
      <w:pPr>
        <w:pStyle w:val="Heading2"/>
        <w:spacing w:after="0" w:line="240" w:lineRule="auto"/>
        <w:ind w:left="0" w:firstLine="0"/>
        <w:contextualSpacing/>
        <w:rPr>
          <w:lang w:val="sv-SE"/>
        </w:rPr>
      </w:pPr>
      <w:r w:rsidRPr="00A74CC6">
        <w:rPr>
          <w:lang w:val="sv-SE"/>
        </w:rPr>
        <w:t>Infusionsrelaterade reaktioner och överkänslighetsreaktioner</w:t>
      </w:r>
    </w:p>
    <w:p w14:paraId="60D5A998" w14:textId="77777777" w:rsidR="00BC4EC0" w:rsidRPr="00A74CC6" w:rsidRDefault="00BC4EC0" w:rsidP="002314CE">
      <w:pPr>
        <w:keepNext/>
        <w:keepLines/>
        <w:spacing w:after="0" w:line="240" w:lineRule="auto"/>
        <w:ind w:left="0" w:firstLine="0"/>
        <w:contextualSpacing/>
        <w:rPr>
          <w:lang w:val="sv-SE"/>
        </w:rPr>
      </w:pPr>
    </w:p>
    <w:p w14:paraId="7FD804A1" w14:textId="45FBF1D0" w:rsidR="005027AB" w:rsidRPr="00A74CC6" w:rsidRDefault="00264096" w:rsidP="002314CE">
      <w:pPr>
        <w:spacing w:after="0" w:line="240" w:lineRule="auto"/>
        <w:ind w:left="0" w:firstLine="0"/>
        <w:contextualSpacing/>
        <w:rPr>
          <w:lang w:val="sv-SE"/>
        </w:rPr>
      </w:pPr>
      <w:r w:rsidRPr="00A74CC6">
        <w:rPr>
          <w:lang w:val="sv-SE"/>
        </w:rPr>
        <w:t xml:space="preserve">Allvarliga infusionsrelaterade reaktioner vid infusioner med </w:t>
      </w:r>
      <w:r w:rsidR="00D5715D" w:rsidRPr="00A74CC6">
        <w:rPr>
          <w:lang w:val="sv-SE"/>
        </w:rPr>
        <w:t xml:space="preserve">trastuzumab </w:t>
      </w:r>
      <w:r w:rsidRPr="00A74CC6">
        <w:rPr>
          <w:lang w:val="sv-SE"/>
        </w:rPr>
        <w:t>innefattande dyspné, hypotoni, rosslingar/pipande andning, hypertoni, bronkospasm, supraventrikulär takyarrytmi, minskad syremättnad (hypoxi), anafylaxi, andnöd, urtikaria och angioödem har rapporterats (se avsnitt</w:t>
      </w:r>
      <w:r w:rsidR="00BF270F" w:rsidRPr="00A74CC6">
        <w:rPr>
          <w:lang w:val="sv-SE"/>
        </w:rPr>
        <w:t> </w:t>
      </w:r>
      <w:r w:rsidRPr="00A74CC6">
        <w:rPr>
          <w:lang w:val="sv-SE"/>
        </w:rPr>
        <w:t>4.8). Premedicinering kan användas för att minska risken för uppkomst av administrationsrelaterade reaktioner. De flesta av dessa händelser inträffar under eller inom 2,5</w:t>
      </w:r>
      <w:r w:rsidR="00BF270F" w:rsidRPr="00A74CC6">
        <w:rPr>
          <w:lang w:val="sv-SE"/>
        </w:rPr>
        <w:t> </w:t>
      </w:r>
      <w:r w:rsidRPr="00A74CC6">
        <w:rPr>
          <w:lang w:val="sv-SE"/>
        </w:rPr>
        <w:t xml:space="preserve">timmar efter starten av den första infusionen. Om en infusionsreaktion inträffar ska infusionen av </w:t>
      </w:r>
      <w:r w:rsidR="004C7B19" w:rsidRPr="00A74CC6">
        <w:rPr>
          <w:lang w:val="sv-SE"/>
        </w:rPr>
        <w:t xml:space="preserve">trastuzumab </w:t>
      </w:r>
      <w:r w:rsidRPr="00A74CC6">
        <w:rPr>
          <w:lang w:val="sv-SE"/>
        </w:rPr>
        <w:t>avbrytas eller infusionshastigheten sänkas och patienten övervakas tills varje symtom gått tillbaka (se avsnitt</w:t>
      </w:r>
      <w:r w:rsidR="00BF270F" w:rsidRPr="00A74CC6">
        <w:rPr>
          <w:lang w:val="sv-SE"/>
        </w:rPr>
        <w:t> </w:t>
      </w:r>
      <w:r w:rsidRPr="00A74CC6">
        <w:rPr>
          <w:lang w:val="sv-SE"/>
        </w:rPr>
        <w:t xml:space="preserve">4.2). </w:t>
      </w:r>
      <w:r w:rsidR="00BF270F" w:rsidRPr="00A74CC6">
        <w:rPr>
          <w:lang w:val="sv-SE"/>
        </w:rPr>
        <w:t>D</w:t>
      </w:r>
      <w:r w:rsidRPr="00A74CC6">
        <w:rPr>
          <w:lang w:val="sv-SE"/>
        </w:rPr>
        <w:t xml:space="preserve">essa symtom kan </w:t>
      </w:r>
      <w:r w:rsidR="00BF270F" w:rsidRPr="00A74CC6">
        <w:rPr>
          <w:lang w:val="sv-SE"/>
        </w:rPr>
        <w:t>behandlas</w:t>
      </w:r>
      <w:r w:rsidRPr="00A74CC6">
        <w:rPr>
          <w:lang w:val="sv-SE"/>
        </w:rPr>
        <w:t xml:space="preserve"> med analgetika/antipyretika såsom meperidin eller paracetamol, eller ett antihistamin såsom difenhydramin. För majoriteten av patienterna försvann symtomen och dessa </w:t>
      </w:r>
      <w:r w:rsidR="00BF270F" w:rsidRPr="00A74CC6">
        <w:rPr>
          <w:lang w:val="sv-SE"/>
        </w:rPr>
        <w:t>fick</w:t>
      </w:r>
      <w:r w:rsidRPr="00A74CC6">
        <w:rPr>
          <w:lang w:val="sv-SE"/>
        </w:rPr>
        <w:t xml:space="preserve"> sedan ytterligare infusioner av </w:t>
      </w:r>
      <w:r w:rsidR="00D5715D" w:rsidRPr="00A74CC6">
        <w:rPr>
          <w:lang w:val="sv-SE"/>
        </w:rPr>
        <w:t>trastuzumab</w:t>
      </w:r>
      <w:r w:rsidRPr="00A74CC6">
        <w:rPr>
          <w:lang w:val="sv-SE"/>
        </w:rPr>
        <w:t xml:space="preserve">. Allvarliga reaktioner har behandlats framgångsrikt med understödjande behandling </w:t>
      </w:r>
      <w:r w:rsidR="002A5BD5" w:rsidRPr="00A74CC6">
        <w:rPr>
          <w:lang w:val="sv-SE"/>
        </w:rPr>
        <w:t>så</w:t>
      </w:r>
      <w:r w:rsidRPr="00A74CC6">
        <w:rPr>
          <w:lang w:val="sv-SE"/>
        </w:rPr>
        <w:t xml:space="preserve">som syrgas, beta-agonister och kortikosteroider. I sällsynta fall </w:t>
      </w:r>
      <w:r w:rsidR="00BF270F" w:rsidRPr="00A74CC6">
        <w:rPr>
          <w:lang w:val="sv-SE"/>
        </w:rPr>
        <w:t>är</w:t>
      </w:r>
      <w:r w:rsidRPr="00A74CC6">
        <w:rPr>
          <w:lang w:val="sv-SE"/>
        </w:rPr>
        <w:t xml:space="preserve"> dessa reaktioner för</w:t>
      </w:r>
      <w:r w:rsidR="00BF270F" w:rsidRPr="00A74CC6">
        <w:rPr>
          <w:lang w:val="sv-SE"/>
        </w:rPr>
        <w:t>enade</w:t>
      </w:r>
      <w:r w:rsidRPr="00A74CC6">
        <w:rPr>
          <w:lang w:val="sv-SE"/>
        </w:rPr>
        <w:t xml:space="preserve"> med ett kliniskt förlopp med dödlig utgång. </w:t>
      </w:r>
      <w:r w:rsidR="00BF270F" w:rsidRPr="00A74CC6">
        <w:rPr>
          <w:lang w:val="sv-SE"/>
        </w:rPr>
        <w:t>P</w:t>
      </w:r>
      <w:r w:rsidRPr="00A74CC6">
        <w:rPr>
          <w:lang w:val="sv-SE"/>
        </w:rPr>
        <w:t>atienter som har dyspné i vila p</w:t>
      </w:r>
      <w:r w:rsidR="00BF270F" w:rsidRPr="00A74CC6">
        <w:rPr>
          <w:lang w:val="sv-SE"/>
        </w:rPr>
        <w:t>.</w:t>
      </w:r>
      <w:r w:rsidRPr="00A74CC6">
        <w:rPr>
          <w:lang w:val="sv-SE"/>
        </w:rPr>
        <w:t>g</w:t>
      </w:r>
      <w:r w:rsidR="00BF270F" w:rsidRPr="00A74CC6">
        <w:rPr>
          <w:lang w:val="sv-SE"/>
        </w:rPr>
        <w:t>.</w:t>
      </w:r>
      <w:r w:rsidRPr="00A74CC6">
        <w:rPr>
          <w:lang w:val="sv-SE"/>
        </w:rPr>
        <w:t>a</w:t>
      </w:r>
      <w:r w:rsidR="00BF270F" w:rsidRPr="00A74CC6">
        <w:rPr>
          <w:lang w:val="sv-SE"/>
        </w:rPr>
        <w:t>.</w:t>
      </w:r>
      <w:r w:rsidRPr="00A74CC6">
        <w:rPr>
          <w:lang w:val="sv-SE"/>
        </w:rPr>
        <w:t xml:space="preserve"> komplikationer </w:t>
      </w:r>
      <w:r w:rsidR="00BF270F" w:rsidRPr="00A74CC6">
        <w:rPr>
          <w:lang w:val="sv-SE"/>
        </w:rPr>
        <w:t>till</w:t>
      </w:r>
      <w:r w:rsidRPr="00A74CC6">
        <w:rPr>
          <w:lang w:val="sv-SE"/>
        </w:rPr>
        <w:t xml:space="preserve"> avancerad malignitet och andra sjukdomar kan </w:t>
      </w:r>
      <w:r w:rsidR="00BF270F" w:rsidRPr="00A74CC6">
        <w:rPr>
          <w:lang w:val="sv-SE"/>
        </w:rPr>
        <w:t>löpa</w:t>
      </w:r>
      <w:r w:rsidRPr="00A74CC6">
        <w:rPr>
          <w:lang w:val="sv-SE"/>
        </w:rPr>
        <w:t xml:space="preserve"> större risk </w:t>
      </w:r>
      <w:r w:rsidR="00500A32" w:rsidRPr="00A74CC6">
        <w:rPr>
          <w:lang w:val="sv-SE"/>
        </w:rPr>
        <w:t xml:space="preserve">att drabbas av </w:t>
      </w:r>
      <w:r w:rsidRPr="00A74CC6">
        <w:rPr>
          <w:lang w:val="sv-SE"/>
        </w:rPr>
        <w:t xml:space="preserve">infusionsrelaterade reaktioner med dödlig utgång. Dessa patienter ska därför inte behandlas med </w:t>
      </w:r>
      <w:r w:rsidR="00D5715D" w:rsidRPr="00A74CC6">
        <w:rPr>
          <w:lang w:val="sv-SE"/>
        </w:rPr>
        <w:t xml:space="preserve">KANJINTI </w:t>
      </w:r>
      <w:r w:rsidRPr="00A74CC6">
        <w:rPr>
          <w:lang w:val="sv-SE"/>
        </w:rPr>
        <w:t>(se avsnitt</w:t>
      </w:r>
      <w:r w:rsidR="00500A32" w:rsidRPr="00A74CC6">
        <w:rPr>
          <w:lang w:val="sv-SE"/>
        </w:rPr>
        <w:t> </w:t>
      </w:r>
      <w:r w:rsidRPr="00A74CC6">
        <w:rPr>
          <w:lang w:val="sv-SE"/>
        </w:rPr>
        <w:t>4.3).</w:t>
      </w:r>
    </w:p>
    <w:p w14:paraId="1D36A195" w14:textId="77777777" w:rsidR="007F2A0A" w:rsidRPr="00A74CC6" w:rsidRDefault="007F2A0A" w:rsidP="002314CE">
      <w:pPr>
        <w:spacing w:after="0" w:line="240" w:lineRule="auto"/>
        <w:ind w:left="0" w:firstLine="0"/>
        <w:contextualSpacing/>
        <w:rPr>
          <w:lang w:val="sv-SE"/>
        </w:rPr>
      </w:pPr>
    </w:p>
    <w:p w14:paraId="53E185CD" w14:textId="0F97F9D4" w:rsidR="005027AB" w:rsidRPr="00A74CC6" w:rsidRDefault="00264096" w:rsidP="002314CE">
      <w:pPr>
        <w:spacing w:after="0" w:line="240" w:lineRule="auto"/>
        <w:ind w:left="0" w:firstLine="0"/>
        <w:contextualSpacing/>
        <w:rPr>
          <w:lang w:val="sv-SE"/>
        </w:rPr>
      </w:pPr>
      <w:r w:rsidRPr="00A74CC6">
        <w:rPr>
          <w:lang w:val="sv-SE"/>
        </w:rPr>
        <w:t>Initial förbättring följ</w:t>
      </w:r>
      <w:r w:rsidR="00500A32" w:rsidRPr="00A74CC6">
        <w:rPr>
          <w:lang w:val="sv-SE"/>
        </w:rPr>
        <w:t>d</w:t>
      </w:r>
      <w:r w:rsidRPr="00A74CC6">
        <w:rPr>
          <w:lang w:val="sv-SE"/>
        </w:rPr>
        <w:t xml:space="preserve"> av klinisk försämring och för</w:t>
      </w:r>
      <w:r w:rsidR="00500A32" w:rsidRPr="00A74CC6">
        <w:rPr>
          <w:lang w:val="sv-SE"/>
        </w:rPr>
        <w:t>dröjda</w:t>
      </w:r>
      <w:r w:rsidRPr="00A74CC6">
        <w:rPr>
          <w:lang w:val="sv-SE"/>
        </w:rPr>
        <w:t xml:space="preserve"> reaktioner med snabb klinisk försämring har också rapporterats. Dödsfall har inträffat inom timmar och upp till en vecka efter infusionen. </w:t>
      </w:r>
      <w:r w:rsidR="00500A32" w:rsidRPr="00A74CC6">
        <w:rPr>
          <w:lang w:val="sv-SE"/>
        </w:rPr>
        <w:t>I</w:t>
      </w:r>
      <w:r w:rsidRPr="00A74CC6">
        <w:rPr>
          <w:lang w:val="sv-SE"/>
        </w:rPr>
        <w:t xml:space="preserve"> mycket sällsynta </w:t>
      </w:r>
      <w:r w:rsidR="00500A32" w:rsidRPr="00A74CC6">
        <w:rPr>
          <w:lang w:val="sv-SE"/>
        </w:rPr>
        <w:t>fall</w:t>
      </w:r>
      <w:r w:rsidRPr="00A74CC6">
        <w:rPr>
          <w:lang w:val="sv-SE"/>
        </w:rPr>
        <w:t xml:space="preserve"> har patienter fått infusionssymtom och pulmonella symtom mer än sex timmar efter att </w:t>
      </w:r>
      <w:r w:rsidR="00D5715D" w:rsidRPr="00A74CC6">
        <w:rPr>
          <w:lang w:val="sv-SE"/>
        </w:rPr>
        <w:t>trastuzumab</w:t>
      </w:r>
      <w:r w:rsidRPr="00A74CC6">
        <w:rPr>
          <w:lang w:val="sv-SE"/>
        </w:rPr>
        <w:t xml:space="preserve">infusionen påbörjats. Patienterna ska varnas för risken för sådana sena reaktioner och ska instrueras att kontakta sin läkare om </w:t>
      </w:r>
      <w:r w:rsidR="002A5BD5" w:rsidRPr="00A74CC6">
        <w:rPr>
          <w:lang w:val="sv-SE"/>
        </w:rPr>
        <w:t>sådana</w:t>
      </w:r>
      <w:r w:rsidRPr="00A74CC6">
        <w:rPr>
          <w:lang w:val="sv-SE"/>
        </w:rPr>
        <w:t xml:space="preserve"> symtom </w:t>
      </w:r>
      <w:r w:rsidR="00500A32" w:rsidRPr="00A74CC6">
        <w:rPr>
          <w:lang w:val="sv-SE"/>
        </w:rPr>
        <w:t>u</w:t>
      </w:r>
      <w:r w:rsidR="002A5BD5" w:rsidRPr="00A74CC6">
        <w:rPr>
          <w:lang w:val="sv-SE"/>
        </w:rPr>
        <w:t>tvecklas</w:t>
      </w:r>
      <w:r w:rsidRPr="00A74CC6">
        <w:rPr>
          <w:lang w:val="sv-SE"/>
        </w:rPr>
        <w:t>.</w:t>
      </w:r>
    </w:p>
    <w:p w14:paraId="0DD6FDEA" w14:textId="77777777" w:rsidR="007F2A0A" w:rsidRPr="00A74CC6" w:rsidRDefault="007F2A0A" w:rsidP="002314CE">
      <w:pPr>
        <w:spacing w:after="0" w:line="240" w:lineRule="auto"/>
        <w:ind w:left="0" w:firstLine="0"/>
        <w:contextualSpacing/>
        <w:rPr>
          <w:lang w:val="sv-SE"/>
        </w:rPr>
      </w:pPr>
    </w:p>
    <w:p w14:paraId="0BD7B7D4" w14:textId="77777777" w:rsidR="005027AB" w:rsidRPr="00A74CC6" w:rsidRDefault="00264096" w:rsidP="002314CE">
      <w:pPr>
        <w:pStyle w:val="Heading2"/>
        <w:spacing w:after="0" w:line="240" w:lineRule="auto"/>
        <w:ind w:left="0" w:firstLine="0"/>
        <w:contextualSpacing/>
        <w:rPr>
          <w:lang w:val="sv-SE"/>
        </w:rPr>
      </w:pPr>
      <w:r w:rsidRPr="00A74CC6">
        <w:rPr>
          <w:lang w:val="sv-SE"/>
        </w:rPr>
        <w:t>Pulmonella komplikationer</w:t>
      </w:r>
    </w:p>
    <w:p w14:paraId="6DB3EDDF" w14:textId="77777777" w:rsidR="007F2A0A" w:rsidRPr="00A74CC6" w:rsidRDefault="007F2A0A" w:rsidP="002314CE">
      <w:pPr>
        <w:keepNext/>
        <w:keepLines/>
        <w:spacing w:after="0" w:line="240" w:lineRule="auto"/>
        <w:ind w:left="0" w:firstLine="0"/>
        <w:contextualSpacing/>
        <w:rPr>
          <w:lang w:val="sv-SE"/>
        </w:rPr>
      </w:pPr>
    </w:p>
    <w:p w14:paraId="2AB96425" w14:textId="344203EC" w:rsidR="005027AB" w:rsidRPr="00A74CC6" w:rsidRDefault="00264096" w:rsidP="002314CE">
      <w:pPr>
        <w:spacing w:after="0" w:line="240" w:lineRule="auto"/>
        <w:ind w:left="0" w:firstLine="0"/>
        <w:contextualSpacing/>
        <w:rPr>
          <w:lang w:val="sv-SE"/>
        </w:rPr>
      </w:pPr>
      <w:r w:rsidRPr="00A74CC6">
        <w:rPr>
          <w:lang w:val="sv-SE"/>
        </w:rPr>
        <w:t xml:space="preserve">Allvarliga pulmonella händelser har rapporterats i samband med </w:t>
      </w:r>
      <w:r w:rsidR="00D5715D" w:rsidRPr="00A74CC6">
        <w:rPr>
          <w:lang w:val="sv-SE"/>
        </w:rPr>
        <w:t>trastuzumab</w:t>
      </w:r>
      <w:r w:rsidRPr="00A74CC6">
        <w:rPr>
          <w:lang w:val="sv-SE"/>
        </w:rPr>
        <w:t>behandling efter marknadsintroduktionen (se avsnitt</w:t>
      </w:r>
      <w:r w:rsidR="00500A32" w:rsidRPr="00A74CC6">
        <w:rPr>
          <w:lang w:val="sv-SE"/>
        </w:rPr>
        <w:t> </w:t>
      </w:r>
      <w:r w:rsidRPr="00A74CC6">
        <w:rPr>
          <w:lang w:val="sv-SE"/>
        </w:rPr>
        <w:t xml:space="preserve">4.8). Dessa fall har i enstaka </w:t>
      </w:r>
      <w:r w:rsidR="002A5BD5" w:rsidRPr="00A74CC6">
        <w:rPr>
          <w:lang w:val="sv-SE"/>
        </w:rPr>
        <w:t>fall</w:t>
      </w:r>
      <w:r w:rsidRPr="00A74CC6">
        <w:rPr>
          <w:lang w:val="sv-SE"/>
        </w:rPr>
        <w:t xml:space="preserve"> haft dödlig utgång. </w:t>
      </w:r>
      <w:r w:rsidR="00B927E7" w:rsidRPr="00A74CC6">
        <w:rPr>
          <w:lang w:val="sv-SE"/>
        </w:rPr>
        <w:t>Däru</w:t>
      </w:r>
      <w:r w:rsidRPr="00A74CC6">
        <w:rPr>
          <w:lang w:val="sv-SE"/>
        </w:rPr>
        <w:t xml:space="preserve">töver har fall av interstitiell lungsjukdom inklusive lunginfiltrat, akut </w:t>
      </w:r>
      <w:r w:rsidR="00500A32" w:rsidRPr="00A74CC6">
        <w:rPr>
          <w:lang w:val="sv-SE"/>
        </w:rPr>
        <w:t>andnödssyndrom</w:t>
      </w:r>
      <w:r w:rsidRPr="00A74CC6">
        <w:rPr>
          <w:lang w:val="sv-SE"/>
        </w:rPr>
        <w:t xml:space="preserve"> (ARDS), lunginflammation, pneumonit, pleurautgjutning, andnöd, akut lungödem samt andningsinsufficiens rapporterats. Riskfaktorer associerade med interstitiell lungsjukdom inkluderar tidigare eller samtidig behandling med andra antineoplastiska terapier kända för att vara associerade </w:t>
      </w:r>
      <w:r w:rsidR="00500A32" w:rsidRPr="00A74CC6">
        <w:rPr>
          <w:lang w:val="sv-SE"/>
        </w:rPr>
        <w:t>där</w:t>
      </w:r>
      <w:r w:rsidRPr="00A74CC6">
        <w:rPr>
          <w:lang w:val="sv-SE"/>
        </w:rPr>
        <w:t>med</w:t>
      </w:r>
      <w:r w:rsidR="00B927E7" w:rsidRPr="00A74CC6">
        <w:rPr>
          <w:lang w:val="sv-SE"/>
        </w:rPr>
        <w:t>,</w:t>
      </w:r>
      <w:r w:rsidRPr="00A74CC6">
        <w:rPr>
          <w:lang w:val="sv-SE"/>
        </w:rPr>
        <w:t xml:space="preserve"> såsom taxaner, gemcitabin, vinorelbin och strålbehandling. Dessa händelser kan uppstå som en del av en infusionsrelaterad reaktion eller med fördröj</w:t>
      </w:r>
      <w:r w:rsidR="00500A32" w:rsidRPr="00A74CC6">
        <w:rPr>
          <w:lang w:val="sv-SE"/>
        </w:rPr>
        <w:t>d debut</w:t>
      </w:r>
      <w:r w:rsidRPr="00A74CC6">
        <w:rPr>
          <w:lang w:val="sv-SE"/>
        </w:rPr>
        <w:t xml:space="preserve">. </w:t>
      </w:r>
      <w:r w:rsidR="00500A32" w:rsidRPr="00A74CC6">
        <w:rPr>
          <w:lang w:val="sv-SE"/>
        </w:rPr>
        <w:t>P</w:t>
      </w:r>
      <w:r w:rsidRPr="00A74CC6">
        <w:rPr>
          <w:lang w:val="sv-SE"/>
        </w:rPr>
        <w:t>atienter som har dyspné i vila p</w:t>
      </w:r>
      <w:r w:rsidR="00500A32" w:rsidRPr="00A74CC6">
        <w:rPr>
          <w:lang w:val="sv-SE"/>
        </w:rPr>
        <w:t>.</w:t>
      </w:r>
      <w:r w:rsidRPr="00A74CC6">
        <w:rPr>
          <w:lang w:val="sv-SE"/>
        </w:rPr>
        <w:t>g</w:t>
      </w:r>
      <w:r w:rsidR="00500A32" w:rsidRPr="00A74CC6">
        <w:rPr>
          <w:lang w:val="sv-SE"/>
        </w:rPr>
        <w:t>.</w:t>
      </w:r>
      <w:r w:rsidRPr="00A74CC6">
        <w:rPr>
          <w:lang w:val="sv-SE"/>
        </w:rPr>
        <w:t>a</w:t>
      </w:r>
      <w:r w:rsidR="00500A32" w:rsidRPr="00A74CC6">
        <w:rPr>
          <w:lang w:val="sv-SE"/>
        </w:rPr>
        <w:t>.</w:t>
      </w:r>
      <w:r w:rsidRPr="00A74CC6">
        <w:rPr>
          <w:lang w:val="sv-SE"/>
        </w:rPr>
        <w:t xml:space="preserve"> komplikationer </w:t>
      </w:r>
      <w:r w:rsidR="00500A32" w:rsidRPr="00A74CC6">
        <w:rPr>
          <w:lang w:val="sv-SE"/>
        </w:rPr>
        <w:t>till</w:t>
      </w:r>
      <w:r w:rsidRPr="00A74CC6">
        <w:rPr>
          <w:lang w:val="sv-SE"/>
        </w:rPr>
        <w:t xml:space="preserve"> avancerad malignitet och andra sjukdomar kan </w:t>
      </w:r>
      <w:r w:rsidR="00500A32" w:rsidRPr="00A74CC6">
        <w:rPr>
          <w:lang w:val="sv-SE"/>
        </w:rPr>
        <w:t>l</w:t>
      </w:r>
      <w:r w:rsidR="00B927E7" w:rsidRPr="00A74CC6">
        <w:rPr>
          <w:lang w:val="sv-SE"/>
        </w:rPr>
        <w:t>ö</w:t>
      </w:r>
      <w:r w:rsidR="00500A32" w:rsidRPr="00A74CC6">
        <w:rPr>
          <w:lang w:val="sv-SE"/>
        </w:rPr>
        <w:t>pa större</w:t>
      </w:r>
      <w:r w:rsidRPr="00A74CC6">
        <w:rPr>
          <w:lang w:val="sv-SE"/>
        </w:rPr>
        <w:t xml:space="preserve"> risk </w:t>
      </w:r>
      <w:r w:rsidR="00500A32" w:rsidRPr="00A74CC6">
        <w:rPr>
          <w:lang w:val="sv-SE"/>
        </w:rPr>
        <w:t xml:space="preserve">att drabbas av </w:t>
      </w:r>
      <w:r w:rsidRPr="00A74CC6">
        <w:rPr>
          <w:lang w:val="sv-SE"/>
        </w:rPr>
        <w:t xml:space="preserve">pulmonella </w:t>
      </w:r>
      <w:r w:rsidR="00B927E7" w:rsidRPr="00A74CC6">
        <w:rPr>
          <w:lang w:val="sv-SE"/>
        </w:rPr>
        <w:t>händelser</w:t>
      </w:r>
      <w:r w:rsidRPr="00A74CC6">
        <w:rPr>
          <w:lang w:val="sv-SE"/>
        </w:rPr>
        <w:t xml:space="preserve">. Dessa patienter ska därför inte behandlas med </w:t>
      </w:r>
      <w:r w:rsidR="00D5715D" w:rsidRPr="00A74CC6">
        <w:rPr>
          <w:lang w:val="sv-SE"/>
        </w:rPr>
        <w:t xml:space="preserve">KANJINTI </w:t>
      </w:r>
      <w:r w:rsidRPr="00A74CC6">
        <w:rPr>
          <w:lang w:val="sv-SE"/>
        </w:rPr>
        <w:t>(se avsnitt</w:t>
      </w:r>
      <w:r w:rsidR="00500A32" w:rsidRPr="00A74CC6">
        <w:rPr>
          <w:lang w:val="sv-SE"/>
        </w:rPr>
        <w:t> </w:t>
      </w:r>
      <w:r w:rsidRPr="00A74CC6">
        <w:rPr>
          <w:lang w:val="sv-SE"/>
        </w:rPr>
        <w:t>4.3). Försiktighet ska iakttas vid pneumonit, särskilt hos patienter som samtidigt behandlas med taxaner.</w:t>
      </w:r>
    </w:p>
    <w:p w14:paraId="2543BB15" w14:textId="19DDAEAF" w:rsidR="006E1115" w:rsidRDefault="006E1115" w:rsidP="002314CE">
      <w:pPr>
        <w:spacing w:after="0" w:line="240" w:lineRule="auto"/>
        <w:ind w:left="0" w:firstLine="0"/>
        <w:contextualSpacing/>
        <w:rPr>
          <w:lang w:val="sv-SE"/>
        </w:rPr>
      </w:pPr>
    </w:p>
    <w:p w14:paraId="0A0CB996" w14:textId="25786D7F" w:rsidR="00FB2E86" w:rsidRPr="003A29F3" w:rsidRDefault="00FB2E86" w:rsidP="002D3E4B">
      <w:pPr>
        <w:keepNext/>
        <w:keepLines/>
        <w:spacing w:after="0" w:line="240" w:lineRule="auto"/>
        <w:ind w:left="0" w:firstLine="0"/>
        <w:contextualSpacing/>
        <w:rPr>
          <w:u w:val="single"/>
          <w:lang w:val="sv-SE"/>
        </w:rPr>
      </w:pPr>
      <w:r w:rsidRPr="003A29F3">
        <w:rPr>
          <w:u w:val="single"/>
          <w:lang w:val="sv-SE"/>
        </w:rPr>
        <w:lastRenderedPageBreak/>
        <w:t>Natrium</w:t>
      </w:r>
    </w:p>
    <w:p w14:paraId="180D639A" w14:textId="77777777" w:rsidR="002D3E4B" w:rsidRPr="00E5647A" w:rsidRDefault="002D3E4B" w:rsidP="002D3E4B">
      <w:pPr>
        <w:keepNext/>
        <w:keepLines/>
        <w:spacing w:after="0" w:line="240" w:lineRule="auto"/>
        <w:ind w:left="0" w:firstLine="0"/>
        <w:contextualSpacing/>
        <w:rPr>
          <w:bCs/>
          <w:lang w:val="sv-SE"/>
        </w:rPr>
      </w:pPr>
    </w:p>
    <w:p w14:paraId="68832419" w14:textId="72552C20" w:rsidR="00FB2E86" w:rsidRDefault="00FB2E86" w:rsidP="002D3E4B">
      <w:pPr>
        <w:keepNext/>
        <w:keepLines/>
        <w:spacing w:after="0" w:line="247" w:lineRule="auto"/>
        <w:ind w:left="17" w:hanging="6"/>
        <w:rPr>
          <w:lang w:val="sv-SE"/>
        </w:rPr>
      </w:pPr>
      <w:r>
        <w:rPr>
          <w:lang w:val="sv-SE"/>
        </w:rPr>
        <w:t>Det</w:t>
      </w:r>
      <w:r w:rsidR="00027B96">
        <w:rPr>
          <w:lang w:val="sv-SE"/>
        </w:rPr>
        <w:t>ta</w:t>
      </w:r>
      <w:r>
        <w:rPr>
          <w:lang w:val="sv-SE"/>
        </w:rPr>
        <w:t xml:space="preserve"> läkemed</w:t>
      </w:r>
      <w:r w:rsidR="00027B96">
        <w:rPr>
          <w:lang w:val="sv-SE"/>
        </w:rPr>
        <w:t>el</w:t>
      </w:r>
      <w:r>
        <w:rPr>
          <w:lang w:val="sv-SE"/>
        </w:rPr>
        <w:t xml:space="preserve"> innehåller mindre än 1</w:t>
      </w:r>
      <w:r w:rsidR="00AB3802">
        <w:rPr>
          <w:lang w:val="sv-SE"/>
        </w:rPr>
        <w:t> </w:t>
      </w:r>
      <w:r>
        <w:rPr>
          <w:lang w:val="sv-SE"/>
        </w:rPr>
        <w:t xml:space="preserve">mmol </w:t>
      </w:r>
      <w:r w:rsidR="00027B96">
        <w:rPr>
          <w:lang w:val="sv-SE"/>
        </w:rPr>
        <w:t xml:space="preserve">(23 mg) </w:t>
      </w:r>
      <w:r>
        <w:rPr>
          <w:lang w:val="sv-SE"/>
        </w:rPr>
        <w:t>natrium per dos, d</w:t>
      </w:r>
      <w:r w:rsidR="00027B96">
        <w:rPr>
          <w:lang w:val="sv-SE"/>
        </w:rPr>
        <w:t>.</w:t>
      </w:r>
      <w:r>
        <w:rPr>
          <w:lang w:val="sv-SE"/>
        </w:rPr>
        <w:t>v</w:t>
      </w:r>
      <w:r w:rsidR="00027B96">
        <w:rPr>
          <w:lang w:val="sv-SE"/>
        </w:rPr>
        <w:t>.</w:t>
      </w:r>
      <w:r>
        <w:rPr>
          <w:lang w:val="sv-SE"/>
        </w:rPr>
        <w:t>s</w:t>
      </w:r>
      <w:r w:rsidR="00027B96">
        <w:rPr>
          <w:lang w:val="sv-SE"/>
        </w:rPr>
        <w:t>.</w:t>
      </w:r>
      <w:r>
        <w:rPr>
          <w:lang w:val="sv-SE"/>
        </w:rPr>
        <w:t xml:space="preserve"> är näst intill </w:t>
      </w:r>
      <w:r w:rsidR="00027B96">
        <w:rPr>
          <w:lang w:val="sv-SE"/>
        </w:rPr>
        <w:t>”</w:t>
      </w:r>
      <w:r>
        <w:rPr>
          <w:lang w:val="sv-SE"/>
        </w:rPr>
        <w:t>natriumfritt</w:t>
      </w:r>
      <w:r w:rsidR="00027B96">
        <w:rPr>
          <w:lang w:val="sv-SE"/>
        </w:rPr>
        <w:t>”</w:t>
      </w:r>
      <w:r>
        <w:rPr>
          <w:lang w:val="sv-SE"/>
        </w:rPr>
        <w:t>.</w:t>
      </w:r>
    </w:p>
    <w:p w14:paraId="5B70DBA4" w14:textId="77777777" w:rsidR="002D3E4B" w:rsidRPr="00A74CC6" w:rsidRDefault="002D3E4B" w:rsidP="002D3E4B">
      <w:pPr>
        <w:keepNext/>
        <w:keepLines/>
        <w:spacing w:after="0" w:line="247" w:lineRule="auto"/>
        <w:ind w:left="17" w:hanging="6"/>
        <w:rPr>
          <w:lang w:val="sv-SE"/>
        </w:rPr>
      </w:pPr>
    </w:p>
    <w:p w14:paraId="326CCDBA" w14:textId="77777777" w:rsidR="005027AB" w:rsidRPr="00A74CC6" w:rsidRDefault="00264096" w:rsidP="001E7238">
      <w:pPr>
        <w:pStyle w:val="Heading3"/>
        <w:tabs>
          <w:tab w:val="center" w:pos="3431"/>
        </w:tabs>
        <w:spacing w:after="0" w:line="240" w:lineRule="auto"/>
        <w:ind w:left="567" w:hanging="567"/>
        <w:contextualSpacing/>
        <w:rPr>
          <w:b/>
          <w:i w:val="0"/>
          <w:u w:val="none"/>
          <w:lang w:val="sv-SE"/>
        </w:rPr>
      </w:pPr>
      <w:r w:rsidRPr="00A74CC6">
        <w:rPr>
          <w:b/>
          <w:i w:val="0"/>
          <w:u w:val="none"/>
          <w:lang w:val="sv-SE"/>
        </w:rPr>
        <w:t>4.5</w:t>
      </w:r>
      <w:r w:rsidRPr="00A74CC6">
        <w:rPr>
          <w:b/>
          <w:i w:val="0"/>
          <w:u w:val="none"/>
          <w:lang w:val="sv-SE"/>
        </w:rPr>
        <w:tab/>
        <w:t>Interaktioner med andra läkemedel och övriga interaktioner</w:t>
      </w:r>
    </w:p>
    <w:p w14:paraId="131D1BC9" w14:textId="77777777" w:rsidR="006E1115" w:rsidRPr="00A74CC6" w:rsidRDefault="006E1115" w:rsidP="001E7238">
      <w:pPr>
        <w:keepNext/>
        <w:keepLines/>
        <w:spacing w:after="0" w:line="240" w:lineRule="auto"/>
        <w:contextualSpacing/>
        <w:rPr>
          <w:lang w:val="sv-SE"/>
        </w:rPr>
      </w:pPr>
    </w:p>
    <w:p w14:paraId="5EBF9EDF" w14:textId="238F5CAC" w:rsidR="005027AB" w:rsidRPr="00A74CC6" w:rsidRDefault="00264096" w:rsidP="001E7238">
      <w:pPr>
        <w:spacing w:after="0" w:line="240" w:lineRule="auto"/>
        <w:ind w:left="4" w:right="13"/>
        <w:contextualSpacing/>
        <w:rPr>
          <w:lang w:val="sv-SE"/>
        </w:rPr>
      </w:pPr>
      <w:r w:rsidRPr="00A74CC6">
        <w:rPr>
          <w:lang w:val="sv-SE"/>
        </w:rPr>
        <w:t xml:space="preserve">Inga formella interaktionsstudier har utförts. Kliniskt signifikanta interaktioner mellan </w:t>
      </w:r>
      <w:r w:rsidR="00D5715D" w:rsidRPr="00A74CC6">
        <w:rPr>
          <w:lang w:val="sv-SE"/>
        </w:rPr>
        <w:t xml:space="preserve">trastuzumab </w:t>
      </w:r>
      <w:r w:rsidRPr="00A74CC6">
        <w:rPr>
          <w:lang w:val="sv-SE"/>
        </w:rPr>
        <w:t>och samtidiga läkemedel som använts i kliniska studier har inte observerats.</w:t>
      </w:r>
    </w:p>
    <w:p w14:paraId="783EBB55" w14:textId="77777777" w:rsidR="006E1115" w:rsidRPr="00A74CC6" w:rsidRDefault="006E1115" w:rsidP="001E7238">
      <w:pPr>
        <w:spacing w:after="0" w:line="240" w:lineRule="auto"/>
        <w:ind w:left="4" w:right="13"/>
        <w:contextualSpacing/>
        <w:rPr>
          <w:lang w:val="sv-SE"/>
        </w:rPr>
      </w:pPr>
    </w:p>
    <w:p w14:paraId="19A5A26B" w14:textId="4DE2EB81" w:rsidR="005027AB" w:rsidRPr="00A74CC6" w:rsidRDefault="00264096" w:rsidP="001E7238">
      <w:pPr>
        <w:pStyle w:val="Heading3"/>
        <w:suppressAutoHyphens/>
        <w:spacing w:after="0" w:line="240" w:lineRule="auto"/>
        <w:ind w:left="9"/>
        <w:contextualSpacing/>
        <w:rPr>
          <w:i w:val="0"/>
          <w:lang w:val="sv-SE"/>
        </w:rPr>
      </w:pPr>
      <w:r w:rsidRPr="00A74CC6">
        <w:rPr>
          <w:i w:val="0"/>
          <w:lang w:val="sv-SE"/>
        </w:rPr>
        <w:t xml:space="preserve">Trastuzumabs effekt på farmakokinetiken </w:t>
      </w:r>
      <w:r w:rsidR="00500A32" w:rsidRPr="00A74CC6">
        <w:rPr>
          <w:i w:val="0"/>
          <w:lang w:val="sv-SE"/>
        </w:rPr>
        <w:t>för andra</w:t>
      </w:r>
      <w:r w:rsidRPr="00A74CC6">
        <w:rPr>
          <w:i w:val="0"/>
          <w:lang w:val="sv-SE"/>
        </w:rPr>
        <w:t xml:space="preserve"> antineoplastiska medel</w:t>
      </w:r>
    </w:p>
    <w:p w14:paraId="0254A423" w14:textId="77777777" w:rsidR="006E1115" w:rsidRPr="00A74CC6" w:rsidRDefault="006E1115" w:rsidP="001E7238">
      <w:pPr>
        <w:keepNext/>
        <w:keepLines/>
        <w:suppressAutoHyphens/>
        <w:spacing w:after="0" w:line="240" w:lineRule="auto"/>
        <w:contextualSpacing/>
        <w:rPr>
          <w:lang w:val="sv-SE"/>
        </w:rPr>
      </w:pPr>
    </w:p>
    <w:p w14:paraId="04298E36" w14:textId="1BC5A136" w:rsidR="006E1115" w:rsidRPr="00A74CC6" w:rsidRDefault="00264096" w:rsidP="001E7238">
      <w:pPr>
        <w:spacing w:after="0" w:line="240" w:lineRule="auto"/>
        <w:ind w:left="4" w:right="13"/>
        <w:contextualSpacing/>
        <w:rPr>
          <w:lang w:val="sv-SE"/>
        </w:rPr>
      </w:pPr>
      <w:r w:rsidRPr="00A74CC6">
        <w:rPr>
          <w:lang w:val="sv-SE"/>
        </w:rPr>
        <w:t xml:space="preserve">Farmakokinetiska data från studierna BO15935 och M77004 </w:t>
      </w:r>
      <w:r w:rsidR="00B927E7" w:rsidRPr="00A74CC6">
        <w:rPr>
          <w:lang w:val="sv-SE"/>
        </w:rPr>
        <w:t>på</w:t>
      </w:r>
      <w:r w:rsidRPr="00A74CC6">
        <w:rPr>
          <w:lang w:val="sv-SE"/>
        </w:rPr>
        <w:t xml:space="preserve"> kvinnor med HER2-positiv metastaserad bröstcancer tyder på att exponeringen av paklitaxel och doxorubicin (och deras huvudmetaboliter 6</w:t>
      </w:r>
      <w:r w:rsidR="00500A32" w:rsidRPr="00A74CC6">
        <w:rPr>
          <w:lang w:val="sv-SE"/>
        </w:rPr>
        <w:noBreakHyphen/>
      </w:r>
      <w:r w:rsidRPr="00A74CC6">
        <w:rPr>
          <w:lang w:val="sv-SE"/>
        </w:rPr>
        <w:t>α</w:t>
      </w:r>
      <w:r w:rsidR="00500A32" w:rsidRPr="00A74CC6">
        <w:rPr>
          <w:lang w:val="sv-SE"/>
        </w:rPr>
        <w:noBreakHyphen/>
      </w:r>
      <w:r w:rsidRPr="00A74CC6">
        <w:rPr>
          <w:lang w:val="sv-SE"/>
        </w:rPr>
        <w:t>hydroxyl-paklitaxel, POH, och doxorubicinol, DOL) inte förändrade</w:t>
      </w:r>
      <w:r w:rsidR="00E529DA" w:rsidRPr="00A74CC6">
        <w:rPr>
          <w:lang w:val="sv-SE"/>
        </w:rPr>
        <w:t xml:space="preserve">s vid närvaro av trastuzumab (8 mg/kg eller 4 mg/kg </w:t>
      </w:r>
      <w:r w:rsidR="001772CD">
        <w:rPr>
          <w:lang w:val="sv-SE"/>
        </w:rPr>
        <w:t>intravenös</w:t>
      </w:r>
      <w:r w:rsidR="00E529DA" w:rsidRPr="00A74CC6">
        <w:rPr>
          <w:lang w:val="sv-SE"/>
        </w:rPr>
        <w:t xml:space="preserve"> startdos följt av 6 </w:t>
      </w:r>
      <w:r w:rsidRPr="00A74CC6">
        <w:rPr>
          <w:lang w:val="sv-SE"/>
        </w:rPr>
        <w:t xml:space="preserve">mg/kg </w:t>
      </w:r>
      <w:r w:rsidR="001772CD">
        <w:rPr>
          <w:lang w:val="sv-SE"/>
        </w:rPr>
        <w:t>intravenöst</w:t>
      </w:r>
      <w:r w:rsidRPr="00A74CC6">
        <w:rPr>
          <w:lang w:val="sv-SE"/>
        </w:rPr>
        <w:t xml:space="preserve"> var tredje vecka respektive 2</w:t>
      </w:r>
      <w:r w:rsidR="00E529DA" w:rsidRPr="00A74CC6">
        <w:rPr>
          <w:lang w:val="sv-SE"/>
        </w:rPr>
        <w:t> </w:t>
      </w:r>
      <w:r w:rsidRPr="00A74CC6">
        <w:rPr>
          <w:lang w:val="sv-SE"/>
        </w:rPr>
        <w:t xml:space="preserve">mg/kg </w:t>
      </w:r>
      <w:r w:rsidR="001772CD">
        <w:rPr>
          <w:lang w:val="sv-SE"/>
        </w:rPr>
        <w:t>intravenöst</w:t>
      </w:r>
      <w:r w:rsidRPr="00A74CC6">
        <w:rPr>
          <w:lang w:val="sv-SE"/>
        </w:rPr>
        <w:t xml:space="preserve"> varje vecka).</w:t>
      </w:r>
      <w:r w:rsidR="00F213B5" w:rsidRPr="00A74CC6">
        <w:rPr>
          <w:lang w:val="sv-SE"/>
        </w:rPr>
        <w:t xml:space="preserve"> </w:t>
      </w:r>
      <w:r w:rsidRPr="00A74CC6">
        <w:rPr>
          <w:lang w:val="sv-SE"/>
        </w:rPr>
        <w:t>Däremot kan trastuzumab höja den totala exponeringen av en doxorubicinmetabolit, (7-deoxi-13</w:t>
      </w:r>
      <w:r w:rsidR="00500A32" w:rsidRPr="00A74CC6">
        <w:rPr>
          <w:lang w:val="sv-SE"/>
        </w:rPr>
        <w:noBreakHyphen/>
      </w:r>
      <w:r w:rsidRPr="00A74CC6">
        <w:rPr>
          <w:lang w:val="sv-SE"/>
        </w:rPr>
        <w:t>dihydro-doxorubicinon, D7D). Den biologiska aktiviteten av D7D och den kliniska betydelsen av ökad exponering av denna metabolit var oklar.</w:t>
      </w:r>
    </w:p>
    <w:p w14:paraId="494169A3" w14:textId="77777777" w:rsidR="006E1115" w:rsidRPr="00A74CC6" w:rsidRDefault="006E1115" w:rsidP="001E7238">
      <w:pPr>
        <w:spacing w:after="0" w:line="240" w:lineRule="auto"/>
        <w:ind w:left="4" w:right="13"/>
        <w:contextualSpacing/>
        <w:rPr>
          <w:lang w:val="sv-SE"/>
        </w:rPr>
      </w:pPr>
    </w:p>
    <w:p w14:paraId="6D7E6FA3" w14:textId="2CC86182" w:rsidR="005027AB" w:rsidRPr="00A74CC6" w:rsidRDefault="00264096" w:rsidP="001E7238">
      <w:pPr>
        <w:spacing w:after="0" w:line="240" w:lineRule="auto"/>
        <w:ind w:left="4" w:right="13"/>
        <w:contextualSpacing/>
        <w:rPr>
          <w:lang w:val="sv-SE"/>
        </w:rPr>
      </w:pPr>
      <w:r w:rsidRPr="00A74CC6">
        <w:rPr>
          <w:lang w:val="sv-SE"/>
        </w:rPr>
        <w:t>Data från studie JP16003,</w:t>
      </w:r>
      <w:r w:rsidR="00500A32" w:rsidRPr="00A74CC6">
        <w:rPr>
          <w:lang w:val="sv-SE"/>
        </w:rPr>
        <w:t xml:space="preserve"> </w:t>
      </w:r>
      <w:r w:rsidRPr="00A74CC6">
        <w:rPr>
          <w:lang w:val="sv-SE"/>
        </w:rPr>
        <w:t xml:space="preserve">en enarmad studie med </w:t>
      </w:r>
      <w:r w:rsidR="00D5715D" w:rsidRPr="00A74CC6">
        <w:rPr>
          <w:lang w:val="sv-SE"/>
        </w:rPr>
        <w:t xml:space="preserve">trastuzumab </w:t>
      </w:r>
      <w:r w:rsidRPr="00A74CC6">
        <w:rPr>
          <w:lang w:val="sv-SE"/>
        </w:rPr>
        <w:t>(4</w:t>
      </w:r>
      <w:r w:rsidR="00E529DA" w:rsidRPr="00A74CC6">
        <w:rPr>
          <w:lang w:val="sv-SE"/>
        </w:rPr>
        <w:t> </w:t>
      </w:r>
      <w:r w:rsidRPr="00A74CC6">
        <w:rPr>
          <w:lang w:val="sv-SE"/>
        </w:rPr>
        <w:t xml:space="preserve">mg/kg </w:t>
      </w:r>
      <w:r w:rsidR="001772CD">
        <w:rPr>
          <w:lang w:val="sv-SE"/>
        </w:rPr>
        <w:t>intravenös</w:t>
      </w:r>
      <w:r w:rsidRPr="00A74CC6">
        <w:rPr>
          <w:lang w:val="sv-SE"/>
        </w:rPr>
        <w:t xml:space="preserve"> startdos och 2</w:t>
      </w:r>
      <w:r w:rsidR="00E529DA" w:rsidRPr="00A74CC6">
        <w:rPr>
          <w:lang w:val="sv-SE"/>
        </w:rPr>
        <w:t> </w:t>
      </w:r>
      <w:r w:rsidRPr="00A74CC6">
        <w:rPr>
          <w:lang w:val="sv-SE"/>
        </w:rPr>
        <w:t xml:space="preserve">mg/kg </w:t>
      </w:r>
      <w:r w:rsidR="001772CD">
        <w:rPr>
          <w:lang w:val="sv-SE"/>
        </w:rPr>
        <w:t>intravenöst</w:t>
      </w:r>
      <w:r w:rsidR="00E529DA" w:rsidRPr="00A74CC6">
        <w:rPr>
          <w:lang w:val="sv-SE"/>
        </w:rPr>
        <w:t xml:space="preserve"> varje vecka) och docetaxel (60 </w:t>
      </w:r>
      <w:r w:rsidRPr="00A74CC6">
        <w:rPr>
          <w:lang w:val="sv-SE"/>
        </w:rPr>
        <w:t>mg/m</w:t>
      </w:r>
      <w:r w:rsidRPr="00A74CC6">
        <w:rPr>
          <w:vertAlign w:val="superscript"/>
          <w:lang w:val="sv-SE"/>
        </w:rPr>
        <w:t xml:space="preserve">2 </w:t>
      </w:r>
      <w:r w:rsidR="001772CD">
        <w:rPr>
          <w:lang w:val="sv-SE"/>
        </w:rPr>
        <w:t>intravenöst</w:t>
      </w:r>
      <w:r w:rsidRPr="00A74CC6">
        <w:rPr>
          <w:lang w:val="sv-SE"/>
        </w:rPr>
        <w:t xml:space="preserve">) </w:t>
      </w:r>
      <w:r w:rsidR="00500A32" w:rsidRPr="00A74CC6">
        <w:rPr>
          <w:lang w:val="sv-SE"/>
        </w:rPr>
        <w:t>på</w:t>
      </w:r>
      <w:r w:rsidRPr="00A74CC6">
        <w:rPr>
          <w:lang w:val="sv-SE"/>
        </w:rPr>
        <w:t xml:space="preserve"> japanska kvinnor med HER2-positiv metastaserad bröstcancer, tyder på att samtidig administrering av </w:t>
      </w:r>
      <w:r w:rsidR="00D5715D" w:rsidRPr="00A74CC6">
        <w:rPr>
          <w:lang w:val="sv-SE"/>
        </w:rPr>
        <w:t xml:space="preserve">trastuzumab </w:t>
      </w:r>
      <w:r w:rsidRPr="00A74CC6">
        <w:rPr>
          <w:lang w:val="sv-SE"/>
        </w:rPr>
        <w:t xml:space="preserve">inte hade någon farmakokinetisk effekt på docetaxel givet som singeldos. Studie JP19959 var en substudie till BO18255 (ToGA) </w:t>
      </w:r>
      <w:r w:rsidR="00500A32" w:rsidRPr="00A74CC6">
        <w:rPr>
          <w:lang w:val="sv-SE"/>
        </w:rPr>
        <w:t>på</w:t>
      </w:r>
      <w:r w:rsidRPr="00A74CC6">
        <w:rPr>
          <w:lang w:val="sv-SE"/>
        </w:rPr>
        <w:t xml:space="preserve"> manliga och kvinnliga japanska patienter med avancerad ventrikelcancer där farmakokinetiken för </w:t>
      </w:r>
      <w:r w:rsidR="00500A32" w:rsidRPr="00A74CC6">
        <w:rPr>
          <w:lang w:val="sv-SE"/>
        </w:rPr>
        <w:t>k</w:t>
      </w:r>
      <w:r w:rsidRPr="00A74CC6">
        <w:rPr>
          <w:lang w:val="sv-SE"/>
        </w:rPr>
        <w:t xml:space="preserve">apecitabin och cisplatin studerades vid användning med eller utan </w:t>
      </w:r>
      <w:r w:rsidR="00D5715D" w:rsidRPr="00A74CC6">
        <w:rPr>
          <w:lang w:val="sv-SE"/>
        </w:rPr>
        <w:t>trastuzumab</w:t>
      </w:r>
      <w:r w:rsidRPr="00A74CC6">
        <w:rPr>
          <w:lang w:val="sv-SE"/>
        </w:rPr>
        <w:t xml:space="preserve">. Resultaten från denna substudie tyder på att exponeringen av </w:t>
      </w:r>
      <w:r w:rsidR="00500A32" w:rsidRPr="00A74CC6">
        <w:rPr>
          <w:lang w:val="sv-SE"/>
        </w:rPr>
        <w:t>k</w:t>
      </w:r>
      <w:r w:rsidRPr="00A74CC6">
        <w:rPr>
          <w:lang w:val="sv-SE"/>
        </w:rPr>
        <w:t>apecitabins biologiskt aktiva metaboliter (t</w:t>
      </w:r>
      <w:r w:rsidR="00B927E7" w:rsidRPr="00A74CC6">
        <w:rPr>
          <w:lang w:val="sv-SE"/>
        </w:rPr>
        <w:t>.</w:t>
      </w:r>
      <w:r w:rsidRPr="00A74CC6">
        <w:rPr>
          <w:lang w:val="sv-SE"/>
        </w:rPr>
        <w:t>ex</w:t>
      </w:r>
      <w:r w:rsidR="00B927E7" w:rsidRPr="00A74CC6">
        <w:rPr>
          <w:lang w:val="sv-SE"/>
        </w:rPr>
        <w:t>.</w:t>
      </w:r>
      <w:r w:rsidRPr="00A74CC6">
        <w:rPr>
          <w:lang w:val="sv-SE"/>
        </w:rPr>
        <w:t xml:space="preserve"> 5-FU) inte påverkades av samtidig användning av cisplatin eller av samtidig användning av cisplatin plus </w:t>
      </w:r>
      <w:r w:rsidR="00D5715D" w:rsidRPr="00A74CC6">
        <w:rPr>
          <w:lang w:val="sv-SE"/>
        </w:rPr>
        <w:t>trastuzumab</w:t>
      </w:r>
      <w:r w:rsidRPr="00A74CC6">
        <w:rPr>
          <w:lang w:val="sv-SE"/>
        </w:rPr>
        <w:t xml:space="preserve">. Däremot uppvisade modersubstansen </w:t>
      </w:r>
      <w:r w:rsidR="00F949AD" w:rsidRPr="00A74CC6">
        <w:rPr>
          <w:lang w:val="sv-SE"/>
        </w:rPr>
        <w:t>k</w:t>
      </w:r>
      <w:r w:rsidRPr="00A74CC6">
        <w:rPr>
          <w:lang w:val="sv-SE"/>
        </w:rPr>
        <w:t xml:space="preserve">apecitabin högre koncentrationer och längre halveringstid </w:t>
      </w:r>
      <w:r w:rsidR="00B927E7" w:rsidRPr="00A74CC6">
        <w:rPr>
          <w:lang w:val="sv-SE"/>
        </w:rPr>
        <w:t>vid</w:t>
      </w:r>
      <w:r w:rsidRPr="00A74CC6">
        <w:rPr>
          <w:lang w:val="sv-SE"/>
        </w:rPr>
        <w:t xml:space="preserve"> kombin</w:t>
      </w:r>
      <w:r w:rsidR="00B927E7" w:rsidRPr="00A74CC6">
        <w:rPr>
          <w:lang w:val="sv-SE"/>
        </w:rPr>
        <w:t>ation</w:t>
      </w:r>
      <w:r w:rsidRPr="00A74CC6">
        <w:rPr>
          <w:lang w:val="sv-SE"/>
        </w:rPr>
        <w:t xml:space="preserve"> med </w:t>
      </w:r>
      <w:r w:rsidR="00D5715D" w:rsidRPr="00A74CC6">
        <w:rPr>
          <w:lang w:val="sv-SE"/>
        </w:rPr>
        <w:t>trastuzumab</w:t>
      </w:r>
      <w:r w:rsidRPr="00A74CC6">
        <w:rPr>
          <w:lang w:val="sv-SE"/>
        </w:rPr>
        <w:t xml:space="preserve">. Data tyder också på att farmakokinetiken för cisplatin inte påverkades av samtidig användning av </w:t>
      </w:r>
      <w:r w:rsidR="00F949AD" w:rsidRPr="00A74CC6">
        <w:rPr>
          <w:lang w:val="sv-SE"/>
        </w:rPr>
        <w:t>k</w:t>
      </w:r>
      <w:r w:rsidRPr="00A74CC6">
        <w:rPr>
          <w:lang w:val="sv-SE"/>
        </w:rPr>
        <w:t xml:space="preserve">apecitabin eller av samtidig användning av </w:t>
      </w:r>
      <w:r w:rsidR="00F949AD" w:rsidRPr="00A74CC6">
        <w:rPr>
          <w:lang w:val="sv-SE"/>
        </w:rPr>
        <w:t>k</w:t>
      </w:r>
      <w:r w:rsidRPr="00A74CC6">
        <w:rPr>
          <w:lang w:val="sv-SE"/>
        </w:rPr>
        <w:t xml:space="preserve">apecitabin plus </w:t>
      </w:r>
      <w:r w:rsidR="00D5715D" w:rsidRPr="00A74CC6">
        <w:rPr>
          <w:lang w:val="sv-SE"/>
        </w:rPr>
        <w:t>trastuzumab</w:t>
      </w:r>
      <w:r w:rsidRPr="00A74CC6">
        <w:rPr>
          <w:lang w:val="sv-SE"/>
        </w:rPr>
        <w:t>.</w:t>
      </w:r>
    </w:p>
    <w:p w14:paraId="268DC48A" w14:textId="77777777" w:rsidR="006E1115" w:rsidRPr="00A74CC6" w:rsidRDefault="006E1115" w:rsidP="001E7238">
      <w:pPr>
        <w:spacing w:after="0" w:line="240" w:lineRule="auto"/>
        <w:ind w:left="4" w:right="13"/>
        <w:contextualSpacing/>
        <w:rPr>
          <w:lang w:val="sv-SE"/>
        </w:rPr>
      </w:pPr>
    </w:p>
    <w:p w14:paraId="27B9B395" w14:textId="1E51755F" w:rsidR="005027AB" w:rsidRPr="00A74CC6" w:rsidRDefault="00264096" w:rsidP="001E7238">
      <w:pPr>
        <w:spacing w:after="0" w:line="240" w:lineRule="auto"/>
        <w:ind w:left="4" w:right="13"/>
        <w:contextualSpacing/>
        <w:rPr>
          <w:lang w:val="sv-SE"/>
        </w:rPr>
      </w:pPr>
      <w:r w:rsidRPr="00A74CC6">
        <w:rPr>
          <w:lang w:val="sv-SE"/>
        </w:rPr>
        <w:t xml:space="preserve">Farmakokinetiska data från studie H4613g/GO01305 </w:t>
      </w:r>
      <w:r w:rsidR="00B927E7" w:rsidRPr="00A74CC6">
        <w:rPr>
          <w:lang w:val="sv-SE"/>
        </w:rPr>
        <w:t>på</w:t>
      </w:r>
      <w:r w:rsidRPr="00A74CC6">
        <w:rPr>
          <w:lang w:val="sv-SE"/>
        </w:rPr>
        <w:t xml:space="preserve"> patienter med metastaserad eller lokalt avancerad inoperabel HER2-positiv cancer tyder på att trastuzumab inte hade någon inverkan på farmakokinetiken för karboplatin.</w:t>
      </w:r>
    </w:p>
    <w:p w14:paraId="1A2B1F9E" w14:textId="77777777" w:rsidR="006E1115" w:rsidRPr="00A74CC6" w:rsidRDefault="006E1115" w:rsidP="001E7238">
      <w:pPr>
        <w:spacing w:after="0" w:line="240" w:lineRule="auto"/>
        <w:ind w:left="4" w:right="13"/>
        <w:contextualSpacing/>
        <w:rPr>
          <w:lang w:val="sv-SE"/>
        </w:rPr>
      </w:pPr>
    </w:p>
    <w:p w14:paraId="0368A4A1" w14:textId="77777777" w:rsidR="005027AB" w:rsidRPr="00A74CC6" w:rsidRDefault="00264096" w:rsidP="001E7238">
      <w:pPr>
        <w:pStyle w:val="Heading3"/>
        <w:spacing w:after="0" w:line="240" w:lineRule="auto"/>
        <w:ind w:left="9"/>
        <w:contextualSpacing/>
        <w:rPr>
          <w:lang w:val="sv-SE"/>
        </w:rPr>
      </w:pPr>
      <w:r w:rsidRPr="00A74CC6">
        <w:rPr>
          <w:lang w:val="sv-SE"/>
        </w:rPr>
        <w:t>Antineoplastiska medels effekt på trastuzumabs farmakokinetik</w:t>
      </w:r>
    </w:p>
    <w:p w14:paraId="608058C0" w14:textId="77777777" w:rsidR="006E1115" w:rsidRPr="00A74CC6" w:rsidRDefault="006E1115" w:rsidP="001E7238">
      <w:pPr>
        <w:keepNext/>
        <w:keepLines/>
        <w:spacing w:after="0" w:line="240" w:lineRule="auto"/>
        <w:contextualSpacing/>
        <w:rPr>
          <w:lang w:val="sv-SE"/>
        </w:rPr>
      </w:pPr>
    </w:p>
    <w:p w14:paraId="36D9BAA8" w14:textId="36832C8C" w:rsidR="005027AB" w:rsidRPr="00A74CC6" w:rsidRDefault="00264096" w:rsidP="001E7238">
      <w:pPr>
        <w:spacing w:after="0" w:line="240" w:lineRule="auto"/>
        <w:ind w:left="4" w:right="13"/>
        <w:contextualSpacing/>
        <w:rPr>
          <w:lang w:val="sv-SE"/>
        </w:rPr>
      </w:pPr>
      <w:r w:rsidRPr="00A74CC6">
        <w:rPr>
          <w:lang w:val="sv-SE"/>
        </w:rPr>
        <w:t>Vid jämförelse av simulerade serumkoncentrationer av trastuzumab ef</w:t>
      </w:r>
      <w:r w:rsidR="00AB315E" w:rsidRPr="00A74CC6">
        <w:rPr>
          <w:lang w:val="sv-SE"/>
        </w:rPr>
        <w:t xml:space="preserve">ter </w:t>
      </w:r>
      <w:r w:rsidR="00D5715D" w:rsidRPr="00A74CC6">
        <w:rPr>
          <w:lang w:val="sv-SE"/>
        </w:rPr>
        <w:t xml:space="preserve">trastuzumab </w:t>
      </w:r>
      <w:r w:rsidR="00AB315E" w:rsidRPr="00A74CC6">
        <w:rPr>
          <w:lang w:val="sv-SE"/>
        </w:rPr>
        <w:t>som monoterapi (4 mg/kg startdos / 2 </w:t>
      </w:r>
      <w:r w:rsidRPr="00A74CC6">
        <w:rPr>
          <w:lang w:val="sv-SE"/>
        </w:rPr>
        <w:t xml:space="preserve">mg/kg </w:t>
      </w:r>
      <w:r w:rsidR="001772CD">
        <w:rPr>
          <w:lang w:val="sv-SE"/>
        </w:rPr>
        <w:t>intravenöst</w:t>
      </w:r>
      <w:r w:rsidRPr="00A74CC6">
        <w:rPr>
          <w:lang w:val="sv-SE"/>
        </w:rPr>
        <w:t xml:space="preserve"> en gång i veckan) och observerade serumkoncentrationer hos japanska kvinnor med HER2-positiv metastaserad bröstcancer (stud</w:t>
      </w:r>
      <w:r w:rsidR="00B927E7" w:rsidRPr="00A74CC6">
        <w:rPr>
          <w:lang w:val="sv-SE"/>
        </w:rPr>
        <w:t>ie</w:t>
      </w:r>
      <w:r w:rsidRPr="00A74CC6">
        <w:rPr>
          <w:lang w:val="sv-SE"/>
        </w:rPr>
        <w:t xml:space="preserve"> JP16003) sågs inga tecken på </w:t>
      </w:r>
      <w:r w:rsidR="00B927E7" w:rsidRPr="00A74CC6">
        <w:rPr>
          <w:lang w:val="sv-SE"/>
        </w:rPr>
        <w:t xml:space="preserve">att samtidig administrering av docetaxel hade </w:t>
      </w:r>
      <w:r w:rsidRPr="00A74CC6">
        <w:rPr>
          <w:lang w:val="sv-SE"/>
        </w:rPr>
        <w:t xml:space="preserve">någon effekt på </w:t>
      </w:r>
      <w:r w:rsidR="00B927E7" w:rsidRPr="00A74CC6">
        <w:rPr>
          <w:lang w:val="sv-SE"/>
        </w:rPr>
        <w:t xml:space="preserve">farmakokinetiken för </w:t>
      </w:r>
      <w:r w:rsidRPr="00A74CC6">
        <w:rPr>
          <w:lang w:val="sv-SE"/>
        </w:rPr>
        <w:t>trastuzumab.</w:t>
      </w:r>
    </w:p>
    <w:p w14:paraId="59DA9100" w14:textId="77777777" w:rsidR="005027AB" w:rsidRPr="00A74CC6" w:rsidRDefault="005027AB" w:rsidP="001E7238">
      <w:pPr>
        <w:spacing w:after="0" w:line="240" w:lineRule="auto"/>
        <w:ind w:left="14" w:firstLine="0"/>
        <w:contextualSpacing/>
        <w:rPr>
          <w:lang w:val="sv-SE"/>
        </w:rPr>
      </w:pPr>
    </w:p>
    <w:p w14:paraId="30F9A244" w14:textId="529956C2" w:rsidR="005027AB" w:rsidRPr="00A74CC6" w:rsidRDefault="00264096" w:rsidP="001E7238">
      <w:pPr>
        <w:spacing w:after="0" w:line="240" w:lineRule="auto"/>
        <w:ind w:left="4" w:right="13"/>
        <w:contextualSpacing/>
        <w:rPr>
          <w:lang w:val="sv-SE"/>
        </w:rPr>
      </w:pPr>
      <w:r w:rsidRPr="00A74CC6">
        <w:rPr>
          <w:lang w:val="sv-SE"/>
        </w:rPr>
        <w:t>Jämförelse av farmakokinetiska resultat från två fas</w:t>
      </w:r>
      <w:r w:rsidR="00F949AD" w:rsidRPr="00A74CC6">
        <w:rPr>
          <w:lang w:val="sv-SE"/>
        </w:rPr>
        <w:t> </w:t>
      </w:r>
      <w:r w:rsidRPr="00A74CC6">
        <w:rPr>
          <w:lang w:val="sv-SE"/>
        </w:rPr>
        <w:t>II-studier (BO15935 och M77004) och en fas</w:t>
      </w:r>
      <w:r w:rsidR="00F949AD" w:rsidRPr="00A74CC6">
        <w:rPr>
          <w:lang w:val="sv-SE"/>
        </w:rPr>
        <w:t> </w:t>
      </w:r>
      <w:r w:rsidRPr="00A74CC6">
        <w:rPr>
          <w:lang w:val="sv-SE"/>
        </w:rPr>
        <w:t>III</w:t>
      </w:r>
      <w:r w:rsidR="007D11C0" w:rsidRPr="00A74CC6">
        <w:rPr>
          <w:lang w:val="sv-SE"/>
        </w:rPr>
        <w:noBreakHyphen/>
      </w:r>
      <w:r w:rsidRPr="00A74CC6">
        <w:rPr>
          <w:lang w:val="sv-SE"/>
        </w:rPr>
        <w:t>studie (H0648g)</w:t>
      </w:r>
      <w:r w:rsidR="00F949AD" w:rsidRPr="00A74CC6">
        <w:rPr>
          <w:lang w:val="sv-SE"/>
        </w:rPr>
        <w:t>,</w:t>
      </w:r>
      <w:r w:rsidRPr="00A74CC6">
        <w:rPr>
          <w:lang w:val="sv-SE"/>
        </w:rPr>
        <w:t xml:space="preserve"> i vilka patienterna behandlades med </w:t>
      </w:r>
      <w:r w:rsidR="00D5715D" w:rsidRPr="00A74CC6">
        <w:rPr>
          <w:lang w:val="sv-SE"/>
        </w:rPr>
        <w:t xml:space="preserve">trastuzumab </w:t>
      </w:r>
      <w:r w:rsidRPr="00A74CC6">
        <w:rPr>
          <w:lang w:val="sv-SE"/>
        </w:rPr>
        <w:t>och paklitaxel samtidigt</w:t>
      </w:r>
      <w:r w:rsidR="00F949AD" w:rsidRPr="00A74CC6">
        <w:rPr>
          <w:lang w:val="sv-SE"/>
        </w:rPr>
        <w:t>,</w:t>
      </w:r>
      <w:r w:rsidRPr="00A74CC6">
        <w:rPr>
          <w:lang w:val="sv-SE"/>
        </w:rPr>
        <w:t xml:space="preserve"> samt två fas</w:t>
      </w:r>
      <w:r w:rsidR="00F949AD" w:rsidRPr="00A74CC6">
        <w:rPr>
          <w:lang w:val="sv-SE"/>
        </w:rPr>
        <w:t> </w:t>
      </w:r>
      <w:r w:rsidRPr="00A74CC6">
        <w:rPr>
          <w:lang w:val="sv-SE"/>
        </w:rPr>
        <w:t>II-studier</w:t>
      </w:r>
      <w:r w:rsidR="00F949AD" w:rsidRPr="00A74CC6">
        <w:rPr>
          <w:lang w:val="sv-SE"/>
        </w:rPr>
        <w:t>,</w:t>
      </w:r>
      <w:r w:rsidRPr="00A74CC6">
        <w:rPr>
          <w:lang w:val="sv-SE"/>
        </w:rPr>
        <w:t xml:space="preserve"> i vilka </w:t>
      </w:r>
      <w:r w:rsidR="00D5715D" w:rsidRPr="00A74CC6">
        <w:rPr>
          <w:lang w:val="sv-SE"/>
        </w:rPr>
        <w:t xml:space="preserve">trastuzumab </w:t>
      </w:r>
      <w:r w:rsidRPr="00A74CC6">
        <w:rPr>
          <w:lang w:val="sv-SE"/>
        </w:rPr>
        <w:t xml:space="preserve">administrerades som monoterapi (W016229 </w:t>
      </w:r>
      <w:r w:rsidR="00F949AD" w:rsidRPr="00A74CC6">
        <w:rPr>
          <w:lang w:val="sv-SE"/>
        </w:rPr>
        <w:t>och</w:t>
      </w:r>
      <w:r w:rsidRPr="00A74CC6">
        <w:rPr>
          <w:lang w:val="sv-SE"/>
        </w:rPr>
        <w:t xml:space="preserve"> MO16982), </w:t>
      </w:r>
      <w:r w:rsidR="00B927E7" w:rsidRPr="00A74CC6">
        <w:rPr>
          <w:lang w:val="sv-SE"/>
        </w:rPr>
        <w:t>på</w:t>
      </w:r>
      <w:r w:rsidRPr="00A74CC6">
        <w:rPr>
          <w:lang w:val="sv-SE"/>
        </w:rPr>
        <w:t xml:space="preserve"> kvinnor med HER2-positiv metastaserad bröstcancer tyder på att individuella och </w:t>
      </w:r>
      <w:r w:rsidR="00F949AD" w:rsidRPr="00A74CC6">
        <w:rPr>
          <w:lang w:val="sv-SE"/>
        </w:rPr>
        <w:t xml:space="preserve">genomsnittliga </w:t>
      </w:r>
      <w:r w:rsidRPr="00A74CC6">
        <w:rPr>
          <w:lang w:val="sv-SE"/>
        </w:rPr>
        <w:t>värden för trastuzumabs dalkoncentrationer i serum varierade inom och mellan studierna men det fanns ingen tydlig effekt på farmakokinetiken för trastuzumab vid samtidig administrering av paklitaxel.</w:t>
      </w:r>
      <w:r w:rsidR="006E1115" w:rsidRPr="00A74CC6">
        <w:rPr>
          <w:lang w:val="sv-SE"/>
        </w:rPr>
        <w:t xml:space="preserve"> </w:t>
      </w:r>
      <w:r w:rsidRPr="00A74CC6">
        <w:rPr>
          <w:lang w:val="sv-SE"/>
        </w:rPr>
        <w:t>Jämförelse av farmakokinetiska data för trastuzumab från studie M77004</w:t>
      </w:r>
      <w:r w:rsidR="00F949AD" w:rsidRPr="00A74CC6">
        <w:rPr>
          <w:lang w:val="sv-SE"/>
        </w:rPr>
        <w:t>,</w:t>
      </w:r>
      <w:r w:rsidRPr="00A74CC6">
        <w:rPr>
          <w:lang w:val="sv-SE"/>
        </w:rPr>
        <w:t xml:space="preserve"> i vilken kvinnor med HER2</w:t>
      </w:r>
      <w:r w:rsidR="007D11C0" w:rsidRPr="00A74CC6">
        <w:rPr>
          <w:lang w:val="sv-SE"/>
        </w:rPr>
        <w:noBreakHyphen/>
      </w:r>
      <w:r w:rsidRPr="00A74CC6">
        <w:rPr>
          <w:lang w:val="sv-SE"/>
        </w:rPr>
        <w:t xml:space="preserve">positiv metastaserad bröstcancer behandlades samtidigt med </w:t>
      </w:r>
      <w:r w:rsidR="00D5715D" w:rsidRPr="00A74CC6">
        <w:rPr>
          <w:lang w:val="sv-SE"/>
        </w:rPr>
        <w:t>trastuzumab</w:t>
      </w:r>
      <w:r w:rsidRPr="00A74CC6">
        <w:rPr>
          <w:lang w:val="sv-SE"/>
        </w:rPr>
        <w:t xml:space="preserve">, paklitaxel och doxorubicin, med farmakokinetiska data för trastuzumab från studier med </w:t>
      </w:r>
      <w:r w:rsidR="00D5715D" w:rsidRPr="00A74CC6">
        <w:rPr>
          <w:lang w:val="sv-SE"/>
        </w:rPr>
        <w:t xml:space="preserve">trastuzumab </w:t>
      </w:r>
      <w:r w:rsidRPr="00A74CC6">
        <w:rPr>
          <w:lang w:val="sv-SE"/>
        </w:rPr>
        <w:t>som monoterapi (H0649g)</w:t>
      </w:r>
      <w:r w:rsidR="00B927E7" w:rsidRPr="00A74CC6">
        <w:rPr>
          <w:lang w:val="sv-SE"/>
        </w:rPr>
        <w:t>,</w:t>
      </w:r>
      <w:r w:rsidRPr="00A74CC6">
        <w:rPr>
          <w:lang w:val="sv-SE"/>
        </w:rPr>
        <w:t xml:space="preserve"> eller i kombination med antracyklin plus cyklofosfamid eller paklitaxel (studie H0648g)</w:t>
      </w:r>
      <w:r w:rsidR="00B927E7" w:rsidRPr="00A74CC6">
        <w:rPr>
          <w:lang w:val="sv-SE"/>
        </w:rPr>
        <w:t>,</w:t>
      </w:r>
      <w:r w:rsidRPr="00A74CC6">
        <w:rPr>
          <w:lang w:val="sv-SE"/>
        </w:rPr>
        <w:t xml:space="preserve"> tyder på att doxorubicin och paklitaxel inte har någon effekt på farmakokinetiken för trastuzumab.</w:t>
      </w:r>
    </w:p>
    <w:p w14:paraId="73D2C871" w14:textId="77777777" w:rsidR="00E751CF" w:rsidRPr="00A74CC6" w:rsidRDefault="00E751CF" w:rsidP="001E7238">
      <w:pPr>
        <w:spacing w:after="0" w:line="240" w:lineRule="auto"/>
        <w:ind w:left="4" w:right="13"/>
        <w:contextualSpacing/>
        <w:rPr>
          <w:lang w:val="sv-SE"/>
        </w:rPr>
      </w:pPr>
    </w:p>
    <w:p w14:paraId="78608AA9" w14:textId="77777777" w:rsidR="005027AB" w:rsidRPr="00A74CC6" w:rsidRDefault="00264096" w:rsidP="001E7238">
      <w:pPr>
        <w:spacing w:after="0" w:line="240" w:lineRule="auto"/>
        <w:ind w:left="4" w:right="13"/>
        <w:contextualSpacing/>
        <w:rPr>
          <w:lang w:val="sv-SE"/>
        </w:rPr>
      </w:pPr>
      <w:r w:rsidRPr="00A74CC6">
        <w:rPr>
          <w:lang w:val="sv-SE"/>
        </w:rPr>
        <w:lastRenderedPageBreak/>
        <w:t>Farmakokinetiska data från studie H4613g/GO01305 tyder på att karboplatin inte hade någon inverkan på farmakokinetiken för trastuzumab.</w:t>
      </w:r>
    </w:p>
    <w:p w14:paraId="2AB48017" w14:textId="77777777" w:rsidR="006E1115" w:rsidRPr="00A74CC6" w:rsidRDefault="006E1115" w:rsidP="001E7238">
      <w:pPr>
        <w:spacing w:after="0" w:line="240" w:lineRule="auto"/>
        <w:ind w:left="4" w:right="13"/>
        <w:contextualSpacing/>
        <w:rPr>
          <w:lang w:val="sv-SE"/>
        </w:rPr>
      </w:pPr>
    </w:p>
    <w:p w14:paraId="69A2AE39" w14:textId="77777777" w:rsidR="005027AB" w:rsidRPr="00A74CC6" w:rsidRDefault="00264096" w:rsidP="001E7238">
      <w:pPr>
        <w:spacing w:after="0" w:line="240" w:lineRule="auto"/>
        <w:ind w:left="4" w:right="13"/>
        <w:contextualSpacing/>
        <w:rPr>
          <w:lang w:val="sv-SE"/>
        </w:rPr>
      </w:pPr>
      <w:r w:rsidRPr="00A74CC6">
        <w:rPr>
          <w:lang w:val="sv-SE"/>
        </w:rPr>
        <w:t>Samtidig behandling med anastrozol förefaller inte påverka farmakokinetiken för trastuzumab.</w:t>
      </w:r>
    </w:p>
    <w:p w14:paraId="21029F92" w14:textId="77777777" w:rsidR="006E1115" w:rsidRPr="00A74CC6" w:rsidRDefault="006E1115" w:rsidP="001E7238">
      <w:pPr>
        <w:spacing w:after="0" w:line="240" w:lineRule="auto"/>
        <w:ind w:left="4" w:right="13"/>
        <w:contextualSpacing/>
        <w:rPr>
          <w:lang w:val="sv-SE"/>
        </w:rPr>
      </w:pPr>
    </w:p>
    <w:p w14:paraId="7CB055DD" w14:textId="77777777" w:rsidR="005027AB" w:rsidRPr="00A74CC6" w:rsidRDefault="00264096" w:rsidP="00F2647C">
      <w:pPr>
        <w:keepNext/>
        <w:keepLines/>
        <w:tabs>
          <w:tab w:val="center" w:pos="2086"/>
        </w:tabs>
        <w:suppressAutoHyphens/>
        <w:spacing w:after="0" w:line="240" w:lineRule="auto"/>
        <w:ind w:left="567" w:hanging="567"/>
        <w:contextualSpacing/>
        <w:rPr>
          <w:b/>
          <w:lang w:val="sv-SE"/>
        </w:rPr>
      </w:pPr>
      <w:r w:rsidRPr="00A74CC6">
        <w:rPr>
          <w:b/>
          <w:lang w:val="sv-SE"/>
        </w:rPr>
        <w:t>4.6</w:t>
      </w:r>
      <w:r w:rsidRPr="00A74CC6">
        <w:rPr>
          <w:b/>
          <w:lang w:val="sv-SE"/>
        </w:rPr>
        <w:tab/>
        <w:t>Fertilitet, graviditet och amning</w:t>
      </w:r>
    </w:p>
    <w:p w14:paraId="13DAF779" w14:textId="77777777" w:rsidR="006E1115" w:rsidRPr="00A74CC6" w:rsidRDefault="006E1115" w:rsidP="00F2647C">
      <w:pPr>
        <w:keepNext/>
        <w:keepLines/>
        <w:tabs>
          <w:tab w:val="center" w:pos="2086"/>
        </w:tabs>
        <w:suppressAutoHyphens/>
        <w:spacing w:after="0" w:line="240" w:lineRule="auto"/>
        <w:ind w:left="0" w:firstLine="0"/>
        <w:contextualSpacing/>
        <w:rPr>
          <w:lang w:val="sv-SE"/>
        </w:rPr>
      </w:pPr>
    </w:p>
    <w:p w14:paraId="52549DEB" w14:textId="4563C2CE" w:rsidR="005027AB" w:rsidRPr="00A74CC6" w:rsidRDefault="00264096" w:rsidP="00F2647C">
      <w:pPr>
        <w:pStyle w:val="Heading3"/>
        <w:suppressAutoHyphens/>
        <w:spacing w:after="0" w:line="240" w:lineRule="auto"/>
        <w:ind w:left="9"/>
        <w:contextualSpacing/>
        <w:rPr>
          <w:i w:val="0"/>
          <w:lang w:val="sv-SE"/>
        </w:rPr>
      </w:pPr>
      <w:r w:rsidRPr="00A74CC6">
        <w:rPr>
          <w:i w:val="0"/>
          <w:lang w:val="sv-SE"/>
        </w:rPr>
        <w:t>Kvinnor i fertil ålder</w:t>
      </w:r>
      <w:r w:rsidR="002125F8">
        <w:rPr>
          <w:i w:val="0"/>
          <w:lang w:val="sv-SE"/>
        </w:rPr>
        <w:t>/preventivmetoder</w:t>
      </w:r>
    </w:p>
    <w:p w14:paraId="133B2CB8" w14:textId="77777777" w:rsidR="009A3981" w:rsidRPr="00A74CC6" w:rsidRDefault="009A3981" w:rsidP="008763E6">
      <w:pPr>
        <w:keepNext/>
        <w:spacing w:after="0" w:line="240" w:lineRule="auto"/>
        <w:ind w:right="13"/>
        <w:contextualSpacing/>
        <w:rPr>
          <w:lang w:val="sv-SE"/>
        </w:rPr>
      </w:pPr>
    </w:p>
    <w:p w14:paraId="602F5B58" w14:textId="623CD49A" w:rsidR="005027AB" w:rsidRPr="00A74CC6" w:rsidRDefault="00264096" w:rsidP="008763E6">
      <w:pPr>
        <w:keepNext/>
        <w:spacing w:after="0" w:line="240" w:lineRule="auto"/>
        <w:ind w:right="13"/>
        <w:contextualSpacing/>
        <w:rPr>
          <w:lang w:val="sv-SE"/>
        </w:rPr>
      </w:pPr>
      <w:r w:rsidRPr="00A74CC6">
        <w:rPr>
          <w:lang w:val="sv-SE"/>
        </w:rPr>
        <w:t xml:space="preserve">Kvinnor i fertil ålder ska rekommenderas att använda effektiva preventivmetoder under behandling med </w:t>
      </w:r>
      <w:r w:rsidR="00D5715D" w:rsidRPr="00A74CC6">
        <w:rPr>
          <w:lang w:val="sv-SE"/>
        </w:rPr>
        <w:t xml:space="preserve">KANJINTI </w:t>
      </w:r>
      <w:r w:rsidRPr="00A74CC6">
        <w:rPr>
          <w:lang w:val="sv-SE"/>
        </w:rPr>
        <w:t>och i 7</w:t>
      </w:r>
      <w:r w:rsidR="00F949AD" w:rsidRPr="00A74CC6">
        <w:rPr>
          <w:lang w:val="sv-SE"/>
        </w:rPr>
        <w:t> </w:t>
      </w:r>
      <w:r w:rsidRPr="00A74CC6">
        <w:rPr>
          <w:lang w:val="sv-SE"/>
        </w:rPr>
        <w:t xml:space="preserve">månader efter att behandlingen </w:t>
      </w:r>
      <w:r w:rsidR="00F949AD" w:rsidRPr="00A74CC6">
        <w:rPr>
          <w:lang w:val="sv-SE"/>
        </w:rPr>
        <w:t xml:space="preserve">har </w:t>
      </w:r>
      <w:r w:rsidRPr="00A74CC6">
        <w:rPr>
          <w:lang w:val="sv-SE"/>
        </w:rPr>
        <w:t>avslutats (se avsnitt</w:t>
      </w:r>
      <w:r w:rsidR="00F949AD" w:rsidRPr="00A74CC6">
        <w:rPr>
          <w:lang w:val="sv-SE"/>
        </w:rPr>
        <w:t> </w:t>
      </w:r>
      <w:r w:rsidRPr="00A74CC6">
        <w:rPr>
          <w:lang w:val="sv-SE"/>
        </w:rPr>
        <w:t>5.2).</w:t>
      </w:r>
    </w:p>
    <w:p w14:paraId="13D02A45" w14:textId="77777777" w:rsidR="006E1115" w:rsidRPr="00A74CC6" w:rsidRDefault="006E1115" w:rsidP="002314CE">
      <w:pPr>
        <w:spacing w:after="0" w:line="240" w:lineRule="auto"/>
        <w:ind w:left="4" w:right="13"/>
        <w:contextualSpacing/>
        <w:rPr>
          <w:lang w:val="sv-SE"/>
        </w:rPr>
      </w:pPr>
    </w:p>
    <w:p w14:paraId="33F250BD" w14:textId="77777777" w:rsidR="005027AB" w:rsidRPr="00A74CC6" w:rsidRDefault="00264096" w:rsidP="002314CE">
      <w:pPr>
        <w:pStyle w:val="Heading3"/>
        <w:suppressAutoHyphens/>
        <w:spacing w:after="0" w:line="240" w:lineRule="auto"/>
        <w:ind w:left="11" w:hanging="11"/>
        <w:contextualSpacing/>
        <w:rPr>
          <w:i w:val="0"/>
          <w:lang w:val="sv-SE"/>
        </w:rPr>
      </w:pPr>
      <w:r w:rsidRPr="00A74CC6">
        <w:rPr>
          <w:i w:val="0"/>
          <w:lang w:val="sv-SE"/>
        </w:rPr>
        <w:t>Graviditet</w:t>
      </w:r>
    </w:p>
    <w:p w14:paraId="72103AEC" w14:textId="77777777" w:rsidR="009A3981" w:rsidRPr="00A74CC6" w:rsidRDefault="009A3981" w:rsidP="002314CE">
      <w:pPr>
        <w:keepNext/>
        <w:spacing w:after="0" w:line="240" w:lineRule="auto"/>
        <w:ind w:left="6" w:right="11" w:hanging="6"/>
        <w:contextualSpacing/>
        <w:rPr>
          <w:lang w:val="sv-SE"/>
        </w:rPr>
      </w:pPr>
    </w:p>
    <w:p w14:paraId="73B16EE3" w14:textId="5E23723C" w:rsidR="005027AB" w:rsidRPr="00A74CC6" w:rsidRDefault="00264096" w:rsidP="002314CE">
      <w:pPr>
        <w:spacing w:after="0" w:line="240" w:lineRule="auto"/>
        <w:ind w:left="4" w:right="13"/>
        <w:contextualSpacing/>
        <w:rPr>
          <w:lang w:val="sv-SE"/>
        </w:rPr>
      </w:pPr>
      <w:r w:rsidRPr="00A74CC6">
        <w:rPr>
          <w:lang w:val="sv-SE"/>
        </w:rPr>
        <w:t xml:space="preserve">Reproduktionsstudier på </w:t>
      </w:r>
      <w:r w:rsidR="00D5715D" w:rsidRPr="00A74CC6">
        <w:rPr>
          <w:lang w:val="sv-SE"/>
        </w:rPr>
        <w:t>c</w:t>
      </w:r>
      <w:r w:rsidRPr="00A74CC6">
        <w:rPr>
          <w:lang w:val="sv-SE"/>
        </w:rPr>
        <w:t>ynomolgusapor med doser upp till 25</w:t>
      </w:r>
      <w:r w:rsidR="00F949AD" w:rsidRPr="00A74CC6">
        <w:rPr>
          <w:lang w:val="sv-SE"/>
        </w:rPr>
        <w:t> </w:t>
      </w:r>
      <w:r w:rsidRPr="00A74CC6">
        <w:rPr>
          <w:lang w:val="sv-SE"/>
        </w:rPr>
        <w:t>gånger den veckovisa humana underhållsdosen på 2</w:t>
      </w:r>
      <w:r w:rsidR="00AB315E" w:rsidRPr="00A74CC6">
        <w:rPr>
          <w:lang w:val="sv-SE"/>
        </w:rPr>
        <w:t> </w:t>
      </w:r>
      <w:r w:rsidRPr="00A74CC6">
        <w:rPr>
          <w:lang w:val="sv-SE"/>
        </w:rPr>
        <w:t xml:space="preserve">mg/kg </w:t>
      </w:r>
      <w:r w:rsidR="00D5715D" w:rsidRPr="00A74CC6">
        <w:rPr>
          <w:lang w:val="sv-SE"/>
        </w:rPr>
        <w:t xml:space="preserve">trastuzumab </w:t>
      </w:r>
      <w:r w:rsidRPr="00A74CC6">
        <w:rPr>
          <w:lang w:val="sv-SE"/>
        </w:rPr>
        <w:t>intravenös beredning har inte visat belägg för minskad fertilitet eller fosterskada. Överföring av trastuzumab via placentan har observerats under tidig (dag</w:t>
      </w:r>
      <w:r w:rsidR="00F949AD" w:rsidRPr="00A74CC6">
        <w:rPr>
          <w:lang w:val="sv-SE"/>
        </w:rPr>
        <w:t> </w:t>
      </w:r>
      <w:r w:rsidRPr="00A74CC6">
        <w:rPr>
          <w:lang w:val="sv-SE"/>
        </w:rPr>
        <w:t>20</w:t>
      </w:r>
      <w:r w:rsidR="00F949AD" w:rsidRPr="00A74CC6">
        <w:rPr>
          <w:lang w:val="sv-SE"/>
        </w:rPr>
        <w:noBreakHyphen/>
      </w:r>
      <w:r w:rsidRPr="00A74CC6">
        <w:rPr>
          <w:lang w:val="sv-SE"/>
        </w:rPr>
        <w:t>50 av dräktigheten) och sen (dag</w:t>
      </w:r>
      <w:r w:rsidR="00F949AD" w:rsidRPr="00A74CC6">
        <w:rPr>
          <w:lang w:val="sv-SE"/>
        </w:rPr>
        <w:t> </w:t>
      </w:r>
      <w:r w:rsidRPr="00A74CC6">
        <w:rPr>
          <w:lang w:val="sv-SE"/>
        </w:rPr>
        <w:t>120</w:t>
      </w:r>
      <w:r w:rsidR="00F949AD" w:rsidRPr="00A74CC6">
        <w:rPr>
          <w:lang w:val="sv-SE"/>
        </w:rPr>
        <w:noBreakHyphen/>
      </w:r>
      <w:r w:rsidRPr="00A74CC6">
        <w:rPr>
          <w:lang w:val="sv-SE"/>
        </w:rPr>
        <w:t xml:space="preserve">150 av dräktigheten) fosterutvecklingsperiod. Det är inte känt om </w:t>
      </w:r>
      <w:r w:rsidR="00D5715D" w:rsidRPr="00A74CC6">
        <w:rPr>
          <w:lang w:val="sv-SE"/>
        </w:rPr>
        <w:t xml:space="preserve">trastuzumab </w:t>
      </w:r>
      <w:r w:rsidRPr="00A74CC6">
        <w:rPr>
          <w:lang w:val="sv-SE"/>
        </w:rPr>
        <w:t xml:space="preserve">kan påverka reproduktionsförmågan. Eftersom reproduktionsstudier på djur inte alltid är prediktiva för människa ska </w:t>
      </w:r>
      <w:r w:rsidR="00D5715D" w:rsidRPr="00A74CC6">
        <w:rPr>
          <w:lang w:val="sv-SE"/>
        </w:rPr>
        <w:t xml:space="preserve">KANJINTI </w:t>
      </w:r>
      <w:r w:rsidRPr="00A74CC6">
        <w:rPr>
          <w:lang w:val="sv-SE"/>
        </w:rPr>
        <w:t>inte användas under graviditet såvida inte de potentiella fördelarna för modern överväger de potentiella riskerna för fostret.</w:t>
      </w:r>
    </w:p>
    <w:p w14:paraId="78F7DDBE" w14:textId="77777777" w:rsidR="00F85514" w:rsidRPr="00A74CC6" w:rsidRDefault="00F85514" w:rsidP="002314CE">
      <w:pPr>
        <w:spacing w:after="0" w:line="240" w:lineRule="auto"/>
        <w:ind w:left="4" w:right="13"/>
        <w:contextualSpacing/>
        <w:rPr>
          <w:lang w:val="sv-SE"/>
        </w:rPr>
      </w:pPr>
    </w:p>
    <w:p w14:paraId="5802B5C9" w14:textId="04C6987F" w:rsidR="005027AB" w:rsidRPr="00A74CC6" w:rsidRDefault="00264096" w:rsidP="002314CE">
      <w:pPr>
        <w:spacing w:after="0" w:line="240" w:lineRule="auto"/>
        <w:ind w:left="4" w:right="13"/>
        <w:contextualSpacing/>
        <w:rPr>
          <w:lang w:val="sv-SE"/>
        </w:rPr>
      </w:pPr>
      <w:r w:rsidRPr="00A74CC6">
        <w:rPr>
          <w:lang w:val="sv-SE"/>
        </w:rPr>
        <w:t xml:space="preserve">Efter marknadsintroduktionen har fall av nedsatt tillväxt och/eller funktion </w:t>
      </w:r>
      <w:r w:rsidR="00F949AD" w:rsidRPr="00A74CC6">
        <w:rPr>
          <w:lang w:val="sv-SE"/>
        </w:rPr>
        <w:t>hos</w:t>
      </w:r>
      <w:r w:rsidRPr="00A74CC6">
        <w:rPr>
          <w:lang w:val="sv-SE"/>
        </w:rPr>
        <w:t xml:space="preserve"> njurarna observerats hos foster i samband med oligohydramnios, i vissa fall förknippade med </w:t>
      </w:r>
      <w:r w:rsidR="00F949AD" w:rsidRPr="00A74CC6">
        <w:rPr>
          <w:lang w:val="sv-SE"/>
        </w:rPr>
        <w:t>dödlig</w:t>
      </w:r>
      <w:r w:rsidRPr="00A74CC6">
        <w:rPr>
          <w:lang w:val="sv-SE"/>
        </w:rPr>
        <w:t xml:space="preserve"> pulmonell hypoplasi hos fostret, rapporterats hos gravida kvinnor som behandlats med </w:t>
      </w:r>
      <w:r w:rsidR="00D5715D" w:rsidRPr="00A74CC6">
        <w:rPr>
          <w:lang w:val="sv-SE"/>
        </w:rPr>
        <w:t>trastuzumab</w:t>
      </w:r>
      <w:r w:rsidRPr="00A74CC6">
        <w:rPr>
          <w:lang w:val="sv-SE"/>
        </w:rPr>
        <w:t xml:space="preserve">. Kvinnor som blir gravida ska informeras om risken för fosterskador. Om en gravid kvinna behandlas med </w:t>
      </w:r>
      <w:r w:rsidR="00D5715D" w:rsidRPr="00A74CC6">
        <w:rPr>
          <w:lang w:val="sv-SE"/>
        </w:rPr>
        <w:t>KANJINTI</w:t>
      </w:r>
      <w:r w:rsidRPr="00A74CC6">
        <w:rPr>
          <w:lang w:val="sv-SE"/>
        </w:rPr>
        <w:t xml:space="preserve">, eller om en patient blir gravid medan hon får </w:t>
      </w:r>
      <w:r w:rsidR="00D5715D" w:rsidRPr="00A74CC6">
        <w:rPr>
          <w:lang w:val="sv-SE"/>
        </w:rPr>
        <w:t>KANJINTI</w:t>
      </w:r>
      <w:r w:rsidR="00FB2159" w:rsidRPr="00A74CC6">
        <w:rPr>
          <w:lang w:val="sv-SE"/>
        </w:rPr>
        <w:t>,</w:t>
      </w:r>
      <w:r w:rsidR="00D5715D" w:rsidRPr="00A74CC6">
        <w:rPr>
          <w:lang w:val="sv-SE"/>
        </w:rPr>
        <w:t xml:space="preserve"> </w:t>
      </w:r>
      <w:r w:rsidRPr="00A74CC6">
        <w:rPr>
          <w:lang w:val="sv-SE"/>
        </w:rPr>
        <w:t>eller inom 7</w:t>
      </w:r>
      <w:r w:rsidR="00FB2159" w:rsidRPr="00A74CC6">
        <w:rPr>
          <w:lang w:val="sv-SE"/>
        </w:rPr>
        <w:t> </w:t>
      </w:r>
      <w:r w:rsidRPr="00A74CC6">
        <w:rPr>
          <w:lang w:val="sv-SE"/>
        </w:rPr>
        <w:t>månader efter den s</w:t>
      </w:r>
      <w:r w:rsidR="00FB2159" w:rsidRPr="00A74CC6">
        <w:rPr>
          <w:lang w:val="sv-SE"/>
        </w:rPr>
        <w:t>ista</w:t>
      </w:r>
      <w:r w:rsidRPr="00A74CC6">
        <w:rPr>
          <w:lang w:val="sv-SE"/>
        </w:rPr>
        <w:t xml:space="preserve"> </w:t>
      </w:r>
      <w:r w:rsidR="00D5715D" w:rsidRPr="00A74CC6">
        <w:rPr>
          <w:lang w:val="sv-SE"/>
        </w:rPr>
        <w:t>KANJINTI-dosen</w:t>
      </w:r>
      <w:r w:rsidRPr="00A74CC6">
        <w:rPr>
          <w:lang w:val="sv-SE"/>
        </w:rPr>
        <w:t>, är noggrann övervakning av ett multidisciplinärt sjukvårdsteam önskvär</w:t>
      </w:r>
      <w:r w:rsidR="00F71DEE" w:rsidRPr="00A74CC6">
        <w:rPr>
          <w:lang w:val="sv-SE"/>
        </w:rPr>
        <w:t>d</w:t>
      </w:r>
      <w:r w:rsidRPr="00A74CC6">
        <w:rPr>
          <w:lang w:val="sv-SE"/>
        </w:rPr>
        <w:t>.</w:t>
      </w:r>
    </w:p>
    <w:p w14:paraId="7B04D248" w14:textId="77777777" w:rsidR="00F85514" w:rsidRPr="00A74CC6" w:rsidRDefault="00F85514" w:rsidP="002314CE">
      <w:pPr>
        <w:spacing w:after="0" w:line="240" w:lineRule="auto"/>
        <w:ind w:left="4" w:right="13"/>
        <w:contextualSpacing/>
        <w:rPr>
          <w:lang w:val="sv-SE"/>
        </w:rPr>
      </w:pPr>
    </w:p>
    <w:p w14:paraId="03041470" w14:textId="77777777" w:rsidR="005027AB" w:rsidRPr="00A74CC6" w:rsidRDefault="00264096" w:rsidP="002314CE">
      <w:pPr>
        <w:pStyle w:val="Heading3"/>
        <w:spacing w:after="0" w:line="240" w:lineRule="auto"/>
        <w:ind w:left="0" w:firstLine="0"/>
        <w:contextualSpacing/>
        <w:rPr>
          <w:i w:val="0"/>
          <w:lang w:val="sv-SE"/>
        </w:rPr>
      </w:pPr>
      <w:r w:rsidRPr="00A74CC6">
        <w:rPr>
          <w:i w:val="0"/>
          <w:lang w:val="sv-SE"/>
        </w:rPr>
        <w:t>Amning</w:t>
      </w:r>
    </w:p>
    <w:p w14:paraId="4E90BEF7" w14:textId="77777777" w:rsidR="00A16DD3" w:rsidRPr="00A74CC6" w:rsidRDefault="00A16DD3" w:rsidP="002314CE">
      <w:pPr>
        <w:keepNext/>
        <w:spacing w:after="0" w:line="240" w:lineRule="auto"/>
        <w:ind w:left="0" w:firstLine="0"/>
        <w:rPr>
          <w:lang w:val="sv-SE"/>
        </w:rPr>
      </w:pPr>
    </w:p>
    <w:p w14:paraId="21FADF01" w14:textId="0495518C" w:rsidR="005027AB" w:rsidRPr="00A74CC6" w:rsidRDefault="00264096" w:rsidP="002314CE">
      <w:pPr>
        <w:spacing w:after="0" w:line="240" w:lineRule="auto"/>
        <w:ind w:left="0" w:firstLine="0"/>
        <w:contextualSpacing/>
        <w:rPr>
          <w:lang w:val="sv-SE"/>
        </w:rPr>
      </w:pPr>
      <w:r w:rsidRPr="00A74CC6">
        <w:rPr>
          <w:lang w:val="sv-SE"/>
        </w:rPr>
        <w:t xml:space="preserve">En studie utförd på </w:t>
      </w:r>
      <w:r w:rsidR="00D5715D" w:rsidRPr="00A74CC6">
        <w:rPr>
          <w:lang w:val="sv-SE"/>
        </w:rPr>
        <w:t xml:space="preserve">cynomolgusapor </w:t>
      </w:r>
      <w:r w:rsidRPr="00A74CC6">
        <w:rPr>
          <w:lang w:val="sv-SE"/>
        </w:rPr>
        <w:t>med doser upp till 25</w:t>
      </w:r>
      <w:r w:rsidR="00FB2159" w:rsidRPr="00A74CC6">
        <w:rPr>
          <w:lang w:val="sv-SE"/>
        </w:rPr>
        <w:t> </w:t>
      </w:r>
      <w:r w:rsidRPr="00A74CC6">
        <w:rPr>
          <w:lang w:val="sv-SE"/>
        </w:rPr>
        <w:t>gånger den veckovisa humana underhållsdosen på 2</w:t>
      </w:r>
      <w:r w:rsidR="00BE0A78" w:rsidRPr="00A74CC6">
        <w:rPr>
          <w:lang w:val="sv-SE"/>
        </w:rPr>
        <w:t> </w:t>
      </w:r>
      <w:r w:rsidRPr="00A74CC6">
        <w:rPr>
          <w:lang w:val="sv-SE"/>
        </w:rPr>
        <w:t xml:space="preserve">mg/kg </w:t>
      </w:r>
      <w:r w:rsidR="00D5715D" w:rsidRPr="00A74CC6">
        <w:rPr>
          <w:lang w:val="sv-SE"/>
        </w:rPr>
        <w:t xml:space="preserve">trastuzumab </w:t>
      </w:r>
      <w:r w:rsidRPr="00A74CC6">
        <w:rPr>
          <w:lang w:val="sv-SE"/>
        </w:rPr>
        <w:t xml:space="preserve">intravenös beredning </w:t>
      </w:r>
      <w:r w:rsidR="007A090A" w:rsidRPr="007A090A">
        <w:rPr>
          <w:lang w:val="sv-SE"/>
        </w:rPr>
        <w:t>från dag 120 till 150 av dräktigheten</w:t>
      </w:r>
      <w:r w:rsidR="007A090A">
        <w:rPr>
          <w:lang w:val="sv-SE"/>
        </w:rPr>
        <w:t xml:space="preserve"> </w:t>
      </w:r>
      <w:r w:rsidRPr="00A74CC6">
        <w:rPr>
          <w:lang w:val="sv-SE"/>
        </w:rPr>
        <w:t xml:space="preserve">visade att trastuzumab utsöndras i </w:t>
      </w:r>
      <w:r w:rsidR="007A090A">
        <w:rPr>
          <w:lang w:val="sv-SE"/>
        </w:rPr>
        <w:t>bröst</w:t>
      </w:r>
      <w:r w:rsidRPr="00A74CC6">
        <w:rPr>
          <w:lang w:val="sv-SE"/>
        </w:rPr>
        <w:t>mjölk</w:t>
      </w:r>
      <w:r w:rsidR="007A090A">
        <w:rPr>
          <w:lang w:val="sv-SE"/>
        </w:rPr>
        <w:t xml:space="preserve"> efter födseln</w:t>
      </w:r>
      <w:r w:rsidRPr="00A74CC6">
        <w:rPr>
          <w:lang w:val="sv-SE"/>
        </w:rPr>
        <w:t xml:space="preserve">. </w:t>
      </w:r>
      <w:r w:rsidR="007A090A" w:rsidRPr="007A090A">
        <w:rPr>
          <w:lang w:val="sv-SE"/>
        </w:rPr>
        <w:t>Exponeringen av trastuzumab i uterus och förekomsten av</w:t>
      </w:r>
      <w:r w:rsidRPr="00A74CC6">
        <w:rPr>
          <w:lang w:val="sv-SE"/>
        </w:rPr>
        <w:t xml:space="preserve"> trastuzumab i serum hos apungar var inte förenad med några bi</w:t>
      </w:r>
      <w:r w:rsidR="00FB2159" w:rsidRPr="00A74CC6">
        <w:rPr>
          <w:lang w:val="sv-SE"/>
        </w:rPr>
        <w:t>verkningar</w:t>
      </w:r>
      <w:r w:rsidRPr="00A74CC6">
        <w:rPr>
          <w:lang w:val="sv-SE"/>
        </w:rPr>
        <w:t xml:space="preserve"> på deras tillväxt eller utveckling från födelsen till 1</w:t>
      </w:r>
      <w:r w:rsidR="00FB2159" w:rsidRPr="00A74CC6">
        <w:rPr>
          <w:lang w:val="sv-SE"/>
        </w:rPr>
        <w:t> </w:t>
      </w:r>
      <w:r w:rsidRPr="00A74CC6">
        <w:rPr>
          <w:lang w:val="sv-SE"/>
        </w:rPr>
        <w:t xml:space="preserve">månads ålder. Det är </w:t>
      </w:r>
      <w:r w:rsidR="00FB2159" w:rsidRPr="00A74CC6">
        <w:rPr>
          <w:lang w:val="sv-SE"/>
        </w:rPr>
        <w:t>o</w:t>
      </w:r>
      <w:r w:rsidRPr="00A74CC6">
        <w:rPr>
          <w:lang w:val="sv-SE"/>
        </w:rPr>
        <w:t xml:space="preserve">känt om trastuzumab utsöndras i </w:t>
      </w:r>
      <w:r w:rsidR="003674F2">
        <w:rPr>
          <w:lang w:val="sv-SE"/>
        </w:rPr>
        <w:t xml:space="preserve">human </w:t>
      </w:r>
      <w:r w:rsidRPr="00A74CC6">
        <w:rPr>
          <w:lang w:val="sv-SE"/>
        </w:rPr>
        <w:t>bröstmjölk. Eftersom humant IgG</w:t>
      </w:r>
      <w:r w:rsidR="004739A0">
        <w:rPr>
          <w:lang w:val="sv-SE"/>
        </w:rPr>
        <w:t>1</w:t>
      </w:r>
      <w:r w:rsidRPr="00A74CC6">
        <w:rPr>
          <w:lang w:val="sv-SE"/>
        </w:rPr>
        <w:t xml:space="preserve"> utsöndras i bröstmjölk och potentialen för skada på </w:t>
      </w:r>
      <w:r w:rsidR="00876E96">
        <w:rPr>
          <w:lang w:val="sv-SE"/>
        </w:rPr>
        <w:t>det ammade barnet</w:t>
      </w:r>
      <w:r w:rsidR="00876E96" w:rsidRPr="00A74CC6">
        <w:rPr>
          <w:lang w:val="sv-SE"/>
        </w:rPr>
        <w:t xml:space="preserve"> </w:t>
      </w:r>
      <w:r w:rsidRPr="00A74CC6">
        <w:rPr>
          <w:lang w:val="sv-SE"/>
        </w:rPr>
        <w:t xml:space="preserve">är okänd ska kvinnor ej amma under behandling med </w:t>
      </w:r>
      <w:r w:rsidR="00D5715D" w:rsidRPr="00A74CC6">
        <w:rPr>
          <w:lang w:val="sv-SE"/>
        </w:rPr>
        <w:t xml:space="preserve">KANJINTI </w:t>
      </w:r>
      <w:r w:rsidR="006E2536">
        <w:rPr>
          <w:lang w:val="sv-SE"/>
        </w:rPr>
        <w:t>och</w:t>
      </w:r>
      <w:r w:rsidR="006E2536" w:rsidRPr="00A74CC6">
        <w:rPr>
          <w:lang w:val="sv-SE"/>
        </w:rPr>
        <w:t xml:space="preserve"> </w:t>
      </w:r>
      <w:r w:rsidRPr="00A74CC6">
        <w:rPr>
          <w:lang w:val="sv-SE"/>
        </w:rPr>
        <w:t>inom 7</w:t>
      </w:r>
      <w:r w:rsidR="00FB2159" w:rsidRPr="00A74CC6">
        <w:rPr>
          <w:lang w:val="sv-SE"/>
        </w:rPr>
        <w:t> </w:t>
      </w:r>
      <w:r w:rsidRPr="00A74CC6">
        <w:rPr>
          <w:lang w:val="sv-SE"/>
        </w:rPr>
        <w:t>månader efter sista dosen.</w:t>
      </w:r>
    </w:p>
    <w:p w14:paraId="3049E89B" w14:textId="77777777" w:rsidR="00F85514" w:rsidRPr="00A74CC6" w:rsidRDefault="00F85514" w:rsidP="002314CE">
      <w:pPr>
        <w:spacing w:after="0" w:line="240" w:lineRule="auto"/>
        <w:ind w:left="4" w:right="13"/>
        <w:contextualSpacing/>
        <w:rPr>
          <w:lang w:val="sv-SE"/>
        </w:rPr>
      </w:pPr>
    </w:p>
    <w:p w14:paraId="1E6D417A" w14:textId="77777777" w:rsidR="005027AB" w:rsidRPr="00A74CC6" w:rsidRDefault="00264096" w:rsidP="002314CE">
      <w:pPr>
        <w:pStyle w:val="Heading3"/>
        <w:spacing w:after="0" w:line="240" w:lineRule="auto"/>
        <w:ind w:left="11" w:hanging="11"/>
        <w:contextualSpacing/>
        <w:rPr>
          <w:i w:val="0"/>
          <w:lang w:val="sv-SE"/>
        </w:rPr>
      </w:pPr>
      <w:r w:rsidRPr="00A74CC6">
        <w:rPr>
          <w:i w:val="0"/>
          <w:lang w:val="sv-SE"/>
        </w:rPr>
        <w:t>Fertilitet</w:t>
      </w:r>
    </w:p>
    <w:p w14:paraId="60759D84" w14:textId="77777777" w:rsidR="00A16DD3" w:rsidRPr="00A74CC6" w:rsidRDefault="00A16DD3" w:rsidP="002314CE">
      <w:pPr>
        <w:keepNext/>
        <w:spacing w:after="0" w:line="240" w:lineRule="auto"/>
        <w:ind w:left="0" w:firstLine="0"/>
        <w:rPr>
          <w:lang w:val="sv-SE"/>
        </w:rPr>
      </w:pPr>
    </w:p>
    <w:p w14:paraId="1B28B3A3" w14:textId="77777777" w:rsidR="005027AB" w:rsidRPr="00A74CC6" w:rsidRDefault="00264096" w:rsidP="002314CE">
      <w:pPr>
        <w:spacing w:after="0" w:line="240" w:lineRule="auto"/>
        <w:ind w:left="4" w:right="13"/>
        <w:contextualSpacing/>
        <w:rPr>
          <w:lang w:val="sv-SE"/>
        </w:rPr>
      </w:pPr>
      <w:r w:rsidRPr="00A74CC6">
        <w:rPr>
          <w:lang w:val="sv-SE"/>
        </w:rPr>
        <w:t>Det finns inga fertilitetsdata tillgängliga.</w:t>
      </w:r>
    </w:p>
    <w:p w14:paraId="03803029" w14:textId="77777777" w:rsidR="00F85514" w:rsidRPr="00A74CC6" w:rsidRDefault="00F85514" w:rsidP="002314CE">
      <w:pPr>
        <w:spacing w:after="0" w:line="240" w:lineRule="auto"/>
        <w:ind w:left="4" w:right="13"/>
        <w:contextualSpacing/>
        <w:rPr>
          <w:lang w:val="sv-SE"/>
        </w:rPr>
      </w:pPr>
    </w:p>
    <w:p w14:paraId="67C4545B" w14:textId="77777777" w:rsidR="005027AB" w:rsidRPr="00A74CC6" w:rsidRDefault="00264096" w:rsidP="001E7238">
      <w:pPr>
        <w:pStyle w:val="Heading4"/>
        <w:tabs>
          <w:tab w:val="center" w:pos="3649"/>
        </w:tabs>
        <w:suppressAutoHyphens/>
        <w:spacing w:after="0" w:line="240" w:lineRule="auto"/>
        <w:ind w:left="567" w:hanging="567"/>
        <w:contextualSpacing/>
        <w:rPr>
          <w:b/>
          <w:i w:val="0"/>
          <w:lang w:val="sv-SE"/>
        </w:rPr>
      </w:pPr>
      <w:r w:rsidRPr="00A74CC6">
        <w:rPr>
          <w:b/>
          <w:i w:val="0"/>
          <w:lang w:val="sv-SE"/>
        </w:rPr>
        <w:t>4.7</w:t>
      </w:r>
      <w:r w:rsidRPr="00A74CC6">
        <w:rPr>
          <w:b/>
          <w:i w:val="0"/>
          <w:lang w:val="sv-SE"/>
        </w:rPr>
        <w:tab/>
        <w:t>Effekter på förmågan att framföra fordon och använda maskiner</w:t>
      </w:r>
    </w:p>
    <w:p w14:paraId="71E5217D" w14:textId="77777777" w:rsidR="00F85514" w:rsidRPr="00A74CC6" w:rsidRDefault="00F85514" w:rsidP="001E7238">
      <w:pPr>
        <w:keepNext/>
        <w:keepLines/>
        <w:suppressAutoHyphens/>
        <w:spacing w:after="0" w:line="240" w:lineRule="auto"/>
        <w:contextualSpacing/>
        <w:rPr>
          <w:lang w:val="sv-SE"/>
        </w:rPr>
      </w:pPr>
    </w:p>
    <w:p w14:paraId="7E42B0F7" w14:textId="17F68B2D" w:rsidR="005027AB" w:rsidRPr="00A74CC6" w:rsidRDefault="00D5715D" w:rsidP="001E7238">
      <w:pPr>
        <w:spacing w:after="0" w:line="240" w:lineRule="auto"/>
        <w:ind w:left="4" w:right="13"/>
        <w:contextualSpacing/>
        <w:rPr>
          <w:lang w:val="sv-SE"/>
        </w:rPr>
      </w:pPr>
      <w:r w:rsidRPr="00A74CC6">
        <w:rPr>
          <w:lang w:val="sv-SE"/>
        </w:rPr>
        <w:t>Trastuzumab</w:t>
      </w:r>
      <w:r w:rsidR="006376EB">
        <w:rPr>
          <w:lang w:val="sv-SE"/>
        </w:rPr>
        <w:t xml:space="preserve"> </w:t>
      </w:r>
      <w:r w:rsidR="00264096" w:rsidRPr="00A74CC6">
        <w:rPr>
          <w:lang w:val="sv-SE"/>
        </w:rPr>
        <w:t>ha</w:t>
      </w:r>
      <w:r w:rsidR="0009488A">
        <w:rPr>
          <w:lang w:val="sv-SE"/>
        </w:rPr>
        <w:t>r</w:t>
      </w:r>
      <w:r w:rsidR="00264096" w:rsidRPr="00A74CC6">
        <w:rPr>
          <w:lang w:val="sv-SE"/>
        </w:rPr>
        <w:t xml:space="preserve"> </w:t>
      </w:r>
      <w:r w:rsidR="006376EB">
        <w:rPr>
          <w:lang w:val="sv-SE"/>
        </w:rPr>
        <w:t>mindre</w:t>
      </w:r>
      <w:r w:rsidR="00264096" w:rsidRPr="00A74CC6">
        <w:rPr>
          <w:lang w:val="sv-SE"/>
        </w:rPr>
        <w:t xml:space="preserve"> </w:t>
      </w:r>
      <w:r w:rsidR="00523BC5">
        <w:rPr>
          <w:lang w:val="sv-SE"/>
        </w:rPr>
        <w:t>effekt</w:t>
      </w:r>
      <w:r w:rsidR="00523BC5" w:rsidRPr="00A74CC6">
        <w:rPr>
          <w:lang w:val="sv-SE"/>
        </w:rPr>
        <w:t xml:space="preserve"> </w:t>
      </w:r>
      <w:r w:rsidR="00264096" w:rsidRPr="00A74CC6">
        <w:rPr>
          <w:lang w:val="sv-SE"/>
        </w:rPr>
        <w:t>på förmågan att framföra fordon och använda maskiner</w:t>
      </w:r>
      <w:r w:rsidR="006376EB">
        <w:rPr>
          <w:lang w:val="sv-SE"/>
        </w:rPr>
        <w:t xml:space="preserve"> (se avsnitt 4.8)</w:t>
      </w:r>
      <w:r w:rsidR="00264096" w:rsidRPr="00A74CC6">
        <w:rPr>
          <w:lang w:val="sv-SE"/>
        </w:rPr>
        <w:t xml:space="preserve">. </w:t>
      </w:r>
      <w:r w:rsidR="00A8688B">
        <w:rPr>
          <w:lang w:val="sv-SE"/>
        </w:rPr>
        <w:t>Yrsel och somnolens kan uppträda under behandling med KANJINTI (se avsnitt</w:t>
      </w:r>
      <w:r w:rsidR="00AB3802">
        <w:rPr>
          <w:lang w:val="sv-SE"/>
        </w:rPr>
        <w:t> </w:t>
      </w:r>
      <w:r w:rsidR="00A8688B">
        <w:rPr>
          <w:lang w:val="sv-SE"/>
        </w:rPr>
        <w:t xml:space="preserve">4.8). </w:t>
      </w:r>
      <w:r w:rsidR="00264096" w:rsidRPr="00A74CC6">
        <w:rPr>
          <w:lang w:val="sv-SE"/>
        </w:rPr>
        <w:t>Patienter som utvecklar infusionsrelaterade symtom (se avsnitt</w:t>
      </w:r>
      <w:r w:rsidR="00FB2159" w:rsidRPr="00A74CC6">
        <w:rPr>
          <w:lang w:val="sv-SE"/>
        </w:rPr>
        <w:t> </w:t>
      </w:r>
      <w:r w:rsidR="00264096" w:rsidRPr="00A74CC6">
        <w:rPr>
          <w:lang w:val="sv-SE"/>
        </w:rPr>
        <w:t xml:space="preserve">4.4) bör dock avrådas från att köra bil och använda maskiner tills symtomen avklingar. </w:t>
      </w:r>
    </w:p>
    <w:p w14:paraId="5F8BFDF9" w14:textId="77777777" w:rsidR="00F85514" w:rsidRPr="00A74CC6" w:rsidRDefault="00F85514" w:rsidP="001E7238">
      <w:pPr>
        <w:spacing w:after="0" w:line="240" w:lineRule="auto"/>
        <w:ind w:left="4" w:right="13"/>
        <w:contextualSpacing/>
        <w:rPr>
          <w:lang w:val="sv-SE"/>
        </w:rPr>
      </w:pPr>
    </w:p>
    <w:p w14:paraId="189B183E" w14:textId="77777777" w:rsidR="005027AB" w:rsidRPr="00A74CC6" w:rsidRDefault="00264096" w:rsidP="001E7238">
      <w:pPr>
        <w:keepNext/>
        <w:keepLines/>
        <w:tabs>
          <w:tab w:val="center" w:pos="1212"/>
          <w:tab w:val="left" w:pos="2388"/>
        </w:tabs>
        <w:spacing w:after="0" w:line="240" w:lineRule="auto"/>
        <w:ind w:left="567" w:hanging="567"/>
        <w:contextualSpacing/>
        <w:rPr>
          <w:b/>
          <w:lang w:val="sv-SE"/>
        </w:rPr>
      </w:pPr>
      <w:r w:rsidRPr="00A74CC6">
        <w:rPr>
          <w:b/>
          <w:lang w:val="sv-SE"/>
        </w:rPr>
        <w:lastRenderedPageBreak/>
        <w:t>4.8</w:t>
      </w:r>
      <w:r w:rsidRPr="00A74CC6">
        <w:rPr>
          <w:b/>
          <w:lang w:val="sv-SE"/>
        </w:rPr>
        <w:tab/>
        <w:t>Biverkningar</w:t>
      </w:r>
    </w:p>
    <w:p w14:paraId="10FDD3C0" w14:textId="77777777" w:rsidR="00F85514" w:rsidRPr="00A74CC6" w:rsidRDefault="00F85514" w:rsidP="001E7238">
      <w:pPr>
        <w:keepNext/>
        <w:keepLines/>
        <w:tabs>
          <w:tab w:val="center" w:pos="1212"/>
          <w:tab w:val="left" w:pos="2388"/>
        </w:tabs>
        <w:spacing w:after="0" w:line="240" w:lineRule="auto"/>
        <w:ind w:left="-1" w:firstLine="0"/>
        <w:contextualSpacing/>
        <w:rPr>
          <w:lang w:val="sv-SE"/>
        </w:rPr>
      </w:pPr>
    </w:p>
    <w:p w14:paraId="74B11C54" w14:textId="77777777" w:rsidR="005027AB" w:rsidRPr="00A74CC6" w:rsidRDefault="00264096" w:rsidP="001E7238">
      <w:pPr>
        <w:pStyle w:val="Heading2"/>
        <w:spacing w:after="0" w:line="240" w:lineRule="auto"/>
        <w:ind w:left="9"/>
        <w:contextualSpacing/>
        <w:rPr>
          <w:lang w:val="sv-SE"/>
        </w:rPr>
      </w:pPr>
      <w:r w:rsidRPr="00A74CC6">
        <w:rPr>
          <w:lang w:val="sv-SE"/>
        </w:rPr>
        <w:t>Sammanfattning av säkerhetsprofilen</w:t>
      </w:r>
    </w:p>
    <w:p w14:paraId="4998A978" w14:textId="77777777" w:rsidR="00F85514" w:rsidRPr="00A74CC6" w:rsidRDefault="00F85514" w:rsidP="001E7238">
      <w:pPr>
        <w:keepNext/>
        <w:keepLines/>
        <w:spacing w:after="0" w:line="240" w:lineRule="auto"/>
        <w:contextualSpacing/>
        <w:rPr>
          <w:lang w:val="sv-SE"/>
        </w:rPr>
      </w:pPr>
    </w:p>
    <w:p w14:paraId="00AA2A41" w14:textId="15719679" w:rsidR="005027AB" w:rsidRPr="00A74CC6" w:rsidRDefault="00264096" w:rsidP="001E7238">
      <w:pPr>
        <w:spacing w:after="0" w:line="240" w:lineRule="auto"/>
        <w:ind w:left="4" w:right="13"/>
        <w:contextualSpacing/>
        <w:rPr>
          <w:lang w:val="sv-SE"/>
        </w:rPr>
      </w:pPr>
      <w:r w:rsidRPr="00A74CC6">
        <w:rPr>
          <w:lang w:val="sv-SE"/>
        </w:rPr>
        <w:t>De allvarliga</w:t>
      </w:r>
      <w:r w:rsidR="00FB2159" w:rsidRPr="00A74CC6">
        <w:rPr>
          <w:lang w:val="sv-SE"/>
        </w:rPr>
        <w:t>ste</w:t>
      </w:r>
      <w:r w:rsidRPr="00A74CC6">
        <w:rPr>
          <w:lang w:val="sv-SE"/>
        </w:rPr>
        <w:t xml:space="preserve"> och/eller vanligaste biverkningar som </w:t>
      </w:r>
      <w:r w:rsidR="00F71DEE" w:rsidRPr="00A74CC6">
        <w:rPr>
          <w:lang w:val="sv-SE"/>
        </w:rPr>
        <w:t xml:space="preserve">har </w:t>
      </w:r>
      <w:r w:rsidRPr="00A74CC6">
        <w:rPr>
          <w:lang w:val="sv-SE"/>
        </w:rPr>
        <w:t xml:space="preserve">rapporterats hittills vid användning av </w:t>
      </w:r>
      <w:r w:rsidR="00D5715D" w:rsidRPr="00A74CC6">
        <w:rPr>
          <w:lang w:val="sv-SE"/>
        </w:rPr>
        <w:t>trastuzumab</w:t>
      </w:r>
      <w:r w:rsidRPr="00A74CC6">
        <w:rPr>
          <w:lang w:val="sv-SE"/>
        </w:rPr>
        <w:t xml:space="preserve"> är hjärtdysfunktion, infusionsrelaterade reaktioner, hematotoxicitet (särskilt neutropeni) infektioner och pulmonella biverkningar.</w:t>
      </w:r>
    </w:p>
    <w:p w14:paraId="1B23A1EF" w14:textId="77777777" w:rsidR="00F85514" w:rsidRPr="00A74CC6" w:rsidRDefault="00F85514" w:rsidP="001E7238">
      <w:pPr>
        <w:pStyle w:val="Heading2"/>
        <w:keepNext w:val="0"/>
        <w:keepLines w:val="0"/>
        <w:spacing w:after="0" w:line="240" w:lineRule="auto"/>
        <w:ind w:left="9"/>
        <w:contextualSpacing/>
        <w:rPr>
          <w:lang w:val="sv-SE"/>
        </w:rPr>
      </w:pPr>
    </w:p>
    <w:p w14:paraId="410808A5" w14:textId="77777777" w:rsidR="005027AB" w:rsidRPr="00A74CC6" w:rsidRDefault="00264096" w:rsidP="001E7238">
      <w:pPr>
        <w:pStyle w:val="Heading2"/>
        <w:spacing w:after="0" w:line="240" w:lineRule="auto"/>
        <w:ind w:left="9"/>
        <w:contextualSpacing/>
        <w:rPr>
          <w:lang w:val="sv-SE"/>
        </w:rPr>
      </w:pPr>
      <w:r w:rsidRPr="00A74CC6">
        <w:rPr>
          <w:lang w:val="sv-SE"/>
        </w:rPr>
        <w:t>Tabell över biverkningar</w:t>
      </w:r>
    </w:p>
    <w:p w14:paraId="6C407778" w14:textId="77777777" w:rsidR="00F85514" w:rsidRPr="00A74CC6" w:rsidRDefault="00F85514" w:rsidP="001E7238">
      <w:pPr>
        <w:keepNext/>
        <w:keepLines/>
        <w:spacing w:after="0" w:line="240" w:lineRule="auto"/>
        <w:ind w:left="4" w:right="13"/>
        <w:contextualSpacing/>
        <w:rPr>
          <w:lang w:val="sv-SE"/>
        </w:rPr>
      </w:pPr>
    </w:p>
    <w:p w14:paraId="003430BB" w14:textId="48996578" w:rsidR="005027AB" w:rsidRPr="00A74CC6" w:rsidRDefault="00264096" w:rsidP="002314CE">
      <w:pPr>
        <w:spacing w:after="0" w:line="240" w:lineRule="auto"/>
        <w:ind w:left="4" w:right="13"/>
        <w:contextualSpacing/>
        <w:rPr>
          <w:lang w:val="sv-SE"/>
        </w:rPr>
      </w:pPr>
      <w:r w:rsidRPr="00A74CC6">
        <w:rPr>
          <w:lang w:val="sv-SE"/>
        </w:rPr>
        <w:t>I detta avsnitt har följande frekvenser använts: mycket vanliga (</w:t>
      </w:r>
      <w:r w:rsidR="00F85514" w:rsidRPr="00A74CC6">
        <w:rPr>
          <w:rFonts w:eastAsia="Segoe UI Symbol"/>
          <w:lang w:val="sv-SE"/>
        </w:rPr>
        <w:t>≥ </w:t>
      </w:r>
      <w:r w:rsidRPr="00A74CC6">
        <w:rPr>
          <w:lang w:val="sv-SE"/>
        </w:rPr>
        <w:t>1/</w:t>
      </w:r>
      <w:r w:rsidR="00F85514" w:rsidRPr="00A74CC6">
        <w:rPr>
          <w:lang w:val="sv-SE"/>
        </w:rPr>
        <w:t>10), vanliga (≥ </w:t>
      </w:r>
      <w:r w:rsidRPr="00A74CC6">
        <w:rPr>
          <w:lang w:val="sv-SE"/>
        </w:rPr>
        <w:t>1/100, &lt;</w:t>
      </w:r>
      <w:r w:rsidR="00E529DA" w:rsidRPr="00A74CC6">
        <w:rPr>
          <w:lang w:val="sv-SE"/>
        </w:rPr>
        <w:t> </w:t>
      </w:r>
      <w:r w:rsidRPr="00A74CC6">
        <w:rPr>
          <w:lang w:val="sv-SE"/>
        </w:rPr>
        <w:t>1/10), mindre vanliga (≥</w:t>
      </w:r>
      <w:r w:rsidR="00E529DA" w:rsidRPr="00A74CC6">
        <w:rPr>
          <w:lang w:val="sv-SE"/>
        </w:rPr>
        <w:t> </w:t>
      </w:r>
      <w:r w:rsidR="00084EE5" w:rsidRPr="00A74CC6">
        <w:rPr>
          <w:lang w:val="sv-SE"/>
        </w:rPr>
        <w:t>1/1</w:t>
      </w:r>
      <w:r w:rsidR="00D5715D" w:rsidRPr="00A74CC6">
        <w:rPr>
          <w:lang w:val="sv-SE"/>
        </w:rPr>
        <w:t> </w:t>
      </w:r>
      <w:r w:rsidRPr="00A74CC6">
        <w:rPr>
          <w:lang w:val="sv-SE"/>
        </w:rPr>
        <w:t>000, &lt;</w:t>
      </w:r>
      <w:r w:rsidR="00E529DA" w:rsidRPr="00A74CC6">
        <w:rPr>
          <w:lang w:val="sv-SE"/>
        </w:rPr>
        <w:t> </w:t>
      </w:r>
      <w:r w:rsidRPr="00A74CC6">
        <w:rPr>
          <w:lang w:val="sv-SE"/>
        </w:rPr>
        <w:t>1/100), sällsynta (≥</w:t>
      </w:r>
      <w:r w:rsidR="00E529DA" w:rsidRPr="00A74CC6">
        <w:rPr>
          <w:lang w:val="sv-SE"/>
        </w:rPr>
        <w:t> </w:t>
      </w:r>
      <w:r w:rsidR="00084EE5" w:rsidRPr="00A74CC6">
        <w:rPr>
          <w:lang w:val="sv-SE"/>
        </w:rPr>
        <w:t>1/10</w:t>
      </w:r>
      <w:r w:rsidR="00D5715D" w:rsidRPr="00A74CC6">
        <w:rPr>
          <w:lang w:val="sv-SE"/>
        </w:rPr>
        <w:t> </w:t>
      </w:r>
      <w:r w:rsidRPr="00A74CC6">
        <w:rPr>
          <w:lang w:val="sv-SE"/>
        </w:rPr>
        <w:t>000, &lt;</w:t>
      </w:r>
      <w:r w:rsidR="00E529DA" w:rsidRPr="00A74CC6">
        <w:rPr>
          <w:lang w:val="sv-SE"/>
        </w:rPr>
        <w:t> </w:t>
      </w:r>
      <w:r w:rsidR="00084EE5" w:rsidRPr="00A74CC6">
        <w:rPr>
          <w:lang w:val="sv-SE"/>
        </w:rPr>
        <w:t>1/1</w:t>
      </w:r>
      <w:r w:rsidR="00D5715D" w:rsidRPr="00A74CC6">
        <w:rPr>
          <w:lang w:val="sv-SE"/>
        </w:rPr>
        <w:t> </w:t>
      </w:r>
      <w:r w:rsidRPr="00A74CC6">
        <w:rPr>
          <w:lang w:val="sv-SE"/>
        </w:rPr>
        <w:t>000) och mycket sällsynta (&lt;</w:t>
      </w:r>
      <w:r w:rsidR="009F1E44" w:rsidRPr="00A74CC6">
        <w:rPr>
          <w:lang w:val="sv-SE"/>
        </w:rPr>
        <w:t> 1/10 </w:t>
      </w:r>
      <w:r w:rsidRPr="00A74CC6">
        <w:rPr>
          <w:lang w:val="sv-SE"/>
        </w:rPr>
        <w:t xml:space="preserve">000), ingen känd frekvens (kan inte beräknas från tillgängliga data). Inom varje frekvensgruppering presenteras </w:t>
      </w:r>
      <w:r w:rsidR="00FB2159" w:rsidRPr="00A74CC6">
        <w:rPr>
          <w:lang w:val="sv-SE"/>
        </w:rPr>
        <w:t xml:space="preserve">biverkningarna </w:t>
      </w:r>
      <w:r w:rsidRPr="00A74CC6">
        <w:rPr>
          <w:lang w:val="sv-SE"/>
        </w:rPr>
        <w:t>efter minskade allvarlighetsgrad.</w:t>
      </w:r>
    </w:p>
    <w:p w14:paraId="6D3E2C67" w14:textId="77777777" w:rsidR="00F85514" w:rsidRPr="00A74CC6" w:rsidRDefault="00F85514" w:rsidP="002314CE">
      <w:pPr>
        <w:spacing w:after="0" w:line="240" w:lineRule="auto"/>
        <w:ind w:left="4" w:right="13"/>
        <w:contextualSpacing/>
        <w:rPr>
          <w:lang w:val="sv-SE"/>
        </w:rPr>
      </w:pPr>
    </w:p>
    <w:p w14:paraId="053A6DA6" w14:textId="71D1285C" w:rsidR="005027AB" w:rsidRPr="00A74CC6" w:rsidRDefault="00264096" w:rsidP="002314CE">
      <w:pPr>
        <w:spacing w:after="0" w:line="240" w:lineRule="auto"/>
        <w:ind w:left="4" w:right="13"/>
        <w:contextualSpacing/>
        <w:rPr>
          <w:lang w:val="sv-SE"/>
        </w:rPr>
      </w:pPr>
      <w:r w:rsidRPr="00A74CC6">
        <w:rPr>
          <w:lang w:val="sv-SE"/>
        </w:rPr>
        <w:t>I tabell</w:t>
      </w:r>
      <w:r w:rsidR="00FB2159" w:rsidRPr="00A74CC6">
        <w:rPr>
          <w:lang w:val="sv-SE"/>
        </w:rPr>
        <w:t> </w:t>
      </w:r>
      <w:r w:rsidRPr="00A74CC6">
        <w:rPr>
          <w:lang w:val="sv-SE"/>
        </w:rPr>
        <w:t xml:space="preserve">1 </w:t>
      </w:r>
      <w:r w:rsidR="00FB2159" w:rsidRPr="00A74CC6">
        <w:rPr>
          <w:lang w:val="sv-SE"/>
        </w:rPr>
        <w:t>redovisas</w:t>
      </w:r>
      <w:r w:rsidRPr="00A74CC6">
        <w:rPr>
          <w:lang w:val="sv-SE"/>
        </w:rPr>
        <w:t xml:space="preserve"> </w:t>
      </w:r>
      <w:r w:rsidR="00FB2159" w:rsidRPr="00A74CC6">
        <w:rPr>
          <w:lang w:val="sv-SE"/>
        </w:rPr>
        <w:t xml:space="preserve">de </w:t>
      </w:r>
      <w:r w:rsidRPr="00A74CC6">
        <w:rPr>
          <w:lang w:val="sv-SE"/>
        </w:rPr>
        <w:t xml:space="preserve">biverkningar som rapporterats </w:t>
      </w:r>
      <w:r w:rsidR="00FB2159" w:rsidRPr="00A74CC6">
        <w:rPr>
          <w:lang w:val="sv-SE"/>
        </w:rPr>
        <w:t>vid</w:t>
      </w:r>
      <w:r w:rsidRPr="00A74CC6">
        <w:rPr>
          <w:lang w:val="sv-SE"/>
        </w:rPr>
        <w:t xml:space="preserve"> användning av intravenöst </w:t>
      </w:r>
      <w:r w:rsidR="00D5715D" w:rsidRPr="00A74CC6">
        <w:rPr>
          <w:lang w:val="sv-SE"/>
        </w:rPr>
        <w:t xml:space="preserve">trastuzumab </w:t>
      </w:r>
      <w:r w:rsidRPr="00A74CC6">
        <w:rPr>
          <w:lang w:val="sv-SE"/>
        </w:rPr>
        <w:t xml:space="preserve">enbart eller i kombination med kemoterapi i de pivotala kliniska studierna samt efter marknadsintroduktionen. </w:t>
      </w:r>
    </w:p>
    <w:p w14:paraId="2D8D2F54" w14:textId="77777777" w:rsidR="001F7A9E" w:rsidRPr="00A74CC6" w:rsidRDefault="001F7A9E" w:rsidP="002314CE">
      <w:pPr>
        <w:spacing w:after="0" w:line="240" w:lineRule="auto"/>
        <w:ind w:left="4" w:right="13"/>
        <w:contextualSpacing/>
        <w:rPr>
          <w:lang w:val="sv-SE"/>
        </w:rPr>
      </w:pPr>
    </w:p>
    <w:p w14:paraId="1C5D81EF" w14:textId="6F6611F7" w:rsidR="005027AB" w:rsidRPr="00A74CC6" w:rsidRDefault="00264096" w:rsidP="002314CE">
      <w:pPr>
        <w:spacing w:after="0" w:line="240" w:lineRule="auto"/>
        <w:ind w:left="4" w:right="13"/>
        <w:contextualSpacing/>
        <w:rPr>
          <w:lang w:val="sv-SE"/>
        </w:rPr>
      </w:pPr>
      <w:r w:rsidRPr="00A74CC6">
        <w:rPr>
          <w:lang w:val="sv-SE"/>
        </w:rPr>
        <w:t xml:space="preserve">Alla inkluderade termer baseras på den högsta </w:t>
      </w:r>
      <w:r w:rsidR="00FB2159" w:rsidRPr="00A74CC6">
        <w:rPr>
          <w:lang w:val="sv-SE"/>
        </w:rPr>
        <w:t>frekvens</w:t>
      </w:r>
      <w:r w:rsidRPr="00A74CC6">
        <w:rPr>
          <w:lang w:val="sv-SE"/>
        </w:rPr>
        <w:t xml:space="preserve"> som setts i pivotala kliniska </w:t>
      </w:r>
      <w:r w:rsidR="000345E0">
        <w:rPr>
          <w:lang w:val="sv-SE"/>
        </w:rPr>
        <w:t>studier</w:t>
      </w:r>
      <w:r w:rsidRPr="00A74CC6">
        <w:rPr>
          <w:lang w:val="sv-SE"/>
        </w:rPr>
        <w:t>.</w:t>
      </w:r>
      <w:r w:rsidR="00CD60AF" w:rsidRPr="00CD60AF">
        <w:rPr>
          <w:lang w:val="sv-SE"/>
        </w:rPr>
        <w:t xml:space="preserve"> </w:t>
      </w:r>
      <w:r w:rsidR="00CD60AF">
        <w:rPr>
          <w:lang w:val="sv-SE"/>
        </w:rPr>
        <w:t>Dessutom är termer som rapporterades efter marknadsintroduktionen inkluderade i tabell 1.</w:t>
      </w:r>
    </w:p>
    <w:p w14:paraId="4A4E6E30" w14:textId="77777777" w:rsidR="00F85514" w:rsidRPr="00A74CC6" w:rsidRDefault="00F85514" w:rsidP="002314CE">
      <w:pPr>
        <w:spacing w:after="0" w:line="240" w:lineRule="auto"/>
        <w:ind w:left="0" w:firstLine="0"/>
        <w:contextualSpacing/>
        <w:rPr>
          <w:lang w:val="sv-SE"/>
        </w:rPr>
      </w:pPr>
    </w:p>
    <w:p w14:paraId="3DE60267" w14:textId="39CC3415" w:rsidR="005027AB" w:rsidRPr="00A74CC6" w:rsidRDefault="00A16DD3" w:rsidP="002314CE">
      <w:pPr>
        <w:keepNext/>
        <w:keepLines/>
        <w:tabs>
          <w:tab w:val="left" w:pos="1418"/>
        </w:tabs>
        <w:spacing w:after="0" w:line="240" w:lineRule="auto"/>
        <w:ind w:left="0" w:firstLine="0"/>
        <w:contextualSpacing/>
        <w:rPr>
          <w:b/>
          <w:lang w:val="sv-SE"/>
        </w:rPr>
      </w:pPr>
      <w:r w:rsidRPr="00A74CC6">
        <w:rPr>
          <w:b/>
          <w:lang w:val="sv-SE"/>
        </w:rPr>
        <w:t>Tabell</w:t>
      </w:r>
      <w:r w:rsidR="00FB2159" w:rsidRPr="00A74CC6">
        <w:rPr>
          <w:b/>
          <w:lang w:val="sv-SE"/>
        </w:rPr>
        <w:t> </w:t>
      </w:r>
      <w:r w:rsidRPr="00A74CC6">
        <w:rPr>
          <w:b/>
          <w:lang w:val="sv-SE"/>
        </w:rPr>
        <w:t>1.</w:t>
      </w:r>
      <w:r w:rsidR="00F2647C" w:rsidRPr="00A74CC6">
        <w:rPr>
          <w:b/>
          <w:lang w:val="sv-SE"/>
        </w:rPr>
        <w:t xml:space="preserve"> </w:t>
      </w:r>
      <w:r w:rsidR="00264096" w:rsidRPr="00A74CC6">
        <w:rPr>
          <w:b/>
          <w:lang w:val="sv-SE"/>
        </w:rPr>
        <w:t xml:space="preserve">Biverkningar rapporterade med intravenöst </w:t>
      </w:r>
      <w:r w:rsidR="00D5715D" w:rsidRPr="008763E6">
        <w:rPr>
          <w:b/>
          <w:lang w:val="sv-SE"/>
        </w:rPr>
        <w:t>trastuzumab</w:t>
      </w:r>
      <w:r w:rsidR="00D5715D" w:rsidRPr="00A74CC6">
        <w:rPr>
          <w:lang w:val="sv-SE"/>
        </w:rPr>
        <w:t xml:space="preserve"> </w:t>
      </w:r>
      <w:r w:rsidR="00264096" w:rsidRPr="00A74CC6">
        <w:rPr>
          <w:b/>
          <w:lang w:val="sv-SE"/>
        </w:rPr>
        <w:t xml:space="preserve">i monoterapi eller i kombination med kemoterapi i pivotala kliniska </w:t>
      </w:r>
      <w:r w:rsidR="000345E0">
        <w:rPr>
          <w:b/>
          <w:lang w:val="sv-SE"/>
        </w:rPr>
        <w:t>studier</w:t>
      </w:r>
      <w:r w:rsidR="000345E0" w:rsidRPr="00A74CC6">
        <w:rPr>
          <w:b/>
          <w:lang w:val="sv-SE"/>
        </w:rPr>
        <w:t xml:space="preserve"> </w:t>
      </w:r>
      <w:r w:rsidR="00264096" w:rsidRPr="00A74CC6">
        <w:rPr>
          <w:b/>
          <w:lang w:val="sv-SE"/>
        </w:rPr>
        <w:t>(N</w:t>
      </w:r>
      <w:r w:rsidR="00E36A8F" w:rsidRPr="00A74CC6">
        <w:rPr>
          <w:b/>
          <w:lang w:val="sv-SE"/>
        </w:rPr>
        <w:t> </w:t>
      </w:r>
      <w:r w:rsidR="00264096" w:rsidRPr="00A74CC6">
        <w:rPr>
          <w:b/>
          <w:lang w:val="sv-SE"/>
        </w:rPr>
        <w:t>=</w:t>
      </w:r>
      <w:r w:rsidR="00E36A8F" w:rsidRPr="00A74CC6">
        <w:rPr>
          <w:b/>
          <w:lang w:val="sv-SE"/>
        </w:rPr>
        <w:t> </w:t>
      </w:r>
      <w:r w:rsidR="00264096" w:rsidRPr="00A74CC6">
        <w:rPr>
          <w:b/>
          <w:lang w:val="sv-SE"/>
        </w:rPr>
        <w:t>8</w:t>
      </w:r>
      <w:r w:rsidR="00D5715D" w:rsidRPr="00A74CC6">
        <w:rPr>
          <w:b/>
          <w:lang w:val="sv-SE"/>
        </w:rPr>
        <w:t> </w:t>
      </w:r>
      <w:r w:rsidR="00264096" w:rsidRPr="00A74CC6">
        <w:rPr>
          <w:b/>
          <w:lang w:val="sv-SE"/>
        </w:rPr>
        <w:t>386) och efter marknadsintroduktion</w:t>
      </w:r>
    </w:p>
    <w:p w14:paraId="3BF6F087" w14:textId="77777777" w:rsidR="00F85514" w:rsidRPr="00A74CC6" w:rsidRDefault="00F85514" w:rsidP="002314CE">
      <w:pPr>
        <w:keepNext/>
        <w:keepLines/>
        <w:spacing w:after="0" w:line="240" w:lineRule="auto"/>
        <w:ind w:left="0" w:firstLine="0"/>
        <w:contextualSpacing/>
        <w:rPr>
          <w:b/>
          <w:lang w:val="sv-SE"/>
        </w:rPr>
      </w:pPr>
    </w:p>
    <w:tbl>
      <w:tblPr>
        <w:tblW w:w="5000" w:type="pct"/>
        <w:tblInd w:w="106" w:type="dxa"/>
        <w:tblLayout w:type="fixed"/>
        <w:tblCellMar>
          <w:top w:w="7" w:type="dxa"/>
          <w:left w:w="106" w:type="dxa"/>
          <w:right w:w="115" w:type="dxa"/>
        </w:tblCellMar>
        <w:tblLook w:val="04A0" w:firstRow="1" w:lastRow="0" w:firstColumn="1" w:lastColumn="0" w:noHBand="0" w:noVBand="1"/>
      </w:tblPr>
      <w:tblGrid>
        <w:gridCol w:w="2934"/>
        <w:gridCol w:w="3907"/>
        <w:gridCol w:w="2449"/>
      </w:tblGrid>
      <w:tr w:rsidR="00CD7CB6" w:rsidRPr="00A74CC6" w14:paraId="377B3355" w14:textId="77777777" w:rsidTr="004A019F">
        <w:trPr>
          <w:trHeight w:val="262"/>
          <w:tblHeader/>
        </w:trPr>
        <w:tc>
          <w:tcPr>
            <w:tcW w:w="1579" w:type="pct"/>
            <w:tcBorders>
              <w:top w:val="single" w:sz="4" w:space="0" w:color="000000"/>
              <w:left w:val="single" w:sz="4" w:space="0" w:color="000000"/>
              <w:bottom w:val="single" w:sz="4" w:space="0" w:color="000000"/>
              <w:right w:val="single" w:sz="4" w:space="0" w:color="000000"/>
            </w:tcBorders>
            <w:shd w:val="clear" w:color="auto" w:fill="auto"/>
          </w:tcPr>
          <w:p w14:paraId="0B762CFC" w14:textId="77777777" w:rsidR="005027AB" w:rsidRPr="004A019F" w:rsidRDefault="00264096" w:rsidP="004A019F">
            <w:pPr>
              <w:keepNext/>
              <w:keepLines/>
              <w:spacing w:after="0" w:line="240" w:lineRule="auto"/>
              <w:ind w:left="0" w:firstLine="0"/>
              <w:contextualSpacing/>
              <w:rPr>
                <w:lang w:val="sv-SE"/>
              </w:rPr>
            </w:pPr>
            <w:r w:rsidRPr="004A019F">
              <w:rPr>
                <w:b/>
                <w:lang w:val="sv-SE"/>
              </w:rPr>
              <w:t>Organsystem</w:t>
            </w: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4FA86D07" w14:textId="77777777" w:rsidR="005027AB" w:rsidRPr="004A019F" w:rsidRDefault="00264096" w:rsidP="004A019F">
            <w:pPr>
              <w:keepNext/>
              <w:keepLines/>
              <w:spacing w:after="0" w:line="240" w:lineRule="auto"/>
              <w:ind w:left="0" w:firstLine="0"/>
              <w:contextualSpacing/>
              <w:rPr>
                <w:lang w:val="sv-SE"/>
              </w:rPr>
            </w:pPr>
            <w:r w:rsidRPr="004A019F">
              <w:rPr>
                <w:b/>
                <w:lang w:val="sv-SE"/>
              </w:rPr>
              <w:t xml:space="preserve">Biverkan </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0B6B8933" w14:textId="77777777" w:rsidR="005027AB" w:rsidRPr="004A019F" w:rsidRDefault="00264096" w:rsidP="004A019F">
            <w:pPr>
              <w:keepNext/>
              <w:keepLines/>
              <w:spacing w:after="0" w:line="240" w:lineRule="auto"/>
              <w:ind w:left="0" w:firstLine="0"/>
              <w:contextualSpacing/>
              <w:rPr>
                <w:lang w:val="sv-SE"/>
              </w:rPr>
            </w:pPr>
            <w:r w:rsidRPr="004A019F">
              <w:rPr>
                <w:b/>
                <w:lang w:val="sv-SE"/>
              </w:rPr>
              <w:t xml:space="preserve">Frekvens </w:t>
            </w:r>
          </w:p>
        </w:tc>
      </w:tr>
      <w:tr w:rsidR="00AD14F8" w:rsidRPr="00A74CC6" w14:paraId="645D1779" w14:textId="77777777" w:rsidTr="004A019F">
        <w:trPr>
          <w:trHeight w:val="227"/>
        </w:trPr>
        <w:tc>
          <w:tcPr>
            <w:tcW w:w="1579" w:type="pct"/>
            <w:tcBorders>
              <w:top w:val="single" w:sz="4" w:space="0" w:color="000000"/>
              <w:left w:val="single" w:sz="4" w:space="0" w:color="000000"/>
              <w:right w:val="single" w:sz="4" w:space="0" w:color="000000"/>
            </w:tcBorders>
            <w:shd w:val="clear" w:color="auto" w:fill="auto"/>
          </w:tcPr>
          <w:p w14:paraId="0C6D1A80" w14:textId="77777777" w:rsidR="005027AB" w:rsidRPr="004A019F" w:rsidRDefault="00264096" w:rsidP="004A019F">
            <w:pPr>
              <w:keepNext/>
              <w:keepLines/>
              <w:spacing w:after="0" w:line="240" w:lineRule="auto"/>
              <w:ind w:left="0" w:firstLine="0"/>
              <w:contextualSpacing/>
              <w:rPr>
                <w:lang w:val="sv-SE"/>
              </w:rPr>
            </w:pPr>
            <w:r w:rsidRPr="004A019F">
              <w:rPr>
                <w:lang w:val="sv-SE"/>
              </w:rPr>
              <w:t>Infektioner och infestationer</w:t>
            </w: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509E5313" w14:textId="77777777" w:rsidR="005027AB" w:rsidRPr="004A019F" w:rsidRDefault="00264096" w:rsidP="004A019F">
            <w:pPr>
              <w:keepNext/>
              <w:keepLines/>
              <w:spacing w:after="0" w:line="240" w:lineRule="auto"/>
              <w:ind w:left="0" w:firstLine="0"/>
              <w:contextualSpacing/>
              <w:rPr>
                <w:lang w:val="sv-SE"/>
              </w:rPr>
            </w:pPr>
            <w:r w:rsidRPr="004A019F">
              <w:rPr>
                <w:lang w:val="sv-SE"/>
              </w:rPr>
              <w:t>Infektion</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64E5F10B" w14:textId="77777777" w:rsidR="005027AB" w:rsidRPr="004A019F" w:rsidRDefault="00264096" w:rsidP="004A019F">
            <w:pPr>
              <w:keepNext/>
              <w:keepLines/>
              <w:spacing w:after="0" w:line="240" w:lineRule="auto"/>
              <w:ind w:left="0" w:firstLine="0"/>
              <w:contextualSpacing/>
              <w:rPr>
                <w:lang w:val="sv-SE"/>
              </w:rPr>
            </w:pPr>
            <w:r w:rsidRPr="004A019F">
              <w:rPr>
                <w:lang w:val="sv-SE"/>
              </w:rPr>
              <w:t>Mycket vanlig</w:t>
            </w:r>
          </w:p>
        </w:tc>
      </w:tr>
      <w:tr w:rsidR="00AD14F8" w:rsidRPr="00A74CC6" w14:paraId="436D59CE" w14:textId="77777777" w:rsidTr="004A019F">
        <w:trPr>
          <w:trHeight w:val="227"/>
        </w:trPr>
        <w:tc>
          <w:tcPr>
            <w:tcW w:w="1579" w:type="pct"/>
            <w:tcBorders>
              <w:top w:val="nil"/>
              <w:left w:val="single" w:sz="4" w:space="0" w:color="000000"/>
              <w:bottom w:val="nil"/>
              <w:right w:val="single" w:sz="4" w:space="0" w:color="000000"/>
            </w:tcBorders>
            <w:shd w:val="clear" w:color="auto" w:fill="auto"/>
          </w:tcPr>
          <w:p w14:paraId="625A6D0C" w14:textId="77777777" w:rsidR="005027AB" w:rsidRPr="004A019F" w:rsidRDefault="005027AB" w:rsidP="004A019F">
            <w:pPr>
              <w:keepNext/>
              <w:keepLines/>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42165B5F" w14:textId="77777777" w:rsidR="005027AB" w:rsidRPr="004A019F" w:rsidRDefault="00264096" w:rsidP="004A019F">
            <w:pPr>
              <w:keepNext/>
              <w:keepLines/>
              <w:spacing w:after="0" w:line="240" w:lineRule="auto"/>
              <w:ind w:left="0" w:firstLine="0"/>
              <w:contextualSpacing/>
              <w:rPr>
                <w:lang w:val="sv-SE"/>
              </w:rPr>
            </w:pPr>
            <w:r w:rsidRPr="004A019F">
              <w:rPr>
                <w:lang w:val="sv-SE"/>
              </w:rPr>
              <w:t>Nasofaryngit</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6EBC2892" w14:textId="77777777" w:rsidR="005027AB" w:rsidRPr="004A019F" w:rsidRDefault="00264096" w:rsidP="004A019F">
            <w:pPr>
              <w:keepNext/>
              <w:keepLines/>
              <w:spacing w:after="0" w:line="240" w:lineRule="auto"/>
              <w:ind w:left="0" w:firstLine="0"/>
              <w:contextualSpacing/>
              <w:rPr>
                <w:lang w:val="sv-SE"/>
              </w:rPr>
            </w:pPr>
            <w:r w:rsidRPr="004A019F">
              <w:rPr>
                <w:lang w:val="sv-SE"/>
              </w:rPr>
              <w:t>Mycket vanlig</w:t>
            </w:r>
          </w:p>
        </w:tc>
      </w:tr>
      <w:tr w:rsidR="00AD14F8" w:rsidRPr="00A74CC6" w14:paraId="769E2E80" w14:textId="77777777" w:rsidTr="004A019F">
        <w:trPr>
          <w:trHeight w:val="227"/>
        </w:trPr>
        <w:tc>
          <w:tcPr>
            <w:tcW w:w="1579" w:type="pct"/>
            <w:tcBorders>
              <w:top w:val="nil"/>
              <w:left w:val="single" w:sz="4" w:space="0" w:color="000000"/>
              <w:bottom w:val="nil"/>
              <w:right w:val="single" w:sz="4" w:space="0" w:color="000000"/>
            </w:tcBorders>
            <w:shd w:val="clear" w:color="auto" w:fill="auto"/>
          </w:tcPr>
          <w:p w14:paraId="551B1BE9" w14:textId="77777777" w:rsidR="005027AB" w:rsidRPr="004A019F" w:rsidRDefault="005027AB" w:rsidP="004A019F">
            <w:pPr>
              <w:keepNext/>
              <w:keepLines/>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0C0A9EF3" w14:textId="77777777" w:rsidR="005027AB" w:rsidRPr="004A019F" w:rsidRDefault="00264096" w:rsidP="004A019F">
            <w:pPr>
              <w:keepNext/>
              <w:keepLines/>
              <w:spacing w:after="0" w:line="240" w:lineRule="auto"/>
              <w:ind w:left="0" w:firstLine="0"/>
              <w:contextualSpacing/>
              <w:rPr>
                <w:lang w:val="sv-SE"/>
              </w:rPr>
            </w:pPr>
            <w:r w:rsidRPr="004A019F">
              <w:rPr>
                <w:lang w:val="sv-SE"/>
              </w:rPr>
              <w:t>Neutropen sepsis</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0E8099EF" w14:textId="77777777" w:rsidR="005027AB" w:rsidRPr="004A019F" w:rsidRDefault="00264096" w:rsidP="004A019F">
            <w:pPr>
              <w:keepNext/>
              <w:keepLines/>
              <w:spacing w:after="0" w:line="240" w:lineRule="auto"/>
              <w:ind w:left="0" w:firstLine="0"/>
              <w:contextualSpacing/>
              <w:rPr>
                <w:lang w:val="sv-SE"/>
              </w:rPr>
            </w:pPr>
            <w:r w:rsidRPr="004A019F">
              <w:rPr>
                <w:lang w:val="sv-SE"/>
              </w:rPr>
              <w:t>Vanlig</w:t>
            </w:r>
          </w:p>
        </w:tc>
      </w:tr>
      <w:tr w:rsidR="00AD14F8" w:rsidRPr="00A74CC6" w14:paraId="5DC970E0" w14:textId="77777777" w:rsidTr="004A019F">
        <w:trPr>
          <w:trHeight w:val="227"/>
        </w:trPr>
        <w:tc>
          <w:tcPr>
            <w:tcW w:w="1579" w:type="pct"/>
            <w:tcBorders>
              <w:top w:val="nil"/>
              <w:left w:val="single" w:sz="4" w:space="0" w:color="000000"/>
              <w:bottom w:val="nil"/>
              <w:right w:val="single" w:sz="4" w:space="0" w:color="000000"/>
            </w:tcBorders>
            <w:shd w:val="clear" w:color="auto" w:fill="auto"/>
          </w:tcPr>
          <w:p w14:paraId="2D6AEC0C" w14:textId="77777777" w:rsidR="005027AB" w:rsidRPr="004A019F" w:rsidRDefault="005027AB"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79EE5276" w14:textId="77777777" w:rsidR="005027AB" w:rsidRPr="004A019F" w:rsidRDefault="00264096" w:rsidP="004A019F">
            <w:pPr>
              <w:spacing w:after="0" w:line="240" w:lineRule="auto"/>
              <w:ind w:left="0" w:firstLine="0"/>
              <w:contextualSpacing/>
              <w:rPr>
                <w:lang w:val="sv-SE"/>
              </w:rPr>
            </w:pPr>
            <w:r w:rsidRPr="004A019F">
              <w:rPr>
                <w:lang w:val="sv-SE"/>
              </w:rPr>
              <w:t>Cystit</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46DE6B5C" w14:textId="77777777" w:rsidR="005027AB" w:rsidRPr="004A019F" w:rsidRDefault="00264096" w:rsidP="004A019F">
            <w:pPr>
              <w:spacing w:after="0" w:line="240" w:lineRule="auto"/>
              <w:ind w:left="0" w:firstLine="0"/>
              <w:contextualSpacing/>
              <w:rPr>
                <w:lang w:val="sv-SE"/>
              </w:rPr>
            </w:pPr>
            <w:r w:rsidRPr="004A019F">
              <w:rPr>
                <w:lang w:val="sv-SE"/>
              </w:rPr>
              <w:t>Vanlig</w:t>
            </w:r>
          </w:p>
        </w:tc>
      </w:tr>
      <w:tr w:rsidR="00AD14F8" w:rsidRPr="00A74CC6" w14:paraId="1E55CB40" w14:textId="77777777" w:rsidTr="004A019F">
        <w:trPr>
          <w:trHeight w:val="227"/>
        </w:trPr>
        <w:tc>
          <w:tcPr>
            <w:tcW w:w="1579" w:type="pct"/>
            <w:tcBorders>
              <w:top w:val="nil"/>
              <w:left w:val="single" w:sz="4" w:space="0" w:color="000000"/>
              <w:bottom w:val="nil"/>
              <w:right w:val="single" w:sz="4" w:space="0" w:color="000000"/>
            </w:tcBorders>
            <w:shd w:val="clear" w:color="auto" w:fill="auto"/>
          </w:tcPr>
          <w:p w14:paraId="1C701EBE" w14:textId="77777777" w:rsidR="005027AB" w:rsidRPr="004A019F" w:rsidRDefault="005027AB"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14580D1B" w14:textId="77777777" w:rsidR="005027AB" w:rsidRPr="004A019F" w:rsidRDefault="00264096" w:rsidP="004A019F">
            <w:pPr>
              <w:spacing w:after="0" w:line="240" w:lineRule="auto"/>
              <w:ind w:left="0" w:firstLine="0"/>
              <w:contextualSpacing/>
              <w:rPr>
                <w:lang w:val="sv-SE"/>
              </w:rPr>
            </w:pPr>
            <w:r w:rsidRPr="004A019F">
              <w:rPr>
                <w:lang w:val="sv-SE"/>
              </w:rPr>
              <w:t>Influensa</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10FB937D" w14:textId="77777777" w:rsidR="005027AB" w:rsidRPr="004A019F" w:rsidRDefault="00264096" w:rsidP="004A019F">
            <w:pPr>
              <w:spacing w:after="0" w:line="240" w:lineRule="auto"/>
              <w:ind w:left="0" w:firstLine="0"/>
              <w:contextualSpacing/>
              <w:rPr>
                <w:lang w:val="sv-SE"/>
              </w:rPr>
            </w:pPr>
            <w:r w:rsidRPr="004A019F">
              <w:rPr>
                <w:lang w:val="sv-SE"/>
              </w:rPr>
              <w:t>Vanlig</w:t>
            </w:r>
          </w:p>
        </w:tc>
      </w:tr>
      <w:tr w:rsidR="00AD14F8" w:rsidRPr="00A74CC6" w14:paraId="361ECBA0" w14:textId="77777777" w:rsidTr="004A019F">
        <w:trPr>
          <w:trHeight w:val="227"/>
        </w:trPr>
        <w:tc>
          <w:tcPr>
            <w:tcW w:w="1579" w:type="pct"/>
            <w:tcBorders>
              <w:top w:val="nil"/>
              <w:left w:val="single" w:sz="4" w:space="0" w:color="000000"/>
              <w:bottom w:val="nil"/>
              <w:right w:val="single" w:sz="4" w:space="0" w:color="000000"/>
            </w:tcBorders>
            <w:shd w:val="clear" w:color="auto" w:fill="auto"/>
          </w:tcPr>
          <w:p w14:paraId="5C630980" w14:textId="77777777" w:rsidR="005027AB" w:rsidRPr="004A019F" w:rsidRDefault="005027AB"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5E7056A1" w14:textId="77777777" w:rsidR="005027AB" w:rsidRPr="004A019F" w:rsidRDefault="00264096" w:rsidP="004A019F">
            <w:pPr>
              <w:spacing w:after="0" w:line="240" w:lineRule="auto"/>
              <w:ind w:left="0" w:firstLine="0"/>
              <w:contextualSpacing/>
              <w:rPr>
                <w:lang w:val="sv-SE"/>
              </w:rPr>
            </w:pPr>
            <w:r w:rsidRPr="004A019F">
              <w:rPr>
                <w:lang w:val="sv-SE"/>
              </w:rPr>
              <w:t>Sinuit</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16B8443E" w14:textId="77777777" w:rsidR="005027AB" w:rsidRPr="004A019F" w:rsidRDefault="00264096" w:rsidP="004A019F">
            <w:pPr>
              <w:spacing w:after="0" w:line="240" w:lineRule="auto"/>
              <w:ind w:left="0" w:firstLine="0"/>
              <w:contextualSpacing/>
              <w:rPr>
                <w:lang w:val="sv-SE"/>
              </w:rPr>
            </w:pPr>
            <w:r w:rsidRPr="004A019F">
              <w:rPr>
                <w:lang w:val="sv-SE"/>
              </w:rPr>
              <w:t>Vanlig</w:t>
            </w:r>
          </w:p>
        </w:tc>
      </w:tr>
      <w:tr w:rsidR="00AD14F8" w:rsidRPr="00A74CC6" w14:paraId="43E158E5" w14:textId="77777777" w:rsidTr="004A019F">
        <w:trPr>
          <w:trHeight w:val="227"/>
        </w:trPr>
        <w:tc>
          <w:tcPr>
            <w:tcW w:w="1579" w:type="pct"/>
            <w:tcBorders>
              <w:top w:val="nil"/>
              <w:left w:val="single" w:sz="4" w:space="0" w:color="000000"/>
              <w:bottom w:val="nil"/>
              <w:right w:val="single" w:sz="4" w:space="0" w:color="000000"/>
            </w:tcBorders>
            <w:shd w:val="clear" w:color="auto" w:fill="auto"/>
          </w:tcPr>
          <w:p w14:paraId="56768F71" w14:textId="77777777" w:rsidR="005027AB" w:rsidRPr="004A019F" w:rsidRDefault="005027AB"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1D69C57C" w14:textId="77777777" w:rsidR="005027AB" w:rsidRPr="004A019F" w:rsidRDefault="00264096" w:rsidP="004A019F">
            <w:pPr>
              <w:spacing w:after="0" w:line="240" w:lineRule="auto"/>
              <w:ind w:left="0" w:firstLine="0"/>
              <w:contextualSpacing/>
              <w:rPr>
                <w:lang w:val="sv-SE"/>
              </w:rPr>
            </w:pPr>
            <w:r w:rsidRPr="004A019F">
              <w:rPr>
                <w:lang w:val="sv-SE"/>
              </w:rPr>
              <w:t>Hudinfektion</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7DC9DAF1" w14:textId="77777777" w:rsidR="005027AB" w:rsidRPr="004A019F" w:rsidRDefault="00264096" w:rsidP="004A019F">
            <w:pPr>
              <w:spacing w:after="0" w:line="240" w:lineRule="auto"/>
              <w:ind w:left="0" w:firstLine="0"/>
              <w:contextualSpacing/>
              <w:rPr>
                <w:lang w:val="sv-SE"/>
              </w:rPr>
            </w:pPr>
            <w:r w:rsidRPr="004A019F">
              <w:rPr>
                <w:lang w:val="sv-SE"/>
              </w:rPr>
              <w:t>Vanlig</w:t>
            </w:r>
          </w:p>
        </w:tc>
      </w:tr>
      <w:tr w:rsidR="00AD14F8" w:rsidRPr="00A74CC6" w14:paraId="4EF0057C" w14:textId="77777777" w:rsidTr="004A019F">
        <w:trPr>
          <w:trHeight w:val="227"/>
        </w:trPr>
        <w:tc>
          <w:tcPr>
            <w:tcW w:w="1579" w:type="pct"/>
            <w:tcBorders>
              <w:top w:val="nil"/>
              <w:left w:val="single" w:sz="4" w:space="0" w:color="000000"/>
              <w:bottom w:val="nil"/>
              <w:right w:val="single" w:sz="4" w:space="0" w:color="000000"/>
            </w:tcBorders>
            <w:shd w:val="clear" w:color="auto" w:fill="auto"/>
          </w:tcPr>
          <w:p w14:paraId="371C2115" w14:textId="77777777" w:rsidR="005027AB" w:rsidRPr="004A019F" w:rsidRDefault="005027AB"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4D2DFEF1" w14:textId="77777777" w:rsidR="005027AB" w:rsidRPr="004A019F" w:rsidRDefault="00264096" w:rsidP="004A019F">
            <w:pPr>
              <w:spacing w:after="0" w:line="240" w:lineRule="auto"/>
              <w:ind w:left="0" w:firstLine="0"/>
              <w:contextualSpacing/>
              <w:rPr>
                <w:lang w:val="sv-SE"/>
              </w:rPr>
            </w:pPr>
            <w:r w:rsidRPr="004A019F">
              <w:rPr>
                <w:lang w:val="sv-SE"/>
              </w:rPr>
              <w:t>Rinit</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789A34FF" w14:textId="77777777" w:rsidR="005027AB" w:rsidRPr="004A019F" w:rsidRDefault="00264096" w:rsidP="004A019F">
            <w:pPr>
              <w:spacing w:after="0" w:line="240" w:lineRule="auto"/>
              <w:ind w:left="0" w:firstLine="0"/>
              <w:contextualSpacing/>
              <w:rPr>
                <w:lang w:val="sv-SE"/>
              </w:rPr>
            </w:pPr>
            <w:r w:rsidRPr="004A019F">
              <w:rPr>
                <w:lang w:val="sv-SE"/>
              </w:rPr>
              <w:t>Vanlig</w:t>
            </w:r>
          </w:p>
        </w:tc>
      </w:tr>
      <w:tr w:rsidR="00AD14F8" w:rsidRPr="00A74CC6" w14:paraId="410F9578" w14:textId="77777777" w:rsidTr="004A019F">
        <w:trPr>
          <w:trHeight w:val="264"/>
        </w:trPr>
        <w:tc>
          <w:tcPr>
            <w:tcW w:w="1579" w:type="pct"/>
            <w:tcBorders>
              <w:top w:val="nil"/>
              <w:left w:val="single" w:sz="4" w:space="0" w:color="000000"/>
              <w:bottom w:val="nil"/>
              <w:right w:val="single" w:sz="4" w:space="0" w:color="000000"/>
            </w:tcBorders>
            <w:shd w:val="clear" w:color="auto" w:fill="auto"/>
          </w:tcPr>
          <w:p w14:paraId="690F40C8" w14:textId="77777777" w:rsidR="005027AB" w:rsidRPr="004A019F" w:rsidRDefault="005027AB"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09353797" w14:textId="77777777" w:rsidR="005027AB" w:rsidRPr="004A019F" w:rsidRDefault="00264096" w:rsidP="004A019F">
            <w:pPr>
              <w:spacing w:after="0" w:line="240" w:lineRule="auto"/>
              <w:ind w:left="0" w:firstLine="0"/>
              <w:contextualSpacing/>
              <w:rPr>
                <w:lang w:val="sv-SE"/>
              </w:rPr>
            </w:pPr>
            <w:r w:rsidRPr="004A019F">
              <w:rPr>
                <w:lang w:val="sv-SE"/>
              </w:rPr>
              <w:t xml:space="preserve">Övre luftvägsinfektion </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59A243CA" w14:textId="77777777" w:rsidR="005027AB" w:rsidRPr="004A019F" w:rsidRDefault="00264096" w:rsidP="004A019F">
            <w:pPr>
              <w:spacing w:after="0" w:line="240" w:lineRule="auto"/>
              <w:ind w:left="0" w:firstLine="0"/>
              <w:contextualSpacing/>
              <w:rPr>
                <w:lang w:val="sv-SE"/>
              </w:rPr>
            </w:pPr>
            <w:r w:rsidRPr="004A019F">
              <w:rPr>
                <w:lang w:val="sv-SE"/>
              </w:rPr>
              <w:t>Vanlig</w:t>
            </w:r>
          </w:p>
        </w:tc>
      </w:tr>
      <w:tr w:rsidR="00AD14F8" w:rsidRPr="00A74CC6" w14:paraId="7E23931A" w14:textId="77777777" w:rsidTr="004A019F">
        <w:trPr>
          <w:trHeight w:val="264"/>
        </w:trPr>
        <w:tc>
          <w:tcPr>
            <w:tcW w:w="1579" w:type="pct"/>
            <w:tcBorders>
              <w:top w:val="nil"/>
              <w:left w:val="single" w:sz="4" w:space="0" w:color="000000"/>
              <w:bottom w:val="nil"/>
              <w:right w:val="single" w:sz="4" w:space="0" w:color="000000"/>
            </w:tcBorders>
            <w:shd w:val="clear" w:color="auto" w:fill="auto"/>
          </w:tcPr>
          <w:p w14:paraId="0DE5E474" w14:textId="77777777" w:rsidR="005027AB" w:rsidRPr="004A019F" w:rsidRDefault="005027AB"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4779F109" w14:textId="77777777" w:rsidR="005027AB" w:rsidRPr="004A019F" w:rsidRDefault="00264096" w:rsidP="004A019F">
            <w:pPr>
              <w:spacing w:after="0" w:line="240" w:lineRule="auto"/>
              <w:ind w:left="0" w:firstLine="0"/>
              <w:contextualSpacing/>
              <w:rPr>
                <w:lang w:val="sv-SE"/>
              </w:rPr>
            </w:pPr>
            <w:r w:rsidRPr="004A019F">
              <w:rPr>
                <w:lang w:val="sv-SE"/>
              </w:rPr>
              <w:t xml:space="preserve">Urinvägsinfektion </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2C20B745" w14:textId="77777777" w:rsidR="005027AB" w:rsidRPr="004A019F" w:rsidRDefault="00264096" w:rsidP="004A019F">
            <w:pPr>
              <w:spacing w:after="0" w:line="240" w:lineRule="auto"/>
              <w:ind w:left="0" w:firstLine="0"/>
              <w:contextualSpacing/>
              <w:rPr>
                <w:lang w:val="sv-SE"/>
              </w:rPr>
            </w:pPr>
            <w:r w:rsidRPr="004A019F">
              <w:rPr>
                <w:lang w:val="sv-SE"/>
              </w:rPr>
              <w:t>Vanlig</w:t>
            </w:r>
          </w:p>
        </w:tc>
      </w:tr>
      <w:tr w:rsidR="00AD14F8" w:rsidRPr="00A74CC6" w14:paraId="64FFD0E7" w14:textId="77777777" w:rsidTr="004A019F">
        <w:trPr>
          <w:trHeight w:val="262"/>
        </w:trPr>
        <w:tc>
          <w:tcPr>
            <w:tcW w:w="1579" w:type="pct"/>
            <w:tcBorders>
              <w:top w:val="nil"/>
              <w:left w:val="single" w:sz="4" w:space="0" w:color="000000"/>
              <w:bottom w:val="nil"/>
              <w:right w:val="single" w:sz="4" w:space="0" w:color="000000"/>
            </w:tcBorders>
            <w:shd w:val="clear" w:color="auto" w:fill="auto"/>
          </w:tcPr>
          <w:p w14:paraId="1E961407" w14:textId="77777777" w:rsidR="005027AB" w:rsidRPr="004A019F" w:rsidRDefault="005027AB"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7E8B22E3" w14:textId="77777777" w:rsidR="005027AB" w:rsidRPr="004A019F" w:rsidRDefault="00264096" w:rsidP="004A019F">
            <w:pPr>
              <w:spacing w:after="0" w:line="240" w:lineRule="auto"/>
              <w:ind w:left="0" w:firstLine="0"/>
              <w:contextualSpacing/>
              <w:rPr>
                <w:lang w:val="sv-SE"/>
              </w:rPr>
            </w:pPr>
            <w:r w:rsidRPr="004A019F">
              <w:rPr>
                <w:lang w:val="sv-SE"/>
              </w:rPr>
              <w:t>Faryngit</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3AC65035" w14:textId="77777777" w:rsidR="005027AB" w:rsidRPr="004A019F" w:rsidRDefault="00264096" w:rsidP="004A019F">
            <w:pPr>
              <w:spacing w:after="0" w:line="240" w:lineRule="auto"/>
              <w:ind w:left="0" w:firstLine="0"/>
              <w:contextualSpacing/>
              <w:rPr>
                <w:lang w:val="sv-SE"/>
              </w:rPr>
            </w:pPr>
            <w:r w:rsidRPr="004A019F">
              <w:rPr>
                <w:lang w:val="sv-SE"/>
              </w:rPr>
              <w:t>Vanlig</w:t>
            </w:r>
          </w:p>
        </w:tc>
      </w:tr>
      <w:tr w:rsidR="00CD7CB6" w:rsidRPr="00A74CC6" w14:paraId="75CDBA03" w14:textId="77777777" w:rsidTr="004A019F">
        <w:trPr>
          <w:trHeight w:val="227"/>
        </w:trPr>
        <w:tc>
          <w:tcPr>
            <w:tcW w:w="157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4F1BDEF2" w14:textId="77777777" w:rsidR="005027AB" w:rsidRPr="004A019F" w:rsidRDefault="00264096" w:rsidP="004A019F">
            <w:pPr>
              <w:spacing w:after="0" w:line="240" w:lineRule="auto"/>
              <w:ind w:left="0" w:firstLine="0"/>
              <w:contextualSpacing/>
              <w:rPr>
                <w:lang w:val="sv-SE"/>
              </w:rPr>
            </w:pPr>
            <w:r w:rsidRPr="004A019F">
              <w:rPr>
                <w:lang w:val="sv-SE"/>
              </w:rPr>
              <w:t xml:space="preserve">Neoplasier; benigna, maligna och ospecificerade (samt cystor och polyper) </w:t>
            </w: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7B44D894" w14:textId="77777777" w:rsidR="005027AB" w:rsidRPr="004A019F" w:rsidRDefault="00264096" w:rsidP="004A019F">
            <w:pPr>
              <w:spacing w:after="0" w:line="240" w:lineRule="auto"/>
              <w:ind w:left="0" w:firstLine="0"/>
              <w:contextualSpacing/>
              <w:rPr>
                <w:lang w:val="sv-SE"/>
              </w:rPr>
            </w:pPr>
            <w:r w:rsidRPr="004A019F">
              <w:rPr>
                <w:lang w:val="sv-SE"/>
              </w:rPr>
              <w:t>Malign neoplasmprogression</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1B35B0D6" w14:textId="77777777" w:rsidR="005027AB" w:rsidRPr="004A019F" w:rsidRDefault="00264096" w:rsidP="004A019F">
            <w:pPr>
              <w:spacing w:after="0" w:line="240" w:lineRule="auto"/>
              <w:ind w:left="0" w:firstLine="0"/>
              <w:contextualSpacing/>
              <w:rPr>
                <w:lang w:val="sv-SE"/>
              </w:rPr>
            </w:pPr>
            <w:r w:rsidRPr="004A019F">
              <w:rPr>
                <w:lang w:val="sv-SE"/>
              </w:rPr>
              <w:t>Ingen känd frekvens</w:t>
            </w:r>
          </w:p>
        </w:tc>
      </w:tr>
      <w:tr w:rsidR="00AD14F8" w:rsidRPr="00A74CC6" w14:paraId="18F454B0" w14:textId="77777777" w:rsidTr="004A019F">
        <w:trPr>
          <w:trHeight w:val="506"/>
        </w:trPr>
        <w:tc>
          <w:tcPr>
            <w:tcW w:w="1579" w:type="pct"/>
            <w:vMerge/>
            <w:tcBorders>
              <w:top w:val="nil"/>
              <w:left w:val="single" w:sz="4" w:space="0" w:color="000000"/>
              <w:bottom w:val="single" w:sz="4" w:space="0" w:color="000000"/>
              <w:right w:val="single" w:sz="4" w:space="0" w:color="000000"/>
            </w:tcBorders>
            <w:shd w:val="clear" w:color="auto" w:fill="auto"/>
          </w:tcPr>
          <w:p w14:paraId="7065EEBC" w14:textId="77777777" w:rsidR="005027AB" w:rsidRPr="004A019F" w:rsidRDefault="005027AB"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1184A6FF" w14:textId="77777777" w:rsidR="005027AB" w:rsidRPr="004A019F" w:rsidRDefault="00264096" w:rsidP="004A019F">
            <w:pPr>
              <w:spacing w:after="0" w:line="240" w:lineRule="auto"/>
              <w:ind w:left="0" w:firstLine="0"/>
              <w:contextualSpacing/>
              <w:rPr>
                <w:lang w:val="sv-SE"/>
              </w:rPr>
            </w:pPr>
            <w:r w:rsidRPr="004A019F">
              <w:rPr>
                <w:lang w:val="sv-SE"/>
              </w:rPr>
              <w:t>Neoplasmprogression</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2907527D" w14:textId="77777777" w:rsidR="005027AB" w:rsidRPr="004A019F" w:rsidRDefault="00264096" w:rsidP="004A019F">
            <w:pPr>
              <w:spacing w:after="0" w:line="240" w:lineRule="auto"/>
              <w:ind w:left="0" w:firstLine="0"/>
              <w:contextualSpacing/>
              <w:rPr>
                <w:lang w:val="sv-SE"/>
              </w:rPr>
            </w:pPr>
            <w:r w:rsidRPr="004A019F">
              <w:rPr>
                <w:lang w:val="sv-SE"/>
              </w:rPr>
              <w:t>Ingen känd frekvens</w:t>
            </w:r>
          </w:p>
        </w:tc>
      </w:tr>
      <w:tr w:rsidR="00CD7CB6" w:rsidRPr="00A74CC6" w14:paraId="339232FF" w14:textId="77777777" w:rsidTr="004A019F">
        <w:trPr>
          <w:trHeight w:val="227"/>
        </w:trPr>
        <w:tc>
          <w:tcPr>
            <w:tcW w:w="157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70619E27" w14:textId="77777777" w:rsidR="005027AB" w:rsidRPr="004A019F" w:rsidRDefault="00264096" w:rsidP="004A019F">
            <w:pPr>
              <w:spacing w:after="0" w:line="240" w:lineRule="auto"/>
              <w:ind w:left="0" w:firstLine="0"/>
              <w:contextualSpacing/>
              <w:rPr>
                <w:lang w:val="sv-SE"/>
              </w:rPr>
            </w:pPr>
            <w:r w:rsidRPr="004A019F">
              <w:rPr>
                <w:lang w:val="sv-SE"/>
              </w:rPr>
              <w:t xml:space="preserve">Blodet och lymfsystemet </w:t>
            </w: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6BFD438A" w14:textId="77777777" w:rsidR="005027AB" w:rsidRPr="004A019F" w:rsidRDefault="00264096" w:rsidP="004A019F">
            <w:pPr>
              <w:spacing w:after="0" w:line="240" w:lineRule="auto"/>
              <w:ind w:left="0" w:firstLine="0"/>
              <w:contextualSpacing/>
              <w:rPr>
                <w:lang w:val="sv-SE"/>
              </w:rPr>
            </w:pPr>
            <w:r w:rsidRPr="004A019F">
              <w:rPr>
                <w:lang w:val="sv-SE"/>
              </w:rPr>
              <w:t>Febril neutropeni</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6E14EB42" w14:textId="77777777" w:rsidR="005027AB" w:rsidRPr="004A019F" w:rsidRDefault="00264096" w:rsidP="004A019F">
            <w:pPr>
              <w:spacing w:after="0" w:line="240" w:lineRule="auto"/>
              <w:ind w:left="0" w:firstLine="0"/>
              <w:contextualSpacing/>
              <w:rPr>
                <w:lang w:val="sv-SE"/>
              </w:rPr>
            </w:pPr>
            <w:r w:rsidRPr="004A019F">
              <w:rPr>
                <w:lang w:val="sv-SE"/>
              </w:rPr>
              <w:t xml:space="preserve">Mycket vanlig </w:t>
            </w:r>
          </w:p>
        </w:tc>
      </w:tr>
      <w:tr w:rsidR="00AD14F8" w:rsidRPr="00A74CC6" w14:paraId="4C1B41C0" w14:textId="77777777" w:rsidTr="004A019F">
        <w:trPr>
          <w:trHeight w:val="227"/>
        </w:trPr>
        <w:tc>
          <w:tcPr>
            <w:tcW w:w="1579" w:type="pct"/>
            <w:vMerge/>
            <w:tcBorders>
              <w:top w:val="nil"/>
              <w:left w:val="single" w:sz="4" w:space="0" w:color="000000"/>
              <w:bottom w:val="nil"/>
              <w:right w:val="single" w:sz="4" w:space="0" w:color="000000"/>
            </w:tcBorders>
            <w:shd w:val="clear" w:color="auto" w:fill="auto"/>
          </w:tcPr>
          <w:p w14:paraId="0ABB2965" w14:textId="77777777" w:rsidR="005027AB" w:rsidRPr="004A019F" w:rsidRDefault="005027AB"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492FC97A" w14:textId="77777777" w:rsidR="005027AB" w:rsidRPr="004A019F" w:rsidRDefault="00264096" w:rsidP="004A019F">
            <w:pPr>
              <w:spacing w:after="0" w:line="240" w:lineRule="auto"/>
              <w:ind w:left="0" w:firstLine="0"/>
              <w:contextualSpacing/>
              <w:rPr>
                <w:lang w:val="sv-SE"/>
              </w:rPr>
            </w:pPr>
            <w:r w:rsidRPr="004A019F">
              <w:rPr>
                <w:lang w:val="sv-SE"/>
              </w:rPr>
              <w:t>Anemi</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49513997" w14:textId="77777777" w:rsidR="005027AB" w:rsidRPr="004A019F" w:rsidRDefault="00264096" w:rsidP="004A019F">
            <w:pPr>
              <w:spacing w:after="0" w:line="240" w:lineRule="auto"/>
              <w:ind w:left="0" w:firstLine="0"/>
              <w:contextualSpacing/>
              <w:rPr>
                <w:lang w:val="sv-SE"/>
              </w:rPr>
            </w:pPr>
            <w:r w:rsidRPr="004A019F">
              <w:rPr>
                <w:lang w:val="sv-SE"/>
              </w:rPr>
              <w:t>Mycket vanlig</w:t>
            </w:r>
          </w:p>
        </w:tc>
      </w:tr>
      <w:tr w:rsidR="00AD14F8" w:rsidRPr="00A74CC6" w14:paraId="6F619CF2" w14:textId="77777777" w:rsidTr="004A019F">
        <w:trPr>
          <w:trHeight w:val="227"/>
        </w:trPr>
        <w:tc>
          <w:tcPr>
            <w:tcW w:w="1579" w:type="pct"/>
            <w:vMerge/>
            <w:tcBorders>
              <w:top w:val="nil"/>
              <w:left w:val="single" w:sz="4" w:space="0" w:color="000000"/>
              <w:bottom w:val="nil"/>
              <w:right w:val="single" w:sz="4" w:space="0" w:color="000000"/>
            </w:tcBorders>
            <w:shd w:val="clear" w:color="auto" w:fill="auto"/>
          </w:tcPr>
          <w:p w14:paraId="4CB6522B" w14:textId="77777777" w:rsidR="005027AB" w:rsidRPr="004A019F" w:rsidRDefault="005027AB"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097B1949" w14:textId="77777777" w:rsidR="005027AB" w:rsidRPr="004A019F" w:rsidRDefault="00264096" w:rsidP="004A019F">
            <w:pPr>
              <w:spacing w:after="0" w:line="240" w:lineRule="auto"/>
              <w:ind w:left="0" w:firstLine="0"/>
              <w:contextualSpacing/>
              <w:rPr>
                <w:lang w:val="sv-SE"/>
              </w:rPr>
            </w:pPr>
            <w:r w:rsidRPr="004A019F">
              <w:rPr>
                <w:lang w:val="sv-SE"/>
              </w:rPr>
              <w:t>Neutropeni</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5285BAF1" w14:textId="77777777" w:rsidR="005027AB" w:rsidRPr="004A019F" w:rsidRDefault="00264096" w:rsidP="004A019F">
            <w:pPr>
              <w:spacing w:after="0" w:line="240" w:lineRule="auto"/>
              <w:ind w:left="0" w:firstLine="0"/>
              <w:contextualSpacing/>
              <w:rPr>
                <w:lang w:val="sv-SE"/>
              </w:rPr>
            </w:pPr>
            <w:r w:rsidRPr="004A019F">
              <w:rPr>
                <w:lang w:val="sv-SE"/>
              </w:rPr>
              <w:t>Mycket vanlig</w:t>
            </w:r>
          </w:p>
        </w:tc>
      </w:tr>
      <w:tr w:rsidR="00AD14F8" w:rsidRPr="00A74CC6" w14:paraId="3BFEB28A" w14:textId="77777777" w:rsidTr="004A019F">
        <w:trPr>
          <w:trHeight w:val="227"/>
        </w:trPr>
        <w:tc>
          <w:tcPr>
            <w:tcW w:w="1579" w:type="pct"/>
            <w:vMerge/>
            <w:tcBorders>
              <w:top w:val="nil"/>
              <w:left w:val="single" w:sz="4" w:space="0" w:color="000000"/>
              <w:bottom w:val="nil"/>
              <w:right w:val="single" w:sz="4" w:space="0" w:color="000000"/>
            </w:tcBorders>
            <w:shd w:val="clear" w:color="auto" w:fill="auto"/>
          </w:tcPr>
          <w:p w14:paraId="0ECED140" w14:textId="77777777" w:rsidR="005027AB" w:rsidRPr="004A019F" w:rsidRDefault="005027AB"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2F3E35EE" w14:textId="77777777" w:rsidR="005027AB" w:rsidRPr="004A019F" w:rsidRDefault="00264096" w:rsidP="004A019F">
            <w:pPr>
              <w:spacing w:after="0" w:line="240" w:lineRule="auto"/>
              <w:ind w:left="0" w:firstLine="0"/>
              <w:contextualSpacing/>
              <w:rPr>
                <w:lang w:val="sv-SE"/>
              </w:rPr>
            </w:pPr>
            <w:r w:rsidRPr="004A019F">
              <w:rPr>
                <w:lang w:val="sv-SE"/>
              </w:rPr>
              <w:t>Minskat antal vita blodkroppar/leukopeni</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00A7AF5A" w14:textId="77777777" w:rsidR="005027AB" w:rsidRPr="004A019F" w:rsidRDefault="00264096" w:rsidP="004A019F">
            <w:pPr>
              <w:spacing w:after="0" w:line="240" w:lineRule="auto"/>
              <w:ind w:left="0" w:firstLine="0"/>
              <w:contextualSpacing/>
              <w:rPr>
                <w:lang w:val="sv-SE"/>
              </w:rPr>
            </w:pPr>
            <w:r w:rsidRPr="004A019F">
              <w:rPr>
                <w:lang w:val="sv-SE"/>
              </w:rPr>
              <w:t>Mycket vanlig</w:t>
            </w:r>
          </w:p>
        </w:tc>
      </w:tr>
      <w:tr w:rsidR="00AD14F8" w:rsidRPr="00A74CC6" w14:paraId="5FF2DEF9" w14:textId="77777777" w:rsidTr="004A019F">
        <w:trPr>
          <w:trHeight w:val="227"/>
        </w:trPr>
        <w:tc>
          <w:tcPr>
            <w:tcW w:w="1579" w:type="pct"/>
            <w:vMerge/>
            <w:tcBorders>
              <w:top w:val="nil"/>
              <w:left w:val="single" w:sz="4" w:space="0" w:color="000000"/>
              <w:bottom w:val="nil"/>
              <w:right w:val="single" w:sz="4" w:space="0" w:color="000000"/>
            </w:tcBorders>
            <w:shd w:val="clear" w:color="auto" w:fill="auto"/>
          </w:tcPr>
          <w:p w14:paraId="35141D5E" w14:textId="77777777" w:rsidR="005027AB" w:rsidRPr="004A019F" w:rsidRDefault="005027AB"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5FB77E28" w14:textId="77777777" w:rsidR="005027AB" w:rsidRPr="004A019F" w:rsidRDefault="00264096" w:rsidP="004A019F">
            <w:pPr>
              <w:spacing w:after="0" w:line="240" w:lineRule="auto"/>
              <w:ind w:left="0" w:firstLine="0"/>
              <w:contextualSpacing/>
              <w:rPr>
                <w:lang w:val="sv-SE"/>
              </w:rPr>
            </w:pPr>
            <w:r w:rsidRPr="004A019F">
              <w:rPr>
                <w:lang w:val="sv-SE"/>
              </w:rPr>
              <w:t>Trombocytopeni</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1D6FAAA9" w14:textId="77777777" w:rsidR="005027AB" w:rsidRPr="004A019F" w:rsidRDefault="00264096" w:rsidP="004A019F">
            <w:pPr>
              <w:spacing w:after="0" w:line="240" w:lineRule="auto"/>
              <w:ind w:left="0" w:firstLine="0"/>
              <w:contextualSpacing/>
              <w:rPr>
                <w:lang w:val="sv-SE"/>
              </w:rPr>
            </w:pPr>
            <w:r w:rsidRPr="004A019F">
              <w:rPr>
                <w:lang w:val="sv-SE"/>
              </w:rPr>
              <w:t>Mycket vanlig</w:t>
            </w:r>
          </w:p>
        </w:tc>
      </w:tr>
      <w:tr w:rsidR="00AD14F8" w:rsidRPr="00A74CC6" w14:paraId="3B14339C" w14:textId="77777777" w:rsidTr="004A019F">
        <w:trPr>
          <w:trHeight w:val="227"/>
        </w:trPr>
        <w:tc>
          <w:tcPr>
            <w:tcW w:w="1579" w:type="pct"/>
            <w:vMerge/>
            <w:tcBorders>
              <w:top w:val="nil"/>
              <w:left w:val="single" w:sz="4" w:space="0" w:color="000000"/>
              <w:bottom w:val="nil"/>
              <w:right w:val="single" w:sz="4" w:space="0" w:color="000000"/>
            </w:tcBorders>
            <w:shd w:val="clear" w:color="auto" w:fill="auto"/>
          </w:tcPr>
          <w:p w14:paraId="0360DE89" w14:textId="77777777" w:rsidR="005027AB" w:rsidRPr="004A019F" w:rsidRDefault="005027AB"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3645ECB6" w14:textId="77777777" w:rsidR="005027AB" w:rsidRPr="004A019F" w:rsidRDefault="00264096" w:rsidP="004A019F">
            <w:pPr>
              <w:spacing w:after="0" w:line="240" w:lineRule="auto"/>
              <w:ind w:left="0" w:firstLine="0"/>
              <w:contextualSpacing/>
              <w:rPr>
                <w:lang w:val="sv-SE"/>
              </w:rPr>
            </w:pPr>
            <w:r w:rsidRPr="004A019F">
              <w:rPr>
                <w:lang w:val="sv-SE"/>
              </w:rPr>
              <w:t>Hypoprotrombinemi</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3396CBC6" w14:textId="77777777" w:rsidR="005027AB" w:rsidRPr="004A019F" w:rsidRDefault="00264096" w:rsidP="004A019F">
            <w:pPr>
              <w:spacing w:after="0" w:line="240" w:lineRule="auto"/>
              <w:ind w:left="0" w:firstLine="0"/>
              <w:contextualSpacing/>
              <w:rPr>
                <w:lang w:val="sv-SE"/>
              </w:rPr>
            </w:pPr>
            <w:r w:rsidRPr="004A019F">
              <w:rPr>
                <w:lang w:val="sv-SE"/>
              </w:rPr>
              <w:t>Ingen känd frekvens</w:t>
            </w:r>
          </w:p>
        </w:tc>
      </w:tr>
      <w:tr w:rsidR="00AD14F8" w:rsidRPr="00A74CC6" w14:paraId="08CB0F09" w14:textId="77777777" w:rsidTr="004A019F">
        <w:trPr>
          <w:trHeight w:val="271"/>
        </w:trPr>
        <w:tc>
          <w:tcPr>
            <w:tcW w:w="1579" w:type="pct"/>
            <w:vMerge/>
            <w:tcBorders>
              <w:top w:val="nil"/>
              <w:left w:val="single" w:sz="4" w:space="0" w:color="000000"/>
              <w:bottom w:val="single" w:sz="4" w:space="0" w:color="000000"/>
              <w:right w:val="single" w:sz="4" w:space="0" w:color="000000"/>
            </w:tcBorders>
            <w:shd w:val="clear" w:color="auto" w:fill="auto"/>
          </w:tcPr>
          <w:p w14:paraId="110CC8DB" w14:textId="77777777" w:rsidR="005027AB" w:rsidRPr="004A019F" w:rsidRDefault="005027AB"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32824397" w14:textId="77777777" w:rsidR="005027AB" w:rsidRPr="004A019F" w:rsidRDefault="00264096" w:rsidP="004A019F">
            <w:pPr>
              <w:spacing w:after="0" w:line="240" w:lineRule="auto"/>
              <w:ind w:left="0" w:firstLine="0"/>
              <w:contextualSpacing/>
              <w:rPr>
                <w:lang w:val="sv-SE"/>
              </w:rPr>
            </w:pPr>
            <w:r w:rsidRPr="004A019F">
              <w:rPr>
                <w:lang w:val="sv-SE"/>
              </w:rPr>
              <w:t>Immun trombocytopeni</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4A67BD04" w14:textId="77777777" w:rsidR="005027AB" w:rsidRPr="004A019F" w:rsidRDefault="00264096" w:rsidP="004A019F">
            <w:pPr>
              <w:spacing w:after="0" w:line="240" w:lineRule="auto"/>
              <w:ind w:left="0" w:firstLine="0"/>
              <w:contextualSpacing/>
              <w:rPr>
                <w:lang w:val="sv-SE"/>
              </w:rPr>
            </w:pPr>
            <w:r w:rsidRPr="004A019F">
              <w:rPr>
                <w:lang w:val="sv-SE"/>
              </w:rPr>
              <w:t>Ingen känd frekvens</w:t>
            </w:r>
          </w:p>
        </w:tc>
      </w:tr>
      <w:tr w:rsidR="00CD7CB6" w:rsidRPr="00A74CC6" w14:paraId="2833AC9E" w14:textId="77777777" w:rsidTr="004A019F">
        <w:trPr>
          <w:trHeight w:val="227"/>
        </w:trPr>
        <w:tc>
          <w:tcPr>
            <w:tcW w:w="157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710C71CE" w14:textId="77777777" w:rsidR="005027AB" w:rsidRPr="004A019F" w:rsidRDefault="00264096" w:rsidP="004A019F">
            <w:pPr>
              <w:spacing w:after="0" w:line="240" w:lineRule="auto"/>
              <w:ind w:left="0" w:firstLine="0"/>
              <w:contextualSpacing/>
              <w:rPr>
                <w:lang w:val="sv-SE"/>
              </w:rPr>
            </w:pPr>
            <w:r w:rsidRPr="004A019F">
              <w:rPr>
                <w:lang w:val="sv-SE"/>
              </w:rPr>
              <w:t xml:space="preserve">Immunsystemet </w:t>
            </w: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0576EC1E" w14:textId="77777777" w:rsidR="005027AB" w:rsidRPr="004A019F" w:rsidRDefault="00264096" w:rsidP="004A019F">
            <w:pPr>
              <w:spacing w:after="0" w:line="240" w:lineRule="auto"/>
              <w:ind w:left="0" w:firstLine="0"/>
              <w:contextualSpacing/>
              <w:rPr>
                <w:lang w:val="sv-SE"/>
              </w:rPr>
            </w:pPr>
            <w:r w:rsidRPr="004A019F">
              <w:rPr>
                <w:lang w:val="sv-SE"/>
              </w:rPr>
              <w:t>Överkänslighet</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3E4CED2D" w14:textId="77777777" w:rsidR="005027AB" w:rsidRPr="004A019F" w:rsidRDefault="00264096" w:rsidP="004A019F">
            <w:pPr>
              <w:spacing w:after="0" w:line="240" w:lineRule="auto"/>
              <w:ind w:left="0" w:firstLine="0"/>
              <w:contextualSpacing/>
              <w:rPr>
                <w:lang w:val="sv-SE"/>
              </w:rPr>
            </w:pPr>
            <w:r w:rsidRPr="004A019F">
              <w:rPr>
                <w:lang w:val="sv-SE"/>
              </w:rPr>
              <w:t>Vanlig</w:t>
            </w:r>
          </w:p>
        </w:tc>
      </w:tr>
      <w:tr w:rsidR="00AD14F8" w:rsidRPr="00A74CC6" w14:paraId="687EF573" w14:textId="77777777" w:rsidTr="004A019F">
        <w:trPr>
          <w:trHeight w:val="227"/>
        </w:trPr>
        <w:tc>
          <w:tcPr>
            <w:tcW w:w="1579" w:type="pct"/>
            <w:vMerge/>
            <w:tcBorders>
              <w:top w:val="nil"/>
              <w:left w:val="single" w:sz="4" w:space="0" w:color="000000"/>
              <w:bottom w:val="nil"/>
              <w:right w:val="single" w:sz="4" w:space="0" w:color="000000"/>
            </w:tcBorders>
            <w:shd w:val="clear" w:color="auto" w:fill="auto"/>
          </w:tcPr>
          <w:p w14:paraId="6171F7FF" w14:textId="77777777" w:rsidR="005027AB" w:rsidRPr="004A019F" w:rsidRDefault="005027AB"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6C43E03A" w14:textId="77777777" w:rsidR="005027AB" w:rsidRPr="004A019F" w:rsidRDefault="00264096" w:rsidP="004A019F">
            <w:pPr>
              <w:spacing w:after="0" w:line="240" w:lineRule="auto"/>
              <w:ind w:left="0" w:firstLine="0"/>
              <w:contextualSpacing/>
              <w:rPr>
                <w:lang w:val="sv-SE"/>
              </w:rPr>
            </w:pPr>
            <w:r w:rsidRPr="004A019F">
              <w:rPr>
                <w:vertAlign w:val="superscript"/>
                <w:lang w:val="sv-SE"/>
              </w:rPr>
              <w:t>+</w:t>
            </w:r>
            <w:r w:rsidRPr="004A019F">
              <w:rPr>
                <w:lang w:val="sv-SE"/>
              </w:rPr>
              <w:t>Anafylaktisk reaktion</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02FE152C" w14:textId="6845F757" w:rsidR="005027AB" w:rsidRPr="004A019F" w:rsidRDefault="00485927" w:rsidP="004A019F">
            <w:pPr>
              <w:spacing w:after="0" w:line="240" w:lineRule="auto"/>
              <w:ind w:left="0" w:firstLine="0"/>
              <w:contextualSpacing/>
              <w:rPr>
                <w:lang w:val="sv-SE"/>
              </w:rPr>
            </w:pPr>
            <w:r w:rsidRPr="004A019F">
              <w:rPr>
                <w:lang w:val="sv-SE"/>
              </w:rPr>
              <w:t>Sällsynt</w:t>
            </w:r>
          </w:p>
        </w:tc>
      </w:tr>
      <w:tr w:rsidR="00AD14F8" w:rsidRPr="00A74CC6" w14:paraId="34ACC5C0" w14:textId="77777777" w:rsidTr="004A019F">
        <w:trPr>
          <w:trHeight w:val="227"/>
        </w:trPr>
        <w:tc>
          <w:tcPr>
            <w:tcW w:w="1579" w:type="pct"/>
            <w:vMerge/>
            <w:tcBorders>
              <w:top w:val="nil"/>
              <w:left w:val="single" w:sz="4" w:space="0" w:color="000000"/>
              <w:bottom w:val="single" w:sz="4" w:space="0" w:color="000000"/>
              <w:right w:val="single" w:sz="4" w:space="0" w:color="000000"/>
            </w:tcBorders>
            <w:shd w:val="clear" w:color="auto" w:fill="auto"/>
          </w:tcPr>
          <w:p w14:paraId="699B2D05" w14:textId="77777777" w:rsidR="005027AB" w:rsidRPr="004A019F" w:rsidRDefault="005027AB"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011B0D69" w14:textId="77777777" w:rsidR="005027AB" w:rsidRPr="004A019F" w:rsidRDefault="00F85514" w:rsidP="004A019F">
            <w:pPr>
              <w:spacing w:after="0" w:line="240" w:lineRule="auto"/>
              <w:ind w:left="0" w:firstLine="0"/>
              <w:contextualSpacing/>
              <w:rPr>
                <w:lang w:val="sv-SE"/>
              </w:rPr>
            </w:pPr>
            <w:r w:rsidRPr="004A019F">
              <w:rPr>
                <w:vertAlign w:val="superscript"/>
                <w:lang w:val="sv-SE" w:eastAsia="en-GB"/>
              </w:rPr>
              <w:t>+</w:t>
            </w:r>
            <w:r w:rsidR="00264096" w:rsidRPr="004A019F">
              <w:rPr>
                <w:lang w:val="sv-SE"/>
              </w:rPr>
              <w:t>Anafylaktisk chock</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05DE1A8A" w14:textId="5F2EB512" w:rsidR="005027AB" w:rsidRPr="004A019F" w:rsidRDefault="00485927" w:rsidP="004A019F">
            <w:pPr>
              <w:spacing w:after="0" w:line="240" w:lineRule="auto"/>
              <w:ind w:left="0" w:firstLine="0"/>
              <w:contextualSpacing/>
              <w:rPr>
                <w:lang w:val="sv-SE"/>
              </w:rPr>
            </w:pPr>
            <w:r w:rsidRPr="004A019F">
              <w:rPr>
                <w:lang w:val="sv-SE"/>
              </w:rPr>
              <w:t>Sällsynt</w:t>
            </w:r>
          </w:p>
        </w:tc>
      </w:tr>
      <w:tr w:rsidR="00CD7CB6" w:rsidRPr="00A74CC6" w14:paraId="7F33E01D" w14:textId="77777777" w:rsidTr="004A019F">
        <w:trPr>
          <w:trHeight w:val="227"/>
        </w:trPr>
        <w:tc>
          <w:tcPr>
            <w:tcW w:w="157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632B1CC4" w14:textId="77777777" w:rsidR="005027AB" w:rsidRPr="004A019F" w:rsidRDefault="00264096" w:rsidP="009D0038">
            <w:pPr>
              <w:keepNext/>
              <w:keepLines/>
              <w:spacing w:after="0" w:line="240" w:lineRule="auto"/>
              <w:ind w:left="0" w:firstLine="0"/>
              <w:contextualSpacing/>
              <w:rPr>
                <w:lang w:val="sv-SE"/>
              </w:rPr>
            </w:pPr>
            <w:r w:rsidRPr="004A019F">
              <w:rPr>
                <w:lang w:val="sv-SE"/>
              </w:rPr>
              <w:lastRenderedPageBreak/>
              <w:t xml:space="preserve">Metabolism och nutrition </w:t>
            </w: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07FB66BB" w14:textId="77777777" w:rsidR="005027AB" w:rsidRPr="004A019F" w:rsidRDefault="00264096" w:rsidP="009D0038">
            <w:pPr>
              <w:keepNext/>
              <w:keepLines/>
              <w:spacing w:after="0" w:line="240" w:lineRule="auto"/>
              <w:ind w:left="0" w:firstLine="0"/>
              <w:contextualSpacing/>
              <w:rPr>
                <w:lang w:val="sv-SE"/>
              </w:rPr>
            </w:pPr>
            <w:r w:rsidRPr="004A019F">
              <w:rPr>
                <w:lang w:val="sv-SE"/>
              </w:rPr>
              <w:t>Viktminskning</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52A0D5B8" w14:textId="07736DC3" w:rsidR="005027AB" w:rsidRPr="004A019F" w:rsidRDefault="00264096" w:rsidP="004A019F">
            <w:pPr>
              <w:spacing w:after="0" w:line="240" w:lineRule="auto"/>
              <w:ind w:left="0" w:firstLine="0"/>
              <w:contextualSpacing/>
              <w:rPr>
                <w:lang w:val="sv-SE"/>
              </w:rPr>
            </w:pPr>
            <w:r w:rsidRPr="004A019F">
              <w:rPr>
                <w:lang w:val="sv-SE"/>
              </w:rPr>
              <w:t xml:space="preserve">Mycket </w:t>
            </w:r>
            <w:r w:rsidR="000B7264" w:rsidRPr="004A019F">
              <w:rPr>
                <w:lang w:val="sv-SE"/>
              </w:rPr>
              <w:t>v</w:t>
            </w:r>
            <w:r w:rsidRPr="004A019F">
              <w:rPr>
                <w:lang w:val="sv-SE"/>
              </w:rPr>
              <w:t>anlig</w:t>
            </w:r>
          </w:p>
        </w:tc>
      </w:tr>
      <w:tr w:rsidR="00AD14F8" w:rsidRPr="00A74CC6" w14:paraId="254F9858" w14:textId="77777777" w:rsidTr="004A019F">
        <w:trPr>
          <w:trHeight w:val="227"/>
        </w:trPr>
        <w:tc>
          <w:tcPr>
            <w:tcW w:w="1579" w:type="pct"/>
            <w:vMerge/>
            <w:tcBorders>
              <w:top w:val="nil"/>
              <w:left w:val="single" w:sz="4" w:space="0" w:color="000000"/>
              <w:bottom w:val="nil"/>
              <w:right w:val="single" w:sz="4" w:space="0" w:color="000000"/>
            </w:tcBorders>
            <w:shd w:val="clear" w:color="auto" w:fill="auto"/>
          </w:tcPr>
          <w:p w14:paraId="0429A470" w14:textId="77777777" w:rsidR="005027AB" w:rsidRPr="004A019F" w:rsidRDefault="005027AB" w:rsidP="009D0038">
            <w:pPr>
              <w:keepNext/>
              <w:keepLines/>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4C95FF61" w14:textId="77777777" w:rsidR="005027AB" w:rsidRPr="004A019F" w:rsidRDefault="00264096" w:rsidP="009D0038">
            <w:pPr>
              <w:keepNext/>
              <w:keepLines/>
              <w:spacing w:after="0" w:line="240" w:lineRule="auto"/>
              <w:ind w:left="0" w:firstLine="0"/>
              <w:contextualSpacing/>
              <w:rPr>
                <w:lang w:val="sv-SE"/>
              </w:rPr>
            </w:pPr>
            <w:r w:rsidRPr="004A019F">
              <w:rPr>
                <w:lang w:val="sv-SE"/>
              </w:rPr>
              <w:t>Anorexi</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317309E6" w14:textId="724688AF" w:rsidR="005027AB" w:rsidRPr="004A019F" w:rsidRDefault="00264096" w:rsidP="004A019F">
            <w:pPr>
              <w:spacing w:after="0" w:line="240" w:lineRule="auto"/>
              <w:ind w:left="0" w:firstLine="0"/>
              <w:contextualSpacing/>
              <w:rPr>
                <w:lang w:val="sv-SE"/>
              </w:rPr>
            </w:pPr>
            <w:r w:rsidRPr="004A019F">
              <w:rPr>
                <w:lang w:val="sv-SE"/>
              </w:rPr>
              <w:t xml:space="preserve">Mycket </w:t>
            </w:r>
            <w:r w:rsidR="000B7264" w:rsidRPr="004A019F">
              <w:rPr>
                <w:lang w:val="sv-SE"/>
              </w:rPr>
              <w:t>v</w:t>
            </w:r>
            <w:r w:rsidRPr="004A019F">
              <w:rPr>
                <w:lang w:val="sv-SE"/>
              </w:rPr>
              <w:t>anlig</w:t>
            </w:r>
          </w:p>
        </w:tc>
      </w:tr>
      <w:tr w:rsidR="00AD14F8" w:rsidRPr="00A74CC6" w14:paraId="37DC878D" w14:textId="77777777" w:rsidTr="004A019F">
        <w:trPr>
          <w:trHeight w:val="227"/>
        </w:trPr>
        <w:tc>
          <w:tcPr>
            <w:tcW w:w="1579" w:type="pct"/>
            <w:vMerge/>
            <w:tcBorders>
              <w:top w:val="nil"/>
              <w:left w:val="single" w:sz="4" w:space="0" w:color="000000"/>
              <w:bottom w:val="nil"/>
              <w:right w:val="single" w:sz="4" w:space="0" w:color="000000"/>
            </w:tcBorders>
            <w:shd w:val="clear" w:color="auto" w:fill="auto"/>
          </w:tcPr>
          <w:p w14:paraId="5A8BF2D0" w14:textId="77777777" w:rsidR="00CD60AF" w:rsidRPr="004A019F" w:rsidRDefault="00CD60AF" w:rsidP="009D0038">
            <w:pPr>
              <w:keepNext/>
              <w:keepLines/>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45EEFE9D" w14:textId="2D40CC86" w:rsidR="00CD60AF" w:rsidRPr="004A019F" w:rsidRDefault="00CD60AF" w:rsidP="009D0038">
            <w:pPr>
              <w:keepNext/>
              <w:keepLines/>
              <w:spacing w:after="0" w:line="240" w:lineRule="auto"/>
              <w:ind w:left="0" w:firstLine="0"/>
              <w:contextualSpacing/>
              <w:rPr>
                <w:lang w:val="sv-SE"/>
              </w:rPr>
            </w:pPr>
            <w:proofErr w:type="spellStart"/>
            <w:r w:rsidRPr="004A019F">
              <w:rPr>
                <w:lang w:val="en-GB"/>
              </w:rPr>
              <w:t>Tumörlyssyndrom</w:t>
            </w:r>
            <w:proofErr w:type="spellEnd"/>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7CAA99D5" w14:textId="29F2F265" w:rsidR="00CD60AF" w:rsidRPr="004A019F" w:rsidRDefault="00CD60AF" w:rsidP="004A019F">
            <w:pPr>
              <w:spacing w:after="0" w:line="240" w:lineRule="auto"/>
              <w:ind w:left="0" w:firstLine="0"/>
              <w:contextualSpacing/>
              <w:rPr>
                <w:lang w:val="sv-SE"/>
              </w:rPr>
            </w:pPr>
            <w:r w:rsidRPr="004A019F">
              <w:rPr>
                <w:lang w:val="en-GB"/>
              </w:rPr>
              <w:t xml:space="preserve">Ingen </w:t>
            </w:r>
            <w:proofErr w:type="spellStart"/>
            <w:r w:rsidRPr="004A019F">
              <w:rPr>
                <w:lang w:val="en-GB"/>
              </w:rPr>
              <w:t>känd</w:t>
            </w:r>
            <w:proofErr w:type="spellEnd"/>
            <w:r w:rsidRPr="004A019F">
              <w:rPr>
                <w:lang w:val="en-GB"/>
              </w:rPr>
              <w:t xml:space="preserve"> </w:t>
            </w:r>
            <w:proofErr w:type="spellStart"/>
            <w:r w:rsidRPr="004A019F">
              <w:rPr>
                <w:lang w:val="en-GB"/>
              </w:rPr>
              <w:t>frekvens</w:t>
            </w:r>
            <w:proofErr w:type="spellEnd"/>
          </w:p>
        </w:tc>
      </w:tr>
      <w:tr w:rsidR="00AD14F8" w:rsidRPr="00A74CC6" w14:paraId="3F49799F" w14:textId="77777777" w:rsidTr="004A019F">
        <w:trPr>
          <w:trHeight w:val="227"/>
        </w:trPr>
        <w:tc>
          <w:tcPr>
            <w:tcW w:w="1579" w:type="pct"/>
            <w:vMerge/>
            <w:tcBorders>
              <w:top w:val="nil"/>
              <w:left w:val="single" w:sz="4" w:space="0" w:color="000000"/>
              <w:bottom w:val="single" w:sz="4" w:space="0" w:color="000000"/>
              <w:right w:val="single" w:sz="4" w:space="0" w:color="000000"/>
            </w:tcBorders>
            <w:shd w:val="clear" w:color="auto" w:fill="auto"/>
          </w:tcPr>
          <w:p w14:paraId="79942EFF" w14:textId="77777777" w:rsidR="005027AB" w:rsidRPr="004A019F" w:rsidRDefault="005027AB" w:rsidP="009D0038">
            <w:pPr>
              <w:keepNext/>
              <w:keepLines/>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44DBF455" w14:textId="77777777" w:rsidR="005027AB" w:rsidRPr="004A019F" w:rsidRDefault="00264096" w:rsidP="009D0038">
            <w:pPr>
              <w:keepNext/>
              <w:keepLines/>
              <w:spacing w:after="0" w:line="240" w:lineRule="auto"/>
              <w:ind w:left="0" w:firstLine="0"/>
              <w:contextualSpacing/>
              <w:rPr>
                <w:lang w:val="sv-SE"/>
              </w:rPr>
            </w:pPr>
            <w:r w:rsidRPr="004A019F">
              <w:rPr>
                <w:lang w:val="sv-SE"/>
              </w:rPr>
              <w:t>Hyperkalemi</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453938EB" w14:textId="77777777" w:rsidR="005027AB" w:rsidRPr="004A019F" w:rsidRDefault="00264096" w:rsidP="004A019F">
            <w:pPr>
              <w:spacing w:after="0" w:line="240" w:lineRule="auto"/>
              <w:ind w:left="0" w:firstLine="0"/>
              <w:contextualSpacing/>
              <w:rPr>
                <w:lang w:val="sv-SE"/>
              </w:rPr>
            </w:pPr>
            <w:r w:rsidRPr="004A019F">
              <w:rPr>
                <w:lang w:val="sv-SE"/>
              </w:rPr>
              <w:t>Ingen känd frekvens</w:t>
            </w:r>
          </w:p>
        </w:tc>
      </w:tr>
      <w:tr w:rsidR="00AD14F8" w:rsidRPr="00A74CC6" w14:paraId="51F03718" w14:textId="77777777" w:rsidTr="004A019F">
        <w:trPr>
          <w:trHeight w:val="227"/>
        </w:trPr>
        <w:tc>
          <w:tcPr>
            <w:tcW w:w="1579" w:type="pct"/>
            <w:tcBorders>
              <w:top w:val="single" w:sz="4" w:space="0" w:color="000000"/>
              <w:left w:val="single" w:sz="4" w:space="0" w:color="000000"/>
              <w:right w:val="single" w:sz="4" w:space="0" w:color="000000"/>
            </w:tcBorders>
            <w:shd w:val="clear" w:color="auto" w:fill="auto"/>
          </w:tcPr>
          <w:p w14:paraId="00CB91F9" w14:textId="77777777" w:rsidR="005027AB" w:rsidRPr="004A019F" w:rsidRDefault="00264096" w:rsidP="009D0038">
            <w:pPr>
              <w:keepNext/>
              <w:keepLines/>
              <w:spacing w:after="0" w:line="240" w:lineRule="auto"/>
              <w:ind w:left="0" w:firstLine="0"/>
              <w:contextualSpacing/>
              <w:rPr>
                <w:lang w:val="sv-SE"/>
              </w:rPr>
            </w:pPr>
            <w:r w:rsidRPr="004A019F">
              <w:rPr>
                <w:lang w:val="sv-SE"/>
              </w:rPr>
              <w:t xml:space="preserve">Psykiska störningar </w:t>
            </w: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1CAB9C54" w14:textId="16F6A048" w:rsidR="005027AB" w:rsidRPr="004A019F" w:rsidRDefault="00264096" w:rsidP="009D0038">
            <w:pPr>
              <w:keepNext/>
              <w:keepLines/>
              <w:spacing w:after="0" w:line="240" w:lineRule="auto"/>
              <w:ind w:left="0" w:firstLine="0"/>
              <w:contextualSpacing/>
              <w:rPr>
                <w:lang w:val="sv-SE"/>
              </w:rPr>
            </w:pPr>
            <w:r w:rsidRPr="004A019F">
              <w:rPr>
                <w:lang w:val="sv-SE"/>
              </w:rPr>
              <w:t>Insomni</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7E99160F" w14:textId="77777777" w:rsidR="005027AB" w:rsidRPr="004A019F" w:rsidRDefault="00264096" w:rsidP="004A019F">
            <w:pPr>
              <w:keepNext/>
              <w:spacing w:after="0" w:line="240" w:lineRule="auto"/>
              <w:ind w:left="0" w:firstLine="0"/>
              <w:contextualSpacing/>
              <w:rPr>
                <w:lang w:val="sv-SE"/>
              </w:rPr>
            </w:pPr>
            <w:r w:rsidRPr="004A019F">
              <w:rPr>
                <w:lang w:val="sv-SE"/>
              </w:rPr>
              <w:t>Mycket vanlig</w:t>
            </w:r>
          </w:p>
        </w:tc>
      </w:tr>
      <w:tr w:rsidR="00AD14F8" w:rsidRPr="00A74CC6" w14:paraId="5C51605A" w14:textId="77777777" w:rsidTr="004A019F">
        <w:trPr>
          <w:trHeight w:val="227"/>
        </w:trPr>
        <w:tc>
          <w:tcPr>
            <w:tcW w:w="1579" w:type="pct"/>
            <w:tcBorders>
              <w:top w:val="nil"/>
              <w:left w:val="single" w:sz="4" w:space="0" w:color="000000"/>
              <w:bottom w:val="nil"/>
              <w:right w:val="single" w:sz="4" w:space="0" w:color="000000"/>
            </w:tcBorders>
            <w:shd w:val="clear" w:color="auto" w:fill="auto"/>
          </w:tcPr>
          <w:p w14:paraId="077E7CB2" w14:textId="77777777" w:rsidR="005027AB" w:rsidRPr="004A019F" w:rsidRDefault="005027AB" w:rsidP="004A019F">
            <w:pPr>
              <w:keepNext/>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1A827E80" w14:textId="77777777" w:rsidR="005027AB" w:rsidRPr="004A019F" w:rsidRDefault="00264096" w:rsidP="004A019F">
            <w:pPr>
              <w:keepNext/>
              <w:spacing w:after="0" w:line="240" w:lineRule="auto"/>
              <w:ind w:left="0" w:firstLine="0"/>
              <w:contextualSpacing/>
              <w:rPr>
                <w:lang w:val="sv-SE"/>
              </w:rPr>
            </w:pPr>
            <w:r w:rsidRPr="004A019F">
              <w:rPr>
                <w:lang w:val="sv-SE"/>
              </w:rPr>
              <w:t>Ångest</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1B3BB311" w14:textId="77777777" w:rsidR="005027AB" w:rsidRPr="004A019F" w:rsidRDefault="00264096" w:rsidP="004A019F">
            <w:pPr>
              <w:keepNext/>
              <w:spacing w:after="0" w:line="240" w:lineRule="auto"/>
              <w:ind w:left="0" w:firstLine="0"/>
              <w:contextualSpacing/>
              <w:rPr>
                <w:lang w:val="sv-SE"/>
              </w:rPr>
            </w:pPr>
            <w:r w:rsidRPr="004A019F">
              <w:rPr>
                <w:lang w:val="sv-SE"/>
              </w:rPr>
              <w:t>Vanlig</w:t>
            </w:r>
          </w:p>
        </w:tc>
      </w:tr>
      <w:tr w:rsidR="00AD14F8" w:rsidRPr="00A74CC6" w14:paraId="63FCBD9A" w14:textId="77777777" w:rsidTr="004A019F">
        <w:trPr>
          <w:trHeight w:val="227"/>
        </w:trPr>
        <w:tc>
          <w:tcPr>
            <w:tcW w:w="1579" w:type="pct"/>
            <w:tcBorders>
              <w:top w:val="nil"/>
              <w:left w:val="single" w:sz="4" w:space="0" w:color="000000"/>
              <w:bottom w:val="nil"/>
              <w:right w:val="single" w:sz="4" w:space="0" w:color="000000"/>
            </w:tcBorders>
            <w:shd w:val="clear" w:color="auto" w:fill="auto"/>
          </w:tcPr>
          <w:p w14:paraId="38EA39FB" w14:textId="77777777" w:rsidR="005027AB" w:rsidRPr="004A019F" w:rsidRDefault="005027AB" w:rsidP="004A019F">
            <w:pPr>
              <w:keepNext/>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0CBF317F" w14:textId="77777777" w:rsidR="005027AB" w:rsidRPr="004A019F" w:rsidRDefault="00264096" w:rsidP="004A019F">
            <w:pPr>
              <w:spacing w:after="0" w:line="240" w:lineRule="auto"/>
              <w:ind w:left="0" w:firstLine="0"/>
              <w:contextualSpacing/>
              <w:rPr>
                <w:lang w:val="sv-SE"/>
              </w:rPr>
            </w:pPr>
            <w:r w:rsidRPr="004A019F">
              <w:rPr>
                <w:lang w:val="sv-SE"/>
              </w:rPr>
              <w:t>Depression</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1DDA8A6A" w14:textId="77777777" w:rsidR="005027AB" w:rsidRPr="004A019F" w:rsidRDefault="00264096" w:rsidP="004A019F">
            <w:pPr>
              <w:spacing w:after="0" w:line="240" w:lineRule="auto"/>
              <w:ind w:left="0" w:firstLine="0"/>
              <w:contextualSpacing/>
              <w:rPr>
                <w:lang w:val="sv-SE"/>
              </w:rPr>
            </w:pPr>
            <w:r w:rsidRPr="004A019F">
              <w:rPr>
                <w:lang w:val="sv-SE"/>
              </w:rPr>
              <w:t>Vanlig</w:t>
            </w:r>
          </w:p>
        </w:tc>
      </w:tr>
      <w:tr w:rsidR="00AD14F8" w:rsidRPr="00A74CC6" w14:paraId="1750D6A4" w14:textId="77777777" w:rsidTr="004A019F">
        <w:trPr>
          <w:trHeight w:val="227"/>
        </w:trPr>
        <w:tc>
          <w:tcPr>
            <w:tcW w:w="1579" w:type="pct"/>
            <w:vMerge w:val="restart"/>
            <w:tcBorders>
              <w:top w:val="single" w:sz="4" w:space="0" w:color="auto"/>
              <w:left w:val="single" w:sz="4" w:space="0" w:color="auto"/>
              <w:right w:val="single" w:sz="4" w:space="0" w:color="auto"/>
            </w:tcBorders>
            <w:shd w:val="clear" w:color="auto" w:fill="auto"/>
          </w:tcPr>
          <w:p w14:paraId="44ACF349" w14:textId="77777777" w:rsidR="003A29F3" w:rsidRPr="004A019F" w:rsidRDefault="003A29F3" w:rsidP="004A019F">
            <w:pPr>
              <w:keepNext/>
              <w:spacing w:after="0" w:line="240" w:lineRule="auto"/>
              <w:ind w:left="0" w:firstLine="0"/>
              <w:contextualSpacing/>
              <w:rPr>
                <w:lang w:val="sv-SE"/>
              </w:rPr>
            </w:pPr>
            <w:r w:rsidRPr="004A019F">
              <w:rPr>
                <w:lang w:val="sv-SE"/>
              </w:rPr>
              <w:t xml:space="preserve">Centrala och perifera nervsystemet </w:t>
            </w:r>
          </w:p>
        </w:tc>
        <w:tc>
          <w:tcPr>
            <w:tcW w:w="2103" w:type="pct"/>
            <w:tcBorders>
              <w:top w:val="single" w:sz="4" w:space="0" w:color="000000"/>
              <w:left w:val="single" w:sz="4" w:space="0" w:color="auto"/>
              <w:bottom w:val="single" w:sz="4" w:space="0" w:color="000000"/>
              <w:right w:val="single" w:sz="4" w:space="0" w:color="000000"/>
            </w:tcBorders>
            <w:shd w:val="clear" w:color="auto" w:fill="auto"/>
          </w:tcPr>
          <w:p w14:paraId="39FE0B84" w14:textId="77777777" w:rsidR="003A29F3" w:rsidRPr="004A019F" w:rsidRDefault="003A29F3" w:rsidP="004A019F">
            <w:pPr>
              <w:spacing w:after="0" w:line="240" w:lineRule="auto"/>
              <w:ind w:left="0" w:firstLine="0"/>
              <w:contextualSpacing/>
              <w:rPr>
                <w:lang w:val="sv-SE"/>
              </w:rPr>
            </w:pPr>
            <w:r w:rsidRPr="004A019F">
              <w:rPr>
                <w:vertAlign w:val="superscript"/>
                <w:lang w:val="sv-SE"/>
              </w:rPr>
              <w:t>1</w:t>
            </w:r>
            <w:r w:rsidRPr="004A019F">
              <w:rPr>
                <w:lang w:val="sv-SE"/>
              </w:rPr>
              <w:t>Tremor</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620C922E" w14:textId="77777777" w:rsidR="003A29F3" w:rsidRPr="004A019F" w:rsidRDefault="003A29F3" w:rsidP="004A019F">
            <w:pPr>
              <w:spacing w:after="0" w:line="240" w:lineRule="auto"/>
              <w:ind w:left="0" w:firstLine="0"/>
              <w:contextualSpacing/>
              <w:rPr>
                <w:lang w:val="sv-SE"/>
              </w:rPr>
            </w:pPr>
            <w:r w:rsidRPr="004A019F">
              <w:rPr>
                <w:lang w:val="sv-SE"/>
              </w:rPr>
              <w:t>Mycket vanlig</w:t>
            </w:r>
          </w:p>
        </w:tc>
      </w:tr>
      <w:tr w:rsidR="00AD14F8" w:rsidRPr="00A74CC6" w14:paraId="1836EE2F" w14:textId="77777777" w:rsidTr="004A019F">
        <w:trPr>
          <w:trHeight w:val="227"/>
        </w:trPr>
        <w:tc>
          <w:tcPr>
            <w:tcW w:w="1579" w:type="pct"/>
            <w:vMerge/>
            <w:tcBorders>
              <w:left w:val="single" w:sz="4" w:space="0" w:color="auto"/>
              <w:right w:val="single" w:sz="4" w:space="0" w:color="auto"/>
            </w:tcBorders>
            <w:shd w:val="clear" w:color="auto" w:fill="auto"/>
          </w:tcPr>
          <w:p w14:paraId="13470296" w14:textId="77777777" w:rsidR="003A29F3" w:rsidRPr="004A019F" w:rsidRDefault="003A29F3" w:rsidP="004A019F">
            <w:pPr>
              <w:keepNext/>
              <w:spacing w:after="0" w:line="240" w:lineRule="auto"/>
              <w:ind w:left="0" w:firstLine="0"/>
              <w:contextualSpacing/>
              <w:rPr>
                <w:lang w:val="sv-SE"/>
              </w:rPr>
            </w:pPr>
          </w:p>
        </w:tc>
        <w:tc>
          <w:tcPr>
            <w:tcW w:w="2103" w:type="pct"/>
            <w:tcBorders>
              <w:top w:val="single" w:sz="4" w:space="0" w:color="000000"/>
              <w:left w:val="single" w:sz="4" w:space="0" w:color="auto"/>
              <w:bottom w:val="single" w:sz="4" w:space="0" w:color="000000"/>
              <w:right w:val="single" w:sz="4" w:space="0" w:color="000000"/>
            </w:tcBorders>
            <w:shd w:val="clear" w:color="auto" w:fill="auto"/>
          </w:tcPr>
          <w:p w14:paraId="263AE007" w14:textId="77777777" w:rsidR="003A29F3" w:rsidRPr="004A019F" w:rsidRDefault="003A29F3" w:rsidP="004A019F">
            <w:pPr>
              <w:spacing w:after="0" w:line="240" w:lineRule="auto"/>
              <w:ind w:left="0" w:firstLine="0"/>
              <w:contextualSpacing/>
              <w:rPr>
                <w:lang w:val="sv-SE"/>
              </w:rPr>
            </w:pPr>
            <w:r w:rsidRPr="004A019F">
              <w:rPr>
                <w:lang w:val="sv-SE"/>
              </w:rPr>
              <w:t xml:space="preserve">Yrsel </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3BB1347A" w14:textId="77777777" w:rsidR="003A29F3" w:rsidRPr="004A019F" w:rsidRDefault="003A29F3" w:rsidP="004A019F">
            <w:pPr>
              <w:spacing w:after="0" w:line="240" w:lineRule="auto"/>
              <w:ind w:left="0" w:firstLine="0"/>
              <w:contextualSpacing/>
              <w:rPr>
                <w:lang w:val="sv-SE"/>
              </w:rPr>
            </w:pPr>
            <w:r w:rsidRPr="004A019F">
              <w:rPr>
                <w:lang w:val="sv-SE"/>
              </w:rPr>
              <w:t xml:space="preserve">Mycket vanlig </w:t>
            </w:r>
          </w:p>
        </w:tc>
      </w:tr>
      <w:tr w:rsidR="00AD14F8" w:rsidRPr="00A74CC6" w14:paraId="714D9F17" w14:textId="77777777" w:rsidTr="004A019F">
        <w:trPr>
          <w:trHeight w:val="227"/>
        </w:trPr>
        <w:tc>
          <w:tcPr>
            <w:tcW w:w="1579" w:type="pct"/>
            <w:tcBorders>
              <w:left w:val="single" w:sz="4" w:space="0" w:color="auto"/>
              <w:right w:val="single" w:sz="4" w:space="0" w:color="auto"/>
            </w:tcBorders>
            <w:shd w:val="clear" w:color="auto" w:fill="auto"/>
          </w:tcPr>
          <w:p w14:paraId="0E5C4DF4" w14:textId="77777777" w:rsidR="005027AB" w:rsidRPr="004A019F" w:rsidRDefault="005027AB" w:rsidP="004A019F">
            <w:pPr>
              <w:keepNext/>
              <w:spacing w:after="0" w:line="240" w:lineRule="auto"/>
              <w:ind w:left="0" w:firstLine="0"/>
              <w:contextualSpacing/>
              <w:rPr>
                <w:lang w:val="sv-SE"/>
              </w:rPr>
            </w:pPr>
          </w:p>
        </w:tc>
        <w:tc>
          <w:tcPr>
            <w:tcW w:w="2103" w:type="pct"/>
            <w:tcBorders>
              <w:top w:val="single" w:sz="4" w:space="0" w:color="000000"/>
              <w:left w:val="single" w:sz="4" w:space="0" w:color="auto"/>
              <w:bottom w:val="single" w:sz="4" w:space="0" w:color="000000"/>
              <w:right w:val="single" w:sz="4" w:space="0" w:color="000000"/>
            </w:tcBorders>
            <w:shd w:val="clear" w:color="auto" w:fill="auto"/>
          </w:tcPr>
          <w:p w14:paraId="06274B0F" w14:textId="77777777" w:rsidR="005027AB" w:rsidRPr="004A019F" w:rsidRDefault="00264096" w:rsidP="004A019F">
            <w:pPr>
              <w:spacing w:after="0" w:line="240" w:lineRule="auto"/>
              <w:ind w:left="0" w:firstLine="0"/>
              <w:contextualSpacing/>
              <w:rPr>
                <w:lang w:val="sv-SE"/>
              </w:rPr>
            </w:pPr>
            <w:r w:rsidRPr="004A019F">
              <w:rPr>
                <w:lang w:val="sv-SE"/>
              </w:rPr>
              <w:t>Huvudvärk</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2C772184" w14:textId="77777777" w:rsidR="005027AB" w:rsidRPr="004A019F" w:rsidRDefault="00264096" w:rsidP="004A019F">
            <w:pPr>
              <w:spacing w:after="0" w:line="240" w:lineRule="auto"/>
              <w:ind w:left="0" w:firstLine="0"/>
              <w:contextualSpacing/>
              <w:rPr>
                <w:lang w:val="sv-SE"/>
              </w:rPr>
            </w:pPr>
            <w:r w:rsidRPr="004A019F">
              <w:rPr>
                <w:lang w:val="sv-SE"/>
              </w:rPr>
              <w:t xml:space="preserve">Mycket vanlig </w:t>
            </w:r>
          </w:p>
        </w:tc>
      </w:tr>
      <w:tr w:rsidR="00AD14F8" w:rsidRPr="00A74CC6" w14:paraId="1986D0B0" w14:textId="77777777" w:rsidTr="004A019F">
        <w:trPr>
          <w:trHeight w:val="227"/>
        </w:trPr>
        <w:tc>
          <w:tcPr>
            <w:tcW w:w="1579" w:type="pct"/>
            <w:tcBorders>
              <w:left w:val="single" w:sz="4" w:space="0" w:color="auto"/>
              <w:right w:val="single" w:sz="4" w:space="0" w:color="auto"/>
            </w:tcBorders>
            <w:shd w:val="clear" w:color="auto" w:fill="auto"/>
          </w:tcPr>
          <w:p w14:paraId="49DD22E6" w14:textId="77777777" w:rsidR="005027AB" w:rsidRPr="004A019F" w:rsidRDefault="005027AB" w:rsidP="004A019F">
            <w:pPr>
              <w:keepNext/>
              <w:spacing w:after="0" w:line="240" w:lineRule="auto"/>
              <w:ind w:left="0" w:firstLine="0"/>
              <w:contextualSpacing/>
              <w:rPr>
                <w:lang w:val="sv-SE"/>
              </w:rPr>
            </w:pPr>
          </w:p>
        </w:tc>
        <w:tc>
          <w:tcPr>
            <w:tcW w:w="2103" w:type="pct"/>
            <w:tcBorders>
              <w:top w:val="single" w:sz="4" w:space="0" w:color="000000"/>
              <w:left w:val="single" w:sz="4" w:space="0" w:color="auto"/>
              <w:bottom w:val="single" w:sz="4" w:space="0" w:color="000000"/>
              <w:right w:val="single" w:sz="4" w:space="0" w:color="000000"/>
            </w:tcBorders>
            <w:shd w:val="clear" w:color="auto" w:fill="auto"/>
          </w:tcPr>
          <w:p w14:paraId="4390C0F9" w14:textId="77777777" w:rsidR="005027AB" w:rsidRPr="004A019F" w:rsidRDefault="00264096" w:rsidP="004A019F">
            <w:pPr>
              <w:spacing w:after="0" w:line="240" w:lineRule="auto"/>
              <w:ind w:left="0" w:firstLine="0"/>
              <w:contextualSpacing/>
              <w:rPr>
                <w:lang w:val="sv-SE"/>
              </w:rPr>
            </w:pPr>
            <w:r w:rsidRPr="004A019F">
              <w:rPr>
                <w:lang w:val="sv-SE"/>
              </w:rPr>
              <w:t>Parestesi</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2347EE1F" w14:textId="77777777" w:rsidR="005027AB" w:rsidRPr="004A019F" w:rsidRDefault="00264096" w:rsidP="004A019F">
            <w:pPr>
              <w:spacing w:after="0" w:line="240" w:lineRule="auto"/>
              <w:ind w:left="0" w:firstLine="0"/>
              <w:contextualSpacing/>
              <w:rPr>
                <w:lang w:val="sv-SE"/>
              </w:rPr>
            </w:pPr>
            <w:r w:rsidRPr="004A019F">
              <w:rPr>
                <w:lang w:val="sv-SE"/>
              </w:rPr>
              <w:t>Mycket vanlig</w:t>
            </w:r>
          </w:p>
        </w:tc>
      </w:tr>
      <w:tr w:rsidR="00AD14F8" w:rsidRPr="00A74CC6" w14:paraId="4F070198" w14:textId="77777777" w:rsidTr="004A019F">
        <w:trPr>
          <w:trHeight w:val="227"/>
        </w:trPr>
        <w:tc>
          <w:tcPr>
            <w:tcW w:w="1579" w:type="pct"/>
            <w:tcBorders>
              <w:left w:val="single" w:sz="4" w:space="0" w:color="auto"/>
              <w:right w:val="single" w:sz="4" w:space="0" w:color="auto"/>
            </w:tcBorders>
            <w:shd w:val="clear" w:color="auto" w:fill="auto"/>
          </w:tcPr>
          <w:p w14:paraId="6400B6F8" w14:textId="77777777" w:rsidR="005027AB" w:rsidRPr="004A019F" w:rsidRDefault="005027AB" w:rsidP="004A019F">
            <w:pPr>
              <w:spacing w:after="0" w:line="240" w:lineRule="auto"/>
              <w:ind w:left="0" w:firstLine="0"/>
              <w:contextualSpacing/>
              <w:rPr>
                <w:lang w:val="sv-SE"/>
              </w:rPr>
            </w:pPr>
          </w:p>
        </w:tc>
        <w:tc>
          <w:tcPr>
            <w:tcW w:w="2103" w:type="pct"/>
            <w:tcBorders>
              <w:top w:val="single" w:sz="4" w:space="0" w:color="000000"/>
              <w:left w:val="single" w:sz="4" w:space="0" w:color="auto"/>
              <w:bottom w:val="single" w:sz="4" w:space="0" w:color="000000"/>
              <w:right w:val="single" w:sz="4" w:space="0" w:color="000000"/>
            </w:tcBorders>
            <w:shd w:val="clear" w:color="auto" w:fill="auto"/>
          </w:tcPr>
          <w:p w14:paraId="0A78296E" w14:textId="77777777" w:rsidR="005027AB" w:rsidRPr="004A019F" w:rsidRDefault="00264096" w:rsidP="004A019F">
            <w:pPr>
              <w:spacing w:after="0" w:line="240" w:lineRule="auto"/>
              <w:ind w:left="0" w:firstLine="0"/>
              <w:contextualSpacing/>
              <w:rPr>
                <w:lang w:val="sv-SE"/>
              </w:rPr>
            </w:pPr>
            <w:r w:rsidRPr="004A019F">
              <w:rPr>
                <w:lang w:val="sv-SE"/>
              </w:rPr>
              <w:t>Dysgeusi</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3EDA1290" w14:textId="77777777" w:rsidR="005027AB" w:rsidRPr="004A019F" w:rsidRDefault="00264096" w:rsidP="004A019F">
            <w:pPr>
              <w:spacing w:after="0" w:line="240" w:lineRule="auto"/>
              <w:ind w:left="0" w:firstLine="0"/>
              <w:contextualSpacing/>
              <w:rPr>
                <w:lang w:val="sv-SE"/>
              </w:rPr>
            </w:pPr>
            <w:r w:rsidRPr="004A019F">
              <w:rPr>
                <w:lang w:val="sv-SE"/>
              </w:rPr>
              <w:t>Mycket vanlig</w:t>
            </w:r>
          </w:p>
        </w:tc>
      </w:tr>
      <w:tr w:rsidR="00AD14F8" w:rsidRPr="00A74CC6" w14:paraId="76669807" w14:textId="77777777" w:rsidTr="004A019F">
        <w:trPr>
          <w:trHeight w:val="227"/>
        </w:trPr>
        <w:tc>
          <w:tcPr>
            <w:tcW w:w="1579" w:type="pct"/>
            <w:tcBorders>
              <w:left w:val="single" w:sz="4" w:space="0" w:color="auto"/>
              <w:right w:val="single" w:sz="4" w:space="0" w:color="auto"/>
            </w:tcBorders>
            <w:shd w:val="clear" w:color="auto" w:fill="auto"/>
          </w:tcPr>
          <w:p w14:paraId="5AD4F18B" w14:textId="77777777" w:rsidR="005027AB" w:rsidRPr="004A019F" w:rsidRDefault="005027AB" w:rsidP="004A019F">
            <w:pPr>
              <w:spacing w:after="0" w:line="240" w:lineRule="auto"/>
              <w:ind w:left="0" w:firstLine="0"/>
              <w:contextualSpacing/>
              <w:rPr>
                <w:lang w:val="sv-SE"/>
              </w:rPr>
            </w:pPr>
          </w:p>
        </w:tc>
        <w:tc>
          <w:tcPr>
            <w:tcW w:w="2103" w:type="pct"/>
            <w:tcBorders>
              <w:top w:val="single" w:sz="4" w:space="0" w:color="000000"/>
              <w:left w:val="single" w:sz="4" w:space="0" w:color="auto"/>
              <w:bottom w:val="single" w:sz="4" w:space="0" w:color="000000"/>
              <w:right w:val="single" w:sz="4" w:space="0" w:color="000000"/>
            </w:tcBorders>
            <w:shd w:val="clear" w:color="auto" w:fill="auto"/>
          </w:tcPr>
          <w:p w14:paraId="36434CB8" w14:textId="77777777" w:rsidR="005027AB" w:rsidRPr="004A019F" w:rsidRDefault="00264096" w:rsidP="004A019F">
            <w:pPr>
              <w:spacing w:after="0" w:line="240" w:lineRule="auto"/>
              <w:ind w:left="0" w:firstLine="0"/>
              <w:contextualSpacing/>
              <w:rPr>
                <w:lang w:val="sv-SE"/>
              </w:rPr>
            </w:pPr>
            <w:r w:rsidRPr="004A019F">
              <w:rPr>
                <w:lang w:val="sv-SE"/>
              </w:rPr>
              <w:t>Perifer neuropati</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4EE305E9" w14:textId="77777777" w:rsidR="005027AB" w:rsidRPr="004A019F" w:rsidRDefault="00264096" w:rsidP="004A019F">
            <w:pPr>
              <w:spacing w:after="0" w:line="240" w:lineRule="auto"/>
              <w:ind w:left="0" w:firstLine="0"/>
              <w:contextualSpacing/>
              <w:rPr>
                <w:lang w:val="sv-SE"/>
              </w:rPr>
            </w:pPr>
            <w:r w:rsidRPr="004A019F">
              <w:rPr>
                <w:lang w:val="sv-SE"/>
              </w:rPr>
              <w:t>Vanlig</w:t>
            </w:r>
          </w:p>
        </w:tc>
      </w:tr>
      <w:tr w:rsidR="00AD14F8" w:rsidRPr="00A74CC6" w14:paraId="7F15D779" w14:textId="77777777" w:rsidTr="004A019F">
        <w:trPr>
          <w:trHeight w:val="227"/>
        </w:trPr>
        <w:tc>
          <w:tcPr>
            <w:tcW w:w="1579" w:type="pct"/>
            <w:tcBorders>
              <w:left w:val="single" w:sz="4" w:space="0" w:color="auto"/>
              <w:right w:val="single" w:sz="4" w:space="0" w:color="auto"/>
            </w:tcBorders>
            <w:shd w:val="clear" w:color="auto" w:fill="auto"/>
          </w:tcPr>
          <w:p w14:paraId="58E34352" w14:textId="77777777" w:rsidR="005027AB" w:rsidRPr="004A019F" w:rsidRDefault="005027AB" w:rsidP="004A019F">
            <w:pPr>
              <w:spacing w:after="0" w:line="240" w:lineRule="auto"/>
              <w:ind w:left="0" w:firstLine="0"/>
              <w:contextualSpacing/>
              <w:rPr>
                <w:lang w:val="sv-SE"/>
              </w:rPr>
            </w:pPr>
          </w:p>
        </w:tc>
        <w:tc>
          <w:tcPr>
            <w:tcW w:w="2103" w:type="pct"/>
            <w:tcBorders>
              <w:top w:val="single" w:sz="4" w:space="0" w:color="000000"/>
              <w:left w:val="single" w:sz="4" w:space="0" w:color="auto"/>
              <w:bottom w:val="single" w:sz="4" w:space="0" w:color="000000"/>
              <w:right w:val="single" w:sz="4" w:space="0" w:color="000000"/>
            </w:tcBorders>
            <w:shd w:val="clear" w:color="auto" w:fill="auto"/>
          </w:tcPr>
          <w:p w14:paraId="219A8785" w14:textId="77777777" w:rsidR="005027AB" w:rsidRPr="004A019F" w:rsidRDefault="00264096" w:rsidP="004A019F">
            <w:pPr>
              <w:spacing w:after="0" w:line="240" w:lineRule="auto"/>
              <w:ind w:left="0" w:firstLine="0"/>
              <w:contextualSpacing/>
              <w:rPr>
                <w:lang w:val="sv-SE"/>
              </w:rPr>
            </w:pPr>
            <w:r w:rsidRPr="004A019F">
              <w:rPr>
                <w:lang w:val="sv-SE"/>
              </w:rPr>
              <w:t>Hypertoni</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404DADEB" w14:textId="77777777" w:rsidR="005027AB" w:rsidRPr="004A019F" w:rsidRDefault="00264096" w:rsidP="004A019F">
            <w:pPr>
              <w:spacing w:after="0" w:line="240" w:lineRule="auto"/>
              <w:ind w:left="0" w:firstLine="0"/>
              <w:contextualSpacing/>
              <w:rPr>
                <w:lang w:val="sv-SE"/>
              </w:rPr>
            </w:pPr>
            <w:r w:rsidRPr="004A019F">
              <w:rPr>
                <w:lang w:val="sv-SE"/>
              </w:rPr>
              <w:t>Vanlig</w:t>
            </w:r>
          </w:p>
        </w:tc>
      </w:tr>
      <w:tr w:rsidR="00AD14F8" w:rsidRPr="00A74CC6" w14:paraId="2B21EC89" w14:textId="77777777" w:rsidTr="004A019F">
        <w:trPr>
          <w:trHeight w:val="227"/>
        </w:trPr>
        <w:tc>
          <w:tcPr>
            <w:tcW w:w="1579" w:type="pct"/>
            <w:tcBorders>
              <w:left w:val="single" w:sz="4" w:space="0" w:color="auto"/>
              <w:right w:val="single" w:sz="4" w:space="0" w:color="auto"/>
            </w:tcBorders>
            <w:shd w:val="clear" w:color="auto" w:fill="auto"/>
          </w:tcPr>
          <w:p w14:paraId="03F84BA0" w14:textId="77777777" w:rsidR="005027AB" w:rsidRPr="004A019F" w:rsidRDefault="005027AB" w:rsidP="004A019F">
            <w:pPr>
              <w:spacing w:after="0" w:line="240" w:lineRule="auto"/>
              <w:ind w:left="0" w:firstLine="0"/>
              <w:contextualSpacing/>
              <w:rPr>
                <w:lang w:val="sv-SE"/>
              </w:rPr>
            </w:pPr>
          </w:p>
        </w:tc>
        <w:tc>
          <w:tcPr>
            <w:tcW w:w="2103" w:type="pct"/>
            <w:tcBorders>
              <w:top w:val="single" w:sz="4" w:space="0" w:color="000000"/>
              <w:left w:val="single" w:sz="4" w:space="0" w:color="auto"/>
              <w:bottom w:val="single" w:sz="4" w:space="0" w:color="000000"/>
              <w:right w:val="single" w:sz="4" w:space="0" w:color="000000"/>
            </w:tcBorders>
            <w:shd w:val="clear" w:color="auto" w:fill="auto"/>
          </w:tcPr>
          <w:p w14:paraId="6779E69B" w14:textId="77777777" w:rsidR="005027AB" w:rsidRPr="004A019F" w:rsidRDefault="00264096" w:rsidP="004A019F">
            <w:pPr>
              <w:spacing w:after="0" w:line="240" w:lineRule="auto"/>
              <w:ind w:left="0" w:firstLine="0"/>
              <w:contextualSpacing/>
              <w:rPr>
                <w:lang w:val="sv-SE"/>
              </w:rPr>
            </w:pPr>
            <w:r w:rsidRPr="004A019F">
              <w:rPr>
                <w:lang w:val="sv-SE"/>
              </w:rPr>
              <w:t>Somnolens</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4A90ABF7" w14:textId="77777777" w:rsidR="005027AB" w:rsidRPr="004A019F" w:rsidRDefault="00264096" w:rsidP="004A019F">
            <w:pPr>
              <w:spacing w:after="0" w:line="240" w:lineRule="auto"/>
              <w:ind w:left="0" w:firstLine="0"/>
              <w:contextualSpacing/>
              <w:rPr>
                <w:lang w:val="sv-SE"/>
              </w:rPr>
            </w:pPr>
            <w:r w:rsidRPr="004A019F">
              <w:rPr>
                <w:lang w:val="sv-SE"/>
              </w:rPr>
              <w:t>Vanlig</w:t>
            </w:r>
          </w:p>
        </w:tc>
      </w:tr>
      <w:tr w:rsidR="00AD14F8" w:rsidRPr="00A74CC6" w14:paraId="0F3F3596" w14:textId="77777777" w:rsidTr="004A019F">
        <w:trPr>
          <w:trHeight w:val="226"/>
        </w:trPr>
        <w:tc>
          <w:tcPr>
            <w:tcW w:w="1579" w:type="pct"/>
            <w:vMerge w:val="restart"/>
            <w:tcBorders>
              <w:top w:val="single" w:sz="4" w:space="0" w:color="auto"/>
              <w:left w:val="single" w:sz="4" w:space="0" w:color="000000"/>
              <w:bottom w:val="single" w:sz="4" w:space="0" w:color="000000"/>
              <w:right w:val="single" w:sz="4" w:space="0" w:color="auto"/>
            </w:tcBorders>
            <w:shd w:val="clear" w:color="auto" w:fill="auto"/>
          </w:tcPr>
          <w:p w14:paraId="5EFC361D" w14:textId="77777777" w:rsidR="003747AB" w:rsidRPr="004A019F" w:rsidRDefault="003747AB" w:rsidP="004A019F">
            <w:pPr>
              <w:spacing w:after="0" w:line="240" w:lineRule="auto"/>
              <w:ind w:left="0" w:firstLine="0"/>
              <w:contextualSpacing/>
              <w:rPr>
                <w:lang w:val="sv-SE"/>
              </w:rPr>
            </w:pPr>
            <w:r w:rsidRPr="004A019F">
              <w:rPr>
                <w:lang w:val="sv-SE"/>
              </w:rPr>
              <w:t xml:space="preserve">Ögon </w:t>
            </w:r>
          </w:p>
        </w:tc>
        <w:tc>
          <w:tcPr>
            <w:tcW w:w="2103" w:type="pct"/>
            <w:tcBorders>
              <w:top w:val="single" w:sz="4" w:space="0" w:color="auto"/>
              <w:left w:val="single" w:sz="4" w:space="0" w:color="auto"/>
              <w:bottom w:val="single" w:sz="4" w:space="0" w:color="auto"/>
              <w:right w:val="single" w:sz="4" w:space="0" w:color="auto"/>
            </w:tcBorders>
            <w:shd w:val="clear" w:color="auto" w:fill="auto"/>
          </w:tcPr>
          <w:p w14:paraId="0CB4DE8A" w14:textId="77777777" w:rsidR="003747AB" w:rsidRPr="004A019F" w:rsidRDefault="003747AB" w:rsidP="004A019F">
            <w:pPr>
              <w:spacing w:after="0" w:line="240" w:lineRule="auto"/>
              <w:ind w:left="0"/>
              <w:contextualSpacing/>
              <w:rPr>
                <w:lang w:val="sv-SE"/>
              </w:rPr>
            </w:pPr>
            <w:r w:rsidRPr="004A019F">
              <w:rPr>
                <w:lang w:val="sv-SE"/>
              </w:rPr>
              <w:t>Konjunktivit</w:t>
            </w: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11CA0C1B" w14:textId="77777777" w:rsidR="003747AB" w:rsidRPr="004A019F" w:rsidRDefault="003747AB" w:rsidP="004A019F">
            <w:pPr>
              <w:spacing w:after="0" w:line="240" w:lineRule="auto"/>
              <w:ind w:left="0"/>
              <w:contextualSpacing/>
              <w:rPr>
                <w:lang w:val="sv-SE"/>
              </w:rPr>
            </w:pPr>
            <w:r w:rsidRPr="004A019F">
              <w:rPr>
                <w:lang w:val="sv-SE"/>
              </w:rPr>
              <w:t>Mycket vanlig</w:t>
            </w:r>
          </w:p>
        </w:tc>
      </w:tr>
      <w:tr w:rsidR="00AD14F8" w:rsidRPr="00A74CC6" w14:paraId="72FB3ECF" w14:textId="77777777" w:rsidTr="004A019F">
        <w:trPr>
          <w:trHeight w:val="285"/>
        </w:trPr>
        <w:tc>
          <w:tcPr>
            <w:tcW w:w="1579" w:type="pct"/>
            <w:vMerge/>
            <w:tcBorders>
              <w:top w:val="single" w:sz="4" w:space="0" w:color="000000"/>
              <w:left w:val="single" w:sz="4" w:space="0" w:color="000000"/>
              <w:bottom w:val="single" w:sz="4" w:space="0" w:color="000000"/>
              <w:right w:val="single" w:sz="4" w:space="0" w:color="auto"/>
            </w:tcBorders>
            <w:shd w:val="clear" w:color="auto" w:fill="auto"/>
          </w:tcPr>
          <w:p w14:paraId="06F783CD" w14:textId="77777777" w:rsidR="008C5CA1" w:rsidRPr="004A019F" w:rsidRDefault="008C5CA1" w:rsidP="004A019F">
            <w:pPr>
              <w:keepNext/>
              <w:spacing w:after="0" w:line="240" w:lineRule="auto"/>
              <w:ind w:left="0" w:firstLine="0"/>
              <w:contextualSpacing/>
              <w:rPr>
                <w:lang w:val="sv-SE"/>
              </w:rPr>
            </w:pPr>
          </w:p>
        </w:tc>
        <w:tc>
          <w:tcPr>
            <w:tcW w:w="2103" w:type="pct"/>
            <w:tcBorders>
              <w:top w:val="single" w:sz="4" w:space="0" w:color="auto"/>
              <w:left w:val="single" w:sz="4" w:space="0" w:color="auto"/>
              <w:bottom w:val="single" w:sz="4" w:space="0" w:color="auto"/>
              <w:right w:val="single" w:sz="4" w:space="0" w:color="auto"/>
            </w:tcBorders>
            <w:shd w:val="clear" w:color="auto" w:fill="auto"/>
          </w:tcPr>
          <w:p w14:paraId="60880DD0" w14:textId="77777777" w:rsidR="008C5CA1" w:rsidRPr="004A019F" w:rsidRDefault="008C5CA1" w:rsidP="004A019F">
            <w:pPr>
              <w:keepNext/>
              <w:spacing w:after="0" w:line="240" w:lineRule="auto"/>
              <w:ind w:left="0" w:firstLine="0"/>
              <w:contextualSpacing/>
              <w:rPr>
                <w:lang w:val="sv-SE"/>
              </w:rPr>
            </w:pPr>
            <w:r w:rsidRPr="004A019F">
              <w:rPr>
                <w:lang w:val="sv-SE"/>
              </w:rPr>
              <w:t xml:space="preserve">Ökad lakrimation </w:t>
            </w: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5E86C332" w14:textId="77777777" w:rsidR="008C5CA1" w:rsidRPr="004A019F" w:rsidRDefault="008C5CA1" w:rsidP="004A019F">
            <w:pPr>
              <w:keepNext/>
              <w:keepLines/>
              <w:spacing w:after="0" w:line="240" w:lineRule="auto"/>
              <w:ind w:left="0"/>
              <w:contextualSpacing/>
              <w:rPr>
                <w:lang w:val="sv-SE"/>
              </w:rPr>
            </w:pPr>
            <w:r w:rsidRPr="004A019F">
              <w:rPr>
                <w:lang w:val="sv-SE"/>
              </w:rPr>
              <w:t>Mycket vanlig</w:t>
            </w:r>
          </w:p>
        </w:tc>
      </w:tr>
      <w:tr w:rsidR="00AD14F8" w:rsidRPr="00A74CC6" w14:paraId="6CC70243" w14:textId="77777777" w:rsidTr="004A019F">
        <w:trPr>
          <w:trHeight w:val="225"/>
        </w:trPr>
        <w:tc>
          <w:tcPr>
            <w:tcW w:w="1579" w:type="pct"/>
            <w:vMerge/>
            <w:tcBorders>
              <w:top w:val="single" w:sz="4" w:space="0" w:color="000000"/>
              <w:left w:val="single" w:sz="4" w:space="0" w:color="000000"/>
              <w:bottom w:val="single" w:sz="4" w:space="0" w:color="000000"/>
              <w:right w:val="single" w:sz="4" w:space="0" w:color="auto"/>
            </w:tcBorders>
            <w:shd w:val="clear" w:color="auto" w:fill="auto"/>
          </w:tcPr>
          <w:p w14:paraId="2BA58FC0" w14:textId="77777777" w:rsidR="008C5CA1" w:rsidRPr="004A019F" w:rsidRDefault="008C5CA1" w:rsidP="004A019F">
            <w:pPr>
              <w:keepNext/>
              <w:spacing w:after="0" w:line="240" w:lineRule="auto"/>
              <w:ind w:left="0" w:firstLine="0"/>
              <w:contextualSpacing/>
              <w:rPr>
                <w:lang w:val="sv-SE"/>
              </w:rPr>
            </w:pPr>
          </w:p>
        </w:tc>
        <w:tc>
          <w:tcPr>
            <w:tcW w:w="2103" w:type="pct"/>
            <w:tcBorders>
              <w:top w:val="single" w:sz="4" w:space="0" w:color="auto"/>
              <w:left w:val="single" w:sz="4" w:space="0" w:color="auto"/>
              <w:bottom w:val="single" w:sz="4" w:space="0" w:color="auto"/>
              <w:right w:val="single" w:sz="4" w:space="0" w:color="auto"/>
            </w:tcBorders>
            <w:shd w:val="clear" w:color="auto" w:fill="auto"/>
          </w:tcPr>
          <w:p w14:paraId="098878AB" w14:textId="77777777" w:rsidR="008C5CA1" w:rsidRPr="004A019F" w:rsidRDefault="008C5CA1" w:rsidP="004A019F">
            <w:pPr>
              <w:spacing w:after="0" w:line="240" w:lineRule="auto"/>
              <w:ind w:left="0"/>
              <w:contextualSpacing/>
              <w:rPr>
                <w:lang w:val="sv-SE"/>
              </w:rPr>
            </w:pPr>
            <w:r w:rsidRPr="004A019F">
              <w:rPr>
                <w:lang w:val="sv-SE"/>
              </w:rPr>
              <w:t>Torra ögon</w:t>
            </w:r>
          </w:p>
        </w:tc>
        <w:tc>
          <w:tcPr>
            <w:tcW w:w="1318" w:type="pct"/>
            <w:tcBorders>
              <w:top w:val="single" w:sz="4" w:space="0" w:color="auto"/>
              <w:left w:val="single" w:sz="4" w:space="0" w:color="auto"/>
              <w:right w:val="single" w:sz="4" w:space="0" w:color="auto"/>
            </w:tcBorders>
            <w:shd w:val="clear" w:color="auto" w:fill="auto"/>
          </w:tcPr>
          <w:p w14:paraId="5389E946" w14:textId="77777777" w:rsidR="008C5CA1" w:rsidRPr="004A019F" w:rsidRDefault="008C5CA1" w:rsidP="004A019F">
            <w:pPr>
              <w:keepNext/>
              <w:keepLines/>
              <w:spacing w:after="0" w:line="240" w:lineRule="auto"/>
              <w:ind w:left="0"/>
              <w:contextualSpacing/>
              <w:rPr>
                <w:lang w:val="sv-SE"/>
              </w:rPr>
            </w:pPr>
            <w:r w:rsidRPr="004A019F">
              <w:rPr>
                <w:lang w:val="sv-SE"/>
              </w:rPr>
              <w:t>Vanlig</w:t>
            </w:r>
          </w:p>
        </w:tc>
      </w:tr>
      <w:tr w:rsidR="00AD14F8" w:rsidRPr="00A74CC6" w14:paraId="10382756" w14:textId="77777777" w:rsidTr="004A019F">
        <w:trPr>
          <w:trHeight w:val="264"/>
        </w:trPr>
        <w:tc>
          <w:tcPr>
            <w:tcW w:w="1579" w:type="pct"/>
            <w:vMerge/>
            <w:tcBorders>
              <w:top w:val="single" w:sz="4" w:space="0" w:color="auto"/>
              <w:left w:val="single" w:sz="4" w:space="0" w:color="000000"/>
              <w:bottom w:val="nil"/>
              <w:right w:val="single" w:sz="4" w:space="0" w:color="000000"/>
            </w:tcBorders>
            <w:shd w:val="clear" w:color="auto" w:fill="auto"/>
          </w:tcPr>
          <w:p w14:paraId="29AEAA65" w14:textId="77777777" w:rsidR="003747AB" w:rsidRPr="004A019F" w:rsidRDefault="003747AB" w:rsidP="004A019F">
            <w:pPr>
              <w:spacing w:after="0" w:line="240" w:lineRule="auto"/>
              <w:ind w:left="0" w:firstLine="0"/>
              <w:contextualSpacing/>
              <w:rPr>
                <w:lang w:val="sv-SE"/>
              </w:rPr>
            </w:pPr>
          </w:p>
        </w:tc>
        <w:tc>
          <w:tcPr>
            <w:tcW w:w="2103" w:type="pct"/>
            <w:tcBorders>
              <w:top w:val="single" w:sz="4" w:space="0" w:color="auto"/>
              <w:left w:val="single" w:sz="4" w:space="0" w:color="000000"/>
              <w:bottom w:val="single" w:sz="4" w:space="0" w:color="auto"/>
              <w:right w:val="single" w:sz="4" w:space="0" w:color="000000"/>
            </w:tcBorders>
            <w:shd w:val="clear" w:color="auto" w:fill="auto"/>
          </w:tcPr>
          <w:p w14:paraId="2CCBA774" w14:textId="77777777" w:rsidR="003747AB" w:rsidRPr="004A019F" w:rsidRDefault="008C5CA1" w:rsidP="004A019F">
            <w:pPr>
              <w:spacing w:after="0" w:line="240" w:lineRule="auto"/>
              <w:ind w:left="0" w:firstLine="0"/>
              <w:contextualSpacing/>
              <w:rPr>
                <w:lang w:val="sv-SE"/>
              </w:rPr>
            </w:pPr>
            <w:r w:rsidRPr="004A019F">
              <w:rPr>
                <w:lang w:val="sv-SE"/>
              </w:rPr>
              <w:t>Papillödem</w:t>
            </w:r>
          </w:p>
        </w:tc>
        <w:tc>
          <w:tcPr>
            <w:tcW w:w="1318" w:type="pct"/>
            <w:tcBorders>
              <w:top w:val="single" w:sz="4" w:space="0" w:color="auto"/>
              <w:left w:val="single" w:sz="4" w:space="0" w:color="000000"/>
              <w:bottom w:val="single" w:sz="4" w:space="0" w:color="000000"/>
              <w:right w:val="single" w:sz="4" w:space="0" w:color="000000"/>
            </w:tcBorders>
            <w:shd w:val="clear" w:color="auto" w:fill="auto"/>
          </w:tcPr>
          <w:p w14:paraId="1BE3E0EA" w14:textId="77777777" w:rsidR="003747AB" w:rsidRPr="004A019F" w:rsidRDefault="008C5CA1" w:rsidP="004A019F">
            <w:pPr>
              <w:spacing w:after="0" w:line="240" w:lineRule="auto"/>
              <w:ind w:left="0" w:firstLine="0"/>
              <w:contextualSpacing/>
              <w:rPr>
                <w:lang w:val="sv-SE"/>
              </w:rPr>
            </w:pPr>
            <w:r w:rsidRPr="004A019F">
              <w:rPr>
                <w:lang w:val="sv-SE"/>
              </w:rPr>
              <w:t>Ingen känd frekvens</w:t>
            </w:r>
          </w:p>
        </w:tc>
      </w:tr>
      <w:tr w:rsidR="00AD14F8" w:rsidRPr="00A74CC6" w14:paraId="5E37F3F4" w14:textId="77777777" w:rsidTr="004A019F">
        <w:trPr>
          <w:trHeight w:val="227"/>
        </w:trPr>
        <w:tc>
          <w:tcPr>
            <w:tcW w:w="1579" w:type="pct"/>
            <w:vMerge/>
            <w:tcBorders>
              <w:top w:val="nil"/>
              <w:left w:val="single" w:sz="4" w:space="0" w:color="000000"/>
              <w:bottom w:val="nil"/>
              <w:right w:val="single" w:sz="4" w:space="0" w:color="000000"/>
            </w:tcBorders>
            <w:shd w:val="clear" w:color="auto" w:fill="auto"/>
          </w:tcPr>
          <w:p w14:paraId="5549B5CE" w14:textId="77777777" w:rsidR="00B138DF" w:rsidRPr="004A019F" w:rsidRDefault="00B138DF" w:rsidP="004A019F">
            <w:pPr>
              <w:spacing w:after="0" w:line="240" w:lineRule="auto"/>
              <w:ind w:left="0" w:firstLine="0"/>
              <w:contextualSpacing/>
              <w:rPr>
                <w:lang w:val="sv-SE"/>
              </w:rPr>
            </w:pPr>
          </w:p>
        </w:tc>
        <w:tc>
          <w:tcPr>
            <w:tcW w:w="2103" w:type="pct"/>
            <w:tcBorders>
              <w:top w:val="single" w:sz="4" w:space="0" w:color="auto"/>
              <w:left w:val="single" w:sz="4" w:space="0" w:color="000000"/>
              <w:right w:val="single" w:sz="4" w:space="0" w:color="auto"/>
            </w:tcBorders>
            <w:shd w:val="clear" w:color="auto" w:fill="auto"/>
          </w:tcPr>
          <w:p w14:paraId="07D07615" w14:textId="77777777" w:rsidR="00B138DF" w:rsidRPr="004A019F" w:rsidRDefault="00B138DF" w:rsidP="004A019F">
            <w:pPr>
              <w:spacing w:after="0" w:line="240" w:lineRule="auto"/>
              <w:ind w:left="0"/>
              <w:contextualSpacing/>
              <w:rPr>
                <w:lang w:val="sv-SE"/>
              </w:rPr>
            </w:pPr>
            <w:r w:rsidRPr="004A019F">
              <w:rPr>
                <w:lang w:val="sv-SE"/>
              </w:rPr>
              <w:t>Retinal blödning</w:t>
            </w:r>
          </w:p>
        </w:tc>
        <w:tc>
          <w:tcPr>
            <w:tcW w:w="1318" w:type="pct"/>
            <w:tcBorders>
              <w:top w:val="single" w:sz="4" w:space="0" w:color="auto"/>
              <w:left w:val="single" w:sz="4" w:space="0" w:color="auto"/>
              <w:right w:val="single" w:sz="4" w:space="0" w:color="000000"/>
            </w:tcBorders>
            <w:shd w:val="clear" w:color="auto" w:fill="auto"/>
          </w:tcPr>
          <w:p w14:paraId="634EB9BA" w14:textId="77777777" w:rsidR="00B138DF" w:rsidRPr="004A019F" w:rsidRDefault="00B138DF" w:rsidP="004A019F">
            <w:pPr>
              <w:spacing w:after="0" w:line="259" w:lineRule="auto"/>
              <w:ind w:left="0" w:firstLine="0"/>
              <w:rPr>
                <w:lang w:val="sv-SE"/>
              </w:rPr>
            </w:pPr>
            <w:r w:rsidRPr="004A019F">
              <w:rPr>
                <w:lang w:val="sv-SE"/>
              </w:rPr>
              <w:t>Ingen känd frekvens</w:t>
            </w:r>
          </w:p>
        </w:tc>
      </w:tr>
      <w:tr w:rsidR="00CD7CB6" w:rsidRPr="00A74CC6" w14:paraId="510872BA" w14:textId="77777777" w:rsidTr="004A019F">
        <w:trPr>
          <w:trHeight w:val="264"/>
        </w:trPr>
        <w:tc>
          <w:tcPr>
            <w:tcW w:w="1579" w:type="pct"/>
            <w:tcBorders>
              <w:top w:val="single" w:sz="4" w:space="0" w:color="000000"/>
              <w:left w:val="single" w:sz="4" w:space="0" w:color="000000"/>
              <w:bottom w:val="single" w:sz="4" w:space="0" w:color="000000"/>
              <w:right w:val="single" w:sz="4" w:space="0" w:color="000000"/>
            </w:tcBorders>
            <w:shd w:val="clear" w:color="auto" w:fill="auto"/>
          </w:tcPr>
          <w:p w14:paraId="2396BA40" w14:textId="77777777" w:rsidR="005027AB" w:rsidRPr="004A019F" w:rsidRDefault="00264096" w:rsidP="004A019F">
            <w:pPr>
              <w:spacing w:after="0" w:line="240" w:lineRule="auto"/>
              <w:ind w:left="0" w:firstLine="0"/>
              <w:contextualSpacing/>
              <w:rPr>
                <w:lang w:val="sv-SE"/>
              </w:rPr>
            </w:pPr>
            <w:r w:rsidRPr="004A019F">
              <w:rPr>
                <w:lang w:val="sv-SE"/>
              </w:rPr>
              <w:t xml:space="preserve">Öron och balansorgan </w:t>
            </w: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6873DE39" w14:textId="77777777" w:rsidR="005027AB" w:rsidRPr="004A019F" w:rsidRDefault="00264096" w:rsidP="004A019F">
            <w:pPr>
              <w:spacing w:after="0" w:line="240" w:lineRule="auto"/>
              <w:ind w:left="0" w:firstLine="0"/>
              <w:contextualSpacing/>
              <w:rPr>
                <w:lang w:val="sv-SE"/>
              </w:rPr>
            </w:pPr>
            <w:r w:rsidRPr="004A019F">
              <w:rPr>
                <w:lang w:val="sv-SE"/>
              </w:rPr>
              <w:t>Dövhet</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40211AA8" w14:textId="77777777" w:rsidR="005027AB" w:rsidRPr="004A019F" w:rsidRDefault="00264096" w:rsidP="004A019F">
            <w:pPr>
              <w:spacing w:after="0" w:line="240" w:lineRule="auto"/>
              <w:ind w:left="0" w:firstLine="0"/>
              <w:contextualSpacing/>
              <w:rPr>
                <w:lang w:val="sv-SE"/>
              </w:rPr>
            </w:pPr>
            <w:r w:rsidRPr="004A019F">
              <w:rPr>
                <w:lang w:val="sv-SE"/>
              </w:rPr>
              <w:t>Mindre vanlig</w:t>
            </w:r>
          </w:p>
        </w:tc>
      </w:tr>
      <w:tr w:rsidR="00AD14F8" w:rsidRPr="00A74CC6" w14:paraId="04BBB9A7" w14:textId="77777777" w:rsidTr="004A019F">
        <w:trPr>
          <w:trHeight w:val="271"/>
        </w:trPr>
        <w:tc>
          <w:tcPr>
            <w:tcW w:w="1579" w:type="pct"/>
            <w:tcBorders>
              <w:top w:val="single" w:sz="4" w:space="0" w:color="000000"/>
              <w:left w:val="single" w:sz="4" w:space="0" w:color="000000"/>
              <w:right w:val="single" w:sz="4" w:space="0" w:color="000000"/>
            </w:tcBorders>
            <w:shd w:val="clear" w:color="auto" w:fill="auto"/>
          </w:tcPr>
          <w:p w14:paraId="4C261F4A" w14:textId="77777777" w:rsidR="005027AB" w:rsidRPr="004A019F" w:rsidRDefault="00264096" w:rsidP="004A019F">
            <w:pPr>
              <w:spacing w:after="0" w:line="240" w:lineRule="auto"/>
              <w:ind w:left="0" w:firstLine="0"/>
              <w:contextualSpacing/>
              <w:rPr>
                <w:lang w:val="sv-SE"/>
              </w:rPr>
            </w:pPr>
            <w:r w:rsidRPr="004A019F">
              <w:rPr>
                <w:lang w:val="sv-SE"/>
              </w:rPr>
              <w:t xml:space="preserve">Hjärtat </w:t>
            </w: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6D8B2BED" w14:textId="77777777" w:rsidR="005027AB" w:rsidRPr="004A019F" w:rsidRDefault="005669CC" w:rsidP="004A019F">
            <w:pPr>
              <w:spacing w:after="0" w:line="240" w:lineRule="auto"/>
              <w:ind w:left="0" w:firstLine="0"/>
              <w:contextualSpacing/>
              <w:rPr>
                <w:lang w:val="sv-SE"/>
              </w:rPr>
            </w:pPr>
            <w:r w:rsidRPr="004A019F">
              <w:rPr>
                <w:vertAlign w:val="superscript"/>
                <w:lang w:val="sv-SE"/>
              </w:rPr>
              <w:t>1</w:t>
            </w:r>
            <w:r w:rsidR="00264096" w:rsidRPr="004A019F">
              <w:rPr>
                <w:lang w:val="sv-SE"/>
              </w:rPr>
              <w:t>Sänkt blodtryck</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0F211F55" w14:textId="77777777" w:rsidR="005027AB" w:rsidRPr="004A019F" w:rsidRDefault="00264096" w:rsidP="004A019F">
            <w:pPr>
              <w:spacing w:after="0" w:line="240" w:lineRule="auto"/>
              <w:ind w:left="0" w:firstLine="0"/>
              <w:contextualSpacing/>
              <w:rPr>
                <w:lang w:val="sv-SE"/>
              </w:rPr>
            </w:pPr>
            <w:r w:rsidRPr="004A019F">
              <w:rPr>
                <w:lang w:val="sv-SE"/>
              </w:rPr>
              <w:t>Mycket vanlig</w:t>
            </w:r>
          </w:p>
        </w:tc>
      </w:tr>
      <w:tr w:rsidR="00AD14F8" w:rsidRPr="00A74CC6" w14:paraId="506203FC" w14:textId="77777777" w:rsidTr="004A019F">
        <w:trPr>
          <w:trHeight w:val="269"/>
        </w:trPr>
        <w:tc>
          <w:tcPr>
            <w:tcW w:w="1579" w:type="pct"/>
            <w:tcBorders>
              <w:left w:val="single" w:sz="4" w:space="0" w:color="000000"/>
              <w:bottom w:val="nil"/>
              <w:right w:val="single" w:sz="4" w:space="0" w:color="000000"/>
            </w:tcBorders>
            <w:shd w:val="clear" w:color="auto" w:fill="auto"/>
          </w:tcPr>
          <w:p w14:paraId="30CDF0DE" w14:textId="77777777" w:rsidR="005027AB" w:rsidRPr="004A019F" w:rsidRDefault="005027AB"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679E4D23" w14:textId="77777777" w:rsidR="005027AB" w:rsidRPr="004A019F" w:rsidRDefault="005669CC" w:rsidP="004A019F">
            <w:pPr>
              <w:spacing w:after="0" w:line="240" w:lineRule="auto"/>
              <w:ind w:left="0" w:firstLine="0"/>
              <w:contextualSpacing/>
              <w:rPr>
                <w:lang w:val="sv-SE"/>
              </w:rPr>
            </w:pPr>
            <w:r w:rsidRPr="004A019F">
              <w:rPr>
                <w:vertAlign w:val="superscript"/>
                <w:lang w:val="sv-SE"/>
              </w:rPr>
              <w:t>1</w:t>
            </w:r>
            <w:r w:rsidR="00264096" w:rsidRPr="004A019F">
              <w:rPr>
                <w:lang w:val="sv-SE"/>
              </w:rPr>
              <w:t>Förhöjt blodtryck</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3F022569" w14:textId="77777777" w:rsidR="005027AB" w:rsidRPr="004A019F" w:rsidRDefault="00264096" w:rsidP="004A019F">
            <w:pPr>
              <w:spacing w:after="0" w:line="240" w:lineRule="auto"/>
              <w:ind w:left="0" w:firstLine="0"/>
              <w:contextualSpacing/>
              <w:rPr>
                <w:lang w:val="sv-SE"/>
              </w:rPr>
            </w:pPr>
            <w:r w:rsidRPr="004A019F">
              <w:rPr>
                <w:lang w:val="sv-SE"/>
              </w:rPr>
              <w:t>Mycket vanlig</w:t>
            </w:r>
          </w:p>
        </w:tc>
      </w:tr>
      <w:tr w:rsidR="00AD14F8" w:rsidRPr="00A74CC6" w14:paraId="2589BFAD" w14:textId="77777777" w:rsidTr="004A019F">
        <w:trPr>
          <w:trHeight w:val="271"/>
        </w:trPr>
        <w:tc>
          <w:tcPr>
            <w:tcW w:w="1579" w:type="pct"/>
            <w:tcBorders>
              <w:top w:val="nil"/>
              <w:left w:val="single" w:sz="4" w:space="0" w:color="000000"/>
              <w:bottom w:val="nil"/>
              <w:right w:val="single" w:sz="4" w:space="0" w:color="000000"/>
            </w:tcBorders>
            <w:shd w:val="clear" w:color="auto" w:fill="auto"/>
          </w:tcPr>
          <w:p w14:paraId="5B3FC864" w14:textId="77777777" w:rsidR="005027AB" w:rsidRPr="004A019F" w:rsidRDefault="005027AB"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38F7891C" w14:textId="77777777" w:rsidR="005027AB" w:rsidRPr="004A019F" w:rsidRDefault="005669CC" w:rsidP="004A019F">
            <w:pPr>
              <w:spacing w:after="0" w:line="240" w:lineRule="auto"/>
              <w:ind w:left="0" w:firstLine="0"/>
              <w:contextualSpacing/>
              <w:rPr>
                <w:lang w:val="sv-SE"/>
              </w:rPr>
            </w:pPr>
            <w:r w:rsidRPr="004A019F">
              <w:rPr>
                <w:vertAlign w:val="superscript"/>
                <w:lang w:val="sv-SE"/>
              </w:rPr>
              <w:t>1</w:t>
            </w:r>
            <w:r w:rsidR="00264096" w:rsidRPr="004A019F">
              <w:rPr>
                <w:lang w:val="sv-SE"/>
              </w:rPr>
              <w:t>Oregelbunden hjärtrytm</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0B53B66A" w14:textId="77777777" w:rsidR="005027AB" w:rsidRPr="004A019F" w:rsidRDefault="00264096" w:rsidP="004A019F">
            <w:pPr>
              <w:spacing w:after="0" w:line="240" w:lineRule="auto"/>
              <w:ind w:left="0" w:firstLine="0"/>
              <w:contextualSpacing/>
              <w:rPr>
                <w:lang w:val="sv-SE"/>
              </w:rPr>
            </w:pPr>
            <w:r w:rsidRPr="004A019F">
              <w:rPr>
                <w:lang w:val="sv-SE"/>
              </w:rPr>
              <w:t>Mycket vanlig</w:t>
            </w:r>
          </w:p>
        </w:tc>
      </w:tr>
      <w:tr w:rsidR="00AD14F8" w:rsidRPr="00A74CC6" w14:paraId="28B99E5F" w14:textId="77777777" w:rsidTr="004A019F">
        <w:trPr>
          <w:trHeight w:val="269"/>
        </w:trPr>
        <w:tc>
          <w:tcPr>
            <w:tcW w:w="1579" w:type="pct"/>
            <w:tcBorders>
              <w:top w:val="nil"/>
              <w:left w:val="single" w:sz="4" w:space="0" w:color="000000"/>
              <w:bottom w:val="nil"/>
              <w:right w:val="single" w:sz="4" w:space="0" w:color="000000"/>
            </w:tcBorders>
            <w:shd w:val="clear" w:color="auto" w:fill="auto"/>
            <w:vAlign w:val="center"/>
          </w:tcPr>
          <w:p w14:paraId="2D9D6AB5" w14:textId="77777777" w:rsidR="005027AB" w:rsidRPr="004A019F" w:rsidRDefault="005027AB"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0B1373F4" w14:textId="77777777" w:rsidR="005027AB" w:rsidRPr="004A019F" w:rsidRDefault="005669CC" w:rsidP="004A019F">
            <w:pPr>
              <w:spacing w:after="0" w:line="240" w:lineRule="auto"/>
              <w:ind w:left="0" w:firstLine="0"/>
              <w:contextualSpacing/>
              <w:rPr>
                <w:lang w:val="sv-SE"/>
              </w:rPr>
            </w:pPr>
            <w:r w:rsidRPr="004A019F">
              <w:rPr>
                <w:vertAlign w:val="superscript"/>
                <w:lang w:val="sv-SE"/>
              </w:rPr>
              <w:t>1</w:t>
            </w:r>
            <w:r w:rsidR="00264096" w:rsidRPr="004A019F">
              <w:rPr>
                <w:lang w:val="sv-SE"/>
              </w:rPr>
              <w:t>Hjärtfladder</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04541516" w14:textId="77777777" w:rsidR="005027AB" w:rsidRPr="004A019F" w:rsidRDefault="00264096" w:rsidP="004A019F">
            <w:pPr>
              <w:spacing w:after="0" w:line="240" w:lineRule="auto"/>
              <w:ind w:left="0" w:firstLine="0"/>
              <w:contextualSpacing/>
              <w:rPr>
                <w:lang w:val="sv-SE"/>
              </w:rPr>
            </w:pPr>
            <w:r w:rsidRPr="004A019F">
              <w:rPr>
                <w:lang w:val="sv-SE"/>
              </w:rPr>
              <w:t>Mycket vanlig</w:t>
            </w:r>
          </w:p>
        </w:tc>
      </w:tr>
      <w:tr w:rsidR="00AD14F8" w:rsidRPr="00A74CC6" w14:paraId="60DBEA34" w14:textId="77777777" w:rsidTr="004A019F">
        <w:trPr>
          <w:trHeight w:val="269"/>
        </w:trPr>
        <w:tc>
          <w:tcPr>
            <w:tcW w:w="1579" w:type="pct"/>
            <w:tcBorders>
              <w:top w:val="nil"/>
              <w:left w:val="single" w:sz="4" w:space="0" w:color="000000"/>
              <w:bottom w:val="nil"/>
              <w:right w:val="single" w:sz="4" w:space="0" w:color="000000"/>
            </w:tcBorders>
            <w:shd w:val="clear" w:color="auto" w:fill="auto"/>
          </w:tcPr>
          <w:p w14:paraId="73FD70E2" w14:textId="77777777" w:rsidR="005027AB" w:rsidRPr="004A019F" w:rsidRDefault="005027AB"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5CE08E27" w14:textId="77777777" w:rsidR="005027AB" w:rsidRPr="004A019F" w:rsidRDefault="00264096" w:rsidP="004A019F">
            <w:pPr>
              <w:spacing w:after="0" w:line="240" w:lineRule="auto"/>
              <w:ind w:left="0" w:firstLine="0"/>
              <w:contextualSpacing/>
              <w:rPr>
                <w:lang w:val="sv-SE"/>
              </w:rPr>
            </w:pPr>
            <w:r w:rsidRPr="004A019F">
              <w:rPr>
                <w:lang w:val="sv-SE"/>
              </w:rPr>
              <w:t>Minskad ejektionsfraktion*</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2DBA5858" w14:textId="77777777" w:rsidR="005027AB" w:rsidRPr="004A019F" w:rsidRDefault="00264096" w:rsidP="004A019F">
            <w:pPr>
              <w:spacing w:after="0" w:line="240" w:lineRule="auto"/>
              <w:ind w:left="0" w:firstLine="0"/>
              <w:contextualSpacing/>
              <w:rPr>
                <w:lang w:val="sv-SE"/>
              </w:rPr>
            </w:pPr>
            <w:r w:rsidRPr="004A019F">
              <w:rPr>
                <w:lang w:val="sv-SE"/>
              </w:rPr>
              <w:t>Mycket vanlig</w:t>
            </w:r>
          </w:p>
        </w:tc>
      </w:tr>
      <w:tr w:rsidR="00AD14F8" w:rsidRPr="00A74CC6" w14:paraId="1A28D034" w14:textId="77777777" w:rsidTr="004A019F">
        <w:trPr>
          <w:trHeight w:val="264"/>
        </w:trPr>
        <w:tc>
          <w:tcPr>
            <w:tcW w:w="1579" w:type="pct"/>
            <w:tcBorders>
              <w:top w:val="nil"/>
              <w:left w:val="single" w:sz="4" w:space="0" w:color="000000"/>
              <w:bottom w:val="nil"/>
              <w:right w:val="single" w:sz="4" w:space="0" w:color="000000"/>
            </w:tcBorders>
            <w:shd w:val="clear" w:color="auto" w:fill="auto"/>
          </w:tcPr>
          <w:p w14:paraId="6FB4BC9B" w14:textId="77777777" w:rsidR="005027AB" w:rsidRPr="004A019F" w:rsidRDefault="005027AB"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03B47FD9" w14:textId="77777777" w:rsidR="005027AB" w:rsidRPr="004A019F" w:rsidRDefault="005669CC" w:rsidP="004A019F">
            <w:pPr>
              <w:spacing w:after="0" w:line="240" w:lineRule="auto"/>
              <w:ind w:left="0" w:firstLine="0"/>
              <w:contextualSpacing/>
              <w:rPr>
                <w:lang w:val="sv-SE"/>
              </w:rPr>
            </w:pPr>
            <w:r w:rsidRPr="004A019F">
              <w:rPr>
                <w:vertAlign w:val="superscript"/>
                <w:lang w:val="sv-SE"/>
              </w:rPr>
              <w:t>+</w:t>
            </w:r>
            <w:r w:rsidR="00264096" w:rsidRPr="004A019F">
              <w:rPr>
                <w:lang w:val="sv-SE"/>
              </w:rPr>
              <w:t>Kronisk hjärtsvikt</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3E994CEC" w14:textId="77777777" w:rsidR="005027AB" w:rsidRPr="004A019F" w:rsidRDefault="00264096" w:rsidP="004A019F">
            <w:pPr>
              <w:spacing w:after="0" w:line="240" w:lineRule="auto"/>
              <w:ind w:left="0" w:firstLine="0"/>
              <w:contextualSpacing/>
              <w:rPr>
                <w:lang w:val="sv-SE"/>
              </w:rPr>
            </w:pPr>
            <w:r w:rsidRPr="004A019F">
              <w:rPr>
                <w:lang w:val="sv-SE"/>
              </w:rPr>
              <w:t xml:space="preserve">Vanlig </w:t>
            </w:r>
          </w:p>
        </w:tc>
      </w:tr>
      <w:tr w:rsidR="00AD14F8" w:rsidRPr="00A74CC6" w14:paraId="4263531B" w14:textId="77777777" w:rsidTr="004A019F">
        <w:trPr>
          <w:trHeight w:val="264"/>
        </w:trPr>
        <w:tc>
          <w:tcPr>
            <w:tcW w:w="1579" w:type="pct"/>
            <w:tcBorders>
              <w:top w:val="nil"/>
              <w:left w:val="single" w:sz="4" w:space="0" w:color="000000"/>
              <w:bottom w:val="nil"/>
              <w:right w:val="single" w:sz="4" w:space="0" w:color="000000"/>
            </w:tcBorders>
            <w:shd w:val="clear" w:color="auto" w:fill="auto"/>
          </w:tcPr>
          <w:p w14:paraId="2AC825E5" w14:textId="77777777" w:rsidR="005027AB" w:rsidRPr="004A019F" w:rsidRDefault="005027AB"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5B629536" w14:textId="77777777" w:rsidR="005027AB" w:rsidRPr="004A019F" w:rsidRDefault="005669CC" w:rsidP="004A019F">
            <w:pPr>
              <w:spacing w:after="0" w:line="240" w:lineRule="auto"/>
              <w:ind w:left="0" w:firstLine="0"/>
              <w:contextualSpacing/>
              <w:rPr>
                <w:lang w:val="sv-SE"/>
              </w:rPr>
            </w:pPr>
            <w:r w:rsidRPr="004A019F">
              <w:rPr>
                <w:vertAlign w:val="superscript"/>
                <w:lang w:val="sv-SE"/>
              </w:rPr>
              <w:t>+1</w:t>
            </w:r>
            <w:r w:rsidR="00264096" w:rsidRPr="004A019F">
              <w:rPr>
                <w:lang w:val="sv-SE"/>
              </w:rPr>
              <w:t>Supraventrikulär takyarrytmi</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70031C58" w14:textId="77777777" w:rsidR="005027AB" w:rsidRPr="004A019F" w:rsidRDefault="00264096" w:rsidP="004A019F">
            <w:pPr>
              <w:spacing w:after="0" w:line="240" w:lineRule="auto"/>
              <w:ind w:left="0" w:firstLine="0"/>
              <w:contextualSpacing/>
              <w:rPr>
                <w:lang w:val="sv-SE"/>
              </w:rPr>
            </w:pPr>
            <w:r w:rsidRPr="004A019F">
              <w:rPr>
                <w:lang w:val="sv-SE"/>
              </w:rPr>
              <w:t>Vanlig</w:t>
            </w:r>
          </w:p>
        </w:tc>
      </w:tr>
      <w:tr w:rsidR="00AD14F8" w:rsidRPr="00A74CC6" w14:paraId="6DA0D71E" w14:textId="77777777" w:rsidTr="004A019F">
        <w:trPr>
          <w:trHeight w:val="262"/>
        </w:trPr>
        <w:tc>
          <w:tcPr>
            <w:tcW w:w="1579" w:type="pct"/>
            <w:tcBorders>
              <w:top w:val="nil"/>
              <w:left w:val="single" w:sz="4" w:space="0" w:color="000000"/>
              <w:bottom w:val="nil"/>
              <w:right w:val="single" w:sz="4" w:space="0" w:color="000000"/>
            </w:tcBorders>
            <w:shd w:val="clear" w:color="auto" w:fill="auto"/>
            <w:vAlign w:val="bottom"/>
          </w:tcPr>
          <w:p w14:paraId="77780574" w14:textId="77777777" w:rsidR="005027AB" w:rsidRPr="004A019F" w:rsidRDefault="005027AB"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52761A64" w14:textId="77777777" w:rsidR="005027AB" w:rsidRPr="004A019F" w:rsidRDefault="00264096" w:rsidP="004A019F">
            <w:pPr>
              <w:spacing w:after="0" w:line="240" w:lineRule="auto"/>
              <w:ind w:left="0" w:firstLine="0"/>
              <w:contextualSpacing/>
              <w:rPr>
                <w:lang w:val="sv-SE"/>
              </w:rPr>
            </w:pPr>
            <w:r w:rsidRPr="004A019F">
              <w:rPr>
                <w:lang w:val="sv-SE"/>
              </w:rPr>
              <w:t>Kardiomyopati</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17DF53DC" w14:textId="77777777" w:rsidR="005027AB" w:rsidRPr="004A019F" w:rsidRDefault="00264096" w:rsidP="004A019F">
            <w:pPr>
              <w:spacing w:after="0" w:line="240" w:lineRule="auto"/>
              <w:ind w:left="0" w:firstLine="0"/>
              <w:contextualSpacing/>
              <w:rPr>
                <w:lang w:val="sv-SE"/>
              </w:rPr>
            </w:pPr>
            <w:r w:rsidRPr="004A019F">
              <w:rPr>
                <w:lang w:val="sv-SE"/>
              </w:rPr>
              <w:t>Vanlig</w:t>
            </w:r>
          </w:p>
        </w:tc>
      </w:tr>
      <w:tr w:rsidR="00AD14F8" w:rsidRPr="00A74CC6" w14:paraId="057050BD" w14:textId="77777777" w:rsidTr="004A019F">
        <w:trPr>
          <w:trHeight w:val="264"/>
        </w:trPr>
        <w:tc>
          <w:tcPr>
            <w:tcW w:w="1579" w:type="pct"/>
            <w:tcBorders>
              <w:top w:val="nil"/>
              <w:left w:val="single" w:sz="4" w:space="0" w:color="000000"/>
              <w:bottom w:val="nil"/>
              <w:right w:val="single" w:sz="4" w:space="0" w:color="000000"/>
            </w:tcBorders>
            <w:shd w:val="clear" w:color="auto" w:fill="auto"/>
          </w:tcPr>
          <w:p w14:paraId="6843E249" w14:textId="77777777" w:rsidR="00464C25" w:rsidRPr="004A019F" w:rsidRDefault="00464C25"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0F4CE75C" w14:textId="46DB48DA" w:rsidR="00464C25" w:rsidRPr="004A019F" w:rsidRDefault="00464C25" w:rsidP="004A019F">
            <w:pPr>
              <w:spacing w:after="0" w:line="240" w:lineRule="auto"/>
              <w:ind w:left="0" w:firstLine="0"/>
              <w:contextualSpacing/>
              <w:rPr>
                <w:lang w:val="sv-SE"/>
              </w:rPr>
            </w:pPr>
            <w:r w:rsidRPr="004A019F">
              <w:rPr>
                <w:vertAlign w:val="superscript"/>
              </w:rPr>
              <w:t>1</w:t>
            </w:r>
            <w:r>
              <w:t>Hjärtklappning</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145469EC" w14:textId="63FA841E" w:rsidR="00464C25" w:rsidRPr="004A019F" w:rsidRDefault="00464C25" w:rsidP="004A019F">
            <w:pPr>
              <w:spacing w:after="0" w:line="240" w:lineRule="auto"/>
              <w:ind w:left="0" w:firstLine="0"/>
              <w:contextualSpacing/>
              <w:rPr>
                <w:lang w:val="sv-SE"/>
              </w:rPr>
            </w:pPr>
            <w:proofErr w:type="spellStart"/>
            <w:r>
              <w:t>Vanlig</w:t>
            </w:r>
            <w:proofErr w:type="spellEnd"/>
          </w:p>
        </w:tc>
      </w:tr>
      <w:tr w:rsidR="00AD14F8" w:rsidRPr="00A74CC6" w14:paraId="74E2881B" w14:textId="77777777" w:rsidTr="004A019F">
        <w:trPr>
          <w:trHeight w:val="264"/>
        </w:trPr>
        <w:tc>
          <w:tcPr>
            <w:tcW w:w="1579" w:type="pct"/>
            <w:tcBorders>
              <w:top w:val="nil"/>
              <w:left w:val="single" w:sz="4" w:space="0" w:color="000000"/>
              <w:bottom w:val="nil"/>
              <w:right w:val="single" w:sz="4" w:space="0" w:color="000000"/>
            </w:tcBorders>
            <w:shd w:val="clear" w:color="auto" w:fill="auto"/>
          </w:tcPr>
          <w:p w14:paraId="4E697C94" w14:textId="77777777" w:rsidR="00464C25" w:rsidRPr="004A019F" w:rsidRDefault="00464C25"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3FDD1C26" w14:textId="0E6FA3A1" w:rsidR="00464C25" w:rsidRPr="004A019F" w:rsidRDefault="00464C25" w:rsidP="004A019F">
            <w:pPr>
              <w:spacing w:after="0" w:line="240" w:lineRule="auto"/>
              <w:ind w:left="0" w:firstLine="0"/>
              <w:contextualSpacing/>
              <w:rPr>
                <w:lang w:val="sv-SE"/>
              </w:rPr>
            </w:pPr>
            <w:r w:rsidRPr="004A019F">
              <w:rPr>
                <w:lang w:val="sv-SE"/>
              </w:rPr>
              <w:t>Perikardiell utgjutning</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208DA43D" w14:textId="77777777" w:rsidR="00464C25" w:rsidRPr="004A019F" w:rsidRDefault="00464C25" w:rsidP="004A019F">
            <w:pPr>
              <w:spacing w:after="0" w:line="240" w:lineRule="auto"/>
              <w:ind w:left="0" w:firstLine="0"/>
              <w:contextualSpacing/>
              <w:rPr>
                <w:lang w:val="sv-SE"/>
              </w:rPr>
            </w:pPr>
            <w:r w:rsidRPr="004A019F">
              <w:rPr>
                <w:lang w:val="sv-SE"/>
              </w:rPr>
              <w:t>Mindre vanlig</w:t>
            </w:r>
          </w:p>
        </w:tc>
      </w:tr>
      <w:tr w:rsidR="00AD14F8" w:rsidRPr="00A74CC6" w14:paraId="67A947EB" w14:textId="77777777" w:rsidTr="004A019F">
        <w:trPr>
          <w:trHeight w:val="262"/>
        </w:trPr>
        <w:tc>
          <w:tcPr>
            <w:tcW w:w="1579" w:type="pct"/>
            <w:tcBorders>
              <w:top w:val="nil"/>
              <w:left w:val="single" w:sz="4" w:space="0" w:color="000000"/>
              <w:bottom w:val="nil"/>
              <w:right w:val="single" w:sz="4" w:space="0" w:color="000000"/>
            </w:tcBorders>
            <w:shd w:val="clear" w:color="auto" w:fill="auto"/>
          </w:tcPr>
          <w:p w14:paraId="318C6CBE" w14:textId="77777777" w:rsidR="00464C25" w:rsidRPr="004A019F" w:rsidRDefault="00464C25"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73349574" w14:textId="77777777" w:rsidR="00464C25" w:rsidRPr="004A019F" w:rsidRDefault="00464C25" w:rsidP="004A019F">
            <w:pPr>
              <w:spacing w:after="0" w:line="240" w:lineRule="auto"/>
              <w:ind w:left="0" w:firstLine="0"/>
              <w:contextualSpacing/>
              <w:rPr>
                <w:lang w:val="sv-SE"/>
              </w:rPr>
            </w:pPr>
            <w:r w:rsidRPr="004A019F">
              <w:rPr>
                <w:lang w:val="sv-SE"/>
              </w:rPr>
              <w:t>Kardiogen chock</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43567A94" w14:textId="77777777" w:rsidR="00464C25" w:rsidRPr="004A019F" w:rsidRDefault="00464C25" w:rsidP="004A019F">
            <w:pPr>
              <w:spacing w:after="0" w:line="240" w:lineRule="auto"/>
              <w:ind w:left="0" w:firstLine="0"/>
              <w:contextualSpacing/>
              <w:rPr>
                <w:lang w:val="sv-SE"/>
              </w:rPr>
            </w:pPr>
            <w:r w:rsidRPr="004A019F">
              <w:rPr>
                <w:lang w:val="sv-SE"/>
              </w:rPr>
              <w:t>Ingen känd frekvens</w:t>
            </w:r>
          </w:p>
        </w:tc>
      </w:tr>
      <w:tr w:rsidR="00AD14F8" w:rsidRPr="00A74CC6" w14:paraId="00067986" w14:textId="77777777" w:rsidTr="004A019F">
        <w:trPr>
          <w:trHeight w:val="262"/>
        </w:trPr>
        <w:tc>
          <w:tcPr>
            <w:tcW w:w="1579" w:type="pct"/>
            <w:tcBorders>
              <w:top w:val="nil"/>
              <w:left w:val="single" w:sz="4" w:space="0" w:color="000000"/>
              <w:bottom w:val="single" w:sz="4" w:space="0" w:color="000000"/>
              <w:right w:val="single" w:sz="4" w:space="0" w:color="000000"/>
            </w:tcBorders>
            <w:shd w:val="clear" w:color="auto" w:fill="auto"/>
          </w:tcPr>
          <w:p w14:paraId="5B4B9D29" w14:textId="77777777" w:rsidR="00464C25" w:rsidRPr="004A019F" w:rsidRDefault="00464C25"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7ED91F1C" w14:textId="77777777" w:rsidR="00464C25" w:rsidRPr="004A019F" w:rsidRDefault="00464C25" w:rsidP="004A019F">
            <w:pPr>
              <w:spacing w:after="0" w:line="240" w:lineRule="auto"/>
              <w:ind w:left="0" w:firstLine="0"/>
              <w:contextualSpacing/>
              <w:rPr>
                <w:lang w:val="sv-SE"/>
              </w:rPr>
            </w:pPr>
            <w:r w:rsidRPr="004A019F">
              <w:rPr>
                <w:lang w:val="sv-SE"/>
              </w:rPr>
              <w:t>Takykardi (galopperande hjärtrytm)</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6A8B609E" w14:textId="77777777" w:rsidR="00464C25" w:rsidRPr="004A019F" w:rsidRDefault="00464C25" w:rsidP="004A019F">
            <w:pPr>
              <w:spacing w:after="0" w:line="240" w:lineRule="auto"/>
              <w:ind w:left="0" w:firstLine="0"/>
              <w:contextualSpacing/>
              <w:rPr>
                <w:lang w:val="sv-SE"/>
              </w:rPr>
            </w:pPr>
            <w:r w:rsidRPr="004A019F">
              <w:rPr>
                <w:lang w:val="sv-SE"/>
              </w:rPr>
              <w:t>Ingen känd frekvens</w:t>
            </w:r>
          </w:p>
        </w:tc>
      </w:tr>
      <w:tr w:rsidR="00464C25" w:rsidRPr="00A74CC6" w14:paraId="4A9148F2" w14:textId="77777777" w:rsidTr="004A019F">
        <w:trPr>
          <w:trHeight w:val="264"/>
        </w:trPr>
        <w:tc>
          <w:tcPr>
            <w:tcW w:w="157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1370C148" w14:textId="77777777" w:rsidR="00464C25" w:rsidRPr="004A019F" w:rsidRDefault="00464C25" w:rsidP="004A019F">
            <w:pPr>
              <w:spacing w:after="0" w:line="240" w:lineRule="auto"/>
              <w:ind w:left="0" w:firstLine="0"/>
              <w:contextualSpacing/>
              <w:rPr>
                <w:lang w:val="sv-SE"/>
              </w:rPr>
            </w:pPr>
            <w:r w:rsidRPr="004A019F">
              <w:rPr>
                <w:lang w:val="sv-SE"/>
              </w:rPr>
              <w:t xml:space="preserve">Blodkärl </w:t>
            </w: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67B39217" w14:textId="77777777" w:rsidR="00464C25" w:rsidRPr="004A019F" w:rsidRDefault="00464C25" w:rsidP="004A019F">
            <w:pPr>
              <w:spacing w:after="0" w:line="240" w:lineRule="auto"/>
              <w:ind w:left="0" w:firstLine="0"/>
              <w:contextualSpacing/>
              <w:rPr>
                <w:lang w:val="sv-SE"/>
              </w:rPr>
            </w:pPr>
            <w:r w:rsidRPr="004A019F">
              <w:rPr>
                <w:lang w:val="sv-SE"/>
              </w:rPr>
              <w:t>Värmevallning</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6EF866EB" w14:textId="77777777" w:rsidR="00464C25" w:rsidRPr="004A019F" w:rsidRDefault="00464C25" w:rsidP="004A019F">
            <w:pPr>
              <w:spacing w:after="0" w:line="240" w:lineRule="auto"/>
              <w:ind w:left="0" w:firstLine="0"/>
              <w:contextualSpacing/>
              <w:rPr>
                <w:lang w:val="sv-SE"/>
              </w:rPr>
            </w:pPr>
            <w:r w:rsidRPr="004A019F">
              <w:rPr>
                <w:lang w:val="sv-SE"/>
              </w:rPr>
              <w:t>Mycket vanlig</w:t>
            </w:r>
          </w:p>
        </w:tc>
      </w:tr>
      <w:tr w:rsidR="00AD14F8" w:rsidRPr="00A74CC6" w14:paraId="62121C50" w14:textId="77777777" w:rsidTr="004A019F">
        <w:trPr>
          <w:trHeight w:val="262"/>
        </w:trPr>
        <w:tc>
          <w:tcPr>
            <w:tcW w:w="1579" w:type="pct"/>
            <w:vMerge/>
            <w:tcBorders>
              <w:top w:val="nil"/>
              <w:left w:val="single" w:sz="4" w:space="0" w:color="000000"/>
              <w:bottom w:val="nil"/>
              <w:right w:val="single" w:sz="4" w:space="0" w:color="000000"/>
            </w:tcBorders>
            <w:shd w:val="clear" w:color="auto" w:fill="auto"/>
          </w:tcPr>
          <w:p w14:paraId="42A84441" w14:textId="77777777" w:rsidR="00464C25" w:rsidRPr="004A019F" w:rsidRDefault="00464C25"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4C4F515F" w14:textId="77777777" w:rsidR="00464C25" w:rsidRPr="004A019F" w:rsidRDefault="00464C25" w:rsidP="004A019F">
            <w:pPr>
              <w:spacing w:after="0" w:line="240" w:lineRule="auto"/>
              <w:ind w:left="0" w:firstLine="0"/>
              <w:contextualSpacing/>
              <w:rPr>
                <w:lang w:val="sv-SE"/>
              </w:rPr>
            </w:pPr>
            <w:r w:rsidRPr="004A019F">
              <w:rPr>
                <w:vertAlign w:val="superscript"/>
                <w:lang w:val="sv-SE"/>
              </w:rPr>
              <w:t>+1</w:t>
            </w:r>
            <w:r w:rsidRPr="004A019F">
              <w:rPr>
                <w:lang w:val="sv-SE"/>
              </w:rPr>
              <w:t xml:space="preserve">Hypotoni </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19F18899" w14:textId="77777777" w:rsidR="00464C25" w:rsidRPr="004A019F" w:rsidRDefault="00464C25" w:rsidP="004A019F">
            <w:pPr>
              <w:spacing w:after="0" w:line="240" w:lineRule="auto"/>
              <w:ind w:left="0" w:firstLine="0"/>
              <w:contextualSpacing/>
              <w:rPr>
                <w:lang w:val="sv-SE"/>
              </w:rPr>
            </w:pPr>
            <w:r w:rsidRPr="004A019F">
              <w:rPr>
                <w:lang w:val="sv-SE"/>
              </w:rPr>
              <w:t>Vanlig</w:t>
            </w:r>
          </w:p>
        </w:tc>
      </w:tr>
      <w:tr w:rsidR="00AD14F8" w:rsidRPr="00A74CC6" w14:paraId="2B90B285" w14:textId="77777777" w:rsidTr="004A019F">
        <w:trPr>
          <w:trHeight w:val="264"/>
        </w:trPr>
        <w:tc>
          <w:tcPr>
            <w:tcW w:w="1579" w:type="pct"/>
            <w:vMerge/>
            <w:tcBorders>
              <w:top w:val="nil"/>
              <w:left w:val="single" w:sz="4" w:space="0" w:color="000000"/>
              <w:bottom w:val="single" w:sz="4" w:space="0" w:color="auto"/>
              <w:right w:val="single" w:sz="4" w:space="0" w:color="000000"/>
            </w:tcBorders>
            <w:shd w:val="clear" w:color="auto" w:fill="auto"/>
          </w:tcPr>
          <w:p w14:paraId="6BD514E2" w14:textId="77777777" w:rsidR="00464C25" w:rsidRPr="004A019F" w:rsidRDefault="00464C25"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auto"/>
              <w:right w:val="single" w:sz="4" w:space="0" w:color="000000"/>
            </w:tcBorders>
            <w:shd w:val="clear" w:color="auto" w:fill="auto"/>
          </w:tcPr>
          <w:p w14:paraId="688F0A8D" w14:textId="77777777" w:rsidR="00464C25" w:rsidRPr="004A019F" w:rsidRDefault="00464C25" w:rsidP="004A019F">
            <w:pPr>
              <w:spacing w:after="0" w:line="240" w:lineRule="auto"/>
              <w:ind w:left="0" w:firstLine="0"/>
              <w:contextualSpacing/>
              <w:rPr>
                <w:lang w:val="sv-SE"/>
              </w:rPr>
            </w:pPr>
            <w:r w:rsidRPr="004A019F">
              <w:rPr>
                <w:lang w:val="sv-SE"/>
              </w:rPr>
              <w:t>Vasodilatation</w:t>
            </w:r>
          </w:p>
        </w:tc>
        <w:tc>
          <w:tcPr>
            <w:tcW w:w="1318" w:type="pct"/>
            <w:tcBorders>
              <w:top w:val="single" w:sz="4" w:space="0" w:color="000000"/>
              <w:left w:val="single" w:sz="4" w:space="0" w:color="000000"/>
              <w:bottom w:val="single" w:sz="4" w:space="0" w:color="auto"/>
              <w:right w:val="single" w:sz="4" w:space="0" w:color="000000"/>
            </w:tcBorders>
            <w:shd w:val="clear" w:color="auto" w:fill="auto"/>
          </w:tcPr>
          <w:p w14:paraId="5294A527" w14:textId="77777777" w:rsidR="00464C25" w:rsidRPr="004A019F" w:rsidRDefault="00464C25" w:rsidP="004A019F">
            <w:pPr>
              <w:spacing w:after="0" w:line="240" w:lineRule="auto"/>
              <w:ind w:left="0" w:firstLine="0"/>
              <w:contextualSpacing/>
              <w:rPr>
                <w:lang w:val="sv-SE"/>
              </w:rPr>
            </w:pPr>
            <w:r w:rsidRPr="004A019F">
              <w:rPr>
                <w:lang w:val="sv-SE"/>
              </w:rPr>
              <w:t>Vanlig</w:t>
            </w:r>
          </w:p>
        </w:tc>
      </w:tr>
      <w:tr w:rsidR="003B54E0" w:rsidRPr="00A74CC6" w14:paraId="1977C818" w14:textId="77777777" w:rsidTr="004A019F">
        <w:trPr>
          <w:trHeight w:val="113"/>
        </w:trPr>
        <w:tc>
          <w:tcPr>
            <w:tcW w:w="1579" w:type="pct"/>
            <w:vMerge w:val="restart"/>
            <w:tcBorders>
              <w:top w:val="single" w:sz="4" w:space="0" w:color="auto"/>
              <w:left w:val="single" w:sz="4" w:space="0" w:color="auto"/>
              <w:right w:val="single" w:sz="4" w:space="0" w:color="auto"/>
            </w:tcBorders>
            <w:shd w:val="clear" w:color="auto" w:fill="auto"/>
          </w:tcPr>
          <w:p w14:paraId="474B88FF" w14:textId="0EE0BA5C" w:rsidR="003B54E0" w:rsidRPr="004A019F" w:rsidRDefault="003B54E0" w:rsidP="004A019F">
            <w:pPr>
              <w:keepNext/>
              <w:spacing w:after="0" w:line="240" w:lineRule="auto"/>
              <w:ind w:left="0" w:firstLine="0"/>
              <w:contextualSpacing/>
              <w:rPr>
                <w:lang w:val="sv-SE"/>
              </w:rPr>
            </w:pPr>
            <w:r w:rsidRPr="004A019F">
              <w:rPr>
                <w:lang w:val="sv-SE"/>
              </w:rPr>
              <w:lastRenderedPageBreak/>
              <w:t>Andningsvägar, bröstkorg och mediastinum</w:t>
            </w:r>
          </w:p>
        </w:tc>
        <w:tc>
          <w:tcPr>
            <w:tcW w:w="2103" w:type="pct"/>
            <w:tcBorders>
              <w:top w:val="single" w:sz="4" w:space="0" w:color="auto"/>
              <w:left w:val="single" w:sz="4" w:space="0" w:color="auto"/>
              <w:right w:val="single" w:sz="4" w:space="0" w:color="auto"/>
            </w:tcBorders>
            <w:shd w:val="clear" w:color="auto" w:fill="auto"/>
          </w:tcPr>
          <w:p w14:paraId="37D38118" w14:textId="2F88B6CE" w:rsidR="003B54E0" w:rsidRPr="004A019F" w:rsidRDefault="003B54E0" w:rsidP="004A019F">
            <w:pPr>
              <w:keepNext/>
              <w:spacing w:after="0" w:line="240" w:lineRule="auto"/>
              <w:ind w:left="0" w:firstLine="0"/>
              <w:contextualSpacing/>
              <w:rPr>
                <w:vertAlign w:val="superscript"/>
                <w:lang w:val="sv-SE"/>
              </w:rPr>
            </w:pPr>
            <w:r w:rsidRPr="004A019F">
              <w:rPr>
                <w:vertAlign w:val="superscript"/>
                <w:lang w:val="sv-SE"/>
              </w:rPr>
              <w:t>+</w:t>
            </w:r>
            <w:r w:rsidRPr="004A019F">
              <w:rPr>
                <w:lang w:val="sv-SE"/>
              </w:rPr>
              <w:t>Dyspné</w:t>
            </w:r>
          </w:p>
        </w:tc>
        <w:tc>
          <w:tcPr>
            <w:tcW w:w="1318" w:type="pct"/>
            <w:tcBorders>
              <w:top w:val="single" w:sz="4" w:space="0" w:color="auto"/>
              <w:left w:val="single" w:sz="4" w:space="0" w:color="auto"/>
              <w:right w:val="single" w:sz="4" w:space="0" w:color="auto"/>
            </w:tcBorders>
            <w:shd w:val="clear" w:color="auto" w:fill="auto"/>
          </w:tcPr>
          <w:p w14:paraId="480C431F" w14:textId="0E4C6ED7" w:rsidR="003B54E0" w:rsidRPr="004A019F" w:rsidRDefault="003B54E0" w:rsidP="004A019F">
            <w:pPr>
              <w:keepNext/>
              <w:spacing w:after="0" w:line="240" w:lineRule="auto"/>
              <w:ind w:left="0" w:firstLine="0"/>
              <w:contextualSpacing/>
              <w:rPr>
                <w:lang w:val="sv-SE"/>
              </w:rPr>
            </w:pPr>
            <w:r w:rsidRPr="004A019F">
              <w:rPr>
                <w:lang w:val="sv-SE"/>
              </w:rPr>
              <w:t>Mycket vanlig</w:t>
            </w:r>
          </w:p>
        </w:tc>
      </w:tr>
      <w:tr w:rsidR="00AD14F8" w:rsidRPr="00A74CC6" w14:paraId="5F64F766" w14:textId="77777777" w:rsidTr="004A019F">
        <w:trPr>
          <w:trHeight w:val="262"/>
        </w:trPr>
        <w:tc>
          <w:tcPr>
            <w:tcW w:w="1579" w:type="pct"/>
            <w:vMerge/>
            <w:tcBorders>
              <w:left w:val="single" w:sz="4" w:space="0" w:color="auto"/>
              <w:right w:val="single" w:sz="4" w:space="0" w:color="auto"/>
            </w:tcBorders>
            <w:shd w:val="clear" w:color="auto" w:fill="auto"/>
          </w:tcPr>
          <w:p w14:paraId="07D77311" w14:textId="77777777" w:rsidR="003B54E0" w:rsidRPr="004A019F" w:rsidRDefault="003B54E0" w:rsidP="004A019F">
            <w:pPr>
              <w:keepNext/>
              <w:spacing w:after="0" w:line="240" w:lineRule="auto"/>
              <w:ind w:left="0" w:firstLine="0"/>
              <w:contextualSpacing/>
              <w:rPr>
                <w:lang w:val="sv-SE"/>
              </w:rPr>
            </w:pPr>
          </w:p>
        </w:tc>
        <w:tc>
          <w:tcPr>
            <w:tcW w:w="2103" w:type="pct"/>
            <w:tcBorders>
              <w:top w:val="single" w:sz="4" w:space="0" w:color="auto"/>
              <w:left w:val="single" w:sz="4" w:space="0" w:color="auto"/>
              <w:bottom w:val="single" w:sz="4" w:space="0" w:color="auto"/>
              <w:right w:val="single" w:sz="4" w:space="0" w:color="auto"/>
            </w:tcBorders>
            <w:shd w:val="clear" w:color="auto" w:fill="auto"/>
          </w:tcPr>
          <w:p w14:paraId="6F660500" w14:textId="77777777" w:rsidR="003B54E0" w:rsidRPr="004A019F" w:rsidRDefault="003B54E0" w:rsidP="004A019F">
            <w:pPr>
              <w:keepNext/>
              <w:spacing w:after="0" w:line="240" w:lineRule="auto"/>
              <w:ind w:left="0" w:firstLine="0"/>
              <w:contextualSpacing/>
              <w:rPr>
                <w:lang w:val="sv-SE"/>
              </w:rPr>
            </w:pPr>
            <w:r w:rsidRPr="004A019F">
              <w:rPr>
                <w:lang w:val="sv-SE"/>
              </w:rPr>
              <w:t>Hosta</w:t>
            </w: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37DAC930" w14:textId="77777777" w:rsidR="003B54E0" w:rsidRPr="004A019F" w:rsidRDefault="003B54E0" w:rsidP="004A019F">
            <w:pPr>
              <w:keepNext/>
              <w:spacing w:after="0" w:line="240" w:lineRule="auto"/>
              <w:ind w:left="0" w:firstLine="0"/>
              <w:contextualSpacing/>
              <w:rPr>
                <w:lang w:val="sv-SE"/>
              </w:rPr>
            </w:pPr>
            <w:r w:rsidRPr="004A019F">
              <w:rPr>
                <w:lang w:val="sv-SE"/>
              </w:rPr>
              <w:t>Mycket vanlig</w:t>
            </w:r>
          </w:p>
        </w:tc>
      </w:tr>
      <w:tr w:rsidR="00AD14F8" w:rsidRPr="00A74CC6" w14:paraId="672BDB27" w14:textId="77777777" w:rsidTr="004A019F">
        <w:trPr>
          <w:trHeight w:val="264"/>
        </w:trPr>
        <w:tc>
          <w:tcPr>
            <w:tcW w:w="1579" w:type="pct"/>
            <w:vMerge/>
            <w:tcBorders>
              <w:left w:val="single" w:sz="4" w:space="0" w:color="auto"/>
              <w:right w:val="single" w:sz="4" w:space="0" w:color="auto"/>
            </w:tcBorders>
            <w:shd w:val="clear" w:color="auto" w:fill="auto"/>
          </w:tcPr>
          <w:p w14:paraId="3F73F067" w14:textId="77777777" w:rsidR="003B54E0" w:rsidRPr="004A019F" w:rsidRDefault="003B54E0" w:rsidP="004A019F">
            <w:pPr>
              <w:keepNext/>
              <w:spacing w:after="0" w:line="240" w:lineRule="auto"/>
              <w:ind w:left="0" w:firstLine="0"/>
              <w:contextualSpacing/>
              <w:rPr>
                <w:lang w:val="sv-SE"/>
              </w:rPr>
            </w:pPr>
          </w:p>
        </w:tc>
        <w:tc>
          <w:tcPr>
            <w:tcW w:w="2103" w:type="pct"/>
            <w:tcBorders>
              <w:top w:val="single" w:sz="4" w:space="0" w:color="auto"/>
              <w:left w:val="single" w:sz="4" w:space="0" w:color="auto"/>
              <w:bottom w:val="single" w:sz="4" w:space="0" w:color="auto"/>
              <w:right w:val="single" w:sz="4" w:space="0" w:color="auto"/>
            </w:tcBorders>
            <w:shd w:val="clear" w:color="auto" w:fill="auto"/>
          </w:tcPr>
          <w:p w14:paraId="5DDA6BEB" w14:textId="77777777" w:rsidR="003B54E0" w:rsidRPr="004A019F" w:rsidRDefault="003B54E0" w:rsidP="004A019F">
            <w:pPr>
              <w:keepNext/>
              <w:spacing w:after="0" w:line="240" w:lineRule="auto"/>
              <w:ind w:left="0" w:firstLine="0"/>
              <w:contextualSpacing/>
              <w:rPr>
                <w:lang w:val="sv-SE"/>
              </w:rPr>
            </w:pPr>
            <w:r w:rsidRPr="004A019F">
              <w:rPr>
                <w:lang w:val="sv-SE"/>
              </w:rPr>
              <w:t>Epistaxis</w:t>
            </w: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1F6B01AC" w14:textId="77777777" w:rsidR="003B54E0" w:rsidRPr="004A019F" w:rsidRDefault="003B54E0" w:rsidP="004A019F">
            <w:pPr>
              <w:keepNext/>
              <w:spacing w:after="0" w:line="240" w:lineRule="auto"/>
              <w:ind w:left="0" w:firstLine="0"/>
              <w:contextualSpacing/>
              <w:rPr>
                <w:lang w:val="sv-SE"/>
              </w:rPr>
            </w:pPr>
            <w:r w:rsidRPr="004A019F">
              <w:rPr>
                <w:lang w:val="sv-SE"/>
              </w:rPr>
              <w:t>Mycket vanlig</w:t>
            </w:r>
          </w:p>
        </w:tc>
      </w:tr>
      <w:tr w:rsidR="00AD14F8" w:rsidRPr="00A74CC6" w14:paraId="5B8AE432" w14:textId="77777777" w:rsidTr="004A019F">
        <w:trPr>
          <w:trHeight w:val="264"/>
        </w:trPr>
        <w:tc>
          <w:tcPr>
            <w:tcW w:w="1579" w:type="pct"/>
            <w:vMerge/>
            <w:tcBorders>
              <w:left w:val="single" w:sz="4" w:space="0" w:color="auto"/>
              <w:right w:val="single" w:sz="4" w:space="0" w:color="auto"/>
            </w:tcBorders>
            <w:shd w:val="clear" w:color="auto" w:fill="auto"/>
          </w:tcPr>
          <w:p w14:paraId="188365CD" w14:textId="77777777" w:rsidR="003B54E0" w:rsidRPr="004A019F" w:rsidRDefault="003B54E0" w:rsidP="004A019F">
            <w:pPr>
              <w:keepNext/>
              <w:spacing w:after="0" w:line="240" w:lineRule="auto"/>
              <w:ind w:left="0" w:firstLine="0"/>
              <w:contextualSpacing/>
              <w:rPr>
                <w:lang w:val="sv-SE"/>
              </w:rPr>
            </w:pPr>
          </w:p>
        </w:tc>
        <w:tc>
          <w:tcPr>
            <w:tcW w:w="2103" w:type="pct"/>
            <w:tcBorders>
              <w:top w:val="single" w:sz="4" w:space="0" w:color="auto"/>
              <w:left w:val="single" w:sz="4" w:space="0" w:color="auto"/>
              <w:bottom w:val="single" w:sz="4" w:space="0" w:color="auto"/>
              <w:right w:val="single" w:sz="4" w:space="0" w:color="auto"/>
            </w:tcBorders>
            <w:shd w:val="clear" w:color="auto" w:fill="auto"/>
          </w:tcPr>
          <w:p w14:paraId="03E51BE7" w14:textId="77777777" w:rsidR="003B54E0" w:rsidRPr="004A019F" w:rsidRDefault="003B54E0" w:rsidP="004A019F">
            <w:pPr>
              <w:keepNext/>
              <w:spacing w:after="0" w:line="240" w:lineRule="auto"/>
              <w:ind w:left="0" w:firstLine="0"/>
              <w:contextualSpacing/>
              <w:rPr>
                <w:lang w:val="sv-SE"/>
              </w:rPr>
            </w:pPr>
            <w:r w:rsidRPr="004A019F">
              <w:rPr>
                <w:lang w:val="sv-SE"/>
              </w:rPr>
              <w:t>Rinorré</w:t>
            </w: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076C29C3" w14:textId="77777777" w:rsidR="003B54E0" w:rsidRPr="004A019F" w:rsidRDefault="003B54E0" w:rsidP="004A019F">
            <w:pPr>
              <w:keepNext/>
              <w:spacing w:after="0" w:line="240" w:lineRule="auto"/>
              <w:ind w:left="0" w:firstLine="0"/>
              <w:contextualSpacing/>
              <w:rPr>
                <w:lang w:val="sv-SE"/>
              </w:rPr>
            </w:pPr>
            <w:r w:rsidRPr="004A019F">
              <w:rPr>
                <w:lang w:val="sv-SE"/>
              </w:rPr>
              <w:t>Mycket vanlig</w:t>
            </w:r>
          </w:p>
        </w:tc>
      </w:tr>
      <w:tr w:rsidR="00AD14F8" w:rsidRPr="00A74CC6" w14:paraId="27D7A9B0" w14:textId="77777777" w:rsidTr="004A019F">
        <w:trPr>
          <w:trHeight w:val="262"/>
        </w:trPr>
        <w:tc>
          <w:tcPr>
            <w:tcW w:w="1579" w:type="pct"/>
            <w:vMerge/>
            <w:tcBorders>
              <w:left w:val="single" w:sz="4" w:space="0" w:color="auto"/>
              <w:right w:val="single" w:sz="4" w:space="0" w:color="auto"/>
            </w:tcBorders>
            <w:shd w:val="clear" w:color="auto" w:fill="auto"/>
          </w:tcPr>
          <w:p w14:paraId="7A614181" w14:textId="77777777" w:rsidR="003B54E0" w:rsidRPr="004A019F" w:rsidRDefault="003B54E0" w:rsidP="004A019F">
            <w:pPr>
              <w:keepNext/>
              <w:spacing w:after="0" w:line="240" w:lineRule="auto"/>
              <w:ind w:left="0" w:firstLine="0"/>
              <w:contextualSpacing/>
              <w:rPr>
                <w:lang w:val="sv-SE"/>
              </w:rPr>
            </w:pPr>
          </w:p>
        </w:tc>
        <w:tc>
          <w:tcPr>
            <w:tcW w:w="2103" w:type="pct"/>
            <w:tcBorders>
              <w:top w:val="single" w:sz="4" w:space="0" w:color="auto"/>
              <w:left w:val="single" w:sz="4" w:space="0" w:color="auto"/>
              <w:bottom w:val="single" w:sz="4" w:space="0" w:color="auto"/>
              <w:right w:val="single" w:sz="4" w:space="0" w:color="auto"/>
            </w:tcBorders>
            <w:shd w:val="clear" w:color="auto" w:fill="auto"/>
          </w:tcPr>
          <w:p w14:paraId="001AEEEC" w14:textId="77777777" w:rsidR="003B54E0" w:rsidRPr="004A019F" w:rsidRDefault="003B54E0" w:rsidP="004A019F">
            <w:pPr>
              <w:keepNext/>
              <w:spacing w:after="0" w:line="240" w:lineRule="auto"/>
              <w:ind w:left="0" w:firstLine="0"/>
              <w:contextualSpacing/>
              <w:rPr>
                <w:lang w:val="sv-SE"/>
              </w:rPr>
            </w:pPr>
            <w:r w:rsidRPr="004A019F">
              <w:rPr>
                <w:vertAlign w:val="superscript"/>
                <w:lang w:val="sv-SE"/>
              </w:rPr>
              <w:t>+</w:t>
            </w:r>
            <w:r w:rsidRPr="004A019F">
              <w:rPr>
                <w:lang w:val="sv-SE"/>
              </w:rPr>
              <w:t>Pneumoni</w:t>
            </w: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244C8D5B" w14:textId="77777777" w:rsidR="003B54E0" w:rsidRPr="004A019F" w:rsidRDefault="003B54E0" w:rsidP="004A019F">
            <w:pPr>
              <w:keepNext/>
              <w:spacing w:after="0" w:line="240" w:lineRule="auto"/>
              <w:ind w:left="0" w:firstLine="0"/>
              <w:contextualSpacing/>
              <w:rPr>
                <w:lang w:val="sv-SE"/>
              </w:rPr>
            </w:pPr>
            <w:r w:rsidRPr="004A019F">
              <w:rPr>
                <w:lang w:val="sv-SE"/>
              </w:rPr>
              <w:t>Vanlig</w:t>
            </w:r>
          </w:p>
        </w:tc>
      </w:tr>
      <w:tr w:rsidR="00AD14F8" w:rsidRPr="00A74CC6" w14:paraId="72325F41" w14:textId="77777777" w:rsidTr="004A019F">
        <w:trPr>
          <w:trHeight w:val="264"/>
        </w:trPr>
        <w:tc>
          <w:tcPr>
            <w:tcW w:w="1579" w:type="pct"/>
            <w:vMerge/>
            <w:tcBorders>
              <w:left w:val="single" w:sz="4" w:space="0" w:color="auto"/>
              <w:right w:val="single" w:sz="4" w:space="0" w:color="auto"/>
            </w:tcBorders>
            <w:shd w:val="clear" w:color="auto" w:fill="auto"/>
          </w:tcPr>
          <w:p w14:paraId="17958DB2" w14:textId="77777777" w:rsidR="003B54E0" w:rsidRPr="004A019F" w:rsidRDefault="003B54E0" w:rsidP="004A019F">
            <w:pPr>
              <w:keepNext/>
              <w:spacing w:after="0" w:line="240" w:lineRule="auto"/>
              <w:ind w:left="0" w:firstLine="0"/>
              <w:contextualSpacing/>
              <w:rPr>
                <w:lang w:val="sv-SE"/>
              </w:rPr>
            </w:pPr>
          </w:p>
        </w:tc>
        <w:tc>
          <w:tcPr>
            <w:tcW w:w="2103" w:type="pct"/>
            <w:tcBorders>
              <w:top w:val="single" w:sz="4" w:space="0" w:color="auto"/>
              <w:left w:val="single" w:sz="4" w:space="0" w:color="auto"/>
              <w:bottom w:val="single" w:sz="4" w:space="0" w:color="auto"/>
              <w:right w:val="single" w:sz="4" w:space="0" w:color="auto"/>
            </w:tcBorders>
            <w:shd w:val="clear" w:color="auto" w:fill="auto"/>
          </w:tcPr>
          <w:p w14:paraId="5F69A773" w14:textId="77777777" w:rsidR="003B54E0" w:rsidRPr="004A019F" w:rsidRDefault="003B54E0" w:rsidP="004A019F">
            <w:pPr>
              <w:keepNext/>
              <w:spacing w:after="0" w:line="240" w:lineRule="auto"/>
              <w:ind w:left="0" w:firstLine="0"/>
              <w:contextualSpacing/>
              <w:rPr>
                <w:lang w:val="sv-SE"/>
              </w:rPr>
            </w:pPr>
            <w:r w:rsidRPr="004A019F">
              <w:rPr>
                <w:lang w:val="sv-SE"/>
              </w:rPr>
              <w:t>Astma</w:t>
            </w: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7349D30C" w14:textId="77777777" w:rsidR="003B54E0" w:rsidRPr="004A019F" w:rsidRDefault="003B54E0" w:rsidP="004A019F">
            <w:pPr>
              <w:keepNext/>
              <w:spacing w:after="0" w:line="240" w:lineRule="auto"/>
              <w:ind w:left="0" w:firstLine="0"/>
              <w:contextualSpacing/>
              <w:rPr>
                <w:lang w:val="sv-SE"/>
              </w:rPr>
            </w:pPr>
            <w:r w:rsidRPr="004A019F">
              <w:rPr>
                <w:lang w:val="sv-SE"/>
              </w:rPr>
              <w:t>Vanlig</w:t>
            </w:r>
          </w:p>
        </w:tc>
      </w:tr>
      <w:tr w:rsidR="00AD14F8" w:rsidRPr="00A74CC6" w14:paraId="4C060427" w14:textId="77777777" w:rsidTr="004A019F">
        <w:trPr>
          <w:trHeight w:val="262"/>
        </w:trPr>
        <w:tc>
          <w:tcPr>
            <w:tcW w:w="1579" w:type="pct"/>
            <w:vMerge/>
            <w:tcBorders>
              <w:left w:val="single" w:sz="4" w:space="0" w:color="auto"/>
              <w:right w:val="single" w:sz="4" w:space="0" w:color="auto"/>
            </w:tcBorders>
            <w:shd w:val="clear" w:color="auto" w:fill="auto"/>
          </w:tcPr>
          <w:p w14:paraId="117D3009" w14:textId="77777777" w:rsidR="003B54E0" w:rsidRPr="004A019F" w:rsidRDefault="003B54E0" w:rsidP="004A019F">
            <w:pPr>
              <w:keepNext/>
              <w:spacing w:after="0" w:line="240" w:lineRule="auto"/>
              <w:ind w:left="0" w:firstLine="0"/>
              <w:contextualSpacing/>
              <w:rPr>
                <w:lang w:val="sv-SE"/>
              </w:rPr>
            </w:pPr>
          </w:p>
        </w:tc>
        <w:tc>
          <w:tcPr>
            <w:tcW w:w="2103" w:type="pct"/>
            <w:tcBorders>
              <w:top w:val="single" w:sz="4" w:space="0" w:color="auto"/>
              <w:left w:val="single" w:sz="4" w:space="0" w:color="auto"/>
              <w:bottom w:val="single" w:sz="4" w:space="0" w:color="auto"/>
              <w:right w:val="single" w:sz="4" w:space="0" w:color="auto"/>
            </w:tcBorders>
            <w:shd w:val="clear" w:color="auto" w:fill="auto"/>
          </w:tcPr>
          <w:p w14:paraId="0AA880A5" w14:textId="77777777" w:rsidR="003B54E0" w:rsidRPr="004A019F" w:rsidRDefault="003B54E0" w:rsidP="004A019F">
            <w:pPr>
              <w:keepNext/>
              <w:spacing w:after="0" w:line="240" w:lineRule="auto"/>
              <w:ind w:left="0" w:firstLine="0"/>
              <w:contextualSpacing/>
              <w:rPr>
                <w:lang w:val="sv-SE"/>
              </w:rPr>
            </w:pPr>
            <w:r w:rsidRPr="004A019F">
              <w:rPr>
                <w:lang w:val="sv-SE"/>
              </w:rPr>
              <w:t>Lungsjukdom</w:t>
            </w: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7D5BF655" w14:textId="77777777" w:rsidR="003B54E0" w:rsidRPr="004A019F" w:rsidRDefault="003B54E0" w:rsidP="004A019F">
            <w:pPr>
              <w:keepNext/>
              <w:spacing w:after="0" w:line="240" w:lineRule="auto"/>
              <w:ind w:left="0" w:firstLine="0"/>
              <w:contextualSpacing/>
              <w:rPr>
                <w:lang w:val="sv-SE"/>
              </w:rPr>
            </w:pPr>
            <w:r w:rsidRPr="004A019F">
              <w:rPr>
                <w:lang w:val="sv-SE"/>
              </w:rPr>
              <w:t>Vanlig</w:t>
            </w:r>
          </w:p>
        </w:tc>
      </w:tr>
      <w:tr w:rsidR="00AD14F8" w:rsidRPr="00A74CC6" w14:paraId="2260BF22" w14:textId="77777777" w:rsidTr="004A019F">
        <w:trPr>
          <w:trHeight w:val="278"/>
        </w:trPr>
        <w:tc>
          <w:tcPr>
            <w:tcW w:w="1579" w:type="pct"/>
            <w:vMerge/>
            <w:tcBorders>
              <w:left w:val="single" w:sz="4" w:space="0" w:color="auto"/>
              <w:right w:val="single" w:sz="4" w:space="0" w:color="auto"/>
            </w:tcBorders>
            <w:shd w:val="clear" w:color="auto" w:fill="auto"/>
          </w:tcPr>
          <w:p w14:paraId="1DDA2DF4" w14:textId="77777777" w:rsidR="003B54E0" w:rsidRPr="004A019F" w:rsidRDefault="003B54E0" w:rsidP="004A019F">
            <w:pPr>
              <w:keepNext/>
              <w:spacing w:after="0" w:line="240" w:lineRule="auto"/>
              <w:ind w:left="0" w:firstLine="0"/>
              <w:contextualSpacing/>
              <w:rPr>
                <w:lang w:val="sv-SE"/>
              </w:rPr>
            </w:pPr>
          </w:p>
        </w:tc>
        <w:tc>
          <w:tcPr>
            <w:tcW w:w="2103" w:type="pct"/>
            <w:tcBorders>
              <w:top w:val="single" w:sz="4" w:space="0" w:color="auto"/>
              <w:left w:val="single" w:sz="4" w:space="0" w:color="auto"/>
              <w:bottom w:val="single" w:sz="4" w:space="0" w:color="auto"/>
              <w:right w:val="single" w:sz="4" w:space="0" w:color="auto"/>
            </w:tcBorders>
            <w:shd w:val="clear" w:color="auto" w:fill="auto"/>
          </w:tcPr>
          <w:p w14:paraId="56219EB0" w14:textId="77777777" w:rsidR="003B54E0" w:rsidRPr="004A019F" w:rsidRDefault="003B54E0" w:rsidP="004A019F">
            <w:pPr>
              <w:keepNext/>
              <w:spacing w:after="0" w:line="240" w:lineRule="auto"/>
              <w:ind w:left="0" w:firstLine="0"/>
              <w:contextualSpacing/>
              <w:rPr>
                <w:lang w:val="sv-SE"/>
              </w:rPr>
            </w:pPr>
            <w:r w:rsidRPr="004A019F">
              <w:rPr>
                <w:vertAlign w:val="superscript"/>
                <w:lang w:val="sv-SE"/>
              </w:rPr>
              <w:t>+</w:t>
            </w:r>
            <w:r w:rsidRPr="004A019F">
              <w:rPr>
                <w:lang w:val="sv-SE"/>
              </w:rPr>
              <w:t>Pleurautgjutning</w:t>
            </w: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62D1B6DA" w14:textId="77777777" w:rsidR="003B54E0" w:rsidRPr="004A019F" w:rsidRDefault="003B54E0" w:rsidP="004A019F">
            <w:pPr>
              <w:keepNext/>
              <w:spacing w:after="0" w:line="240" w:lineRule="auto"/>
              <w:ind w:left="0" w:firstLine="0"/>
              <w:contextualSpacing/>
              <w:rPr>
                <w:lang w:val="sv-SE"/>
              </w:rPr>
            </w:pPr>
            <w:r w:rsidRPr="004A019F">
              <w:rPr>
                <w:lang w:val="sv-SE"/>
              </w:rPr>
              <w:t>Vanlig</w:t>
            </w:r>
          </w:p>
        </w:tc>
      </w:tr>
      <w:tr w:rsidR="00AD14F8" w:rsidRPr="00A74CC6" w14:paraId="178D64A9" w14:textId="77777777" w:rsidTr="004A019F">
        <w:trPr>
          <w:trHeight w:val="281"/>
        </w:trPr>
        <w:tc>
          <w:tcPr>
            <w:tcW w:w="1579" w:type="pct"/>
            <w:vMerge/>
            <w:tcBorders>
              <w:left w:val="single" w:sz="4" w:space="0" w:color="auto"/>
              <w:right w:val="single" w:sz="4" w:space="0" w:color="auto"/>
            </w:tcBorders>
            <w:shd w:val="clear" w:color="auto" w:fill="auto"/>
          </w:tcPr>
          <w:p w14:paraId="11EF239F" w14:textId="77777777" w:rsidR="003B54E0" w:rsidRPr="004A019F" w:rsidRDefault="003B54E0" w:rsidP="004A019F">
            <w:pPr>
              <w:keepNext/>
              <w:spacing w:after="0" w:line="240" w:lineRule="auto"/>
              <w:ind w:left="0" w:firstLine="0"/>
              <w:contextualSpacing/>
              <w:rPr>
                <w:lang w:val="sv-SE"/>
              </w:rPr>
            </w:pPr>
          </w:p>
        </w:tc>
        <w:tc>
          <w:tcPr>
            <w:tcW w:w="2103" w:type="pct"/>
            <w:tcBorders>
              <w:top w:val="single" w:sz="4" w:space="0" w:color="auto"/>
              <w:left w:val="single" w:sz="4" w:space="0" w:color="auto"/>
              <w:bottom w:val="single" w:sz="4" w:space="0" w:color="auto"/>
              <w:right w:val="single" w:sz="4" w:space="0" w:color="auto"/>
            </w:tcBorders>
            <w:shd w:val="clear" w:color="auto" w:fill="auto"/>
          </w:tcPr>
          <w:p w14:paraId="1E363985" w14:textId="265B5E05" w:rsidR="003B54E0" w:rsidRPr="004A019F" w:rsidRDefault="003B54E0" w:rsidP="004A019F">
            <w:pPr>
              <w:keepNext/>
              <w:spacing w:after="0" w:line="240" w:lineRule="auto"/>
              <w:ind w:left="0" w:firstLine="0"/>
              <w:contextualSpacing/>
              <w:rPr>
                <w:lang w:val="sv-SE"/>
              </w:rPr>
            </w:pPr>
            <w:r w:rsidRPr="004A019F">
              <w:rPr>
                <w:vertAlign w:val="superscript"/>
                <w:lang w:val="sv-SE"/>
              </w:rPr>
              <w:t>+1</w:t>
            </w:r>
            <w:r w:rsidRPr="004A019F">
              <w:rPr>
                <w:lang w:val="sv-SE"/>
              </w:rPr>
              <w:t>Rosslande/pipande andning</w:t>
            </w: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214963FB" w14:textId="383D7E64" w:rsidR="003B54E0" w:rsidRPr="004A019F" w:rsidRDefault="003B54E0" w:rsidP="004A019F">
            <w:pPr>
              <w:keepNext/>
              <w:spacing w:after="0" w:line="240" w:lineRule="auto"/>
              <w:ind w:left="0" w:firstLine="0"/>
              <w:contextualSpacing/>
              <w:rPr>
                <w:lang w:val="sv-SE"/>
              </w:rPr>
            </w:pPr>
            <w:r w:rsidRPr="004A019F">
              <w:rPr>
                <w:lang w:val="sv-SE"/>
              </w:rPr>
              <w:t>Mindre vanlig</w:t>
            </w:r>
          </w:p>
        </w:tc>
      </w:tr>
      <w:tr w:rsidR="00AD14F8" w:rsidRPr="00A74CC6" w14:paraId="060D836C" w14:textId="77777777" w:rsidTr="004A019F">
        <w:trPr>
          <w:trHeight w:val="281"/>
        </w:trPr>
        <w:tc>
          <w:tcPr>
            <w:tcW w:w="1579" w:type="pct"/>
            <w:vMerge/>
            <w:tcBorders>
              <w:left w:val="single" w:sz="4" w:space="0" w:color="auto"/>
              <w:right w:val="single" w:sz="4" w:space="0" w:color="auto"/>
            </w:tcBorders>
            <w:shd w:val="clear" w:color="auto" w:fill="auto"/>
          </w:tcPr>
          <w:p w14:paraId="74915171" w14:textId="77777777" w:rsidR="003B54E0" w:rsidRPr="004A019F" w:rsidRDefault="003B54E0" w:rsidP="004A019F">
            <w:pPr>
              <w:keepNext/>
              <w:spacing w:after="0" w:line="240" w:lineRule="auto"/>
              <w:ind w:left="0" w:firstLine="0"/>
              <w:contextualSpacing/>
              <w:rPr>
                <w:lang w:val="sv-SE"/>
              </w:rPr>
            </w:pPr>
          </w:p>
        </w:tc>
        <w:tc>
          <w:tcPr>
            <w:tcW w:w="2103" w:type="pct"/>
            <w:tcBorders>
              <w:top w:val="single" w:sz="4" w:space="0" w:color="auto"/>
              <w:left w:val="single" w:sz="4" w:space="0" w:color="auto"/>
              <w:bottom w:val="single" w:sz="4" w:space="0" w:color="auto"/>
              <w:right w:val="single" w:sz="4" w:space="0" w:color="auto"/>
            </w:tcBorders>
            <w:shd w:val="clear" w:color="auto" w:fill="auto"/>
          </w:tcPr>
          <w:p w14:paraId="05EE50F1" w14:textId="77777777" w:rsidR="003B54E0" w:rsidRPr="004A019F" w:rsidRDefault="003B54E0" w:rsidP="004A019F">
            <w:pPr>
              <w:keepNext/>
              <w:spacing w:after="0" w:line="240" w:lineRule="auto"/>
              <w:ind w:left="0" w:firstLine="0"/>
              <w:contextualSpacing/>
              <w:rPr>
                <w:lang w:val="sv-SE"/>
              </w:rPr>
            </w:pPr>
            <w:r w:rsidRPr="004A019F">
              <w:rPr>
                <w:lang w:val="sv-SE"/>
              </w:rPr>
              <w:t>Pneumonit</w:t>
            </w: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22A3EED1" w14:textId="20219935" w:rsidR="003B54E0" w:rsidRPr="004A019F" w:rsidRDefault="003B54E0" w:rsidP="004A019F">
            <w:pPr>
              <w:keepNext/>
              <w:spacing w:after="0" w:line="240" w:lineRule="auto"/>
              <w:ind w:left="0" w:firstLine="0"/>
              <w:contextualSpacing/>
              <w:rPr>
                <w:lang w:val="sv-SE"/>
              </w:rPr>
            </w:pPr>
            <w:r w:rsidRPr="004A019F">
              <w:rPr>
                <w:lang w:val="sv-SE"/>
              </w:rPr>
              <w:t>Mindre vanlig</w:t>
            </w:r>
          </w:p>
        </w:tc>
      </w:tr>
      <w:tr w:rsidR="00AD14F8" w:rsidRPr="00A74CC6" w14:paraId="0B968346" w14:textId="77777777" w:rsidTr="004A019F">
        <w:trPr>
          <w:trHeight w:val="262"/>
        </w:trPr>
        <w:tc>
          <w:tcPr>
            <w:tcW w:w="1579" w:type="pct"/>
            <w:vMerge/>
            <w:tcBorders>
              <w:left w:val="single" w:sz="4" w:space="0" w:color="auto"/>
              <w:right w:val="single" w:sz="4" w:space="0" w:color="auto"/>
            </w:tcBorders>
            <w:shd w:val="clear" w:color="auto" w:fill="auto"/>
          </w:tcPr>
          <w:p w14:paraId="4F778240" w14:textId="77777777" w:rsidR="003B54E0" w:rsidRPr="004A019F" w:rsidRDefault="003B54E0" w:rsidP="004A019F">
            <w:pPr>
              <w:keepNext/>
              <w:spacing w:after="0" w:line="240" w:lineRule="auto"/>
              <w:ind w:left="0" w:firstLine="0"/>
              <w:contextualSpacing/>
              <w:rPr>
                <w:lang w:val="sv-SE"/>
              </w:rPr>
            </w:pPr>
          </w:p>
        </w:tc>
        <w:tc>
          <w:tcPr>
            <w:tcW w:w="2103" w:type="pct"/>
            <w:tcBorders>
              <w:top w:val="single" w:sz="4" w:space="0" w:color="auto"/>
              <w:left w:val="single" w:sz="4" w:space="0" w:color="auto"/>
              <w:bottom w:val="single" w:sz="4" w:space="0" w:color="auto"/>
              <w:right w:val="single" w:sz="4" w:space="0" w:color="auto"/>
            </w:tcBorders>
            <w:shd w:val="clear" w:color="auto" w:fill="auto"/>
          </w:tcPr>
          <w:p w14:paraId="36CCBE0C" w14:textId="77777777" w:rsidR="003B54E0" w:rsidRPr="004A019F" w:rsidRDefault="003B54E0" w:rsidP="004A019F">
            <w:pPr>
              <w:keepNext/>
              <w:spacing w:after="0" w:line="240" w:lineRule="auto"/>
              <w:ind w:left="0" w:firstLine="0"/>
              <w:contextualSpacing/>
              <w:rPr>
                <w:lang w:val="sv-SE"/>
              </w:rPr>
            </w:pPr>
            <w:r w:rsidRPr="004A019F">
              <w:rPr>
                <w:vertAlign w:val="superscript"/>
                <w:lang w:val="sv-SE"/>
              </w:rPr>
              <w:t>+</w:t>
            </w:r>
            <w:r w:rsidRPr="004A019F">
              <w:rPr>
                <w:lang w:val="sv-SE"/>
              </w:rPr>
              <w:t>Lungfibros</w:t>
            </w: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67A3A24E" w14:textId="77777777" w:rsidR="003B54E0" w:rsidRPr="004A019F" w:rsidRDefault="003B54E0" w:rsidP="004A019F">
            <w:pPr>
              <w:keepNext/>
              <w:spacing w:after="0" w:line="240" w:lineRule="auto"/>
              <w:ind w:left="0" w:firstLine="0"/>
              <w:contextualSpacing/>
              <w:rPr>
                <w:lang w:val="sv-SE"/>
              </w:rPr>
            </w:pPr>
            <w:r w:rsidRPr="004A019F">
              <w:rPr>
                <w:lang w:val="sv-SE"/>
              </w:rPr>
              <w:t>Ingen känd frekvens</w:t>
            </w:r>
          </w:p>
        </w:tc>
      </w:tr>
      <w:tr w:rsidR="00AD14F8" w:rsidRPr="00A74CC6" w14:paraId="2B475492" w14:textId="77777777" w:rsidTr="004A019F">
        <w:trPr>
          <w:trHeight w:val="269"/>
        </w:trPr>
        <w:tc>
          <w:tcPr>
            <w:tcW w:w="1579" w:type="pct"/>
            <w:vMerge/>
            <w:tcBorders>
              <w:left w:val="single" w:sz="4" w:space="0" w:color="auto"/>
              <w:right w:val="single" w:sz="4" w:space="0" w:color="auto"/>
            </w:tcBorders>
            <w:shd w:val="clear" w:color="auto" w:fill="auto"/>
          </w:tcPr>
          <w:p w14:paraId="2836CE5A" w14:textId="77777777" w:rsidR="003B54E0" w:rsidRPr="004A019F" w:rsidRDefault="003B54E0" w:rsidP="004A019F">
            <w:pPr>
              <w:keepNext/>
              <w:spacing w:after="0" w:line="240" w:lineRule="auto"/>
              <w:ind w:left="0" w:firstLine="0"/>
              <w:contextualSpacing/>
              <w:rPr>
                <w:lang w:val="sv-SE"/>
              </w:rPr>
            </w:pPr>
          </w:p>
        </w:tc>
        <w:tc>
          <w:tcPr>
            <w:tcW w:w="2103" w:type="pct"/>
            <w:tcBorders>
              <w:top w:val="single" w:sz="4" w:space="0" w:color="auto"/>
              <w:left w:val="single" w:sz="4" w:space="0" w:color="auto"/>
              <w:bottom w:val="single" w:sz="4" w:space="0" w:color="auto"/>
              <w:right w:val="single" w:sz="4" w:space="0" w:color="auto"/>
            </w:tcBorders>
            <w:shd w:val="clear" w:color="auto" w:fill="auto"/>
          </w:tcPr>
          <w:p w14:paraId="599715D4" w14:textId="77777777" w:rsidR="003B54E0" w:rsidRPr="004A019F" w:rsidRDefault="003B54E0" w:rsidP="004A019F">
            <w:pPr>
              <w:keepNext/>
              <w:spacing w:after="0" w:line="240" w:lineRule="auto"/>
              <w:ind w:left="0" w:firstLine="0"/>
              <w:contextualSpacing/>
              <w:rPr>
                <w:lang w:val="sv-SE"/>
              </w:rPr>
            </w:pPr>
            <w:r w:rsidRPr="004A019F">
              <w:rPr>
                <w:vertAlign w:val="superscript"/>
                <w:lang w:val="sv-SE"/>
              </w:rPr>
              <w:t>+</w:t>
            </w:r>
            <w:r w:rsidRPr="004A019F">
              <w:rPr>
                <w:lang w:val="sv-SE"/>
              </w:rPr>
              <w:t>Andnöd</w:t>
            </w: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142D5CA1" w14:textId="77777777" w:rsidR="003B54E0" w:rsidRPr="004A019F" w:rsidRDefault="003B54E0" w:rsidP="004A019F">
            <w:pPr>
              <w:spacing w:after="0" w:line="240" w:lineRule="auto"/>
              <w:ind w:left="0" w:firstLine="0"/>
              <w:contextualSpacing/>
              <w:rPr>
                <w:lang w:val="sv-SE"/>
              </w:rPr>
            </w:pPr>
            <w:r w:rsidRPr="004A019F">
              <w:rPr>
                <w:lang w:val="sv-SE"/>
              </w:rPr>
              <w:t>Ingen känd frekvens</w:t>
            </w:r>
          </w:p>
        </w:tc>
      </w:tr>
      <w:tr w:rsidR="00AD14F8" w:rsidRPr="00A74CC6" w14:paraId="616342E6" w14:textId="77777777" w:rsidTr="004A019F">
        <w:trPr>
          <w:trHeight w:val="286"/>
        </w:trPr>
        <w:tc>
          <w:tcPr>
            <w:tcW w:w="1579" w:type="pct"/>
            <w:vMerge/>
            <w:tcBorders>
              <w:left w:val="single" w:sz="4" w:space="0" w:color="auto"/>
              <w:right w:val="single" w:sz="4" w:space="0" w:color="auto"/>
            </w:tcBorders>
            <w:shd w:val="clear" w:color="auto" w:fill="auto"/>
          </w:tcPr>
          <w:p w14:paraId="6A8434D6" w14:textId="77777777" w:rsidR="003B54E0" w:rsidRPr="004A019F" w:rsidRDefault="003B54E0" w:rsidP="004A019F">
            <w:pPr>
              <w:keepNext/>
              <w:spacing w:after="0" w:line="240" w:lineRule="auto"/>
              <w:ind w:left="0" w:firstLine="0"/>
              <w:contextualSpacing/>
              <w:rPr>
                <w:lang w:val="sv-SE"/>
              </w:rPr>
            </w:pPr>
          </w:p>
        </w:tc>
        <w:tc>
          <w:tcPr>
            <w:tcW w:w="2103" w:type="pct"/>
            <w:tcBorders>
              <w:top w:val="single" w:sz="4" w:space="0" w:color="auto"/>
              <w:left w:val="single" w:sz="4" w:space="0" w:color="auto"/>
              <w:bottom w:val="single" w:sz="4" w:space="0" w:color="auto"/>
              <w:right w:val="single" w:sz="4" w:space="0" w:color="auto"/>
            </w:tcBorders>
            <w:shd w:val="clear" w:color="auto" w:fill="auto"/>
          </w:tcPr>
          <w:p w14:paraId="6CEBE0BD" w14:textId="77777777" w:rsidR="003B54E0" w:rsidRPr="004A019F" w:rsidRDefault="003B54E0" w:rsidP="004A019F">
            <w:pPr>
              <w:keepNext/>
              <w:spacing w:after="0" w:line="240" w:lineRule="auto"/>
              <w:ind w:left="0" w:firstLine="0"/>
              <w:contextualSpacing/>
              <w:rPr>
                <w:lang w:val="sv-SE"/>
              </w:rPr>
            </w:pPr>
            <w:r w:rsidRPr="004A019F">
              <w:rPr>
                <w:vertAlign w:val="superscript"/>
                <w:lang w:val="sv-SE"/>
              </w:rPr>
              <w:t>+</w:t>
            </w:r>
            <w:r w:rsidRPr="004A019F">
              <w:rPr>
                <w:lang w:val="sv-SE"/>
              </w:rPr>
              <w:t>Andningssvikt</w:t>
            </w: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30199B30" w14:textId="77777777" w:rsidR="003B54E0" w:rsidRPr="004A019F" w:rsidRDefault="003B54E0" w:rsidP="004A019F">
            <w:pPr>
              <w:spacing w:after="0" w:line="240" w:lineRule="auto"/>
              <w:ind w:left="0" w:firstLine="0"/>
              <w:contextualSpacing/>
              <w:rPr>
                <w:lang w:val="sv-SE"/>
              </w:rPr>
            </w:pPr>
            <w:r w:rsidRPr="004A019F">
              <w:rPr>
                <w:lang w:val="sv-SE"/>
              </w:rPr>
              <w:t>Ingen känd frekvens</w:t>
            </w:r>
          </w:p>
        </w:tc>
      </w:tr>
      <w:tr w:rsidR="00AD14F8" w:rsidRPr="00A74CC6" w14:paraId="1C1D188A" w14:textId="77777777" w:rsidTr="004A019F">
        <w:trPr>
          <w:trHeight w:val="283"/>
        </w:trPr>
        <w:tc>
          <w:tcPr>
            <w:tcW w:w="1579" w:type="pct"/>
            <w:vMerge/>
            <w:tcBorders>
              <w:left w:val="single" w:sz="4" w:space="0" w:color="auto"/>
              <w:right w:val="single" w:sz="4" w:space="0" w:color="auto"/>
            </w:tcBorders>
            <w:shd w:val="clear" w:color="auto" w:fill="auto"/>
          </w:tcPr>
          <w:p w14:paraId="380A4FD1" w14:textId="77777777" w:rsidR="003B54E0" w:rsidRPr="004A019F" w:rsidRDefault="003B54E0" w:rsidP="004A019F">
            <w:pPr>
              <w:keepNext/>
              <w:spacing w:after="0" w:line="240" w:lineRule="auto"/>
              <w:ind w:left="0" w:firstLine="0"/>
              <w:contextualSpacing/>
              <w:rPr>
                <w:lang w:val="sv-SE"/>
              </w:rPr>
            </w:pPr>
          </w:p>
        </w:tc>
        <w:tc>
          <w:tcPr>
            <w:tcW w:w="2103" w:type="pct"/>
            <w:tcBorders>
              <w:top w:val="single" w:sz="4" w:space="0" w:color="auto"/>
              <w:left w:val="single" w:sz="4" w:space="0" w:color="auto"/>
              <w:bottom w:val="single" w:sz="4" w:space="0" w:color="auto"/>
              <w:right w:val="single" w:sz="4" w:space="0" w:color="auto"/>
            </w:tcBorders>
            <w:shd w:val="clear" w:color="auto" w:fill="auto"/>
          </w:tcPr>
          <w:p w14:paraId="7EA4CBBB" w14:textId="77777777" w:rsidR="003B54E0" w:rsidRPr="004A019F" w:rsidRDefault="003B54E0" w:rsidP="004A019F">
            <w:pPr>
              <w:keepNext/>
              <w:spacing w:after="0" w:line="240" w:lineRule="auto"/>
              <w:ind w:left="0" w:firstLine="0"/>
              <w:contextualSpacing/>
              <w:rPr>
                <w:lang w:val="sv-SE"/>
              </w:rPr>
            </w:pPr>
            <w:r w:rsidRPr="004A019F">
              <w:rPr>
                <w:vertAlign w:val="superscript"/>
                <w:lang w:val="sv-SE"/>
              </w:rPr>
              <w:t>+</w:t>
            </w:r>
            <w:r w:rsidRPr="004A019F">
              <w:rPr>
                <w:lang w:val="sv-SE"/>
              </w:rPr>
              <w:t>Lunginfiltration</w:t>
            </w: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1328B7BA" w14:textId="77777777" w:rsidR="003B54E0" w:rsidRPr="004A019F" w:rsidRDefault="003B54E0" w:rsidP="004A019F">
            <w:pPr>
              <w:spacing w:after="0" w:line="240" w:lineRule="auto"/>
              <w:ind w:left="0" w:firstLine="0"/>
              <w:contextualSpacing/>
              <w:rPr>
                <w:lang w:val="sv-SE"/>
              </w:rPr>
            </w:pPr>
            <w:r w:rsidRPr="004A019F">
              <w:rPr>
                <w:lang w:val="sv-SE"/>
              </w:rPr>
              <w:t>Ingen känd frekvens</w:t>
            </w:r>
          </w:p>
        </w:tc>
      </w:tr>
      <w:tr w:rsidR="00AD14F8" w:rsidRPr="00A74CC6" w14:paraId="4C296227" w14:textId="77777777" w:rsidTr="004A019F">
        <w:trPr>
          <w:trHeight w:val="264"/>
        </w:trPr>
        <w:tc>
          <w:tcPr>
            <w:tcW w:w="1579" w:type="pct"/>
            <w:vMerge/>
            <w:tcBorders>
              <w:left w:val="single" w:sz="4" w:space="0" w:color="auto"/>
              <w:right w:val="single" w:sz="4" w:space="0" w:color="auto"/>
            </w:tcBorders>
            <w:shd w:val="clear" w:color="auto" w:fill="auto"/>
          </w:tcPr>
          <w:p w14:paraId="234321ED" w14:textId="77777777" w:rsidR="003B54E0" w:rsidRPr="004A019F" w:rsidRDefault="003B54E0" w:rsidP="004A019F">
            <w:pPr>
              <w:keepNext/>
              <w:spacing w:after="0" w:line="240" w:lineRule="auto"/>
              <w:ind w:left="0" w:firstLine="0"/>
              <w:contextualSpacing/>
              <w:rPr>
                <w:lang w:val="sv-SE"/>
              </w:rPr>
            </w:pPr>
          </w:p>
        </w:tc>
        <w:tc>
          <w:tcPr>
            <w:tcW w:w="2103" w:type="pct"/>
            <w:tcBorders>
              <w:top w:val="single" w:sz="4" w:space="0" w:color="auto"/>
              <w:left w:val="single" w:sz="4" w:space="0" w:color="auto"/>
              <w:bottom w:val="single" w:sz="4" w:space="0" w:color="auto"/>
              <w:right w:val="single" w:sz="4" w:space="0" w:color="auto"/>
            </w:tcBorders>
            <w:shd w:val="clear" w:color="auto" w:fill="auto"/>
          </w:tcPr>
          <w:p w14:paraId="617958FD" w14:textId="77777777" w:rsidR="003B54E0" w:rsidRPr="004A019F" w:rsidRDefault="003B54E0" w:rsidP="004A019F">
            <w:pPr>
              <w:keepNext/>
              <w:spacing w:after="0" w:line="240" w:lineRule="auto"/>
              <w:ind w:left="0" w:firstLine="0"/>
              <w:contextualSpacing/>
              <w:rPr>
                <w:lang w:val="sv-SE"/>
              </w:rPr>
            </w:pPr>
            <w:r w:rsidRPr="004A019F">
              <w:rPr>
                <w:vertAlign w:val="superscript"/>
                <w:lang w:val="sv-SE"/>
              </w:rPr>
              <w:t>+</w:t>
            </w:r>
            <w:r w:rsidRPr="004A019F">
              <w:rPr>
                <w:lang w:val="sv-SE"/>
              </w:rPr>
              <w:t>Akut lungödem</w:t>
            </w: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0757BE3A" w14:textId="77777777" w:rsidR="003B54E0" w:rsidRPr="004A019F" w:rsidRDefault="003B54E0" w:rsidP="004A019F">
            <w:pPr>
              <w:spacing w:after="0" w:line="240" w:lineRule="auto"/>
              <w:ind w:left="0" w:firstLine="0"/>
              <w:contextualSpacing/>
              <w:rPr>
                <w:lang w:val="sv-SE"/>
              </w:rPr>
            </w:pPr>
            <w:r w:rsidRPr="004A019F">
              <w:rPr>
                <w:lang w:val="sv-SE"/>
              </w:rPr>
              <w:t>Ingen känd frekvens</w:t>
            </w:r>
          </w:p>
        </w:tc>
      </w:tr>
      <w:tr w:rsidR="00AD14F8" w:rsidRPr="00A74CC6" w14:paraId="492465AB" w14:textId="77777777" w:rsidTr="004A019F">
        <w:trPr>
          <w:trHeight w:val="264"/>
        </w:trPr>
        <w:tc>
          <w:tcPr>
            <w:tcW w:w="1579" w:type="pct"/>
            <w:vMerge/>
            <w:tcBorders>
              <w:left w:val="single" w:sz="4" w:space="0" w:color="auto"/>
              <w:right w:val="single" w:sz="4" w:space="0" w:color="auto"/>
            </w:tcBorders>
            <w:shd w:val="clear" w:color="auto" w:fill="auto"/>
          </w:tcPr>
          <w:p w14:paraId="6AA75D03" w14:textId="77777777" w:rsidR="003B54E0" w:rsidRPr="004A019F" w:rsidRDefault="003B54E0" w:rsidP="004A019F">
            <w:pPr>
              <w:keepNext/>
              <w:spacing w:after="0" w:line="240" w:lineRule="auto"/>
              <w:ind w:left="0" w:firstLine="0"/>
              <w:contextualSpacing/>
              <w:rPr>
                <w:lang w:val="sv-SE"/>
              </w:rPr>
            </w:pPr>
          </w:p>
        </w:tc>
        <w:tc>
          <w:tcPr>
            <w:tcW w:w="2103" w:type="pct"/>
            <w:tcBorders>
              <w:top w:val="single" w:sz="4" w:space="0" w:color="auto"/>
              <w:left w:val="single" w:sz="4" w:space="0" w:color="auto"/>
              <w:bottom w:val="single" w:sz="4" w:space="0" w:color="auto"/>
              <w:right w:val="single" w:sz="4" w:space="0" w:color="auto"/>
            </w:tcBorders>
            <w:shd w:val="clear" w:color="auto" w:fill="auto"/>
          </w:tcPr>
          <w:p w14:paraId="31A83D0B" w14:textId="4EB70252" w:rsidR="003B54E0" w:rsidRPr="004A019F" w:rsidRDefault="003B54E0" w:rsidP="004A019F">
            <w:pPr>
              <w:keepNext/>
              <w:spacing w:after="0" w:line="240" w:lineRule="auto"/>
              <w:ind w:left="0" w:firstLine="0"/>
              <w:contextualSpacing/>
              <w:rPr>
                <w:lang w:val="sv-SE"/>
              </w:rPr>
            </w:pPr>
            <w:r w:rsidRPr="004A019F">
              <w:rPr>
                <w:vertAlign w:val="superscript"/>
                <w:lang w:val="sv-SE"/>
              </w:rPr>
              <w:t>+</w:t>
            </w:r>
            <w:r w:rsidRPr="004A019F">
              <w:rPr>
                <w:lang w:val="sv-SE"/>
              </w:rPr>
              <w:t>Akut andnödssyndrom (ARDS)</w:t>
            </w: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1E3A99A1" w14:textId="77777777" w:rsidR="003B54E0" w:rsidRPr="004A019F" w:rsidRDefault="003B54E0" w:rsidP="004A019F">
            <w:pPr>
              <w:spacing w:after="0" w:line="240" w:lineRule="auto"/>
              <w:ind w:left="0" w:firstLine="0"/>
              <w:contextualSpacing/>
              <w:rPr>
                <w:lang w:val="sv-SE"/>
              </w:rPr>
            </w:pPr>
            <w:r w:rsidRPr="004A019F">
              <w:rPr>
                <w:lang w:val="sv-SE"/>
              </w:rPr>
              <w:t>Ingen känd frekvens</w:t>
            </w:r>
          </w:p>
        </w:tc>
      </w:tr>
      <w:tr w:rsidR="00AD14F8" w:rsidRPr="00A74CC6" w14:paraId="1C045D1E" w14:textId="77777777" w:rsidTr="004A019F">
        <w:trPr>
          <w:trHeight w:val="262"/>
        </w:trPr>
        <w:tc>
          <w:tcPr>
            <w:tcW w:w="1579" w:type="pct"/>
            <w:vMerge/>
            <w:tcBorders>
              <w:left w:val="single" w:sz="4" w:space="0" w:color="auto"/>
              <w:right w:val="single" w:sz="4" w:space="0" w:color="auto"/>
            </w:tcBorders>
            <w:shd w:val="clear" w:color="auto" w:fill="auto"/>
          </w:tcPr>
          <w:p w14:paraId="145D2318" w14:textId="77777777" w:rsidR="003B54E0" w:rsidRPr="004A019F" w:rsidRDefault="003B54E0" w:rsidP="004A019F">
            <w:pPr>
              <w:keepNext/>
              <w:spacing w:after="0" w:line="240" w:lineRule="auto"/>
              <w:ind w:left="0" w:firstLine="0"/>
              <w:contextualSpacing/>
              <w:rPr>
                <w:lang w:val="sv-SE"/>
              </w:rPr>
            </w:pPr>
          </w:p>
        </w:tc>
        <w:tc>
          <w:tcPr>
            <w:tcW w:w="2103" w:type="pct"/>
            <w:tcBorders>
              <w:top w:val="single" w:sz="4" w:space="0" w:color="auto"/>
              <w:left w:val="single" w:sz="4" w:space="0" w:color="auto"/>
              <w:bottom w:val="single" w:sz="4" w:space="0" w:color="000000"/>
              <w:right w:val="single" w:sz="4" w:space="0" w:color="000000"/>
            </w:tcBorders>
            <w:shd w:val="clear" w:color="auto" w:fill="auto"/>
          </w:tcPr>
          <w:p w14:paraId="54181E9E" w14:textId="77777777" w:rsidR="003B54E0" w:rsidRPr="004A019F" w:rsidRDefault="003B54E0" w:rsidP="004A019F">
            <w:pPr>
              <w:keepNext/>
              <w:spacing w:after="0" w:line="240" w:lineRule="auto"/>
              <w:ind w:left="0" w:firstLine="0"/>
              <w:contextualSpacing/>
              <w:rPr>
                <w:lang w:val="sv-SE"/>
              </w:rPr>
            </w:pPr>
            <w:r w:rsidRPr="004A019F">
              <w:rPr>
                <w:vertAlign w:val="superscript"/>
                <w:lang w:val="sv-SE"/>
              </w:rPr>
              <w:t>+</w:t>
            </w:r>
            <w:r w:rsidRPr="004A019F">
              <w:rPr>
                <w:lang w:val="sv-SE"/>
              </w:rPr>
              <w:t>Bronkospasm</w:t>
            </w:r>
          </w:p>
        </w:tc>
        <w:tc>
          <w:tcPr>
            <w:tcW w:w="1318" w:type="pct"/>
            <w:tcBorders>
              <w:top w:val="single" w:sz="4" w:space="0" w:color="auto"/>
              <w:left w:val="single" w:sz="4" w:space="0" w:color="000000"/>
              <w:bottom w:val="single" w:sz="4" w:space="0" w:color="000000"/>
              <w:right w:val="single" w:sz="4" w:space="0" w:color="000000"/>
            </w:tcBorders>
            <w:shd w:val="clear" w:color="auto" w:fill="auto"/>
          </w:tcPr>
          <w:p w14:paraId="3C5B7781" w14:textId="77777777" w:rsidR="003B54E0" w:rsidRPr="004A019F" w:rsidRDefault="003B54E0" w:rsidP="004A019F">
            <w:pPr>
              <w:spacing w:after="0" w:line="240" w:lineRule="auto"/>
              <w:ind w:left="0" w:firstLine="0"/>
              <w:contextualSpacing/>
              <w:rPr>
                <w:lang w:val="sv-SE"/>
              </w:rPr>
            </w:pPr>
            <w:r w:rsidRPr="004A019F">
              <w:rPr>
                <w:lang w:val="sv-SE"/>
              </w:rPr>
              <w:t>Ingen känd frekvens</w:t>
            </w:r>
          </w:p>
        </w:tc>
      </w:tr>
      <w:tr w:rsidR="00AD14F8" w:rsidRPr="00A74CC6" w14:paraId="5D6B9087" w14:textId="77777777" w:rsidTr="004A019F">
        <w:trPr>
          <w:trHeight w:val="264"/>
        </w:trPr>
        <w:tc>
          <w:tcPr>
            <w:tcW w:w="1579" w:type="pct"/>
            <w:vMerge/>
            <w:tcBorders>
              <w:left w:val="single" w:sz="4" w:space="0" w:color="auto"/>
              <w:right w:val="single" w:sz="4" w:space="0" w:color="auto"/>
            </w:tcBorders>
            <w:shd w:val="clear" w:color="auto" w:fill="auto"/>
          </w:tcPr>
          <w:p w14:paraId="6E7505C9" w14:textId="77777777" w:rsidR="003B54E0" w:rsidRPr="004A019F" w:rsidRDefault="003B54E0" w:rsidP="004A019F">
            <w:pPr>
              <w:keepNext/>
              <w:spacing w:after="0" w:line="240" w:lineRule="auto"/>
              <w:ind w:left="0" w:firstLine="0"/>
              <w:contextualSpacing/>
              <w:rPr>
                <w:lang w:val="sv-SE"/>
              </w:rPr>
            </w:pPr>
          </w:p>
        </w:tc>
        <w:tc>
          <w:tcPr>
            <w:tcW w:w="2103" w:type="pct"/>
            <w:tcBorders>
              <w:top w:val="single" w:sz="4" w:space="0" w:color="000000"/>
              <w:left w:val="single" w:sz="4" w:space="0" w:color="auto"/>
              <w:bottom w:val="single" w:sz="4" w:space="0" w:color="000000"/>
              <w:right w:val="single" w:sz="4" w:space="0" w:color="000000"/>
            </w:tcBorders>
            <w:shd w:val="clear" w:color="auto" w:fill="auto"/>
          </w:tcPr>
          <w:p w14:paraId="1A6BF193" w14:textId="77777777" w:rsidR="003B54E0" w:rsidRPr="004A019F" w:rsidRDefault="003B54E0" w:rsidP="004A019F">
            <w:pPr>
              <w:keepNext/>
              <w:spacing w:after="0" w:line="240" w:lineRule="auto"/>
              <w:ind w:left="0" w:firstLine="0"/>
              <w:contextualSpacing/>
              <w:rPr>
                <w:lang w:val="sv-SE"/>
              </w:rPr>
            </w:pPr>
            <w:r w:rsidRPr="004A019F">
              <w:rPr>
                <w:vertAlign w:val="superscript"/>
                <w:lang w:val="sv-SE"/>
              </w:rPr>
              <w:t>+</w:t>
            </w:r>
            <w:r w:rsidRPr="004A019F">
              <w:rPr>
                <w:lang w:val="sv-SE"/>
              </w:rPr>
              <w:t>Hypoxi</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3A1F4A20" w14:textId="77777777" w:rsidR="003B54E0" w:rsidRPr="004A019F" w:rsidRDefault="003B54E0" w:rsidP="004A019F">
            <w:pPr>
              <w:spacing w:after="0" w:line="240" w:lineRule="auto"/>
              <w:ind w:left="0" w:firstLine="0"/>
              <w:contextualSpacing/>
              <w:rPr>
                <w:lang w:val="sv-SE"/>
              </w:rPr>
            </w:pPr>
            <w:r w:rsidRPr="004A019F">
              <w:rPr>
                <w:lang w:val="sv-SE"/>
              </w:rPr>
              <w:t>Ingen känd frekvens</w:t>
            </w:r>
          </w:p>
        </w:tc>
      </w:tr>
      <w:tr w:rsidR="00AD14F8" w:rsidRPr="00A74CC6" w14:paraId="1D04AA81" w14:textId="77777777" w:rsidTr="004A019F">
        <w:trPr>
          <w:trHeight w:val="262"/>
        </w:trPr>
        <w:tc>
          <w:tcPr>
            <w:tcW w:w="1579" w:type="pct"/>
            <w:vMerge/>
            <w:tcBorders>
              <w:left w:val="single" w:sz="4" w:space="0" w:color="auto"/>
              <w:right w:val="single" w:sz="4" w:space="0" w:color="auto"/>
            </w:tcBorders>
            <w:shd w:val="clear" w:color="auto" w:fill="auto"/>
          </w:tcPr>
          <w:p w14:paraId="02948242" w14:textId="77777777" w:rsidR="003B54E0" w:rsidRPr="004A019F" w:rsidRDefault="003B54E0" w:rsidP="004A019F">
            <w:pPr>
              <w:spacing w:after="0" w:line="240" w:lineRule="auto"/>
              <w:ind w:left="0" w:firstLine="0"/>
              <w:contextualSpacing/>
              <w:rPr>
                <w:lang w:val="sv-SE"/>
              </w:rPr>
            </w:pPr>
          </w:p>
        </w:tc>
        <w:tc>
          <w:tcPr>
            <w:tcW w:w="2103" w:type="pct"/>
            <w:tcBorders>
              <w:top w:val="single" w:sz="4" w:space="0" w:color="000000"/>
              <w:left w:val="single" w:sz="4" w:space="0" w:color="auto"/>
              <w:bottom w:val="single" w:sz="4" w:space="0" w:color="000000"/>
              <w:right w:val="single" w:sz="4" w:space="0" w:color="000000"/>
            </w:tcBorders>
            <w:shd w:val="clear" w:color="auto" w:fill="auto"/>
          </w:tcPr>
          <w:p w14:paraId="1655D115" w14:textId="77777777" w:rsidR="003B54E0" w:rsidRPr="004A019F" w:rsidRDefault="003B54E0" w:rsidP="004A019F">
            <w:pPr>
              <w:spacing w:after="0" w:line="240" w:lineRule="auto"/>
              <w:ind w:left="0" w:firstLine="0"/>
              <w:contextualSpacing/>
              <w:rPr>
                <w:lang w:val="sv-SE"/>
              </w:rPr>
            </w:pPr>
            <w:r w:rsidRPr="004A019F">
              <w:rPr>
                <w:vertAlign w:val="superscript"/>
                <w:lang w:val="sv-SE"/>
              </w:rPr>
              <w:t>+</w:t>
            </w:r>
            <w:r w:rsidRPr="004A019F">
              <w:rPr>
                <w:lang w:val="sv-SE"/>
              </w:rPr>
              <w:t>Minskad syremättnad</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7542C175" w14:textId="77777777" w:rsidR="003B54E0" w:rsidRPr="004A019F" w:rsidRDefault="003B54E0" w:rsidP="004A019F">
            <w:pPr>
              <w:spacing w:after="0" w:line="240" w:lineRule="auto"/>
              <w:ind w:left="0" w:firstLine="0"/>
              <w:contextualSpacing/>
              <w:rPr>
                <w:lang w:val="sv-SE"/>
              </w:rPr>
            </w:pPr>
            <w:r w:rsidRPr="004A019F">
              <w:rPr>
                <w:lang w:val="sv-SE"/>
              </w:rPr>
              <w:t>Ingen känd frekvens</w:t>
            </w:r>
          </w:p>
        </w:tc>
      </w:tr>
      <w:tr w:rsidR="00AD14F8" w:rsidRPr="00A74CC6" w14:paraId="646D9249" w14:textId="77777777" w:rsidTr="004A019F">
        <w:trPr>
          <w:trHeight w:val="264"/>
        </w:trPr>
        <w:tc>
          <w:tcPr>
            <w:tcW w:w="1579" w:type="pct"/>
            <w:vMerge/>
            <w:tcBorders>
              <w:left w:val="single" w:sz="4" w:space="0" w:color="auto"/>
              <w:right w:val="single" w:sz="4" w:space="0" w:color="auto"/>
            </w:tcBorders>
            <w:shd w:val="clear" w:color="auto" w:fill="auto"/>
          </w:tcPr>
          <w:p w14:paraId="570DDA39" w14:textId="77777777" w:rsidR="003B54E0" w:rsidRPr="004A019F" w:rsidRDefault="003B54E0" w:rsidP="004A019F">
            <w:pPr>
              <w:spacing w:after="0" w:line="240" w:lineRule="auto"/>
              <w:ind w:left="0" w:firstLine="0"/>
              <w:contextualSpacing/>
              <w:rPr>
                <w:lang w:val="sv-SE"/>
              </w:rPr>
            </w:pPr>
          </w:p>
        </w:tc>
        <w:tc>
          <w:tcPr>
            <w:tcW w:w="2103" w:type="pct"/>
            <w:tcBorders>
              <w:top w:val="single" w:sz="4" w:space="0" w:color="000000"/>
              <w:left w:val="single" w:sz="4" w:space="0" w:color="auto"/>
              <w:bottom w:val="single" w:sz="4" w:space="0" w:color="000000"/>
              <w:right w:val="single" w:sz="4" w:space="0" w:color="000000"/>
            </w:tcBorders>
            <w:shd w:val="clear" w:color="auto" w:fill="auto"/>
          </w:tcPr>
          <w:p w14:paraId="4979A1DC" w14:textId="5DE0F00F" w:rsidR="003B54E0" w:rsidRPr="004A019F" w:rsidRDefault="003B54E0" w:rsidP="004A019F">
            <w:pPr>
              <w:spacing w:after="0" w:line="240" w:lineRule="auto"/>
              <w:ind w:left="0" w:firstLine="0"/>
              <w:contextualSpacing/>
              <w:rPr>
                <w:lang w:val="sv-SE"/>
              </w:rPr>
            </w:pPr>
            <w:r w:rsidRPr="004A019F">
              <w:rPr>
                <w:lang w:val="sv-SE"/>
              </w:rPr>
              <w:t>Larynxödem</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5A435700" w14:textId="77777777" w:rsidR="003B54E0" w:rsidRPr="004A019F" w:rsidRDefault="003B54E0" w:rsidP="004A019F">
            <w:pPr>
              <w:spacing w:after="0" w:line="240" w:lineRule="auto"/>
              <w:ind w:left="0" w:firstLine="0"/>
              <w:contextualSpacing/>
              <w:rPr>
                <w:lang w:val="sv-SE"/>
              </w:rPr>
            </w:pPr>
            <w:r w:rsidRPr="004A019F">
              <w:rPr>
                <w:lang w:val="sv-SE"/>
              </w:rPr>
              <w:t>Ingen känd frekvens</w:t>
            </w:r>
          </w:p>
        </w:tc>
      </w:tr>
      <w:tr w:rsidR="00AD14F8" w:rsidRPr="00A74CC6" w14:paraId="02FDD33F" w14:textId="77777777" w:rsidTr="004A019F">
        <w:trPr>
          <w:trHeight w:val="262"/>
        </w:trPr>
        <w:tc>
          <w:tcPr>
            <w:tcW w:w="1579" w:type="pct"/>
            <w:vMerge/>
            <w:tcBorders>
              <w:left w:val="single" w:sz="4" w:space="0" w:color="auto"/>
              <w:right w:val="single" w:sz="4" w:space="0" w:color="auto"/>
            </w:tcBorders>
            <w:shd w:val="clear" w:color="auto" w:fill="auto"/>
          </w:tcPr>
          <w:p w14:paraId="5A91DAF3" w14:textId="77777777" w:rsidR="003B54E0" w:rsidRPr="004A019F" w:rsidRDefault="003B54E0" w:rsidP="004A019F">
            <w:pPr>
              <w:spacing w:after="0" w:line="240" w:lineRule="auto"/>
              <w:ind w:left="0" w:firstLine="0"/>
              <w:contextualSpacing/>
              <w:rPr>
                <w:lang w:val="sv-SE"/>
              </w:rPr>
            </w:pPr>
          </w:p>
        </w:tc>
        <w:tc>
          <w:tcPr>
            <w:tcW w:w="2103" w:type="pct"/>
            <w:tcBorders>
              <w:top w:val="single" w:sz="4" w:space="0" w:color="000000"/>
              <w:left w:val="single" w:sz="4" w:space="0" w:color="auto"/>
              <w:bottom w:val="single" w:sz="4" w:space="0" w:color="000000"/>
              <w:right w:val="single" w:sz="4" w:space="0" w:color="000000"/>
            </w:tcBorders>
            <w:shd w:val="clear" w:color="auto" w:fill="auto"/>
          </w:tcPr>
          <w:p w14:paraId="288993B7" w14:textId="77777777" w:rsidR="003B54E0" w:rsidRPr="004A019F" w:rsidRDefault="003B54E0" w:rsidP="004A019F">
            <w:pPr>
              <w:spacing w:after="0" w:line="240" w:lineRule="auto"/>
              <w:ind w:left="0" w:firstLine="0"/>
              <w:contextualSpacing/>
              <w:rPr>
                <w:lang w:val="sv-SE"/>
              </w:rPr>
            </w:pPr>
            <w:r w:rsidRPr="004A019F">
              <w:rPr>
                <w:lang w:val="sv-SE"/>
              </w:rPr>
              <w:t>Ortopné</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40F49B7D" w14:textId="77777777" w:rsidR="003B54E0" w:rsidRPr="004A019F" w:rsidRDefault="003B54E0" w:rsidP="004A019F">
            <w:pPr>
              <w:spacing w:after="0" w:line="240" w:lineRule="auto"/>
              <w:ind w:left="0" w:firstLine="0"/>
              <w:contextualSpacing/>
              <w:rPr>
                <w:lang w:val="sv-SE"/>
              </w:rPr>
            </w:pPr>
            <w:r w:rsidRPr="004A019F">
              <w:rPr>
                <w:lang w:val="sv-SE"/>
              </w:rPr>
              <w:t>Ingen känd frekvens</w:t>
            </w:r>
          </w:p>
        </w:tc>
      </w:tr>
      <w:tr w:rsidR="00AD14F8" w:rsidRPr="00A74CC6" w14:paraId="0344E67D" w14:textId="77777777" w:rsidTr="004A019F">
        <w:trPr>
          <w:trHeight w:val="264"/>
        </w:trPr>
        <w:tc>
          <w:tcPr>
            <w:tcW w:w="1579" w:type="pct"/>
            <w:vMerge/>
            <w:tcBorders>
              <w:left w:val="single" w:sz="4" w:space="0" w:color="auto"/>
              <w:right w:val="single" w:sz="4" w:space="0" w:color="auto"/>
            </w:tcBorders>
            <w:shd w:val="clear" w:color="auto" w:fill="auto"/>
          </w:tcPr>
          <w:p w14:paraId="5E9DBA47" w14:textId="77777777" w:rsidR="003B54E0" w:rsidRPr="004A019F" w:rsidRDefault="003B54E0" w:rsidP="004A019F">
            <w:pPr>
              <w:spacing w:after="0" w:line="240" w:lineRule="auto"/>
              <w:ind w:left="0" w:firstLine="0"/>
              <w:contextualSpacing/>
              <w:rPr>
                <w:lang w:val="sv-SE"/>
              </w:rPr>
            </w:pPr>
          </w:p>
        </w:tc>
        <w:tc>
          <w:tcPr>
            <w:tcW w:w="2103" w:type="pct"/>
            <w:tcBorders>
              <w:top w:val="single" w:sz="4" w:space="0" w:color="000000"/>
              <w:left w:val="single" w:sz="4" w:space="0" w:color="auto"/>
              <w:bottom w:val="single" w:sz="4" w:space="0" w:color="000000"/>
              <w:right w:val="single" w:sz="4" w:space="0" w:color="000000"/>
            </w:tcBorders>
            <w:shd w:val="clear" w:color="auto" w:fill="auto"/>
          </w:tcPr>
          <w:p w14:paraId="64001DF2" w14:textId="77777777" w:rsidR="003B54E0" w:rsidRPr="004A019F" w:rsidRDefault="003B54E0" w:rsidP="004A019F">
            <w:pPr>
              <w:spacing w:after="0" w:line="240" w:lineRule="auto"/>
              <w:ind w:left="0" w:firstLine="0"/>
              <w:contextualSpacing/>
              <w:rPr>
                <w:lang w:val="sv-SE"/>
              </w:rPr>
            </w:pPr>
            <w:r w:rsidRPr="004A019F">
              <w:rPr>
                <w:lang w:val="sv-SE"/>
              </w:rPr>
              <w:t>Lungödem</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7389A9D3" w14:textId="77777777" w:rsidR="003B54E0" w:rsidRPr="004A019F" w:rsidRDefault="003B54E0" w:rsidP="004A019F">
            <w:pPr>
              <w:spacing w:after="0" w:line="240" w:lineRule="auto"/>
              <w:ind w:left="0" w:firstLine="0"/>
              <w:contextualSpacing/>
              <w:rPr>
                <w:lang w:val="sv-SE"/>
              </w:rPr>
            </w:pPr>
            <w:r w:rsidRPr="004A019F">
              <w:rPr>
                <w:lang w:val="sv-SE"/>
              </w:rPr>
              <w:t>Ingen känd frekvens</w:t>
            </w:r>
          </w:p>
        </w:tc>
      </w:tr>
      <w:tr w:rsidR="00AD14F8" w:rsidRPr="00A74CC6" w14:paraId="618E355E" w14:textId="77777777" w:rsidTr="004A019F">
        <w:trPr>
          <w:trHeight w:val="264"/>
        </w:trPr>
        <w:tc>
          <w:tcPr>
            <w:tcW w:w="1579" w:type="pct"/>
            <w:vMerge/>
            <w:tcBorders>
              <w:left w:val="single" w:sz="4" w:space="0" w:color="auto"/>
              <w:bottom w:val="single" w:sz="4" w:space="0" w:color="000000"/>
              <w:right w:val="single" w:sz="4" w:space="0" w:color="auto"/>
            </w:tcBorders>
            <w:shd w:val="clear" w:color="auto" w:fill="auto"/>
          </w:tcPr>
          <w:p w14:paraId="054AED01" w14:textId="77777777" w:rsidR="003B54E0" w:rsidRPr="004A019F" w:rsidRDefault="003B54E0" w:rsidP="004A019F">
            <w:pPr>
              <w:spacing w:after="0" w:line="240" w:lineRule="auto"/>
              <w:ind w:left="0" w:firstLine="0"/>
              <w:contextualSpacing/>
              <w:rPr>
                <w:lang w:val="sv-SE"/>
              </w:rPr>
            </w:pPr>
          </w:p>
        </w:tc>
        <w:tc>
          <w:tcPr>
            <w:tcW w:w="2103" w:type="pct"/>
            <w:tcBorders>
              <w:top w:val="single" w:sz="4" w:space="0" w:color="000000"/>
              <w:left w:val="single" w:sz="4" w:space="0" w:color="auto"/>
              <w:bottom w:val="single" w:sz="4" w:space="0" w:color="000000"/>
              <w:right w:val="single" w:sz="4" w:space="0" w:color="000000"/>
            </w:tcBorders>
            <w:shd w:val="clear" w:color="auto" w:fill="auto"/>
          </w:tcPr>
          <w:p w14:paraId="2672FD8F" w14:textId="77777777" w:rsidR="003B54E0" w:rsidRPr="004A019F" w:rsidRDefault="003B54E0" w:rsidP="004A019F">
            <w:pPr>
              <w:spacing w:after="0" w:line="240" w:lineRule="auto"/>
              <w:ind w:left="0" w:firstLine="0"/>
              <w:contextualSpacing/>
              <w:rPr>
                <w:lang w:val="sv-SE"/>
              </w:rPr>
            </w:pPr>
            <w:r w:rsidRPr="004A019F">
              <w:rPr>
                <w:lang w:val="sv-SE"/>
              </w:rPr>
              <w:t>Interstitiell lungsjukdom</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24761848" w14:textId="77777777" w:rsidR="003B54E0" w:rsidRPr="004A019F" w:rsidRDefault="003B54E0" w:rsidP="004A019F">
            <w:pPr>
              <w:spacing w:after="0" w:line="240" w:lineRule="auto"/>
              <w:ind w:left="0" w:firstLine="0"/>
              <w:contextualSpacing/>
              <w:rPr>
                <w:lang w:val="sv-SE"/>
              </w:rPr>
            </w:pPr>
            <w:r w:rsidRPr="004A019F">
              <w:rPr>
                <w:lang w:val="sv-SE"/>
              </w:rPr>
              <w:t>Ingen känd frekvens</w:t>
            </w:r>
          </w:p>
        </w:tc>
      </w:tr>
      <w:tr w:rsidR="00AD14F8" w:rsidRPr="00A74CC6" w14:paraId="5232891C" w14:textId="77777777" w:rsidTr="004A019F">
        <w:trPr>
          <w:trHeight w:val="247"/>
        </w:trPr>
        <w:tc>
          <w:tcPr>
            <w:tcW w:w="1579" w:type="pct"/>
            <w:vMerge w:val="restart"/>
            <w:tcBorders>
              <w:top w:val="single" w:sz="4" w:space="0" w:color="000000"/>
              <w:left w:val="single" w:sz="4" w:space="0" w:color="000000"/>
              <w:bottom w:val="single" w:sz="4" w:space="0" w:color="auto"/>
              <w:right w:val="single" w:sz="4" w:space="0" w:color="000000"/>
            </w:tcBorders>
            <w:shd w:val="clear" w:color="auto" w:fill="auto"/>
          </w:tcPr>
          <w:p w14:paraId="27A249FA" w14:textId="77777777" w:rsidR="00B3376F" w:rsidRPr="004A019F" w:rsidRDefault="00B3376F" w:rsidP="004A019F">
            <w:pPr>
              <w:keepNext/>
              <w:spacing w:after="0" w:line="240" w:lineRule="auto"/>
              <w:ind w:left="0" w:firstLine="0"/>
              <w:contextualSpacing/>
              <w:rPr>
                <w:lang w:val="sv-SE"/>
              </w:rPr>
            </w:pPr>
            <w:r w:rsidRPr="004A019F">
              <w:rPr>
                <w:lang w:val="sv-SE"/>
              </w:rPr>
              <w:t xml:space="preserve">Magtarmkanalen </w:t>
            </w:r>
          </w:p>
        </w:tc>
        <w:tc>
          <w:tcPr>
            <w:tcW w:w="2103" w:type="pct"/>
            <w:tcBorders>
              <w:top w:val="single" w:sz="4" w:space="0" w:color="000000"/>
              <w:left w:val="single" w:sz="4" w:space="0" w:color="000000"/>
              <w:bottom w:val="single" w:sz="4" w:space="0" w:color="auto"/>
              <w:right w:val="single" w:sz="4" w:space="0" w:color="000000"/>
            </w:tcBorders>
            <w:shd w:val="clear" w:color="auto" w:fill="auto"/>
          </w:tcPr>
          <w:p w14:paraId="17FCD07E" w14:textId="77777777" w:rsidR="00B3376F" w:rsidRPr="004A019F" w:rsidRDefault="00B3376F" w:rsidP="004A019F">
            <w:pPr>
              <w:keepNext/>
              <w:spacing w:after="0" w:line="240" w:lineRule="auto"/>
              <w:ind w:left="0" w:firstLine="0"/>
              <w:contextualSpacing/>
              <w:rPr>
                <w:lang w:val="sv-SE"/>
              </w:rPr>
            </w:pPr>
            <w:r w:rsidRPr="004A019F">
              <w:rPr>
                <w:lang w:val="sv-SE"/>
              </w:rPr>
              <w:t>Diarré</w:t>
            </w:r>
          </w:p>
        </w:tc>
        <w:tc>
          <w:tcPr>
            <w:tcW w:w="1318" w:type="pct"/>
            <w:tcBorders>
              <w:top w:val="single" w:sz="4" w:space="0" w:color="000000"/>
              <w:left w:val="single" w:sz="4" w:space="0" w:color="000000"/>
              <w:bottom w:val="single" w:sz="4" w:space="0" w:color="auto"/>
              <w:right w:val="single" w:sz="4" w:space="0" w:color="000000"/>
            </w:tcBorders>
            <w:shd w:val="clear" w:color="auto" w:fill="auto"/>
          </w:tcPr>
          <w:p w14:paraId="58D72EFD" w14:textId="77777777" w:rsidR="00B3376F" w:rsidRPr="004A019F" w:rsidRDefault="00B3376F" w:rsidP="004A019F">
            <w:pPr>
              <w:keepNext/>
              <w:spacing w:after="0" w:line="240" w:lineRule="auto"/>
              <w:ind w:left="0" w:firstLine="0"/>
              <w:contextualSpacing/>
              <w:rPr>
                <w:lang w:val="sv-SE"/>
              </w:rPr>
            </w:pPr>
            <w:r w:rsidRPr="004A019F">
              <w:rPr>
                <w:lang w:val="sv-SE"/>
              </w:rPr>
              <w:t xml:space="preserve">Mycket vanlig </w:t>
            </w:r>
          </w:p>
        </w:tc>
      </w:tr>
      <w:tr w:rsidR="00AD14F8" w:rsidRPr="00A74CC6" w14:paraId="71582AD5" w14:textId="77777777" w:rsidTr="004A019F">
        <w:trPr>
          <w:trHeight w:val="262"/>
        </w:trPr>
        <w:tc>
          <w:tcPr>
            <w:tcW w:w="1579" w:type="pct"/>
            <w:vMerge/>
            <w:tcBorders>
              <w:top w:val="single" w:sz="4" w:space="0" w:color="000000"/>
              <w:left w:val="single" w:sz="4" w:space="0" w:color="000000"/>
              <w:bottom w:val="single" w:sz="4" w:space="0" w:color="auto"/>
              <w:right w:val="single" w:sz="4" w:space="0" w:color="000000"/>
            </w:tcBorders>
            <w:shd w:val="clear" w:color="auto" w:fill="auto"/>
          </w:tcPr>
          <w:p w14:paraId="77C2D1E8" w14:textId="77777777" w:rsidR="00B3376F" w:rsidRPr="004A019F" w:rsidRDefault="00B3376F" w:rsidP="004A019F">
            <w:pPr>
              <w:keepNext/>
              <w:spacing w:after="0" w:line="240" w:lineRule="auto"/>
              <w:ind w:left="0" w:firstLine="0"/>
              <w:contextualSpacing/>
              <w:rPr>
                <w:lang w:val="sv-SE"/>
              </w:rPr>
            </w:pPr>
          </w:p>
        </w:tc>
        <w:tc>
          <w:tcPr>
            <w:tcW w:w="2103" w:type="pct"/>
            <w:tcBorders>
              <w:top w:val="single" w:sz="4" w:space="0" w:color="auto"/>
              <w:left w:val="single" w:sz="4" w:space="0" w:color="000000"/>
              <w:bottom w:val="single" w:sz="4" w:space="0" w:color="auto"/>
              <w:right w:val="single" w:sz="4" w:space="0" w:color="000000"/>
            </w:tcBorders>
            <w:shd w:val="clear" w:color="auto" w:fill="auto"/>
          </w:tcPr>
          <w:p w14:paraId="07FBB037" w14:textId="77777777" w:rsidR="00B3376F" w:rsidRPr="004A019F" w:rsidRDefault="00B3376F" w:rsidP="004A019F">
            <w:pPr>
              <w:keepNext/>
              <w:spacing w:after="0" w:line="240" w:lineRule="auto"/>
              <w:ind w:left="0" w:firstLine="0"/>
              <w:contextualSpacing/>
              <w:rPr>
                <w:lang w:val="sv-SE"/>
              </w:rPr>
            </w:pPr>
            <w:r w:rsidRPr="004A019F">
              <w:rPr>
                <w:lang w:val="sv-SE"/>
              </w:rPr>
              <w:t>Kräkningar</w:t>
            </w:r>
          </w:p>
        </w:tc>
        <w:tc>
          <w:tcPr>
            <w:tcW w:w="1318" w:type="pct"/>
            <w:tcBorders>
              <w:top w:val="single" w:sz="4" w:space="0" w:color="auto"/>
              <w:left w:val="single" w:sz="4" w:space="0" w:color="000000"/>
              <w:bottom w:val="single" w:sz="4" w:space="0" w:color="auto"/>
              <w:right w:val="single" w:sz="4" w:space="0" w:color="000000"/>
            </w:tcBorders>
            <w:shd w:val="clear" w:color="auto" w:fill="auto"/>
          </w:tcPr>
          <w:p w14:paraId="5DA3D611" w14:textId="77777777" w:rsidR="00B3376F" w:rsidRPr="004A019F" w:rsidRDefault="00B3376F" w:rsidP="004A019F">
            <w:pPr>
              <w:keepNext/>
              <w:spacing w:after="0" w:line="240" w:lineRule="auto"/>
              <w:ind w:left="0" w:firstLine="0"/>
              <w:contextualSpacing/>
              <w:rPr>
                <w:lang w:val="sv-SE"/>
              </w:rPr>
            </w:pPr>
            <w:r w:rsidRPr="004A019F">
              <w:rPr>
                <w:lang w:val="sv-SE"/>
              </w:rPr>
              <w:t>Mycket vanlig</w:t>
            </w:r>
          </w:p>
        </w:tc>
      </w:tr>
      <w:tr w:rsidR="00AD14F8" w:rsidRPr="00A74CC6" w14:paraId="4BBA4A6F" w14:textId="77777777" w:rsidTr="004A019F">
        <w:trPr>
          <w:trHeight w:val="240"/>
        </w:trPr>
        <w:tc>
          <w:tcPr>
            <w:tcW w:w="1579" w:type="pct"/>
            <w:vMerge/>
            <w:tcBorders>
              <w:top w:val="single" w:sz="4" w:space="0" w:color="000000"/>
              <w:left w:val="single" w:sz="4" w:space="0" w:color="000000"/>
              <w:bottom w:val="single" w:sz="4" w:space="0" w:color="auto"/>
              <w:right w:val="single" w:sz="4" w:space="0" w:color="000000"/>
            </w:tcBorders>
            <w:shd w:val="clear" w:color="auto" w:fill="auto"/>
          </w:tcPr>
          <w:p w14:paraId="5E70135B" w14:textId="77777777" w:rsidR="00B3376F" w:rsidRPr="004A019F" w:rsidRDefault="00B3376F" w:rsidP="004A019F">
            <w:pPr>
              <w:keepNext/>
              <w:spacing w:after="0" w:line="240" w:lineRule="auto"/>
              <w:ind w:left="0" w:firstLine="0"/>
              <w:contextualSpacing/>
              <w:rPr>
                <w:lang w:val="sv-SE"/>
              </w:rPr>
            </w:pPr>
          </w:p>
        </w:tc>
        <w:tc>
          <w:tcPr>
            <w:tcW w:w="2103" w:type="pct"/>
            <w:tcBorders>
              <w:top w:val="single" w:sz="4" w:space="0" w:color="auto"/>
              <w:left w:val="single" w:sz="4" w:space="0" w:color="000000"/>
              <w:bottom w:val="single" w:sz="4" w:space="0" w:color="auto"/>
              <w:right w:val="single" w:sz="4" w:space="0" w:color="000000"/>
            </w:tcBorders>
            <w:shd w:val="clear" w:color="auto" w:fill="auto"/>
          </w:tcPr>
          <w:p w14:paraId="0CA36C25" w14:textId="77777777" w:rsidR="00B3376F" w:rsidRPr="004A019F" w:rsidRDefault="00B3376F" w:rsidP="004A019F">
            <w:pPr>
              <w:keepNext/>
              <w:spacing w:after="0" w:line="240" w:lineRule="auto"/>
              <w:ind w:left="0" w:firstLine="0"/>
              <w:contextualSpacing/>
              <w:rPr>
                <w:lang w:val="sv-SE"/>
              </w:rPr>
            </w:pPr>
            <w:r w:rsidRPr="004A019F">
              <w:rPr>
                <w:lang w:val="sv-SE"/>
              </w:rPr>
              <w:t>Illamående</w:t>
            </w:r>
          </w:p>
        </w:tc>
        <w:tc>
          <w:tcPr>
            <w:tcW w:w="1318" w:type="pct"/>
            <w:tcBorders>
              <w:top w:val="single" w:sz="4" w:space="0" w:color="auto"/>
              <w:left w:val="single" w:sz="4" w:space="0" w:color="000000"/>
              <w:bottom w:val="single" w:sz="4" w:space="0" w:color="auto"/>
              <w:right w:val="single" w:sz="4" w:space="0" w:color="000000"/>
            </w:tcBorders>
            <w:shd w:val="clear" w:color="auto" w:fill="auto"/>
          </w:tcPr>
          <w:p w14:paraId="747871FF" w14:textId="77777777" w:rsidR="00B3376F" w:rsidRPr="004A019F" w:rsidRDefault="00B3376F" w:rsidP="004A019F">
            <w:pPr>
              <w:keepNext/>
              <w:spacing w:after="0" w:line="240" w:lineRule="auto"/>
              <w:ind w:left="0" w:firstLine="0"/>
              <w:contextualSpacing/>
              <w:rPr>
                <w:lang w:val="sv-SE"/>
              </w:rPr>
            </w:pPr>
            <w:r w:rsidRPr="004A019F">
              <w:rPr>
                <w:lang w:val="sv-SE"/>
              </w:rPr>
              <w:t xml:space="preserve">Mycket vanlig </w:t>
            </w:r>
          </w:p>
        </w:tc>
      </w:tr>
      <w:tr w:rsidR="00AD14F8" w:rsidRPr="00A74CC6" w14:paraId="3DA78AE6" w14:textId="77777777" w:rsidTr="004A019F">
        <w:trPr>
          <w:trHeight w:val="227"/>
        </w:trPr>
        <w:tc>
          <w:tcPr>
            <w:tcW w:w="1579" w:type="pct"/>
            <w:vMerge/>
            <w:tcBorders>
              <w:top w:val="single" w:sz="4" w:space="0" w:color="000000"/>
              <w:left w:val="single" w:sz="4" w:space="0" w:color="000000"/>
              <w:bottom w:val="single" w:sz="4" w:space="0" w:color="auto"/>
              <w:right w:val="single" w:sz="4" w:space="0" w:color="000000"/>
            </w:tcBorders>
            <w:shd w:val="clear" w:color="auto" w:fill="auto"/>
          </w:tcPr>
          <w:p w14:paraId="44C65579" w14:textId="77777777" w:rsidR="00B3376F" w:rsidRPr="004A019F" w:rsidRDefault="00B3376F" w:rsidP="004A019F">
            <w:pPr>
              <w:keepNext/>
              <w:spacing w:after="0" w:line="240" w:lineRule="auto"/>
              <w:ind w:left="0" w:firstLine="0"/>
              <w:contextualSpacing/>
              <w:rPr>
                <w:lang w:val="sv-SE"/>
              </w:rPr>
            </w:pPr>
          </w:p>
        </w:tc>
        <w:tc>
          <w:tcPr>
            <w:tcW w:w="2103" w:type="pct"/>
            <w:tcBorders>
              <w:top w:val="single" w:sz="4" w:space="0" w:color="auto"/>
              <w:left w:val="single" w:sz="4" w:space="0" w:color="000000"/>
              <w:right w:val="single" w:sz="4" w:space="0" w:color="000000"/>
            </w:tcBorders>
            <w:shd w:val="clear" w:color="auto" w:fill="auto"/>
          </w:tcPr>
          <w:p w14:paraId="07C9D1EF" w14:textId="77777777" w:rsidR="00B3376F" w:rsidRPr="004A019F" w:rsidRDefault="00B3376F" w:rsidP="004A019F">
            <w:pPr>
              <w:keepNext/>
              <w:spacing w:after="0" w:line="240" w:lineRule="auto"/>
              <w:ind w:left="0" w:hanging="6"/>
              <w:contextualSpacing/>
              <w:rPr>
                <w:lang w:val="sv-SE"/>
              </w:rPr>
            </w:pPr>
            <w:r w:rsidRPr="004A019F">
              <w:rPr>
                <w:vertAlign w:val="superscript"/>
                <w:lang w:val="sv-SE"/>
              </w:rPr>
              <w:t>1</w:t>
            </w:r>
            <w:r w:rsidRPr="004A019F">
              <w:rPr>
                <w:lang w:val="sv-SE"/>
              </w:rPr>
              <w:t>Svullna läppar</w:t>
            </w:r>
          </w:p>
        </w:tc>
        <w:tc>
          <w:tcPr>
            <w:tcW w:w="1318" w:type="pct"/>
            <w:tcBorders>
              <w:top w:val="single" w:sz="4" w:space="0" w:color="auto"/>
              <w:left w:val="single" w:sz="4" w:space="0" w:color="000000"/>
              <w:right w:val="single" w:sz="4" w:space="0" w:color="000000"/>
            </w:tcBorders>
            <w:shd w:val="clear" w:color="auto" w:fill="auto"/>
          </w:tcPr>
          <w:p w14:paraId="64878288" w14:textId="77777777" w:rsidR="00B3376F" w:rsidRPr="004A019F" w:rsidRDefault="00B3376F" w:rsidP="004A019F">
            <w:pPr>
              <w:keepNext/>
              <w:spacing w:after="0" w:line="240" w:lineRule="auto"/>
              <w:ind w:left="0"/>
              <w:contextualSpacing/>
              <w:rPr>
                <w:lang w:val="sv-SE"/>
              </w:rPr>
            </w:pPr>
            <w:r w:rsidRPr="004A019F">
              <w:rPr>
                <w:lang w:val="sv-SE"/>
              </w:rPr>
              <w:t>Mycket vanlig</w:t>
            </w:r>
          </w:p>
        </w:tc>
      </w:tr>
      <w:tr w:rsidR="00AD14F8" w:rsidRPr="00A74CC6" w14:paraId="012A81C6" w14:textId="77777777" w:rsidTr="004A019F">
        <w:trPr>
          <w:trHeight w:val="227"/>
        </w:trPr>
        <w:tc>
          <w:tcPr>
            <w:tcW w:w="1579" w:type="pct"/>
            <w:vMerge/>
            <w:tcBorders>
              <w:top w:val="nil"/>
              <w:left w:val="single" w:sz="4" w:space="0" w:color="000000"/>
              <w:bottom w:val="single" w:sz="4" w:space="0" w:color="auto"/>
              <w:right w:val="single" w:sz="4" w:space="0" w:color="000000"/>
            </w:tcBorders>
            <w:shd w:val="clear" w:color="auto" w:fill="auto"/>
          </w:tcPr>
          <w:p w14:paraId="5F887E2F"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125DA8BE" w14:textId="77777777" w:rsidR="00B3376F" w:rsidRPr="004A019F" w:rsidRDefault="00B3376F" w:rsidP="004A019F">
            <w:pPr>
              <w:spacing w:after="0" w:line="240" w:lineRule="auto"/>
              <w:ind w:left="0" w:firstLine="0"/>
              <w:contextualSpacing/>
              <w:rPr>
                <w:lang w:val="sv-SE"/>
              </w:rPr>
            </w:pPr>
            <w:r w:rsidRPr="004A019F">
              <w:rPr>
                <w:lang w:val="sv-SE"/>
              </w:rPr>
              <w:t>Buksmärta</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2E1F486E" w14:textId="77777777" w:rsidR="00B3376F" w:rsidRPr="004A019F" w:rsidRDefault="00B3376F" w:rsidP="004A019F">
            <w:pPr>
              <w:spacing w:after="0" w:line="240" w:lineRule="auto"/>
              <w:ind w:left="0" w:firstLine="0"/>
              <w:contextualSpacing/>
              <w:rPr>
                <w:lang w:val="sv-SE"/>
              </w:rPr>
            </w:pPr>
            <w:r w:rsidRPr="004A019F">
              <w:rPr>
                <w:lang w:val="sv-SE"/>
              </w:rPr>
              <w:t xml:space="preserve">Mycket vanlig </w:t>
            </w:r>
          </w:p>
        </w:tc>
      </w:tr>
      <w:tr w:rsidR="00AD14F8" w:rsidRPr="00A74CC6" w14:paraId="65C6E0D4" w14:textId="77777777" w:rsidTr="004A019F">
        <w:trPr>
          <w:trHeight w:val="227"/>
        </w:trPr>
        <w:tc>
          <w:tcPr>
            <w:tcW w:w="1579" w:type="pct"/>
            <w:vMerge/>
            <w:tcBorders>
              <w:top w:val="nil"/>
              <w:left w:val="single" w:sz="4" w:space="0" w:color="000000"/>
              <w:bottom w:val="single" w:sz="4" w:space="0" w:color="auto"/>
              <w:right w:val="single" w:sz="4" w:space="0" w:color="000000"/>
            </w:tcBorders>
            <w:shd w:val="clear" w:color="auto" w:fill="auto"/>
          </w:tcPr>
          <w:p w14:paraId="56C14C4A"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50989809" w14:textId="77777777" w:rsidR="00B3376F" w:rsidRPr="004A019F" w:rsidRDefault="00B3376F" w:rsidP="004A019F">
            <w:pPr>
              <w:spacing w:after="0" w:line="240" w:lineRule="auto"/>
              <w:ind w:left="0" w:firstLine="0"/>
              <w:contextualSpacing/>
              <w:rPr>
                <w:lang w:val="sv-SE"/>
              </w:rPr>
            </w:pPr>
            <w:r w:rsidRPr="004A019F">
              <w:rPr>
                <w:lang w:val="sv-SE"/>
              </w:rPr>
              <w:t>Dyspepsi</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090D7ED2" w14:textId="77777777" w:rsidR="00B3376F" w:rsidRPr="004A019F" w:rsidRDefault="00B3376F" w:rsidP="004A019F">
            <w:pPr>
              <w:spacing w:after="0" w:line="240" w:lineRule="auto"/>
              <w:ind w:left="0" w:firstLine="0"/>
              <w:contextualSpacing/>
              <w:rPr>
                <w:lang w:val="sv-SE"/>
              </w:rPr>
            </w:pPr>
            <w:r w:rsidRPr="004A019F">
              <w:rPr>
                <w:lang w:val="sv-SE"/>
              </w:rPr>
              <w:t>Mycket vanlig</w:t>
            </w:r>
          </w:p>
        </w:tc>
      </w:tr>
      <w:tr w:rsidR="00AD14F8" w:rsidRPr="00A74CC6" w14:paraId="63876A78" w14:textId="77777777" w:rsidTr="004A019F">
        <w:trPr>
          <w:trHeight w:val="227"/>
        </w:trPr>
        <w:tc>
          <w:tcPr>
            <w:tcW w:w="1579" w:type="pct"/>
            <w:vMerge/>
            <w:tcBorders>
              <w:top w:val="nil"/>
              <w:left w:val="single" w:sz="4" w:space="0" w:color="000000"/>
              <w:bottom w:val="single" w:sz="4" w:space="0" w:color="auto"/>
              <w:right w:val="single" w:sz="4" w:space="0" w:color="000000"/>
            </w:tcBorders>
            <w:shd w:val="clear" w:color="auto" w:fill="auto"/>
          </w:tcPr>
          <w:p w14:paraId="19AC1B1B"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7A989879" w14:textId="77777777" w:rsidR="00B3376F" w:rsidRPr="004A019F" w:rsidRDefault="00B3376F" w:rsidP="004A019F">
            <w:pPr>
              <w:spacing w:after="0" w:line="240" w:lineRule="auto"/>
              <w:ind w:left="0" w:firstLine="0"/>
              <w:contextualSpacing/>
              <w:rPr>
                <w:lang w:val="sv-SE"/>
              </w:rPr>
            </w:pPr>
            <w:r w:rsidRPr="004A019F">
              <w:rPr>
                <w:lang w:val="sv-SE"/>
              </w:rPr>
              <w:t>Förstoppning</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4B1E469A" w14:textId="77777777" w:rsidR="00B3376F" w:rsidRPr="004A019F" w:rsidRDefault="00B3376F" w:rsidP="004A019F">
            <w:pPr>
              <w:spacing w:after="0" w:line="240" w:lineRule="auto"/>
              <w:ind w:left="0" w:firstLine="0"/>
              <w:contextualSpacing/>
              <w:rPr>
                <w:lang w:val="sv-SE"/>
              </w:rPr>
            </w:pPr>
            <w:r w:rsidRPr="004A019F">
              <w:rPr>
                <w:lang w:val="sv-SE"/>
              </w:rPr>
              <w:t>Mycket vanlig</w:t>
            </w:r>
          </w:p>
        </w:tc>
      </w:tr>
      <w:tr w:rsidR="00AD14F8" w:rsidRPr="00A74CC6" w14:paraId="2089011F" w14:textId="77777777" w:rsidTr="004A019F">
        <w:trPr>
          <w:trHeight w:val="227"/>
        </w:trPr>
        <w:tc>
          <w:tcPr>
            <w:tcW w:w="1579" w:type="pct"/>
            <w:vMerge/>
            <w:tcBorders>
              <w:top w:val="nil"/>
              <w:left w:val="single" w:sz="4" w:space="0" w:color="000000"/>
              <w:bottom w:val="single" w:sz="4" w:space="0" w:color="auto"/>
              <w:right w:val="single" w:sz="4" w:space="0" w:color="000000"/>
            </w:tcBorders>
            <w:shd w:val="clear" w:color="auto" w:fill="auto"/>
          </w:tcPr>
          <w:p w14:paraId="5D0C6658"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right w:val="single" w:sz="4" w:space="0" w:color="000000"/>
            </w:tcBorders>
            <w:shd w:val="clear" w:color="auto" w:fill="auto"/>
          </w:tcPr>
          <w:p w14:paraId="3FBF1543" w14:textId="4430C23C" w:rsidR="00B3376F" w:rsidRPr="004A019F" w:rsidRDefault="00B3376F" w:rsidP="004A019F">
            <w:pPr>
              <w:spacing w:after="0" w:line="240" w:lineRule="auto"/>
              <w:ind w:left="0" w:firstLine="0"/>
              <w:contextualSpacing/>
              <w:rPr>
                <w:lang w:val="sv-SE"/>
              </w:rPr>
            </w:pPr>
            <w:r w:rsidRPr="004A019F">
              <w:rPr>
                <w:lang w:val="sv-SE"/>
              </w:rPr>
              <w:t>Stomatit</w:t>
            </w:r>
          </w:p>
        </w:tc>
        <w:tc>
          <w:tcPr>
            <w:tcW w:w="1318" w:type="pct"/>
            <w:tcBorders>
              <w:top w:val="single" w:sz="4" w:space="0" w:color="000000"/>
              <w:left w:val="single" w:sz="4" w:space="0" w:color="000000"/>
              <w:right w:val="single" w:sz="4" w:space="0" w:color="000000"/>
            </w:tcBorders>
            <w:shd w:val="clear" w:color="auto" w:fill="auto"/>
          </w:tcPr>
          <w:p w14:paraId="209F7645" w14:textId="748CADE6" w:rsidR="00B3376F" w:rsidRPr="004A019F" w:rsidRDefault="00B3376F" w:rsidP="004A019F">
            <w:pPr>
              <w:spacing w:after="0" w:line="240" w:lineRule="auto"/>
              <w:ind w:left="0" w:firstLine="0"/>
              <w:contextualSpacing/>
              <w:rPr>
                <w:lang w:val="sv-SE"/>
              </w:rPr>
            </w:pPr>
            <w:r w:rsidRPr="004A019F">
              <w:rPr>
                <w:lang w:val="sv-SE"/>
              </w:rPr>
              <w:t>Mycket vanlig</w:t>
            </w:r>
          </w:p>
        </w:tc>
      </w:tr>
      <w:tr w:rsidR="00AD14F8" w:rsidRPr="00A74CC6" w14:paraId="4CB3B988" w14:textId="77777777" w:rsidTr="004A019F">
        <w:trPr>
          <w:trHeight w:val="227"/>
        </w:trPr>
        <w:tc>
          <w:tcPr>
            <w:tcW w:w="1579" w:type="pct"/>
            <w:vMerge/>
            <w:tcBorders>
              <w:top w:val="nil"/>
              <w:left w:val="single" w:sz="4" w:space="0" w:color="000000"/>
              <w:bottom w:val="single" w:sz="4" w:space="0" w:color="auto"/>
              <w:right w:val="single" w:sz="4" w:space="0" w:color="000000"/>
            </w:tcBorders>
            <w:shd w:val="clear" w:color="auto" w:fill="auto"/>
          </w:tcPr>
          <w:p w14:paraId="23610B01"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5CEFE07B" w14:textId="77777777" w:rsidR="00B3376F" w:rsidRPr="004A019F" w:rsidRDefault="00B3376F" w:rsidP="004A019F">
            <w:pPr>
              <w:spacing w:after="0" w:line="240" w:lineRule="auto"/>
              <w:ind w:left="0" w:firstLine="0"/>
              <w:contextualSpacing/>
              <w:rPr>
                <w:lang w:val="sv-SE"/>
              </w:rPr>
            </w:pPr>
            <w:r w:rsidRPr="004A019F">
              <w:rPr>
                <w:lang w:val="sv-SE"/>
              </w:rPr>
              <w:t>Hemorrojder</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7983B495" w14:textId="77777777" w:rsidR="00B3376F" w:rsidRPr="004A019F" w:rsidRDefault="00B3376F" w:rsidP="004A019F">
            <w:pPr>
              <w:spacing w:after="0" w:line="240" w:lineRule="auto"/>
              <w:ind w:left="0" w:firstLine="0"/>
              <w:contextualSpacing/>
              <w:rPr>
                <w:lang w:val="sv-SE"/>
              </w:rPr>
            </w:pPr>
            <w:r w:rsidRPr="004A019F">
              <w:rPr>
                <w:lang w:val="sv-SE"/>
              </w:rPr>
              <w:t>Vanlig</w:t>
            </w:r>
          </w:p>
        </w:tc>
      </w:tr>
      <w:tr w:rsidR="00AD14F8" w:rsidRPr="00A74CC6" w14:paraId="28B1C533" w14:textId="77777777" w:rsidTr="004A019F">
        <w:trPr>
          <w:trHeight w:val="227"/>
        </w:trPr>
        <w:tc>
          <w:tcPr>
            <w:tcW w:w="1579" w:type="pct"/>
            <w:vMerge/>
            <w:tcBorders>
              <w:top w:val="nil"/>
              <w:left w:val="single" w:sz="4" w:space="0" w:color="000000"/>
              <w:bottom w:val="single" w:sz="4" w:space="0" w:color="auto"/>
              <w:right w:val="single" w:sz="4" w:space="0" w:color="000000"/>
            </w:tcBorders>
            <w:shd w:val="clear" w:color="auto" w:fill="auto"/>
          </w:tcPr>
          <w:p w14:paraId="25E1648F"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52DB86BC" w14:textId="77777777" w:rsidR="00B3376F" w:rsidRPr="004A019F" w:rsidRDefault="00B3376F" w:rsidP="004A019F">
            <w:pPr>
              <w:spacing w:after="0" w:line="240" w:lineRule="auto"/>
              <w:ind w:left="0" w:firstLine="0"/>
              <w:contextualSpacing/>
              <w:rPr>
                <w:lang w:val="sv-SE"/>
              </w:rPr>
            </w:pPr>
            <w:r w:rsidRPr="004A019F">
              <w:rPr>
                <w:lang w:val="sv-SE"/>
              </w:rPr>
              <w:t>Muntorrhet</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4ACCAA65" w14:textId="77777777" w:rsidR="00B3376F" w:rsidRPr="004A019F" w:rsidRDefault="00B3376F" w:rsidP="004A019F">
            <w:pPr>
              <w:spacing w:after="0" w:line="240" w:lineRule="auto"/>
              <w:ind w:left="0" w:firstLine="0"/>
              <w:contextualSpacing/>
              <w:rPr>
                <w:lang w:val="sv-SE"/>
              </w:rPr>
            </w:pPr>
            <w:r w:rsidRPr="004A019F">
              <w:rPr>
                <w:lang w:val="sv-SE"/>
              </w:rPr>
              <w:t>Vanlig</w:t>
            </w:r>
          </w:p>
        </w:tc>
      </w:tr>
      <w:tr w:rsidR="00AD14F8" w:rsidRPr="00A74CC6" w14:paraId="00047393" w14:textId="77777777" w:rsidTr="004A019F">
        <w:tblPrEx>
          <w:tblCellMar>
            <w:top w:w="23" w:type="dxa"/>
          </w:tblCellMar>
        </w:tblPrEx>
        <w:trPr>
          <w:trHeight w:val="227"/>
        </w:trPr>
        <w:tc>
          <w:tcPr>
            <w:tcW w:w="1579" w:type="pct"/>
            <w:tcBorders>
              <w:top w:val="single" w:sz="4" w:space="0" w:color="auto"/>
              <w:left w:val="single" w:sz="4" w:space="0" w:color="000000"/>
              <w:right w:val="single" w:sz="4" w:space="0" w:color="000000"/>
            </w:tcBorders>
            <w:shd w:val="clear" w:color="auto" w:fill="auto"/>
          </w:tcPr>
          <w:p w14:paraId="46E70D91" w14:textId="77777777" w:rsidR="00B3376F" w:rsidRPr="004A019F" w:rsidRDefault="00B3376F" w:rsidP="004A019F">
            <w:pPr>
              <w:spacing w:after="0" w:line="240" w:lineRule="auto"/>
              <w:ind w:left="0" w:firstLine="0"/>
              <w:contextualSpacing/>
              <w:rPr>
                <w:lang w:val="sv-SE"/>
              </w:rPr>
            </w:pPr>
            <w:r w:rsidRPr="004A019F">
              <w:rPr>
                <w:lang w:val="sv-SE"/>
              </w:rPr>
              <w:t xml:space="preserve">Lever och gallvägar </w:t>
            </w: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29005DED" w14:textId="77777777" w:rsidR="00B3376F" w:rsidRPr="004A019F" w:rsidRDefault="00B3376F" w:rsidP="004A019F">
            <w:pPr>
              <w:spacing w:after="0" w:line="240" w:lineRule="auto"/>
              <w:ind w:left="0" w:firstLine="0"/>
              <w:contextualSpacing/>
              <w:rPr>
                <w:lang w:val="sv-SE"/>
              </w:rPr>
            </w:pPr>
            <w:r w:rsidRPr="004A019F">
              <w:rPr>
                <w:lang w:val="sv-SE"/>
              </w:rPr>
              <w:t>Hepatocellulär skada</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0E20164E" w14:textId="77777777" w:rsidR="00B3376F" w:rsidRPr="004A019F" w:rsidRDefault="00B3376F" w:rsidP="004A019F">
            <w:pPr>
              <w:spacing w:after="0" w:line="240" w:lineRule="auto"/>
              <w:ind w:left="0" w:firstLine="0"/>
              <w:contextualSpacing/>
              <w:rPr>
                <w:lang w:val="sv-SE"/>
              </w:rPr>
            </w:pPr>
            <w:r w:rsidRPr="004A019F">
              <w:rPr>
                <w:lang w:val="sv-SE"/>
              </w:rPr>
              <w:t>Vanlig</w:t>
            </w:r>
          </w:p>
        </w:tc>
      </w:tr>
      <w:tr w:rsidR="00AD14F8" w:rsidRPr="00A74CC6" w14:paraId="2E3E040A" w14:textId="77777777" w:rsidTr="004A019F">
        <w:tblPrEx>
          <w:tblCellMar>
            <w:top w:w="23" w:type="dxa"/>
          </w:tblCellMar>
        </w:tblPrEx>
        <w:trPr>
          <w:trHeight w:val="227"/>
        </w:trPr>
        <w:tc>
          <w:tcPr>
            <w:tcW w:w="1579" w:type="pct"/>
            <w:tcBorders>
              <w:left w:val="single" w:sz="4" w:space="0" w:color="000000"/>
              <w:bottom w:val="nil"/>
              <w:right w:val="single" w:sz="4" w:space="0" w:color="000000"/>
            </w:tcBorders>
            <w:shd w:val="clear" w:color="auto" w:fill="auto"/>
          </w:tcPr>
          <w:p w14:paraId="45D27B96"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36DBF147" w14:textId="77777777" w:rsidR="00B3376F" w:rsidRPr="004A019F" w:rsidRDefault="00B3376F" w:rsidP="004A019F">
            <w:pPr>
              <w:spacing w:after="0" w:line="240" w:lineRule="auto"/>
              <w:ind w:left="0" w:firstLine="0"/>
              <w:contextualSpacing/>
              <w:rPr>
                <w:lang w:val="sv-SE"/>
              </w:rPr>
            </w:pPr>
            <w:r w:rsidRPr="004A019F">
              <w:rPr>
                <w:lang w:val="sv-SE"/>
              </w:rPr>
              <w:t>Hepatit</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2EC3F295" w14:textId="77777777" w:rsidR="00B3376F" w:rsidRPr="004A019F" w:rsidRDefault="00B3376F" w:rsidP="004A019F">
            <w:pPr>
              <w:spacing w:after="0" w:line="240" w:lineRule="auto"/>
              <w:ind w:left="0" w:firstLine="0"/>
              <w:contextualSpacing/>
              <w:rPr>
                <w:lang w:val="sv-SE"/>
              </w:rPr>
            </w:pPr>
            <w:r w:rsidRPr="004A019F">
              <w:rPr>
                <w:lang w:val="sv-SE"/>
              </w:rPr>
              <w:t>Vanlig</w:t>
            </w:r>
          </w:p>
        </w:tc>
      </w:tr>
      <w:tr w:rsidR="00AD14F8" w:rsidRPr="00A74CC6" w14:paraId="348AE004" w14:textId="77777777" w:rsidTr="004A019F">
        <w:tblPrEx>
          <w:tblCellMar>
            <w:top w:w="23" w:type="dxa"/>
          </w:tblCellMar>
        </w:tblPrEx>
        <w:trPr>
          <w:trHeight w:val="227"/>
        </w:trPr>
        <w:tc>
          <w:tcPr>
            <w:tcW w:w="1579" w:type="pct"/>
            <w:tcBorders>
              <w:top w:val="nil"/>
              <w:left w:val="single" w:sz="4" w:space="0" w:color="000000"/>
              <w:bottom w:val="nil"/>
              <w:right w:val="single" w:sz="4" w:space="0" w:color="000000"/>
            </w:tcBorders>
            <w:shd w:val="clear" w:color="auto" w:fill="auto"/>
          </w:tcPr>
          <w:p w14:paraId="1C2DB92B"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21256FAE" w14:textId="77777777" w:rsidR="00B3376F" w:rsidRPr="004A019F" w:rsidRDefault="00B3376F" w:rsidP="004A019F">
            <w:pPr>
              <w:spacing w:after="0" w:line="240" w:lineRule="auto"/>
              <w:ind w:left="0" w:firstLine="0"/>
              <w:contextualSpacing/>
              <w:rPr>
                <w:lang w:val="sv-SE"/>
              </w:rPr>
            </w:pPr>
            <w:r w:rsidRPr="004A019F">
              <w:rPr>
                <w:lang w:val="sv-SE"/>
              </w:rPr>
              <w:t>Leverömhet</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343A1D82" w14:textId="77777777" w:rsidR="00B3376F" w:rsidRPr="004A019F" w:rsidRDefault="00B3376F" w:rsidP="004A019F">
            <w:pPr>
              <w:spacing w:after="0" w:line="240" w:lineRule="auto"/>
              <w:ind w:left="0" w:firstLine="0"/>
              <w:contextualSpacing/>
              <w:rPr>
                <w:lang w:val="sv-SE"/>
              </w:rPr>
            </w:pPr>
            <w:r w:rsidRPr="004A019F">
              <w:rPr>
                <w:lang w:val="sv-SE"/>
              </w:rPr>
              <w:t>Vanlig</w:t>
            </w:r>
          </w:p>
        </w:tc>
      </w:tr>
      <w:tr w:rsidR="00AD14F8" w:rsidRPr="00A74CC6" w14:paraId="7402512B" w14:textId="77777777" w:rsidTr="004A019F">
        <w:tblPrEx>
          <w:tblCellMar>
            <w:top w:w="23" w:type="dxa"/>
          </w:tblCellMar>
        </w:tblPrEx>
        <w:trPr>
          <w:trHeight w:val="227"/>
        </w:trPr>
        <w:tc>
          <w:tcPr>
            <w:tcW w:w="1579" w:type="pct"/>
            <w:tcBorders>
              <w:top w:val="nil"/>
              <w:left w:val="single" w:sz="4" w:space="0" w:color="000000"/>
              <w:bottom w:val="nil"/>
              <w:right w:val="single" w:sz="4" w:space="0" w:color="000000"/>
            </w:tcBorders>
            <w:shd w:val="clear" w:color="auto" w:fill="auto"/>
          </w:tcPr>
          <w:p w14:paraId="4EC0C07C"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53A53661" w14:textId="77777777" w:rsidR="00B3376F" w:rsidRPr="004A019F" w:rsidRDefault="00B3376F" w:rsidP="004A019F">
            <w:pPr>
              <w:spacing w:after="0" w:line="240" w:lineRule="auto"/>
              <w:ind w:left="0" w:firstLine="0"/>
              <w:contextualSpacing/>
              <w:rPr>
                <w:lang w:val="sv-SE"/>
              </w:rPr>
            </w:pPr>
            <w:r w:rsidRPr="004A019F">
              <w:rPr>
                <w:lang w:val="sv-SE"/>
              </w:rPr>
              <w:t>Gulsot</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0423FF35" w14:textId="77777777" w:rsidR="00B3376F" w:rsidRPr="004A019F" w:rsidRDefault="00B3376F" w:rsidP="004A019F">
            <w:pPr>
              <w:spacing w:after="0" w:line="240" w:lineRule="auto"/>
              <w:ind w:left="0" w:firstLine="0"/>
              <w:contextualSpacing/>
              <w:rPr>
                <w:lang w:val="sv-SE"/>
              </w:rPr>
            </w:pPr>
            <w:r w:rsidRPr="004A019F">
              <w:rPr>
                <w:lang w:val="sv-SE"/>
              </w:rPr>
              <w:t>Sällsynt</w:t>
            </w:r>
          </w:p>
        </w:tc>
      </w:tr>
      <w:tr w:rsidR="00AD14F8" w:rsidRPr="00A74CC6" w14:paraId="62BBC38E" w14:textId="77777777" w:rsidTr="004A019F">
        <w:tblPrEx>
          <w:tblCellMar>
            <w:top w:w="23" w:type="dxa"/>
          </w:tblCellMar>
        </w:tblPrEx>
        <w:trPr>
          <w:trHeight w:val="227"/>
        </w:trPr>
        <w:tc>
          <w:tcPr>
            <w:tcW w:w="1579" w:type="pct"/>
            <w:vMerge w:val="restart"/>
            <w:tcBorders>
              <w:top w:val="single" w:sz="4" w:space="0" w:color="000000"/>
              <w:left w:val="single" w:sz="4" w:space="0" w:color="000000"/>
              <w:bottom w:val="single" w:sz="4" w:space="0" w:color="auto"/>
              <w:right w:val="single" w:sz="4" w:space="0" w:color="000000"/>
            </w:tcBorders>
            <w:shd w:val="clear" w:color="auto" w:fill="auto"/>
          </w:tcPr>
          <w:p w14:paraId="4E949F56" w14:textId="77777777" w:rsidR="00B3376F" w:rsidRPr="004A019F" w:rsidRDefault="00B3376F" w:rsidP="004A019F">
            <w:pPr>
              <w:spacing w:after="0" w:line="240" w:lineRule="auto"/>
              <w:ind w:left="0" w:firstLine="0"/>
              <w:contextualSpacing/>
              <w:rPr>
                <w:lang w:val="sv-SE"/>
              </w:rPr>
            </w:pPr>
            <w:r w:rsidRPr="004A019F">
              <w:rPr>
                <w:lang w:val="sv-SE"/>
              </w:rPr>
              <w:t xml:space="preserve">Hud och subkutan vävnad </w:t>
            </w: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36B18CF8" w14:textId="77777777" w:rsidR="00B3376F" w:rsidRPr="004A019F" w:rsidRDefault="00B3376F" w:rsidP="004A019F">
            <w:pPr>
              <w:spacing w:after="0" w:line="240" w:lineRule="auto"/>
              <w:ind w:left="0" w:firstLine="0"/>
              <w:contextualSpacing/>
              <w:rPr>
                <w:lang w:val="sv-SE"/>
              </w:rPr>
            </w:pPr>
            <w:r w:rsidRPr="004A019F">
              <w:rPr>
                <w:lang w:val="sv-SE"/>
              </w:rPr>
              <w:t>Erytem</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5479E10E" w14:textId="77777777" w:rsidR="00B3376F" w:rsidRPr="004A019F" w:rsidRDefault="00B3376F" w:rsidP="004A019F">
            <w:pPr>
              <w:spacing w:after="0" w:line="240" w:lineRule="auto"/>
              <w:ind w:left="0" w:firstLine="0"/>
              <w:contextualSpacing/>
              <w:rPr>
                <w:lang w:val="sv-SE"/>
              </w:rPr>
            </w:pPr>
            <w:r w:rsidRPr="004A019F">
              <w:rPr>
                <w:lang w:val="sv-SE"/>
              </w:rPr>
              <w:t>Mycket vanlig</w:t>
            </w:r>
          </w:p>
        </w:tc>
      </w:tr>
      <w:tr w:rsidR="00AD14F8" w:rsidRPr="00A74CC6" w14:paraId="3413B4DD" w14:textId="77777777" w:rsidTr="004A019F">
        <w:tblPrEx>
          <w:tblCellMar>
            <w:top w:w="23" w:type="dxa"/>
          </w:tblCellMar>
        </w:tblPrEx>
        <w:trPr>
          <w:trHeight w:val="227"/>
        </w:trPr>
        <w:tc>
          <w:tcPr>
            <w:tcW w:w="1579" w:type="pct"/>
            <w:vMerge/>
            <w:tcBorders>
              <w:top w:val="nil"/>
              <w:left w:val="single" w:sz="4" w:space="0" w:color="000000"/>
              <w:bottom w:val="single" w:sz="4" w:space="0" w:color="auto"/>
              <w:right w:val="single" w:sz="4" w:space="0" w:color="000000"/>
            </w:tcBorders>
            <w:shd w:val="clear" w:color="auto" w:fill="auto"/>
          </w:tcPr>
          <w:p w14:paraId="584A06E3"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2AF70650" w14:textId="77777777" w:rsidR="00B3376F" w:rsidRPr="004A019F" w:rsidRDefault="00B3376F" w:rsidP="004A019F">
            <w:pPr>
              <w:spacing w:after="0" w:line="240" w:lineRule="auto"/>
              <w:ind w:left="0" w:firstLine="0"/>
              <w:contextualSpacing/>
              <w:rPr>
                <w:lang w:val="sv-SE"/>
              </w:rPr>
            </w:pPr>
            <w:r w:rsidRPr="004A019F">
              <w:rPr>
                <w:lang w:val="sv-SE"/>
              </w:rPr>
              <w:t>Hudutslag</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61B9E85A" w14:textId="77777777" w:rsidR="00B3376F" w:rsidRPr="004A019F" w:rsidRDefault="00B3376F" w:rsidP="004A019F">
            <w:pPr>
              <w:spacing w:after="0" w:line="240" w:lineRule="auto"/>
              <w:ind w:left="0" w:firstLine="0"/>
              <w:contextualSpacing/>
              <w:rPr>
                <w:lang w:val="sv-SE"/>
              </w:rPr>
            </w:pPr>
            <w:r w:rsidRPr="004A019F">
              <w:rPr>
                <w:lang w:val="sv-SE"/>
              </w:rPr>
              <w:t>Mycket vanlig</w:t>
            </w:r>
          </w:p>
        </w:tc>
      </w:tr>
      <w:tr w:rsidR="00AD14F8" w:rsidRPr="00A74CC6" w14:paraId="2DFF6F61" w14:textId="77777777" w:rsidTr="004A019F">
        <w:tblPrEx>
          <w:tblCellMar>
            <w:top w:w="23" w:type="dxa"/>
          </w:tblCellMar>
        </w:tblPrEx>
        <w:trPr>
          <w:trHeight w:val="227"/>
        </w:trPr>
        <w:tc>
          <w:tcPr>
            <w:tcW w:w="1579" w:type="pct"/>
            <w:vMerge/>
            <w:tcBorders>
              <w:top w:val="nil"/>
              <w:left w:val="single" w:sz="4" w:space="0" w:color="000000"/>
              <w:bottom w:val="single" w:sz="4" w:space="0" w:color="auto"/>
              <w:right w:val="single" w:sz="4" w:space="0" w:color="000000"/>
            </w:tcBorders>
            <w:shd w:val="clear" w:color="auto" w:fill="auto"/>
          </w:tcPr>
          <w:p w14:paraId="730E58E6"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08756EDD" w14:textId="77777777" w:rsidR="00B3376F" w:rsidRPr="004A019F" w:rsidRDefault="00B3376F" w:rsidP="004A019F">
            <w:pPr>
              <w:spacing w:after="0" w:line="240" w:lineRule="auto"/>
              <w:ind w:left="0" w:firstLine="0"/>
              <w:contextualSpacing/>
              <w:rPr>
                <w:lang w:val="sv-SE"/>
              </w:rPr>
            </w:pPr>
            <w:r w:rsidRPr="004A019F">
              <w:rPr>
                <w:vertAlign w:val="superscript"/>
                <w:lang w:val="sv-SE"/>
              </w:rPr>
              <w:t>1</w:t>
            </w:r>
            <w:r w:rsidRPr="004A019F">
              <w:rPr>
                <w:lang w:val="sv-SE"/>
              </w:rPr>
              <w:t>Ansiktssvullnad</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1C2AB8C7" w14:textId="77777777" w:rsidR="00B3376F" w:rsidRPr="004A019F" w:rsidRDefault="00B3376F" w:rsidP="004A019F">
            <w:pPr>
              <w:spacing w:after="0" w:line="240" w:lineRule="auto"/>
              <w:ind w:left="0" w:firstLine="0"/>
              <w:contextualSpacing/>
              <w:rPr>
                <w:lang w:val="sv-SE"/>
              </w:rPr>
            </w:pPr>
            <w:r w:rsidRPr="004A019F">
              <w:rPr>
                <w:lang w:val="sv-SE"/>
              </w:rPr>
              <w:t>Mycket vanlig</w:t>
            </w:r>
          </w:p>
        </w:tc>
      </w:tr>
      <w:tr w:rsidR="00AD14F8" w:rsidRPr="00A74CC6" w14:paraId="154FD33F" w14:textId="77777777" w:rsidTr="004A019F">
        <w:tblPrEx>
          <w:tblCellMar>
            <w:top w:w="23" w:type="dxa"/>
          </w:tblCellMar>
        </w:tblPrEx>
        <w:trPr>
          <w:trHeight w:val="262"/>
        </w:trPr>
        <w:tc>
          <w:tcPr>
            <w:tcW w:w="1579" w:type="pct"/>
            <w:vMerge/>
            <w:tcBorders>
              <w:top w:val="nil"/>
              <w:left w:val="single" w:sz="4" w:space="0" w:color="000000"/>
              <w:bottom w:val="single" w:sz="4" w:space="0" w:color="auto"/>
              <w:right w:val="single" w:sz="4" w:space="0" w:color="000000"/>
            </w:tcBorders>
            <w:shd w:val="clear" w:color="auto" w:fill="auto"/>
          </w:tcPr>
          <w:p w14:paraId="3B60A1D9"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052DD1DC" w14:textId="77777777" w:rsidR="00B3376F" w:rsidRPr="004A019F" w:rsidRDefault="00B3376F" w:rsidP="004A019F">
            <w:pPr>
              <w:spacing w:after="0" w:line="240" w:lineRule="auto"/>
              <w:ind w:left="0" w:firstLine="0"/>
              <w:contextualSpacing/>
              <w:rPr>
                <w:lang w:val="sv-SE"/>
              </w:rPr>
            </w:pPr>
            <w:r w:rsidRPr="004A019F">
              <w:rPr>
                <w:lang w:val="sv-SE"/>
              </w:rPr>
              <w:t>Alopeci</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49D89819" w14:textId="77777777" w:rsidR="00B3376F" w:rsidRPr="004A019F" w:rsidRDefault="00B3376F" w:rsidP="004A019F">
            <w:pPr>
              <w:spacing w:after="0" w:line="240" w:lineRule="auto"/>
              <w:ind w:left="0" w:firstLine="0"/>
              <w:contextualSpacing/>
              <w:rPr>
                <w:lang w:val="sv-SE"/>
              </w:rPr>
            </w:pPr>
            <w:r w:rsidRPr="004A019F">
              <w:rPr>
                <w:lang w:val="sv-SE"/>
              </w:rPr>
              <w:t>Mycket vanlig</w:t>
            </w:r>
          </w:p>
        </w:tc>
      </w:tr>
      <w:tr w:rsidR="00AD14F8" w:rsidRPr="00A74CC6" w14:paraId="2486E7D0" w14:textId="77777777" w:rsidTr="004A019F">
        <w:tblPrEx>
          <w:tblCellMar>
            <w:top w:w="23" w:type="dxa"/>
          </w:tblCellMar>
        </w:tblPrEx>
        <w:trPr>
          <w:trHeight w:val="264"/>
        </w:trPr>
        <w:tc>
          <w:tcPr>
            <w:tcW w:w="1579" w:type="pct"/>
            <w:vMerge/>
            <w:tcBorders>
              <w:top w:val="nil"/>
              <w:left w:val="single" w:sz="4" w:space="0" w:color="000000"/>
              <w:bottom w:val="single" w:sz="4" w:space="0" w:color="auto"/>
              <w:right w:val="single" w:sz="4" w:space="0" w:color="000000"/>
            </w:tcBorders>
            <w:shd w:val="clear" w:color="auto" w:fill="auto"/>
          </w:tcPr>
          <w:p w14:paraId="3267DB66"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5558A4C8" w14:textId="77777777" w:rsidR="00B3376F" w:rsidRPr="004A019F" w:rsidRDefault="00B3376F" w:rsidP="004A019F">
            <w:pPr>
              <w:spacing w:after="0" w:line="240" w:lineRule="auto"/>
              <w:ind w:left="0" w:firstLine="0"/>
              <w:contextualSpacing/>
              <w:rPr>
                <w:lang w:val="sv-SE"/>
              </w:rPr>
            </w:pPr>
            <w:r w:rsidRPr="004A019F">
              <w:rPr>
                <w:lang w:val="sv-SE"/>
              </w:rPr>
              <w:t>Nagelförändringar</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44B6667F" w14:textId="77777777" w:rsidR="00B3376F" w:rsidRPr="004A019F" w:rsidRDefault="00B3376F" w:rsidP="004A019F">
            <w:pPr>
              <w:spacing w:after="0" w:line="240" w:lineRule="auto"/>
              <w:ind w:left="0" w:firstLine="0"/>
              <w:contextualSpacing/>
              <w:rPr>
                <w:lang w:val="sv-SE"/>
              </w:rPr>
            </w:pPr>
            <w:r w:rsidRPr="004A019F">
              <w:rPr>
                <w:lang w:val="sv-SE"/>
              </w:rPr>
              <w:t>Mycket vanlig</w:t>
            </w:r>
          </w:p>
        </w:tc>
      </w:tr>
      <w:tr w:rsidR="00AD14F8" w:rsidRPr="00A74CC6" w14:paraId="56D01C94" w14:textId="77777777" w:rsidTr="004A019F">
        <w:tblPrEx>
          <w:tblCellMar>
            <w:top w:w="23" w:type="dxa"/>
          </w:tblCellMar>
        </w:tblPrEx>
        <w:trPr>
          <w:trHeight w:val="516"/>
        </w:trPr>
        <w:tc>
          <w:tcPr>
            <w:tcW w:w="1579" w:type="pct"/>
            <w:vMerge/>
            <w:tcBorders>
              <w:top w:val="nil"/>
              <w:left w:val="single" w:sz="4" w:space="0" w:color="000000"/>
              <w:bottom w:val="single" w:sz="4" w:space="0" w:color="auto"/>
              <w:right w:val="single" w:sz="4" w:space="0" w:color="000000"/>
            </w:tcBorders>
            <w:shd w:val="clear" w:color="auto" w:fill="auto"/>
          </w:tcPr>
          <w:p w14:paraId="6677C996"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1C7D7415" w14:textId="3BBF69A0" w:rsidR="00B3376F" w:rsidRPr="004A019F" w:rsidRDefault="00B3376F" w:rsidP="004A019F">
            <w:pPr>
              <w:spacing w:after="0" w:line="240" w:lineRule="auto"/>
              <w:ind w:left="0" w:firstLine="0"/>
              <w:contextualSpacing/>
              <w:rPr>
                <w:lang w:val="sv-SE"/>
              </w:rPr>
            </w:pPr>
            <w:r w:rsidRPr="004A019F">
              <w:rPr>
                <w:lang w:val="sv-SE"/>
              </w:rPr>
              <w:t>Hand-fotsyndrom (palmar-plantar erytrodysestesi)</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13DB1562" w14:textId="77777777" w:rsidR="00B3376F" w:rsidRPr="004A019F" w:rsidRDefault="00B3376F" w:rsidP="004A019F">
            <w:pPr>
              <w:spacing w:after="0" w:line="240" w:lineRule="auto"/>
              <w:ind w:left="0" w:firstLine="0"/>
              <w:contextualSpacing/>
              <w:rPr>
                <w:lang w:val="sv-SE"/>
              </w:rPr>
            </w:pPr>
            <w:r w:rsidRPr="004A019F">
              <w:rPr>
                <w:lang w:val="sv-SE"/>
              </w:rPr>
              <w:t>Mycket vanlig</w:t>
            </w:r>
          </w:p>
        </w:tc>
      </w:tr>
      <w:tr w:rsidR="00AD14F8" w:rsidRPr="00A74CC6" w14:paraId="15BEC8B1" w14:textId="77777777" w:rsidTr="004A019F">
        <w:tblPrEx>
          <w:tblCellMar>
            <w:top w:w="23" w:type="dxa"/>
          </w:tblCellMar>
        </w:tblPrEx>
        <w:trPr>
          <w:trHeight w:val="262"/>
        </w:trPr>
        <w:tc>
          <w:tcPr>
            <w:tcW w:w="1579" w:type="pct"/>
            <w:vMerge/>
            <w:tcBorders>
              <w:top w:val="nil"/>
              <w:left w:val="single" w:sz="4" w:space="0" w:color="000000"/>
              <w:bottom w:val="single" w:sz="4" w:space="0" w:color="auto"/>
              <w:right w:val="single" w:sz="4" w:space="0" w:color="000000"/>
            </w:tcBorders>
            <w:shd w:val="clear" w:color="auto" w:fill="auto"/>
          </w:tcPr>
          <w:p w14:paraId="08E53AA7"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5D07C6D3" w14:textId="77777777" w:rsidR="00B3376F" w:rsidRPr="004A019F" w:rsidRDefault="00B3376F" w:rsidP="004A019F">
            <w:pPr>
              <w:spacing w:after="0" w:line="240" w:lineRule="auto"/>
              <w:ind w:left="0" w:firstLine="0"/>
              <w:contextualSpacing/>
              <w:rPr>
                <w:lang w:val="sv-SE"/>
              </w:rPr>
            </w:pPr>
            <w:r w:rsidRPr="004A019F">
              <w:rPr>
                <w:lang w:val="sv-SE"/>
              </w:rPr>
              <w:t>Akne</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0E63624C" w14:textId="77777777" w:rsidR="00B3376F" w:rsidRPr="004A019F" w:rsidRDefault="00B3376F" w:rsidP="004A019F">
            <w:pPr>
              <w:spacing w:after="0" w:line="240" w:lineRule="auto"/>
              <w:ind w:left="0" w:firstLine="0"/>
              <w:contextualSpacing/>
              <w:rPr>
                <w:lang w:val="sv-SE"/>
              </w:rPr>
            </w:pPr>
            <w:r w:rsidRPr="004A019F">
              <w:rPr>
                <w:lang w:val="sv-SE"/>
              </w:rPr>
              <w:t>Vanlig</w:t>
            </w:r>
          </w:p>
        </w:tc>
      </w:tr>
      <w:tr w:rsidR="00AD14F8" w:rsidRPr="00A74CC6" w14:paraId="7FEBBCF7" w14:textId="77777777" w:rsidTr="004A019F">
        <w:tblPrEx>
          <w:tblCellMar>
            <w:top w:w="23" w:type="dxa"/>
          </w:tblCellMar>
        </w:tblPrEx>
        <w:trPr>
          <w:trHeight w:val="264"/>
        </w:trPr>
        <w:tc>
          <w:tcPr>
            <w:tcW w:w="1579" w:type="pct"/>
            <w:vMerge/>
            <w:tcBorders>
              <w:top w:val="nil"/>
              <w:left w:val="single" w:sz="4" w:space="0" w:color="000000"/>
              <w:bottom w:val="single" w:sz="4" w:space="0" w:color="auto"/>
              <w:right w:val="single" w:sz="4" w:space="0" w:color="000000"/>
            </w:tcBorders>
            <w:shd w:val="clear" w:color="auto" w:fill="auto"/>
          </w:tcPr>
          <w:p w14:paraId="5325E1ED"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6F5920B4" w14:textId="77777777" w:rsidR="00B3376F" w:rsidRPr="004A019F" w:rsidRDefault="00B3376F" w:rsidP="004A019F">
            <w:pPr>
              <w:spacing w:after="0" w:line="240" w:lineRule="auto"/>
              <w:ind w:left="0" w:firstLine="0"/>
              <w:contextualSpacing/>
              <w:rPr>
                <w:lang w:val="sv-SE"/>
              </w:rPr>
            </w:pPr>
            <w:r w:rsidRPr="004A019F">
              <w:rPr>
                <w:lang w:val="sv-SE"/>
              </w:rPr>
              <w:t>Torr hud</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494890E7" w14:textId="77777777" w:rsidR="00B3376F" w:rsidRPr="004A019F" w:rsidRDefault="00B3376F" w:rsidP="004A019F">
            <w:pPr>
              <w:spacing w:after="0" w:line="240" w:lineRule="auto"/>
              <w:ind w:left="0" w:firstLine="0"/>
              <w:contextualSpacing/>
              <w:rPr>
                <w:lang w:val="sv-SE"/>
              </w:rPr>
            </w:pPr>
            <w:r w:rsidRPr="004A019F">
              <w:rPr>
                <w:lang w:val="sv-SE"/>
              </w:rPr>
              <w:t>Vanlig</w:t>
            </w:r>
          </w:p>
        </w:tc>
      </w:tr>
      <w:tr w:rsidR="00AD14F8" w:rsidRPr="00A74CC6" w14:paraId="188520BB" w14:textId="77777777" w:rsidTr="004A019F">
        <w:tblPrEx>
          <w:tblCellMar>
            <w:top w:w="23" w:type="dxa"/>
          </w:tblCellMar>
        </w:tblPrEx>
        <w:trPr>
          <w:trHeight w:val="262"/>
        </w:trPr>
        <w:tc>
          <w:tcPr>
            <w:tcW w:w="1579" w:type="pct"/>
            <w:vMerge/>
            <w:tcBorders>
              <w:top w:val="nil"/>
              <w:left w:val="single" w:sz="4" w:space="0" w:color="000000"/>
              <w:bottom w:val="single" w:sz="4" w:space="0" w:color="auto"/>
              <w:right w:val="single" w:sz="4" w:space="0" w:color="000000"/>
            </w:tcBorders>
            <w:shd w:val="clear" w:color="auto" w:fill="auto"/>
          </w:tcPr>
          <w:p w14:paraId="11BD41C6"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24910E17" w14:textId="77777777" w:rsidR="00B3376F" w:rsidRPr="004A019F" w:rsidRDefault="00B3376F" w:rsidP="004A019F">
            <w:pPr>
              <w:spacing w:after="0" w:line="240" w:lineRule="auto"/>
              <w:ind w:left="0" w:firstLine="0"/>
              <w:contextualSpacing/>
              <w:rPr>
                <w:lang w:val="sv-SE"/>
              </w:rPr>
            </w:pPr>
            <w:r w:rsidRPr="004A019F">
              <w:rPr>
                <w:lang w:val="sv-SE"/>
              </w:rPr>
              <w:t>Ekkymos</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6BD654EE" w14:textId="77777777" w:rsidR="00B3376F" w:rsidRPr="004A019F" w:rsidRDefault="00B3376F" w:rsidP="004A019F">
            <w:pPr>
              <w:spacing w:after="0" w:line="240" w:lineRule="auto"/>
              <w:ind w:left="0" w:firstLine="0"/>
              <w:contextualSpacing/>
              <w:rPr>
                <w:lang w:val="sv-SE"/>
              </w:rPr>
            </w:pPr>
            <w:r w:rsidRPr="004A019F">
              <w:rPr>
                <w:lang w:val="sv-SE"/>
              </w:rPr>
              <w:t>Vanlig</w:t>
            </w:r>
          </w:p>
        </w:tc>
      </w:tr>
      <w:tr w:rsidR="00AD14F8" w:rsidRPr="00A74CC6" w14:paraId="0785A323" w14:textId="77777777" w:rsidTr="004A019F">
        <w:tblPrEx>
          <w:tblCellMar>
            <w:top w:w="23" w:type="dxa"/>
          </w:tblCellMar>
        </w:tblPrEx>
        <w:trPr>
          <w:trHeight w:val="264"/>
        </w:trPr>
        <w:tc>
          <w:tcPr>
            <w:tcW w:w="1579" w:type="pct"/>
            <w:vMerge/>
            <w:tcBorders>
              <w:top w:val="nil"/>
              <w:left w:val="single" w:sz="4" w:space="0" w:color="000000"/>
              <w:bottom w:val="single" w:sz="4" w:space="0" w:color="auto"/>
              <w:right w:val="single" w:sz="4" w:space="0" w:color="000000"/>
            </w:tcBorders>
            <w:shd w:val="clear" w:color="auto" w:fill="auto"/>
          </w:tcPr>
          <w:p w14:paraId="4645598F"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6D89A28E" w14:textId="77777777" w:rsidR="00B3376F" w:rsidRPr="004A019F" w:rsidRDefault="00B3376F" w:rsidP="004A019F">
            <w:pPr>
              <w:spacing w:after="0" w:line="240" w:lineRule="auto"/>
              <w:ind w:left="0" w:firstLine="0"/>
              <w:contextualSpacing/>
              <w:rPr>
                <w:lang w:val="sv-SE"/>
              </w:rPr>
            </w:pPr>
            <w:r w:rsidRPr="004A019F">
              <w:rPr>
                <w:lang w:val="sv-SE"/>
              </w:rPr>
              <w:t>Hyperhydros</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542E1918" w14:textId="77777777" w:rsidR="00B3376F" w:rsidRPr="004A019F" w:rsidRDefault="00B3376F" w:rsidP="004A019F">
            <w:pPr>
              <w:spacing w:after="0" w:line="240" w:lineRule="auto"/>
              <w:ind w:left="0" w:firstLine="0"/>
              <w:contextualSpacing/>
              <w:rPr>
                <w:lang w:val="sv-SE"/>
              </w:rPr>
            </w:pPr>
            <w:r w:rsidRPr="004A019F">
              <w:rPr>
                <w:lang w:val="sv-SE"/>
              </w:rPr>
              <w:t>Vanlig</w:t>
            </w:r>
          </w:p>
        </w:tc>
      </w:tr>
      <w:tr w:rsidR="00AD14F8" w:rsidRPr="00A74CC6" w14:paraId="26781B3C" w14:textId="77777777" w:rsidTr="004A019F">
        <w:tblPrEx>
          <w:tblCellMar>
            <w:top w:w="23" w:type="dxa"/>
          </w:tblCellMar>
        </w:tblPrEx>
        <w:trPr>
          <w:trHeight w:val="264"/>
        </w:trPr>
        <w:tc>
          <w:tcPr>
            <w:tcW w:w="1579" w:type="pct"/>
            <w:vMerge/>
            <w:tcBorders>
              <w:top w:val="nil"/>
              <w:left w:val="single" w:sz="4" w:space="0" w:color="000000"/>
              <w:bottom w:val="single" w:sz="4" w:space="0" w:color="auto"/>
              <w:right w:val="single" w:sz="4" w:space="0" w:color="000000"/>
            </w:tcBorders>
            <w:shd w:val="clear" w:color="auto" w:fill="auto"/>
          </w:tcPr>
          <w:p w14:paraId="2CD01B08"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46A9C6EA" w14:textId="3943FAEA" w:rsidR="00B3376F" w:rsidRPr="004A019F" w:rsidRDefault="00B3376F" w:rsidP="004A019F">
            <w:pPr>
              <w:spacing w:after="0" w:line="240" w:lineRule="auto"/>
              <w:ind w:left="0" w:firstLine="0"/>
              <w:contextualSpacing/>
              <w:rPr>
                <w:lang w:val="sv-SE"/>
              </w:rPr>
            </w:pPr>
            <w:r w:rsidRPr="004A019F">
              <w:rPr>
                <w:lang w:val="sv-SE"/>
              </w:rPr>
              <w:t>Makulopapulösa utslag</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7A40E402" w14:textId="77777777" w:rsidR="00B3376F" w:rsidRPr="004A019F" w:rsidRDefault="00B3376F" w:rsidP="004A019F">
            <w:pPr>
              <w:spacing w:after="0" w:line="240" w:lineRule="auto"/>
              <w:ind w:left="0" w:firstLine="0"/>
              <w:contextualSpacing/>
              <w:rPr>
                <w:lang w:val="sv-SE"/>
              </w:rPr>
            </w:pPr>
            <w:r w:rsidRPr="004A019F">
              <w:rPr>
                <w:lang w:val="sv-SE"/>
              </w:rPr>
              <w:t>Vanlig</w:t>
            </w:r>
          </w:p>
        </w:tc>
      </w:tr>
      <w:tr w:rsidR="00AD14F8" w:rsidRPr="00A74CC6" w14:paraId="4DF35329" w14:textId="77777777" w:rsidTr="004A019F">
        <w:tblPrEx>
          <w:tblCellMar>
            <w:top w:w="23" w:type="dxa"/>
          </w:tblCellMar>
        </w:tblPrEx>
        <w:trPr>
          <w:trHeight w:val="262"/>
        </w:trPr>
        <w:tc>
          <w:tcPr>
            <w:tcW w:w="1579" w:type="pct"/>
            <w:vMerge/>
            <w:tcBorders>
              <w:top w:val="nil"/>
              <w:left w:val="single" w:sz="4" w:space="0" w:color="000000"/>
              <w:bottom w:val="single" w:sz="4" w:space="0" w:color="auto"/>
              <w:right w:val="single" w:sz="4" w:space="0" w:color="000000"/>
            </w:tcBorders>
            <w:shd w:val="clear" w:color="auto" w:fill="auto"/>
          </w:tcPr>
          <w:p w14:paraId="68B9A609"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35238DEC" w14:textId="77777777" w:rsidR="00B3376F" w:rsidRPr="004A019F" w:rsidRDefault="00B3376F" w:rsidP="004A019F">
            <w:pPr>
              <w:spacing w:after="0" w:line="240" w:lineRule="auto"/>
              <w:ind w:left="0" w:firstLine="0"/>
              <w:contextualSpacing/>
              <w:rPr>
                <w:lang w:val="sv-SE"/>
              </w:rPr>
            </w:pPr>
            <w:r w:rsidRPr="004A019F">
              <w:rPr>
                <w:lang w:val="sv-SE"/>
              </w:rPr>
              <w:t>Pruritus</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30086ABB" w14:textId="77777777" w:rsidR="00B3376F" w:rsidRPr="004A019F" w:rsidRDefault="00B3376F" w:rsidP="004A019F">
            <w:pPr>
              <w:spacing w:after="0" w:line="240" w:lineRule="auto"/>
              <w:ind w:left="0" w:firstLine="0"/>
              <w:contextualSpacing/>
              <w:rPr>
                <w:lang w:val="sv-SE"/>
              </w:rPr>
            </w:pPr>
            <w:r w:rsidRPr="004A019F">
              <w:rPr>
                <w:lang w:val="sv-SE"/>
              </w:rPr>
              <w:t>Vanlig</w:t>
            </w:r>
          </w:p>
        </w:tc>
      </w:tr>
      <w:tr w:rsidR="00AD14F8" w:rsidRPr="00A74CC6" w14:paraId="4F99BE64" w14:textId="77777777" w:rsidTr="004A019F">
        <w:tblPrEx>
          <w:tblCellMar>
            <w:top w:w="23" w:type="dxa"/>
          </w:tblCellMar>
        </w:tblPrEx>
        <w:trPr>
          <w:trHeight w:val="264"/>
        </w:trPr>
        <w:tc>
          <w:tcPr>
            <w:tcW w:w="1579" w:type="pct"/>
            <w:vMerge/>
            <w:tcBorders>
              <w:top w:val="nil"/>
              <w:left w:val="single" w:sz="4" w:space="0" w:color="000000"/>
              <w:bottom w:val="single" w:sz="4" w:space="0" w:color="auto"/>
              <w:right w:val="single" w:sz="4" w:space="0" w:color="000000"/>
            </w:tcBorders>
            <w:shd w:val="clear" w:color="auto" w:fill="auto"/>
          </w:tcPr>
          <w:p w14:paraId="0ACA33D3"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0A32D6A9" w14:textId="77777777" w:rsidR="00B3376F" w:rsidRPr="004A019F" w:rsidRDefault="00B3376F" w:rsidP="004A019F">
            <w:pPr>
              <w:spacing w:after="0" w:line="240" w:lineRule="auto"/>
              <w:ind w:left="0" w:firstLine="0"/>
              <w:contextualSpacing/>
              <w:rPr>
                <w:lang w:val="sv-SE"/>
              </w:rPr>
            </w:pPr>
            <w:r w:rsidRPr="004A019F">
              <w:rPr>
                <w:lang w:val="sv-SE"/>
              </w:rPr>
              <w:t>Onykoklas</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5B61BCED" w14:textId="77777777" w:rsidR="00B3376F" w:rsidRPr="004A019F" w:rsidRDefault="00B3376F" w:rsidP="004A019F">
            <w:pPr>
              <w:spacing w:after="0" w:line="240" w:lineRule="auto"/>
              <w:ind w:left="0" w:firstLine="0"/>
              <w:contextualSpacing/>
              <w:rPr>
                <w:lang w:val="sv-SE"/>
              </w:rPr>
            </w:pPr>
            <w:r w:rsidRPr="004A019F">
              <w:rPr>
                <w:lang w:val="sv-SE"/>
              </w:rPr>
              <w:t>Vanlig</w:t>
            </w:r>
          </w:p>
        </w:tc>
      </w:tr>
      <w:tr w:rsidR="00AD14F8" w:rsidRPr="00A74CC6" w14:paraId="37AD475F" w14:textId="77777777" w:rsidTr="004A019F">
        <w:tblPrEx>
          <w:tblCellMar>
            <w:top w:w="23" w:type="dxa"/>
          </w:tblCellMar>
        </w:tblPrEx>
        <w:trPr>
          <w:trHeight w:val="262"/>
        </w:trPr>
        <w:tc>
          <w:tcPr>
            <w:tcW w:w="1579" w:type="pct"/>
            <w:vMerge/>
            <w:tcBorders>
              <w:top w:val="nil"/>
              <w:left w:val="single" w:sz="4" w:space="0" w:color="000000"/>
              <w:bottom w:val="single" w:sz="4" w:space="0" w:color="auto"/>
              <w:right w:val="single" w:sz="4" w:space="0" w:color="000000"/>
            </w:tcBorders>
            <w:shd w:val="clear" w:color="auto" w:fill="auto"/>
          </w:tcPr>
          <w:p w14:paraId="5829EA8D"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5B181676" w14:textId="77777777" w:rsidR="00B3376F" w:rsidRPr="004A019F" w:rsidRDefault="00B3376F" w:rsidP="004A019F">
            <w:pPr>
              <w:spacing w:after="0" w:line="240" w:lineRule="auto"/>
              <w:ind w:left="0" w:firstLine="0"/>
              <w:contextualSpacing/>
              <w:rPr>
                <w:lang w:val="sv-SE"/>
              </w:rPr>
            </w:pPr>
            <w:r w:rsidRPr="004A019F">
              <w:rPr>
                <w:lang w:val="sv-SE"/>
              </w:rPr>
              <w:t>Dermatit</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462294A5" w14:textId="77777777" w:rsidR="00B3376F" w:rsidRPr="004A019F" w:rsidRDefault="00B3376F" w:rsidP="004A019F">
            <w:pPr>
              <w:spacing w:after="0" w:line="240" w:lineRule="auto"/>
              <w:ind w:left="0" w:firstLine="0"/>
              <w:contextualSpacing/>
              <w:rPr>
                <w:lang w:val="sv-SE"/>
              </w:rPr>
            </w:pPr>
            <w:r w:rsidRPr="004A019F">
              <w:rPr>
                <w:lang w:val="sv-SE"/>
              </w:rPr>
              <w:t>Vanlig</w:t>
            </w:r>
          </w:p>
        </w:tc>
      </w:tr>
      <w:tr w:rsidR="00AD14F8" w:rsidRPr="00A74CC6" w14:paraId="4492332B" w14:textId="77777777" w:rsidTr="004A019F">
        <w:tblPrEx>
          <w:tblCellMar>
            <w:top w:w="23" w:type="dxa"/>
          </w:tblCellMar>
        </w:tblPrEx>
        <w:trPr>
          <w:trHeight w:val="264"/>
        </w:trPr>
        <w:tc>
          <w:tcPr>
            <w:tcW w:w="1579" w:type="pct"/>
            <w:vMerge/>
            <w:tcBorders>
              <w:top w:val="nil"/>
              <w:left w:val="single" w:sz="4" w:space="0" w:color="000000"/>
              <w:bottom w:val="single" w:sz="4" w:space="0" w:color="auto"/>
              <w:right w:val="single" w:sz="4" w:space="0" w:color="000000"/>
            </w:tcBorders>
            <w:shd w:val="clear" w:color="auto" w:fill="auto"/>
          </w:tcPr>
          <w:p w14:paraId="0D97E1A7"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16B88ADA" w14:textId="77777777" w:rsidR="00B3376F" w:rsidRPr="004A019F" w:rsidRDefault="00B3376F" w:rsidP="004A019F">
            <w:pPr>
              <w:spacing w:after="0" w:line="240" w:lineRule="auto"/>
              <w:ind w:left="0" w:firstLine="0"/>
              <w:contextualSpacing/>
              <w:rPr>
                <w:lang w:val="sv-SE"/>
              </w:rPr>
            </w:pPr>
            <w:r w:rsidRPr="004A019F">
              <w:rPr>
                <w:lang w:val="sv-SE"/>
              </w:rPr>
              <w:t>Urtikaria</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40B3961A" w14:textId="77777777" w:rsidR="00B3376F" w:rsidRPr="004A019F" w:rsidRDefault="00B3376F" w:rsidP="004A019F">
            <w:pPr>
              <w:spacing w:after="0" w:line="240" w:lineRule="auto"/>
              <w:ind w:left="0" w:firstLine="0"/>
              <w:contextualSpacing/>
              <w:rPr>
                <w:lang w:val="sv-SE"/>
              </w:rPr>
            </w:pPr>
            <w:r w:rsidRPr="004A019F">
              <w:rPr>
                <w:lang w:val="sv-SE"/>
              </w:rPr>
              <w:t xml:space="preserve">Mindre vanlig </w:t>
            </w:r>
          </w:p>
        </w:tc>
      </w:tr>
      <w:tr w:rsidR="00AD14F8" w:rsidRPr="00A74CC6" w14:paraId="192F237C" w14:textId="77777777" w:rsidTr="004A019F">
        <w:tblPrEx>
          <w:tblCellMar>
            <w:top w:w="23" w:type="dxa"/>
          </w:tblCellMar>
        </w:tblPrEx>
        <w:trPr>
          <w:trHeight w:val="262"/>
        </w:trPr>
        <w:tc>
          <w:tcPr>
            <w:tcW w:w="1579" w:type="pct"/>
            <w:vMerge/>
            <w:tcBorders>
              <w:top w:val="nil"/>
              <w:left w:val="single" w:sz="4" w:space="0" w:color="000000"/>
              <w:bottom w:val="single" w:sz="4" w:space="0" w:color="auto"/>
              <w:right w:val="single" w:sz="4" w:space="0" w:color="000000"/>
            </w:tcBorders>
            <w:shd w:val="clear" w:color="auto" w:fill="auto"/>
          </w:tcPr>
          <w:p w14:paraId="37C1DCA7"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233AB8F4" w14:textId="77777777" w:rsidR="00B3376F" w:rsidRPr="004A019F" w:rsidRDefault="00B3376F" w:rsidP="004A019F">
            <w:pPr>
              <w:spacing w:after="0" w:line="240" w:lineRule="auto"/>
              <w:ind w:left="0" w:firstLine="0"/>
              <w:contextualSpacing/>
              <w:rPr>
                <w:lang w:val="sv-SE"/>
              </w:rPr>
            </w:pPr>
            <w:r w:rsidRPr="004A019F">
              <w:rPr>
                <w:lang w:val="sv-SE"/>
              </w:rPr>
              <w:t>Angioödem</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1ED62AA8" w14:textId="77777777" w:rsidR="00B3376F" w:rsidRPr="004A019F" w:rsidRDefault="00B3376F" w:rsidP="004A019F">
            <w:pPr>
              <w:spacing w:after="0" w:line="240" w:lineRule="auto"/>
              <w:ind w:left="0" w:firstLine="0"/>
              <w:contextualSpacing/>
              <w:rPr>
                <w:lang w:val="sv-SE"/>
              </w:rPr>
            </w:pPr>
            <w:r w:rsidRPr="004A019F">
              <w:rPr>
                <w:lang w:val="sv-SE"/>
              </w:rPr>
              <w:t>Ingen känd frekvens</w:t>
            </w:r>
          </w:p>
        </w:tc>
      </w:tr>
      <w:tr w:rsidR="00AD14F8" w:rsidRPr="00A74CC6" w14:paraId="3E1CB8A1" w14:textId="77777777" w:rsidTr="004A019F">
        <w:tblPrEx>
          <w:tblCellMar>
            <w:top w:w="23" w:type="dxa"/>
          </w:tblCellMar>
        </w:tblPrEx>
        <w:trPr>
          <w:trHeight w:val="227"/>
        </w:trPr>
        <w:tc>
          <w:tcPr>
            <w:tcW w:w="1579" w:type="pct"/>
            <w:vMerge w:val="restart"/>
            <w:tcBorders>
              <w:top w:val="single" w:sz="4" w:space="0" w:color="auto"/>
              <w:left w:val="single" w:sz="4" w:space="0" w:color="000000"/>
              <w:bottom w:val="single" w:sz="4" w:space="0" w:color="000000"/>
              <w:right w:val="single" w:sz="4" w:space="0" w:color="000000"/>
            </w:tcBorders>
            <w:shd w:val="clear" w:color="auto" w:fill="auto"/>
          </w:tcPr>
          <w:p w14:paraId="40710538" w14:textId="77777777" w:rsidR="00B3376F" w:rsidRPr="004A019F" w:rsidRDefault="00B3376F" w:rsidP="004A019F">
            <w:pPr>
              <w:spacing w:after="0" w:line="240" w:lineRule="auto"/>
              <w:ind w:left="0" w:firstLine="0"/>
              <w:contextualSpacing/>
              <w:rPr>
                <w:lang w:val="sv-SE"/>
              </w:rPr>
            </w:pPr>
            <w:r w:rsidRPr="004A019F">
              <w:rPr>
                <w:lang w:val="sv-SE"/>
              </w:rPr>
              <w:t xml:space="preserve">Muskuloskeletala systemet och bindväv </w:t>
            </w: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4AE1FF86" w14:textId="77777777" w:rsidR="00B3376F" w:rsidRPr="004A019F" w:rsidRDefault="00B3376F" w:rsidP="004A019F">
            <w:pPr>
              <w:spacing w:after="0" w:line="240" w:lineRule="auto"/>
              <w:ind w:left="0" w:firstLine="0"/>
              <w:contextualSpacing/>
              <w:rPr>
                <w:lang w:val="sv-SE"/>
              </w:rPr>
            </w:pPr>
            <w:r w:rsidRPr="004A019F">
              <w:rPr>
                <w:lang w:val="sv-SE"/>
              </w:rPr>
              <w:t>Artralgi</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5B148AC6" w14:textId="77777777" w:rsidR="00B3376F" w:rsidRPr="004A019F" w:rsidRDefault="00B3376F" w:rsidP="004A019F">
            <w:pPr>
              <w:spacing w:after="0" w:line="240" w:lineRule="auto"/>
              <w:ind w:left="0" w:firstLine="0"/>
              <w:contextualSpacing/>
              <w:rPr>
                <w:lang w:val="sv-SE"/>
              </w:rPr>
            </w:pPr>
            <w:r w:rsidRPr="004A019F">
              <w:rPr>
                <w:lang w:val="sv-SE"/>
              </w:rPr>
              <w:t>Mycket vanlig</w:t>
            </w:r>
          </w:p>
        </w:tc>
      </w:tr>
      <w:tr w:rsidR="00AD14F8" w:rsidRPr="00A74CC6" w14:paraId="03BC934D" w14:textId="77777777" w:rsidTr="004A019F">
        <w:tblPrEx>
          <w:tblCellMar>
            <w:top w:w="23" w:type="dxa"/>
          </w:tblCellMar>
        </w:tblPrEx>
        <w:trPr>
          <w:trHeight w:val="227"/>
        </w:trPr>
        <w:tc>
          <w:tcPr>
            <w:tcW w:w="1579" w:type="pct"/>
            <w:vMerge/>
            <w:tcBorders>
              <w:top w:val="nil"/>
              <w:left w:val="single" w:sz="4" w:space="0" w:color="000000"/>
              <w:bottom w:val="nil"/>
              <w:right w:val="single" w:sz="4" w:space="0" w:color="000000"/>
            </w:tcBorders>
            <w:shd w:val="clear" w:color="auto" w:fill="auto"/>
          </w:tcPr>
          <w:p w14:paraId="6EE3C523"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330EC8F3" w14:textId="77777777" w:rsidR="00B3376F" w:rsidRPr="004A019F" w:rsidRDefault="00B3376F" w:rsidP="004A019F">
            <w:pPr>
              <w:spacing w:after="0" w:line="240" w:lineRule="auto"/>
              <w:ind w:left="0" w:firstLine="0"/>
              <w:contextualSpacing/>
              <w:rPr>
                <w:lang w:val="sv-SE"/>
              </w:rPr>
            </w:pPr>
            <w:r w:rsidRPr="004A019F">
              <w:rPr>
                <w:vertAlign w:val="superscript"/>
                <w:lang w:val="sv-SE"/>
              </w:rPr>
              <w:t>1</w:t>
            </w:r>
            <w:r w:rsidRPr="004A019F">
              <w:rPr>
                <w:lang w:val="sv-SE"/>
              </w:rPr>
              <w:t>Muskelkramper</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593FE838" w14:textId="77777777" w:rsidR="00B3376F" w:rsidRPr="004A019F" w:rsidRDefault="00B3376F" w:rsidP="004A019F">
            <w:pPr>
              <w:spacing w:after="0" w:line="240" w:lineRule="auto"/>
              <w:ind w:left="0" w:firstLine="0"/>
              <w:contextualSpacing/>
              <w:rPr>
                <w:lang w:val="sv-SE"/>
              </w:rPr>
            </w:pPr>
            <w:r w:rsidRPr="004A019F">
              <w:rPr>
                <w:lang w:val="sv-SE"/>
              </w:rPr>
              <w:t>Mycket vanlig</w:t>
            </w:r>
          </w:p>
        </w:tc>
      </w:tr>
      <w:tr w:rsidR="00AD14F8" w:rsidRPr="00A74CC6" w14:paraId="548DFDA4" w14:textId="77777777" w:rsidTr="004A019F">
        <w:tblPrEx>
          <w:tblCellMar>
            <w:top w:w="23" w:type="dxa"/>
          </w:tblCellMar>
        </w:tblPrEx>
        <w:trPr>
          <w:trHeight w:val="227"/>
        </w:trPr>
        <w:tc>
          <w:tcPr>
            <w:tcW w:w="1579" w:type="pct"/>
            <w:vMerge/>
            <w:tcBorders>
              <w:top w:val="nil"/>
              <w:left w:val="single" w:sz="4" w:space="0" w:color="000000"/>
              <w:bottom w:val="nil"/>
              <w:right w:val="single" w:sz="4" w:space="0" w:color="000000"/>
            </w:tcBorders>
            <w:shd w:val="clear" w:color="auto" w:fill="auto"/>
          </w:tcPr>
          <w:p w14:paraId="746B941C"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5E1DFDA4" w14:textId="77777777" w:rsidR="00B3376F" w:rsidRPr="004A019F" w:rsidRDefault="00B3376F" w:rsidP="004A019F">
            <w:pPr>
              <w:spacing w:after="0" w:line="240" w:lineRule="auto"/>
              <w:ind w:left="0" w:firstLine="0"/>
              <w:contextualSpacing/>
              <w:rPr>
                <w:lang w:val="sv-SE"/>
              </w:rPr>
            </w:pPr>
            <w:r w:rsidRPr="004A019F">
              <w:rPr>
                <w:lang w:val="sv-SE"/>
              </w:rPr>
              <w:t>Myalgi</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3F986601" w14:textId="77777777" w:rsidR="00B3376F" w:rsidRPr="004A019F" w:rsidRDefault="00B3376F" w:rsidP="004A019F">
            <w:pPr>
              <w:spacing w:after="0" w:line="240" w:lineRule="auto"/>
              <w:ind w:left="0" w:firstLine="0"/>
              <w:contextualSpacing/>
              <w:rPr>
                <w:lang w:val="sv-SE"/>
              </w:rPr>
            </w:pPr>
            <w:r w:rsidRPr="004A019F">
              <w:rPr>
                <w:lang w:val="sv-SE"/>
              </w:rPr>
              <w:t>Mycket vanlig</w:t>
            </w:r>
          </w:p>
        </w:tc>
      </w:tr>
      <w:tr w:rsidR="00AD14F8" w:rsidRPr="00A74CC6" w14:paraId="57AAE69A" w14:textId="77777777" w:rsidTr="004A019F">
        <w:tblPrEx>
          <w:tblCellMar>
            <w:top w:w="23" w:type="dxa"/>
          </w:tblCellMar>
        </w:tblPrEx>
        <w:trPr>
          <w:trHeight w:val="227"/>
        </w:trPr>
        <w:tc>
          <w:tcPr>
            <w:tcW w:w="1579" w:type="pct"/>
            <w:vMerge/>
            <w:tcBorders>
              <w:top w:val="nil"/>
              <w:left w:val="single" w:sz="4" w:space="0" w:color="000000"/>
              <w:bottom w:val="nil"/>
              <w:right w:val="single" w:sz="4" w:space="0" w:color="000000"/>
            </w:tcBorders>
            <w:shd w:val="clear" w:color="auto" w:fill="auto"/>
          </w:tcPr>
          <w:p w14:paraId="66486F24"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03DCADDF" w14:textId="77777777" w:rsidR="00B3376F" w:rsidRPr="004A019F" w:rsidRDefault="00B3376F" w:rsidP="004A019F">
            <w:pPr>
              <w:spacing w:after="0" w:line="240" w:lineRule="auto"/>
              <w:ind w:left="0" w:firstLine="0"/>
              <w:contextualSpacing/>
              <w:rPr>
                <w:lang w:val="sv-SE"/>
              </w:rPr>
            </w:pPr>
            <w:r w:rsidRPr="004A019F">
              <w:rPr>
                <w:lang w:val="sv-SE"/>
              </w:rPr>
              <w:t>Artrit</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4406E5CE" w14:textId="77777777" w:rsidR="00B3376F" w:rsidRPr="004A019F" w:rsidRDefault="00B3376F" w:rsidP="004A019F">
            <w:pPr>
              <w:spacing w:after="0" w:line="240" w:lineRule="auto"/>
              <w:ind w:left="0" w:firstLine="0"/>
              <w:contextualSpacing/>
              <w:rPr>
                <w:lang w:val="sv-SE"/>
              </w:rPr>
            </w:pPr>
            <w:r w:rsidRPr="004A019F">
              <w:rPr>
                <w:lang w:val="sv-SE"/>
              </w:rPr>
              <w:t>Vanlig</w:t>
            </w:r>
          </w:p>
        </w:tc>
      </w:tr>
      <w:tr w:rsidR="00AD14F8" w:rsidRPr="00A74CC6" w14:paraId="2B3F31CF" w14:textId="77777777" w:rsidTr="004A019F">
        <w:tblPrEx>
          <w:tblCellMar>
            <w:top w:w="23" w:type="dxa"/>
          </w:tblCellMar>
        </w:tblPrEx>
        <w:trPr>
          <w:trHeight w:val="227"/>
        </w:trPr>
        <w:tc>
          <w:tcPr>
            <w:tcW w:w="1579" w:type="pct"/>
            <w:vMerge/>
            <w:tcBorders>
              <w:top w:val="nil"/>
              <w:left w:val="single" w:sz="4" w:space="0" w:color="000000"/>
              <w:bottom w:val="nil"/>
              <w:right w:val="single" w:sz="4" w:space="0" w:color="000000"/>
            </w:tcBorders>
            <w:shd w:val="clear" w:color="auto" w:fill="auto"/>
          </w:tcPr>
          <w:p w14:paraId="525D88D2"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6956C930" w14:textId="77777777" w:rsidR="00B3376F" w:rsidRPr="004A019F" w:rsidRDefault="00B3376F" w:rsidP="004A019F">
            <w:pPr>
              <w:spacing w:after="0" w:line="240" w:lineRule="auto"/>
              <w:ind w:left="0" w:firstLine="0"/>
              <w:contextualSpacing/>
              <w:rPr>
                <w:lang w:val="sv-SE"/>
              </w:rPr>
            </w:pPr>
            <w:r w:rsidRPr="004A019F">
              <w:rPr>
                <w:lang w:val="sv-SE"/>
              </w:rPr>
              <w:t>Ryggsmärta</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41711BAA" w14:textId="77777777" w:rsidR="00B3376F" w:rsidRPr="004A019F" w:rsidRDefault="00B3376F" w:rsidP="004A019F">
            <w:pPr>
              <w:spacing w:after="0" w:line="240" w:lineRule="auto"/>
              <w:ind w:left="0" w:firstLine="0"/>
              <w:contextualSpacing/>
              <w:rPr>
                <w:lang w:val="sv-SE"/>
              </w:rPr>
            </w:pPr>
            <w:r w:rsidRPr="004A019F">
              <w:rPr>
                <w:lang w:val="sv-SE"/>
              </w:rPr>
              <w:t>Vanlig</w:t>
            </w:r>
          </w:p>
        </w:tc>
      </w:tr>
      <w:tr w:rsidR="00AD14F8" w:rsidRPr="00A74CC6" w14:paraId="0EF5E484" w14:textId="77777777" w:rsidTr="004A019F">
        <w:tblPrEx>
          <w:tblCellMar>
            <w:top w:w="23" w:type="dxa"/>
          </w:tblCellMar>
        </w:tblPrEx>
        <w:trPr>
          <w:trHeight w:val="227"/>
        </w:trPr>
        <w:tc>
          <w:tcPr>
            <w:tcW w:w="1579" w:type="pct"/>
            <w:vMerge/>
            <w:tcBorders>
              <w:top w:val="nil"/>
              <w:left w:val="single" w:sz="4" w:space="0" w:color="000000"/>
              <w:bottom w:val="nil"/>
              <w:right w:val="single" w:sz="4" w:space="0" w:color="000000"/>
            </w:tcBorders>
            <w:shd w:val="clear" w:color="auto" w:fill="auto"/>
          </w:tcPr>
          <w:p w14:paraId="32669F00"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25EEA3CF" w14:textId="77777777" w:rsidR="00B3376F" w:rsidRPr="004A019F" w:rsidRDefault="00B3376F" w:rsidP="004A019F">
            <w:pPr>
              <w:spacing w:after="0" w:line="240" w:lineRule="auto"/>
              <w:ind w:left="0" w:firstLine="0"/>
              <w:contextualSpacing/>
              <w:rPr>
                <w:lang w:val="sv-SE"/>
              </w:rPr>
            </w:pPr>
            <w:r w:rsidRPr="004A019F">
              <w:rPr>
                <w:lang w:val="sv-SE"/>
              </w:rPr>
              <w:t>Bensmärta</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4F0F09C0" w14:textId="77777777" w:rsidR="00B3376F" w:rsidRPr="004A019F" w:rsidRDefault="00B3376F" w:rsidP="004A019F">
            <w:pPr>
              <w:spacing w:after="0" w:line="240" w:lineRule="auto"/>
              <w:ind w:left="0" w:firstLine="0"/>
              <w:contextualSpacing/>
              <w:rPr>
                <w:lang w:val="sv-SE"/>
              </w:rPr>
            </w:pPr>
            <w:r w:rsidRPr="004A019F">
              <w:rPr>
                <w:lang w:val="sv-SE"/>
              </w:rPr>
              <w:t>Vanlig</w:t>
            </w:r>
          </w:p>
        </w:tc>
      </w:tr>
      <w:tr w:rsidR="00AD14F8" w:rsidRPr="00A74CC6" w14:paraId="45CBD79B" w14:textId="77777777" w:rsidTr="004A019F">
        <w:tblPrEx>
          <w:tblCellMar>
            <w:top w:w="23" w:type="dxa"/>
          </w:tblCellMar>
        </w:tblPrEx>
        <w:trPr>
          <w:trHeight w:val="227"/>
        </w:trPr>
        <w:tc>
          <w:tcPr>
            <w:tcW w:w="1579" w:type="pct"/>
            <w:vMerge/>
            <w:tcBorders>
              <w:top w:val="nil"/>
              <w:left w:val="single" w:sz="4" w:space="0" w:color="000000"/>
              <w:bottom w:val="nil"/>
              <w:right w:val="single" w:sz="4" w:space="0" w:color="000000"/>
            </w:tcBorders>
            <w:shd w:val="clear" w:color="auto" w:fill="auto"/>
          </w:tcPr>
          <w:p w14:paraId="0A4C66A9"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300B188B" w14:textId="77777777" w:rsidR="00B3376F" w:rsidRPr="004A019F" w:rsidRDefault="00B3376F" w:rsidP="004A019F">
            <w:pPr>
              <w:spacing w:after="0" w:line="240" w:lineRule="auto"/>
              <w:ind w:left="0" w:firstLine="0"/>
              <w:contextualSpacing/>
              <w:rPr>
                <w:lang w:val="sv-SE"/>
              </w:rPr>
            </w:pPr>
            <w:r w:rsidRPr="004A019F">
              <w:rPr>
                <w:lang w:val="sv-SE"/>
              </w:rPr>
              <w:t>Muskelspasmer</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34B95A59" w14:textId="77777777" w:rsidR="00B3376F" w:rsidRPr="004A019F" w:rsidRDefault="00B3376F" w:rsidP="004A019F">
            <w:pPr>
              <w:spacing w:after="0" w:line="240" w:lineRule="auto"/>
              <w:ind w:left="0" w:firstLine="0"/>
              <w:contextualSpacing/>
              <w:rPr>
                <w:lang w:val="sv-SE"/>
              </w:rPr>
            </w:pPr>
            <w:r w:rsidRPr="004A019F">
              <w:rPr>
                <w:lang w:val="sv-SE"/>
              </w:rPr>
              <w:t>Vanlig</w:t>
            </w:r>
          </w:p>
        </w:tc>
      </w:tr>
      <w:tr w:rsidR="00AD14F8" w:rsidRPr="00A74CC6" w14:paraId="78B10997" w14:textId="77777777" w:rsidTr="004A019F">
        <w:tblPrEx>
          <w:tblCellMar>
            <w:top w:w="23" w:type="dxa"/>
          </w:tblCellMar>
        </w:tblPrEx>
        <w:trPr>
          <w:trHeight w:val="227"/>
        </w:trPr>
        <w:tc>
          <w:tcPr>
            <w:tcW w:w="1579" w:type="pct"/>
            <w:vMerge/>
            <w:tcBorders>
              <w:top w:val="nil"/>
              <w:left w:val="single" w:sz="4" w:space="0" w:color="000000"/>
              <w:bottom w:val="nil"/>
              <w:right w:val="single" w:sz="4" w:space="0" w:color="000000"/>
            </w:tcBorders>
            <w:shd w:val="clear" w:color="auto" w:fill="auto"/>
          </w:tcPr>
          <w:p w14:paraId="381B35E4"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06EF4AD7" w14:textId="77777777" w:rsidR="00B3376F" w:rsidRPr="004A019F" w:rsidRDefault="00B3376F" w:rsidP="004A019F">
            <w:pPr>
              <w:spacing w:after="0" w:line="240" w:lineRule="auto"/>
              <w:ind w:left="0" w:firstLine="0"/>
              <w:contextualSpacing/>
              <w:rPr>
                <w:lang w:val="sv-SE"/>
              </w:rPr>
            </w:pPr>
            <w:r w:rsidRPr="004A019F">
              <w:rPr>
                <w:lang w:val="sv-SE"/>
              </w:rPr>
              <w:t>Nacksmärta</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2516D9DF" w14:textId="77777777" w:rsidR="00B3376F" w:rsidRPr="004A019F" w:rsidRDefault="00B3376F" w:rsidP="004A019F">
            <w:pPr>
              <w:spacing w:after="0" w:line="240" w:lineRule="auto"/>
              <w:ind w:left="0" w:firstLine="0"/>
              <w:contextualSpacing/>
              <w:rPr>
                <w:lang w:val="sv-SE"/>
              </w:rPr>
            </w:pPr>
            <w:r w:rsidRPr="004A019F">
              <w:rPr>
                <w:lang w:val="sv-SE"/>
              </w:rPr>
              <w:t>Vanlig</w:t>
            </w:r>
          </w:p>
        </w:tc>
      </w:tr>
      <w:tr w:rsidR="00AD14F8" w:rsidRPr="00A74CC6" w14:paraId="5280FA7E" w14:textId="77777777" w:rsidTr="004A019F">
        <w:tblPrEx>
          <w:tblCellMar>
            <w:top w:w="23" w:type="dxa"/>
          </w:tblCellMar>
        </w:tblPrEx>
        <w:trPr>
          <w:trHeight w:val="227"/>
        </w:trPr>
        <w:tc>
          <w:tcPr>
            <w:tcW w:w="1579" w:type="pct"/>
            <w:vMerge/>
            <w:tcBorders>
              <w:top w:val="nil"/>
              <w:left w:val="single" w:sz="4" w:space="0" w:color="000000"/>
              <w:bottom w:val="single" w:sz="4" w:space="0" w:color="000000"/>
              <w:right w:val="single" w:sz="4" w:space="0" w:color="000000"/>
            </w:tcBorders>
            <w:shd w:val="clear" w:color="auto" w:fill="auto"/>
          </w:tcPr>
          <w:p w14:paraId="3AC9CDEE"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6AEE08D6" w14:textId="77777777" w:rsidR="00B3376F" w:rsidRPr="004A019F" w:rsidRDefault="00B3376F" w:rsidP="004A019F">
            <w:pPr>
              <w:spacing w:after="0" w:line="240" w:lineRule="auto"/>
              <w:ind w:left="0" w:firstLine="0"/>
              <w:contextualSpacing/>
              <w:rPr>
                <w:lang w:val="sv-SE"/>
              </w:rPr>
            </w:pPr>
            <w:r w:rsidRPr="004A019F">
              <w:rPr>
                <w:lang w:val="sv-SE"/>
              </w:rPr>
              <w:t>Smärta i extremiteter</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48D5F0BA" w14:textId="77777777" w:rsidR="00B3376F" w:rsidRPr="004A019F" w:rsidRDefault="00B3376F" w:rsidP="004A019F">
            <w:pPr>
              <w:spacing w:after="0" w:line="240" w:lineRule="auto"/>
              <w:ind w:left="0" w:firstLine="0"/>
              <w:contextualSpacing/>
              <w:rPr>
                <w:lang w:val="sv-SE"/>
              </w:rPr>
            </w:pPr>
            <w:r w:rsidRPr="004A019F">
              <w:rPr>
                <w:lang w:val="sv-SE"/>
              </w:rPr>
              <w:t>Vanlig</w:t>
            </w:r>
          </w:p>
        </w:tc>
      </w:tr>
      <w:tr w:rsidR="00AD14F8" w:rsidRPr="00A74CC6" w14:paraId="7A5BEC8C" w14:textId="77777777" w:rsidTr="004A019F">
        <w:tblPrEx>
          <w:tblCellMar>
            <w:top w:w="23" w:type="dxa"/>
          </w:tblCellMar>
        </w:tblPrEx>
        <w:trPr>
          <w:trHeight w:val="227"/>
        </w:trPr>
        <w:tc>
          <w:tcPr>
            <w:tcW w:w="1579" w:type="pct"/>
            <w:vMerge w:val="restart"/>
            <w:tcBorders>
              <w:top w:val="single" w:sz="4" w:space="0" w:color="000000"/>
              <w:left w:val="single" w:sz="4" w:space="0" w:color="000000"/>
              <w:bottom w:val="single" w:sz="4" w:space="0" w:color="auto"/>
              <w:right w:val="single" w:sz="4" w:space="0" w:color="000000"/>
            </w:tcBorders>
            <w:shd w:val="clear" w:color="auto" w:fill="auto"/>
          </w:tcPr>
          <w:p w14:paraId="39169555" w14:textId="77777777" w:rsidR="00B3376F" w:rsidRPr="004A019F" w:rsidRDefault="00B3376F" w:rsidP="004A019F">
            <w:pPr>
              <w:keepNext/>
              <w:keepLines/>
              <w:spacing w:after="0" w:line="240" w:lineRule="auto"/>
              <w:ind w:left="0" w:firstLine="0"/>
              <w:contextualSpacing/>
              <w:rPr>
                <w:lang w:val="sv-SE"/>
              </w:rPr>
            </w:pPr>
            <w:r w:rsidRPr="004A019F">
              <w:rPr>
                <w:lang w:val="sv-SE"/>
              </w:rPr>
              <w:t xml:space="preserve">Njurar och urinvägar </w:t>
            </w: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326BA463" w14:textId="77777777" w:rsidR="00B3376F" w:rsidRPr="004A019F" w:rsidRDefault="00B3376F" w:rsidP="004A019F">
            <w:pPr>
              <w:keepNext/>
              <w:keepLines/>
              <w:spacing w:after="0" w:line="240" w:lineRule="auto"/>
              <w:ind w:left="0" w:firstLine="0"/>
              <w:contextualSpacing/>
              <w:rPr>
                <w:lang w:val="sv-SE"/>
              </w:rPr>
            </w:pPr>
            <w:r w:rsidRPr="004A019F">
              <w:rPr>
                <w:lang w:val="sv-SE"/>
              </w:rPr>
              <w:t>Nedsatt njurfunktion</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668E40E1" w14:textId="77777777" w:rsidR="00B3376F" w:rsidRPr="004A019F" w:rsidRDefault="00B3376F" w:rsidP="004A019F">
            <w:pPr>
              <w:keepNext/>
              <w:keepLines/>
              <w:spacing w:after="0" w:line="240" w:lineRule="auto"/>
              <w:ind w:left="0" w:firstLine="0"/>
              <w:contextualSpacing/>
              <w:rPr>
                <w:lang w:val="sv-SE"/>
              </w:rPr>
            </w:pPr>
            <w:r w:rsidRPr="004A019F">
              <w:rPr>
                <w:lang w:val="sv-SE"/>
              </w:rPr>
              <w:t>Vanlig</w:t>
            </w:r>
          </w:p>
        </w:tc>
      </w:tr>
      <w:tr w:rsidR="00AD14F8" w:rsidRPr="00A74CC6" w14:paraId="01D8A526" w14:textId="77777777" w:rsidTr="004A019F">
        <w:tblPrEx>
          <w:tblCellMar>
            <w:top w:w="23" w:type="dxa"/>
          </w:tblCellMar>
        </w:tblPrEx>
        <w:trPr>
          <w:trHeight w:val="227"/>
        </w:trPr>
        <w:tc>
          <w:tcPr>
            <w:tcW w:w="1579" w:type="pct"/>
            <w:vMerge/>
            <w:tcBorders>
              <w:top w:val="nil"/>
              <w:left w:val="single" w:sz="4" w:space="0" w:color="000000"/>
              <w:bottom w:val="single" w:sz="4" w:space="0" w:color="auto"/>
              <w:right w:val="single" w:sz="4" w:space="0" w:color="000000"/>
            </w:tcBorders>
            <w:shd w:val="clear" w:color="auto" w:fill="auto"/>
          </w:tcPr>
          <w:p w14:paraId="338EBDE2" w14:textId="77777777" w:rsidR="00B3376F" w:rsidRPr="004A019F" w:rsidRDefault="00B3376F" w:rsidP="004A019F">
            <w:pPr>
              <w:keepNext/>
              <w:keepLines/>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061746DF" w14:textId="77777777" w:rsidR="00B3376F" w:rsidRPr="004A019F" w:rsidRDefault="00B3376F" w:rsidP="004A019F">
            <w:pPr>
              <w:keepNext/>
              <w:keepLines/>
              <w:spacing w:after="0" w:line="240" w:lineRule="auto"/>
              <w:ind w:left="0" w:firstLine="0"/>
              <w:contextualSpacing/>
              <w:rPr>
                <w:lang w:val="sv-SE"/>
              </w:rPr>
            </w:pPr>
            <w:r w:rsidRPr="004A019F">
              <w:rPr>
                <w:lang w:val="sv-SE"/>
              </w:rPr>
              <w:t>Membranös glomerulonefrit</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46067C3A" w14:textId="77777777" w:rsidR="00B3376F" w:rsidRPr="004A019F" w:rsidRDefault="00B3376F" w:rsidP="004A019F">
            <w:pPr>
              <w:keepNext/>
              <w:keepLines/>
              <w:spacing w:after="0" w:line="240" w:lineRule="auto"/>
              <w:ind w:left="0" w:firstLine="0"/>
              <w:contextualSpacing/>
              <w:rPr>
                <w:lang w:val="sv-SE"/>
              </w:rPr>
            </w:pPr>
            <w:r w:rsidRPr="004A019F">
              <w:rPr>
                <w:lang w:val="sv-SE"/>
              </w:rPr>
              <w:t>Ingen känd frekvens</w:t>
            </w:r>
          </w:p>
        </w:tc>
      </w:tr>
      <w:tr w:rsidR="00AD14F8" w:rsidRPr="00A74CC6" w14:paraId="5F519253" w14:textId="77777777" w:rsidTr="004A019F">
        <w:tblPrEx>
          <w:tblCellMar>
            <w:top w:w="23" w:type="dxa"/>
          </w:tblCellMar>
        </w:tblPrEx>
        <w:trPr>
          <w:trHeight w:val="227"/>
        </w:trPr>
        <w:tc>
          <w:tcPr>
            <w:tcW w:w="1579" w:type="pct"/>
            <w:vMerge/>
            <w:tcBorders>
              <w:top w:val="nil"/>
              <w:left w:val="single" w:sz="4" w:space="0" w:color="000000"/>
              <w:bottom w:val="single" w:sz="4" w:space="0" w:color="auto"/>
              <w:right w:val="single" w:sz="4" w:space="0" w:color="000000"/>
            </w:tcBorders>
            <w:shd w:val="clear" w:color="auto" w:fill="auto"/>
          </w:tcPr>
          <w:p w14:paraId="6F4461BE" w14:textId="77777777" w:rsidR="00B3376F" w:rsidRPr="004A019F" w:rsidRDefault="00B3376F" w:rsidP="004A019F">
            <w:pPr>
              <w:keepNext/>
              <w:keepLines/>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2D66A60C" w14:textId="77777777" w:rsidR="00B3376F" w:rsidRPr="004A019F" w:rsidRDefault="00B3376F" w:rsidP="004A019F">
            <w:pPr>
              <w:keepNext/>
              <w:keepLines/>
              <w:spacing w:after="0" w:line="240" w:lineRule="auto"/>
              <w:ind w:left="0" w:firstLine="0"/>
              <w:contextualSpacing/>
              <w:rPr>
                <w:lang w:val="sv-SE"/>
              </w:rPr>
            </w:pPr>
            <w:r w:rsidRPr="004A019F">
              <w:rPr>
                <w:lang w:val="sv-SE"/>
              </w:rPr>
              <w:t>Glomerulonefropati</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55FCD3AE" w14:textId="77777777" w:rsidR="00B3376F" w:rsidRPr="004A019F" w:rsidRDefault="00B3376F" w:rsidP="004A019F">
            <w:pPr>
              <w:keepNext/>
              <w:keepLines/>
              <w:spacing w:after="0" w:line="240" w:lineRule="auto"/>
              <w:ind w:left="0" w:firstLine="0"/>
              <w:contextualSpacing/>
              <w:rPr>
                <w:lang w:val="sv-SE"/>
              </w:rPr>
            </w:pPr>
            <w:r w:rsidRPr="004A019F">
              <w:rPr>
                <w:lang w:val="sv-SE"/>
              </w:rPr>
              <w:t>Ingen känd frekvens</w:t>
            </w:r>
          </w:p>
        </w:tc>
      </w:tr>
      <w:tr w:rsidR="00AD14F8" w:rsidRPr="00A74CC6" w14:paraId="6C2C0ED2" w14:textId="77777777" w:rsidTr="004A019F">
        <w:tblPrEx>
          <w:tblCellMar>
            <w:top w:w="23" w:type="dxa"/>
          </w:tblCellMar>
        </w:tblPrEx>
        <w:trPr>
          <w:trHeight w:val="227"/>
        </w:trPr>
        <w:tc>
          <w:tcPr>
            <w:tcW w:w="1579" w:type="pct"/>
            <w:vMerge/>
            <w:tcBorders>
              <w:top w:val="nil"/>
              <w:left w:val="single" w:sz="4" w:space="0" w:color="000000"/>
              <w:bottom w:val="single" w:sz="4" w:space="0" w:color="auto"/>
              <w:right w:val="single" w:sz="4" w:space="0" w:color="000000"/>
            </w:tcBorders>
            <w:shd w:val="clear" w:color="auto" w:fill="auto"/>
          </w:tcPr>
          <w:p w14:paraId="57676B5E"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358EE099" w14:textId="77777777" w:rsidR="00B3376F" w:rsidRPr="004A019F" w:rsidRDefault="00B3376F" w:rsidP="004A019F">
            <w:pPr>
              <w:spacing w:after="0" w:line="240" w:lineRule="auto"/>
              <w:ind w:left="0" w:firstLine="0"/>
              <w:contextualSpacing/>
              <w:rPr>
                <w:lang w:val="sv-SE"/>
              </w:rPr>
            </w:pPr>
            <w:r w:rsidRPr="004A019F">
              <w:rPr>
                <w:lang w:val="sv-SE"/>
              </w:rPr>
              <w:t xml:space="preserve">Njursvikt </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454B1331" w14:textId="77777777" w:rsidR="00B3376F" w:rsidRPr="004A019F" w:rsidRDefault="00B3376F" w:rsidP="004A019F">
            <w:pPr>
              <w:spacing w:after="0" w:line="240" w:lineRule="auto"/>
              <w:ind w:left="0" w:firstLine="0"/>
              <w:contextualSpacing/>
              <w:rPr>
                <w:lang w:val="sv-SE"/>
              </w:rPr>
            </w:pPr>
            <w:r w:rsidRPr="004A019F">
              <w:rPr>
                <w:lang w:val="sv-SE"/>
              </w:rPr>
              <w:t>Ingen känd frekvens</w:t>
            </w:r>
          </w:p>
        </w:tc>
      </w:tr>
      <w:tr w:rsidR="00AD14F8" w:rsidRPr="00A74CC6" w14:paraId="7EB97D15" w14:textId="77777777" w:rsidTr="004A019F">
        <w:tblPrEx>
          <w:tblCellMar>
            <w:top w:w="23" w:type="dxa"/>
          </w:tblCellMar>
        </w:tblPrEx>
        <w:trPr>
          <w:trHeight w:val="227"/>
        </w:trPr>
        <w:tc>
          <w:tcPr>
            <w:tcW w:w="1579" w:type="pct"/>
            <w:vMerge w:val="restart"/>
            <w:tcBorders>
              <w:top w:val="single" w:sz="4" w:space="0" w:color="auto"/>
              <w:left w:val="single" w:sz="4" w:space="0" w:color="000000"/>
              <w:bottom w:val="single" w:sz="4" w:space="0" w:color="000000"/>
              <w:right w:val="single" w:sz="4" w:space="0" w:color="000000"/>
            </w:tcBorders>
            <w:shd w:val="clear" w:color="auto" w:fill="auto"/>
          </w:tcPr>
          <w:p w14:paraId="71418E30" w14:textId="77777777" w:rsidR="00B3376F" w:rsidRPr="004A019F" w:rsidRDefault="00B3376F" w:rsidP="004A019F">
            <w:pPr>
              <w:spacing w:after="0" w:line="240" w:lineRule="auto"/>
              <w:ind w:left="0" w:firstLine="0"/>
              <w:contextualSpacing/>
              <w:rPr>
                <w:lang w:val="sv-SE"/>
              </w:rPr>
            </w:pPr>
            <w:r w:rsidRPr="004A019F">
              <w:rPr>
                <w:lang w:val="sv-SE"/>
              </w:rPr>
              <w:t xml:space="preserve">Graviditet, puerperium och perinatalperioden </w:t>
            </w: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7AF8CA09" w14:textId="77777777" w:rsidR="00B3376F" w:rsidRPr="004A019F" w:rsidRDefault="00B3376F" w:rsidP="004A019F">
            <w:pPr>
              <w:spacing w:after="0" w:line="240" w:lineRule="auto"/>
              <w:ind w:left="0" w:firstLine="0"/>
              <w:contextualSpacing/>
              <w:rPr>
                <w:lang w:val="sv-SE"/>
              </w:rPr>
            </w:pPr>
            <w:r w:rsidRPr="004A019F">
              <w:rPr>
                <w:lang w:val="sv-SE"/>
              </w:rPr>
              <w:t>Oligohydramnios</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356BAC30" w14:textId="77777777" w:rsidR="00B3376F" w:rsidRPr="004A019F" w:rsidRDefault="00B3376F" w:rsidP="004A019F">
            <w:pPr>
              <w:spacing w:after="0" w:line="240" w:lineRule="auto"/>
              <w:ind w:left="0" w:firstLine="0"/>
              <w:contextualSpacing/>
              <w:rPr>
                <w:lang w:val="sv-SE"/>
              </w:rPr>
            </w:pPr>
            <w:r w:rsidRPr="004A019F">
              <w:rPr>
                <w:lang w:val="sv-SE"/>
              </w:rPr>
              <w:t>Ingen känd frekvens</w:t>
            </w:r>
          </w:p>
        </w:tc>
      </w:tr>
      <w:tr w:rsidR="00AD14F8" w:rsidRPr="00A74CC6" w14:paraId="46B3BA43" w14:textId="77777777" w:rsidTr="004A019F">
        <w:tblPrEx>
          <w:tblCellMar>
            <w:top w:w="23" w:type="dxa"/>
          </w:tblCellMar>
        </w:tblPrEx>
        <w:trPr>
          <w:trHeight w:val="227"/>
        </w:trPr>
        <w:tc>
          <w:tcPr>
            <w:tcW w:w="1579" w:type="pct"/>
            <w:vMerge/>
            <w:tcBorders>
              <w:top w:val="nil"/>
              <w:left w:val="single" w:sz="4" w:space="0" w:color="000000"/>
              <w:bottom w:val="nil"/>
              <w:right w:val="single" w:sz="4" w:space="0" w:color="000000"/>
            </w:tcBorders>
            <w:shd w:val="clear" w:color="auto" w:fill="auto"/>
          </w:tcPr>
          <w:p w14:paraId="2D00920E"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09EFEDA5" w14:textId="77777777" w:rsidR="00B3376F" w:rsidRPr="004A019F" w:rsidRDefault="00B3376F" w:rsidP="004A019F">
            <w:pPr>
              <w:spacing w:after="0" w:line="240" w:lineRule="auto"/>
              <w:ind w:left="0" w:firstLine="0"/>
              <w:contextualSpacing/>
              <w:rPr>
                <w:lang w:val="sv-SE"/>
              </w:rPr>
            </w:pPr>
            <w:r w:rsidRPr="004A019F">
              <w:rPr>
                <w:lang w:val="sv-SE"/>
              </w:rPr>
              <w:t>Renal hypoplasi</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547C7C27" w14:textId="77777777" w:rsidR="00B3376F" w:rsidRPr="004A019F" w:rsidRDefault="00B3376F" w:rsidP="004A019F">
            <w:pPr>
              <w:spacing w:after="0" w:line="240" w:lineRule="auto"/>
              <w:ind w:left="0" w:firstLine="0"/>
              <w:contextualSpacing/>
              <w:rPr>
                <w:lang w:val="sv-SE"/>
              </w:rPr>
            </w:pPr>
            <w:r w:rsidRPr="004A019F">
              <w:rPr>
                <w:lang w:val="sv-SE"/>
              </w:rPr>
              <w:t>Ingen känd frekvens</w:t>
            </w:r>
          </w:p>
        </w:tc>
      </w:tr>
      <w:tr w:rsidR="00AD14F8" w:rsidRPr="00A74CC6" w14:paraId="505E0BC0" w14:textId="77777777" w:rsidTr="004A019F">
        <w:tblPrEx>
          <w:tblCellMar>
            <w:top w:w="23" w:type="dxa"/>
          </w:tblCellMar>
        </w:tblPrEx>
        <w:trPr>
          <w:trHeight w:val="227"/>
        </w:trPr>
        <w:tc>
          <w:tcPr>
            <w:tcW w:w="1579" w:type="pct"/>
            <w:vMerge/>
            <w:tcBorders>
              <w:top w:val="nil"/>
              <w:left w:val="single" w:sz="4" w:space="0" w:color="000000"/>
              <w:bottom w:val="single" w:sz="4" w:space="0" w:color="000000"/>
              <w:right w:val="single" w:sz="4" w:space="0" w:color="000000"/>
            </w:tcBorders>
            <w:shd w:val="clear" w:color="auto" w:fill="auto"/>
          </w:tcPr>
          <w:p w14:paraId="77FD6ADD" w14:textId="77777777" w:rsidR="00B3376F" w:rsidRPr="004A019F" w:rsidRDefault="00B3376F" w:rsidP="004A019F">
            <w:pPr>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4FF987E9" w14:textId="77777777" w:rsidR="00B3376F" w:rsidRPr="004A019F" w:rsidRDefault="00B3376F" w:rsidP="004A019F">
            <w:pPr>
              <w:spacing w:after="0" w:line="240" w:lineRule="auto"/>
              <w:ind w:left="0" w:firstLine="0"/>
              <w:contextualSpacing/>
              <w:rPr>
                <w:lang w:val="sv-SE"/>
              </w:rPr>
            </w:pPr>
            <w:r w:rsidRPr="004A019F">
              <w:rPr>
                <w:lang w:val="sv-SE"/>
              </w:rPr>
              <w:t>Pulmonell hypoplasi</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32DFD794" w14:textId="77777777" w:rsidR="00B3376F" w:rsidRPr="004A019F" w:rsidRDefault="00B3376F" w:rsidP="004A019F">
            <w:pPr>
              <w:spacing w:after="0" w:line="240" w:lineRule="auto"/>
              <w:ind w:left="0" w:firstLine="0"/>
              <w:contextualSpacing/>
              <w:rPr>
                <w:lang w:val="sv-SE"/>
              </w:rPr>
            </w:pPr>
            <w:r w:rsidRPr="004A019F">
              <w:rPr>
                <w:lang w:val="sv-SE"/>
              </w:rPr>
              <w:t>Ingen känd frekvens</w:t>
            </w:r>
          </w:p>
        </w:tc>
      </w:tr>
      <w:tr w:rsidR="00B3376F" w:rsidRPr="00A74CC6" w14:paraId="605A54B2" w14:textId="77777777" w:rsidTr="004A019F">
        <w:tblPrEx>
          <w:tblCellMar>
            <w:top w:w="23" w:type="dxa"/>
          </w:tblCellMar>
        </w:tblPrEx>
        <w:trPr>
          <w:trHeight w:val="454"/>
        </w:trPr>
        <w:tc>
          <w:tcPr>
            <w:tcW w:w="1579" w:type="pct"/>
            <w:tcBorders>
              <w:top w:val="single" w:sz="4" w:space="0" w:color="000000"/>
              <w:left w:val="single" w:sz="4" w:space="0" w:color="000000"/>
              <w:bottom w:val="single" w:sz="4" w:space="0" w:color="000000"/>
              <w:right w:val="single" w:sz="4" w:space="0" w:color="000000"/>
            </w:tcBorders>
            <w:shd w:val="clear" w:color="auto" w:fill="auto"/>
          </w:tcPr>
          <w:p w14:paraId="42F5AD6D" w14:textId="77777777" w:rsidR="00B3376F" w:rsidRPr="004A019F" w:rsidRDefault="00B3376F" w:rsidP="004A019F">
            <w:pPr>
              <w:spacing w:after="0" w:line="240" w:lineRule="auto"/>
              <w:ind w:left="0" w:firstLine="0"/>
              <w:contextualSpacing/>
              <w:rPr>
                <w:lang w:val="sv-SE"/>
              </w:rPr>
            </w:pPr>
            <w:r w:rsidRPr="004A019F">
              <w:rPr>
                <w:lang w:val="sv-SE"/>
              </w:rPr>
              <w:t xml:space="preserve">Reproduktionsorgan och bröstkörtel </w:t>
            </w: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660AFEEB" w14:textId="417122F7" w:rsidR="00B3376F" w:rsidRPr="004A019F" w:rsidRDefault="00B3376F" w:rsidP="004A019F">
            <w:pPr>
              <w:spacing w:after="0" w:line="240" w:lineRule="auto"/>
              <w:ind w:left="0" w:firstLine="0"/>
              <w:contextualSpacing/>
              <w:rPr>
                <w:lang w:val="sv-SE"/>
              </w:rPr>
            </w:pPr>
            <w:r w:rsidRPr="004A019F">
              <w:rPr>
                <w:lang w:val="sv-SE"/>
              </w:rPr>
              <w:t>Bröstinflammation/mastit</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4EE272C8" w14:textId="77777777" w:rsidR="00B3376F" w:rsidRPr="004A019F" w:rsidRDefault="00B3376F" w:rsidP="004A019F">
            <w:pPr>
              <w:spacing w:after="0" w:line="240" w:lineRule="auto"/>
              <w:ind w:left="0" w:firstLine="0"/>
              <w:contextualSpacing/>
              <w:rPr>
                <w:lang w:val="sv-SE"/>
              </w:rPr>
            </w:pPr>
            <w:r w:rsidRPr="004A019F">
              <w:rPr>
                <w:lang w:val="sv-SE"/>
              </w:rPr>
              <w:t>Vanlig</w:t>
            </w:r>
          </w:p>
        </w:tc>
      </w:tr>
      <w:tr w:rsidR="00AD14F8" w:rsidRPr="00A74CC6" w14:paraId="2CA68792" w14:textId="77777777" w:rsidTr="004A019F">
        <w:tblPrEx>
          <w:tblCellMar>
            <w:top w:w="23" w:type="dxa"/>
          </w:tblCellMar>
        </w:tblPrEx>
        <w:trPr>
          <w:trHeight w:val="227"/>
        </w:trPr>
        <w:tc>
          <w:tcPr>
            <w:tcW w:w="1579" w:type="pct"/>
            <w:vMerge w:val="restart"/>
            <w:tcBorders>
              <w:top w:val="single" w:sz="4" w:space="0" w:color="000000"/>
              <w:left w:val="single" w:sz="4" w:space="0" w:color="000000"/>
              <w:bottom w:val="single" w:sz="4" w:space="0" w:color="auto"/>
              <w:right w:val="single" w:sz="4" w:space="0" w:color="000000"/>
            </w:tcBorders>
            <w:shd w:val="clear" w:color="auto" w:fill="auto"/>
          </w:tcPr>
          <w:p w14:paraId="04701C0A" w14:textId="28B6B0D1" w:rsidR="00B3376F" w:rsidRPr="004A019F" w:rsidRDefault="00B3376F" w:rsidP="004A019F">
            <w:pPr>
              <w:keepNext/>
              <w:spacing w:after="0" w:line="240" w:lineRule="auto"/>
              <w:ind w:left="0" w:firstLine="0"/>
              <w:contextualSpacing/>
              <w:rPr>
                <w:lang w:val="sv-SE"/>
              </w:rPr>
            </w:pPr>
            <w:r w:rsidRPr="004A019F">
              <w:rPr>
                <w:lang w:val="sv-SE"/>
              </w:rPr>
              <w:t xml:space="preserve">Allmänna symtom och/eller symtom vid administreringsstället </w:t>
            </w: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5BF06A46" w14:textId="77777777" w:rsidR="00B3376F" w:rsidRPr="004A019F" w:rsidRDefault="00B3376F" w:rsidP="004A019F">
            <w:pPr>
              <w:keepNext/>
              <w:spacing w:after="0" w:line="240" w:lineRule="auto"/>
              <w:ind w:left="0" w:firstLine="0"/>
              <w:contextualSpacing/>
              <w:rPr>
                <w:lang w:val="sv-SE"/>
              </w:rPr>
            </w:pPr>
            <w:r w:rsidRPr="004A019F">
              <w:rPr>
                <w:lang w:val="sv-SE"/>
              </w:rPr>
              <w:t>Asteni</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3129D393" w14:textId="77777777" w:rsidR="00B3376F" w:rsidRPr="004A019F" w:rsidRDefault="00B3376F" w:rsidP="004A019F">
            <w:pPr>
              <w:keepNext/>
              <w:spacing w:after="0" w:line="240" w:lineRule="auto"/>
              <w:ind w:left="0" w:firstLine="0"/>
              <w:contextualSpacing/>
              <w:rPr>
                <w:lang w:val="sv-SE"/>
              </w:rPr>
            </w:pPr>
            <w:r w:rsidRPr="004A019F">
              <w:rPr>
                <w:lang w:val="sv-SE"/>
              </w:rPr>
              <w:t>Mycket vanlig</w:t>
            </w:r>
          </w:p>
        </w:tc>
      </w:tr>
      <w:tr w:rsidR="00AD14F8" w:rsidRPr="00A74CC6" w14:paraId="5032E8FE" w14:textId="77777777" w:rsidTr="004A019F">
        <w:tblPrEx>
          <w:tblCellMar>
            <w:top w:w="23" w:type="dxa"/>
          </w:tblCellMar>
        </w:tblPrEx>
        <w:trPr>
          <w:trHeight w:val="227"/>
        </w:trPr>
        <w:tc>
          <w:tcPr>
            <w:tcW w:w="1579" w:type="pct"/>
            <w:vMerge/>
            <w:tcBorders>
              <w:top w:val="nil"/>
              <w:left w:val="single" w:sz="4" w:space="0" w:color="000000"/>
              <w:bottom w:val="single" w:sz="4" w:space="0" w:color="auto"/>
              <w:right w:val="single" w:sz="4" w:space="0" w:color="000000"/>
            </w:tcBorders>
            <w:shd w:val="clear" w:color="auto" w:fill="auto"/>
          </w:tcPr>
          <w:p w14:paraId="0BABA55D" w14:textId="77777777" w:rsidR="00B3376F" w:rsidRPr="004A019F" w:rsidRDefault="00B3376F" w:rsidP="004A019F">
            <w:pPr>
              <w:keepNext/>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52F39289" w14:textId="77777777" w:rsidR="00B3376F" w:rsidRPr="004A019F" w:rsidRDefault="00B3376F" w:rsidP="004A019F">
            <w:pPr>
              <w:keepNext/>
              <w:spacing w:after="0" w:line="240" w:lineRule="auto"/>
              <w:ind w:left="0" w:firstLine="0"/>
              <w:contextualSpacing/>
              <w:rPr>
                <w:lang w:val="sv-SE"/>
              </w:rPr>
            </w:pPr>
            <w:r w:rsidRPr="004A019F">
              <w:rPr>
                <w:lang w:val="sv-SE"/>
              </w:rPr>
              <w:t>Bröstsmärta</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654982FC" w14:textId="77777777" w:rsidR="00B3376F" w:rsidRPr="004A019F" w:rsidRDefault="00B3376F" w:rsidP="004A019F">
            <w:pPr>
              <w:keepNext/>
              <w:spacing w:after="0" w:line="240" w:lineRule="auto"/>
              <w:ind w:left="0" w:firstLine="0"/>
              <w:contextualSpacing/>
              <w:rPr>
                <w:lang w:val="sv-SE"/>
              </w:rPr>
            </w:pPr>
            <w:r w:rsidRPr="004A019F">
              <w:rPr>
                <w:lang w:val="sv-SE"/>
              </w:rPr>
              <w:t>Mycket vanlig</w:t>
            </w:r>
          </w:p>
        </w:tc>
      </w:tr>
      <w:tr w:rsidR="00AD14F8" w:rsidRPr="00A74CC6" w14:paraId="0A04AF3D" w14:textId="77777777" w:rsidTr="004A019F">
        <w:tblPrEx>
          <w:tblCellMar>
            <w:top w:w="23" w:type="dxa"/>
          </w:tblCellMar>
        </w:tblPrEx>
        <w:trPr>
          <w:trHeight w:val="227"/>
        </w:trPr>
        <w:tc>
          <w:tcPr>
            <w:tcW w:w="1579" w:type="pct"/>
            <w:vMerge/>
            <w:tcBorders>
              <w:top w:val="nil"/>
              <w:left w:val="single" w:sz="4" w:space="0" w:color="000000"/>
              <w:bottom w:val="single" w:sz="4" w:space="0" w:color="auto"/>
              <w:right w:val="single" w:sz="4" w:space="0" w:color="000000"/>
            </w:tcBorders>
            <w:shd w:val="clear" w:color="auto" w:fill="auto"/>
          </w:tcPr>
          <w:p w14:paraId="4C21443F" w14:textId="77777777" w:rsidR="00B3376F" w:rsidRPr="004A019F" w:rsidRDefault="00B3376F" w:rsidP="004A019F">
            <w:pPr>
              <w:keepNext/>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3343F4E9" w14:textId="77777777" w:rsidR="00B3376F" w:rsidRPr="004A019F" w:rsidRDefault="00B3376F" w:rsidP="004A019F">
            <w:pPr>
              <w:keepNext/>
              <w:spacing w:after="0" w:line="240" w:lineRule="auto"/>
              <w:ind w:left="0" w:firstLine="0"/>
              <w:contextualSpacing/>
              <w:rPr>
                <w:lang w:val="sv-SE"/>
              </w:rPr>
            </w:pPr>
            <w:r w:rsidRPr="004A019F">
              <w:rPr>
                <w:lang w:val="sv-SE"/>
              </w:rPr>
              <w:t>Frossa</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5117682F" w14:textId="77777777" w:rsidR="00B3376F" w:rsidRPr="004A019F" w:rsidRDefault="00B3376F" w:rsidP="004A019F">
            <w:pPr>
              <w:keepNext/>
              <w:spacing w:after="0" w:line="240" w:lineRule="auto"/>
              <w:ind w:left="0" w:firstLine="0"/>
              <w:contextualSpacing/>
              <w:rPr>
                <w:lang w:val="sv-SE"/>
              </w:rPr>
            </w:pPr>
            <w:r w:rsidRPr="004A019F">
              <w:rPr>
                <w:lang w:val="sv-SE"/>
              </w:rPr>
              <w:t>Mycket vanlig</w:t>
            </w:r>
          </w:p>
        </w:tc>
      </w:tr>
      <w:tr w:rsidR="00AD14F8" w:rsidRPr="00A74CC6" w14:paraId="7F71B42C" w14:textId="77777777" w:rsidTr="004A019F">
        <w:tblPrEx>
          <w:tblCellMar>
            <w:top w:w="23" w:type="dxa"/>
          </w:tblCellMar>
        </w:tblPrEx>
        <w:trPr>
          <w:trHeight w:val="227"/>
        </w:trPr>
        <w:tc>
          <w:tcPr>
            <w:tcW w:w="1579" w:type="pct"/>
            <w:vMerge/>
            <w:tcBorders>
              <w:top w:val="nil"/>
              <w:left w:val="single" w:sz="4" w:space="0" w:color="000000"/>
              <w:bottom w:val="single" w:sz="4" w:space="0" w:color="auto"/>
              <w:right w:val="single" w:sz="4" w:space="0" w:color="000000"/>
            </w:tcBorders>
            <w:shd w:val="clear" w:color="auto" w:fill="auto"/>
          </w:tcPr>
          <w:p w14:paraId="70C37AAB" w14:textId="77777777" w:rsidR="00B3376F" w:rsidRPr="004A019F" w:rsidRDefault="00B3376F" w:rsidP="004A019F">
            <w:pPr>
              <w:keepNext/>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1645E537" w14:textId="77777777" w:rsidR="00B3376F" w:rsidRPr="004A019F" w:rsidRDefault="00B3376F" w:rsidP="004A019F">
            <w:pPr>
              <w:keepNext/>
              <w:spacing w:after="0" w:line="240" w:lineRule="auto"/>
              <w:ind w:left="0" w:firstLine="0"/>
              <w:contextualSpacing/>
              <w:rPr>
                <w:lang w:val="sv-SE"/>
              </w:rPr>
            </w:pPr>
            <w:r w:rsidRPr="004A019F">
              <w:rPr>
                <w:lang w:val="sv-SE"/>
              </w:rPr>
              <w:t>Trötthet</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12772276" w14:textId="77777777" w:rsidR="00B3376F" w:rsidRPr="004A019F" w:rsidRDefault="00B3376F" w:rsidP="004A019F">
            <w:pPr>
              <w:keepNext/>
              <w:spacing w:after="0" w:line="240" w:lineRule="auto"/>
              <w:ind w:left="0" w:firstLine="0"/>
              <w:contextualSpacing/>
              <w:rPr>
                <w:lang w:val="sv-SE"/>
              </w:rPr>
            </w:pPr>
            <w:r w:rsidRPr="004A019F">
              <w:rPr>
                <w:lang w:val="sv-SE"/>
              </w:rPr>
              <w:t>Mycket vanlig</w:t>
            </w:r>
          </w:p>
        </w:tc>
      </w:tr>
      <w:tr w:rsidR="00AD14F8" w:rsidRPr="00A74CC6" w14:paraId="01C13137" w14:textId="77777777" w:rsidTr="004A019F">
        <w:tblPrEx>
          <w:tblCellMar>
            <w:top w:w="23" w:type="dxa"/>
          </w:tblCellMar>
        </w:tblPrEx>
        <w:trPr>
          <w:trHeight w:val="227"/>
        </w:trPr>
        <w:tc>
          <w:tcPr>
            <w:tcW w:w="1579" w:type="pct"/>
            <w:vMerge/>
            <w:tcBorders>
              <w:top w:val="nil"/>
              <w:left w:val="single" w:sz="4" w:space="0" w:color="000000"/>
              <w:bottom w:val="single" w:sz="4" w:space="0" w:color="auto"/>
              <w:right w:val="single" w:sz="4" w:space="0" w:color="000000"/>
            </w:tcBorders>
            <w:shd w:val="clear" w:color="auto" w:fill="auto"/>
          </w:tcPr>
          <w:p w14:paraId="4819FBBD" w14:textId="77777777" w:rsidR="00B3376F" w:rsidRPr="004A019F" w:rsidRDefault="00B3376F" w:rsidP="004A019F">
            <w:pPr>
              <w:keepNext/>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27DB4FF6" w14:textId="03AA0B22" w:rsidR="00B3376F" w:rsidRPr="004A019F" w:rsidRDefault="00B3376F" w:rsidP="004A019F">
            <w:pPr>
              <w:keepNext/>
              <w:spacing w:after="0" w:line="240" w:lineRule="auto"/>
              <w:ind w:left="0" w:firstLine="0"/>
              <w:contextualSpacing/>
              <w:rPr>
                <w:lang w:val="sv-SE"/>
              </w:rPr>
            </w:pPr>
            <w:r w:rsidRPr="004A019F">
              <w:rPr>
                <w:lang w:val="sv-SE"/>
              </w:rPr>
              <w:t>Influensaliknande symtom</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23976317" w14:textId="77777777" w:rsidR="00B3376F" w:rsidRPr="004A019F" w:rsidRDefault="00B3376F" w:rsidP="004A019F">
            <w:pPr>
              <w:keepNext/>
              <w:spacing w:after="0" w:line="240" w:lineRule="auto"/>
              <w:ind w:left="0" w:firstLine="0"/>
              <w:contextualSpacing/>
              <w:rPr>
                <w:lang w:val="sv-SE"/>
              </w:rPr>
            </w:pPr>
            <w:r w:rsidRPr="004A019F">
              <w:rPr>
                <w:lang w:val="sv-SE"/>
              </w:rPr>
              <w:t>Mycket vanlig</w:t>
            </w:r>
          </w:p>
        </w:tc>
      </w:tr>
      <w:tr w:rsidR="00AD14F8" w:rsidRPr="00A74CC6" w14:paraId="4D0DD841" w14:textId="77777777" w:rsidTr="004A019F">
        <w:tblPrEx>
          <w:tblCellMar>
            <w:top w:w="23" w:type="dxa"/>
          </w:tblCellMar>
        </w:tblPrEx>
        <w:trPr>
          <w:trHeight w:val="227"/>
        </w:trPr>
        <w:tc>
          <w:tcPr>
            <w:tcW w:w="1579" w:type="pct"/>
            <w:vMerge/>
            <w:tcBorders>
              <w:top w:val="nil"/>
              <w:left w:val="single" w:sz="4" w:space="0" w:color="000000"/>
              <w:bottom w:val="single" w:sz="4" w:space="0" w:color="auto"/>
              <w:right w:val="single" w:sz="4" w:space="0" w:color="000000"/>
            </w:tcBorders>
            <w:shd w:val="clear" w:color="auto" w:fill="auto"/>
          </w:tcPr>
          <w:p w14:paraId="6B89C5DF" w14:textId="77777777" w:rsidR="00B3376F" w:rsidRPr="004A019F" w:rsidRDefault="00B3376F" w:rsidP="004A019F">
            <w:pPr>
              <w:keepNext/>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1F78F361" w14:textId="77777777" w:rsidR="00B3376F" w:rsidRPr="004A019F" w:rsidRDefault="00B3376F" w:rsidP="004A019F">
            <w:pPr>
              <w:keepNext/>
              <w:spacing w:after="0" w:line="240" w:lineRule="auto"/>
              <w:ind w:left="0" w:firstLine="0"/>
              <w:contextualSpacing/>
              <w:rPr>
                <w:lang w:val="sv-SE"/>
              </w:rPr>
            </w:pPr>
            <w:r w:rsidRPr="004A019F">
              <w:rPr>
                <w:lang w:val="sv-SE"/>
              </w:rPr>
              <w:t xml:space="preserve">Infusionsrelaterade reaktioner </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7E1D81EA" w14:textId="77777777" w:rsidR="00B3376F" w:rsidRPr="004A019F" w:rsidRDefault="00B3376F" w:rsidP="004A019F">
            <w:pPr>
              <w:keepNext/>
              <w:spacing w:after="0" w:line="240" w:lineRule="auto"/>
              <w:ind w:left="0" w:firstLine="0"/>
              <w:contextualSpacing/>
              <w:rPr>
                <w:lang w:val="sv-SE"/>
              </w:rPr>
            </w:pPr>
            <w:r w:rsidRPr="004A019F">
              <w:rPr>
                <w:lang w:val="sv-SE"/>
              </w:rPr>
              <w:t>Mycket vanlig</w:t>
            </w:r>
          </w:p>
        </w:tc>
      </w:tr>
      <w:tr w:rsidR="00AD14F8" w:rsidRPr="00A74CC6" w14:paraId="05CDA414" w14:textId="77777777" w:rsidTr="004A019F">
        <w:tblPrEx>
          <w:tblCellMar>
            <w:top w:w="23" w:type="dxa"/>
          </w:tblCellMar>
        </w:tblPrEx>
        <w:trPr>
          <w:trHeight w:val="227"/>
        </w:trPr>
        <w:tc>
          <w:tcPr>
            <w:tcW w:w="1579" w:type="pct"/>
            <w:vMerge/>
            <w:tcBorders>
              <w:top w:val="nil"/>
              <w:left w:val="single" w:sz="4" w:space="0" w:color="000000"/>
              <w:bottom w:val="single" w:sz="4" w:space="0" w:color="auto"/>
              <w:right w:val="single" w:sz="4" w:space="0" w:color="000000"/>
            </w:tcBorders>
            <w:shd w:val="clear" w:color="auto" w:fill="auto"/>
          </w:tcPr>
          <w:p w14:paraId="272E2555" w14:textId="77777777" w:rsidR="00B3376F" w:rsidRPr="004A019F" w:rsidRDefault="00B3376F" w:rsidP="004A019F">
            <w:pPr>
              <w:keepNext/>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305B010D" w14:textId="77777777" w:rsidR="00B3376F" w:rsidRPr="004A019F" w:rsidRDefault="00B3376F" w:rsidP="004A019F">
            <w:pPr>
              <w:keepNext/>
              <w:spacing w:after="0" w:line="240" w:lineRule="auto"/>
              <w:ind w:left="0" w:firstLine="0"/>
              <w:contextualSpacing/>
              <w:rPr>
                <w:lang w:val="sv-SE"/>
              </w:rPr>
            </w:pPr>
            <w:r w:rsidRPr="004A019F">
              <w:rPr>
                <w:lang w:val="sv-SE"/>
              </w:rPr>
              <w:t>Smärta</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2E441B07" w14:textId="77777777" w:rsidR="00B3376F" w:rsidRPr="004A019F" w:rsidRDefault="00B3376F" w:rsidP="004A019F">
            <w:pPr>
              <w:keepNext/>
              <w:spacing w:after="0" w:line="240" w:lineRule="auto"/>
              <w:ind w:left="0" w:firstLine="0"/>
              <w:contextualSpacing/>
              <w:rPr>
                <w:lang w:val="sv-SE"/>
              </w:rPr>
            </w:pPr>
            <w:r w:rsidRPr="004A019F">
              <w:rPr>
                <w:lang w:val="sv-SE"/>
              </w:rPr>
              <w:t>Mycket vanlig</w:t>
            </w:r>
          </w:p>
        </w:tc>
      </w:tr>
      <w:tr w:rsidR="00AD14F8" w:rsidRPr="00A74CC6" w14:paraId="335D7B8B" w14:textId="77777777" w:rsidTr="004A019F">
        <w:tblPrEx>
          <w:tblCellMar>
            <w:top w:w="23" w:type="dxa"/>
          </w:tblCellMar>
        </w:tblPrEx>
        <w:trPr>
          <w:trHeight w:val="227"/>
        </w:trPr>
        <w:tc>
          <w:tcPr>
            <w:tcW w:w="1579" w:type="pct"/>
            <w:vMerge/>
            <w:tcBorders>
              <w:top w:val="nil"/>
              <w:left w:val="single" w:sz="4" w:space="0" w:color="000000"/>
              <w:bottom w:val="single" w:sz="4" w:space="0" w:color="auto"/>
              <w:right w:val="single" w:sz="4" w:space="0" w:color="000000"/>
            </w:tcBorders>
            <w:shd w:val="clear" w:color="auto" w:fill="auto"/>
          </w:tcPr>
          <w:p w14:paraId="3D1C4026" w14:textId="77777777" w:rsidR="00B3376F" w:rsidRPr="004A019F" w:rsidRDefault="00B3376F" w:rsidP="004A019F">
            <w:pPr>
              <w:keepNext/>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7FD5C413" w14:textId="77777777" w:rsidR="00B3376F" w:rsidRPr="004A019F" w:rsidRDefault="00B3376F" w:rsidP="004A019F">
            <w:pPr>
              <w:keepNext/>
              <w:spacing w:after="0" w:line="240" w:lineRule="auto"/>
              <w:ind w:left="0" w:firstLine="0"/>
              <w:contextualSpacing/>
              <w:rPr>
                <w:lang w:val="sv-SE"/>
              </w:rPr>
            </w:pPr>
            <w:r w:rsidRPr="004A019F">
              <w:rPr>
                <w:lang w:val="sv-SE"/>
              </w:rPr>
              <w:t>Pyrexi</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46CFF7AD" w14:textId="77777777" w:rsidR="00B3376F" w:rsidRPr="004A019F" w:rsidRDefault="00B3376F" w:rsidP="004A019F">
            <w:pPr>
              <w:keepNext/>
              <w:spacing w:after="0" w:line="240" w:lineRule="auto"/>
              <w:ind w:left="0" w:firstLine="0"/>
              <w:contextualSpacing/>
              <w:rPr>
                <w:lang w:val="sv-SE"/>
              </w:rPr>
            </w:pPr>
            <w:r w:rsidRPr="004A019F">
              <w:rPr>
                <w:lang w:val="sv-SE"/>
              </w:rPr>
              <w:t>Mycket vanlig</w:t>
            </w:r>
          </w:p>
        </w:tc>
      </w:tr>
      <w:tr w:rsidR="00AD14F8" w:rsidRPr="00A74CC6" w14:paraId="1D540321" w14:textId="77777777" w:rsidTr="004A019F">
        <w:tblPrEx>
          <w:tblCellMar>
            <w:top w:w="23" w:type="dxa"/>
          </w:tblCellMar>
        </w:tblPrEx>
        <w:trPr>
          <w:trHeight w:val="227"/>
        </w:trPr>
        <w:tc>
          <w:tcPr>
            <w:tcW w:w="1579" w:type="pct"/>
            <w:vMerge/>
            <w:tcBorders>
              <w:top w:val="nil"/>
              <w:left w:val="single" w:sz="4" w:space="0" w:color="000000"/>
              <w:bottom w:val="single" w:sz="4" w:space="0" w:color="auto"/>
              <w:right w:val="single" w:sz="4" w:space="0" w:color="000000"/>
            </w:tcBorders>
            <w:shd w:val="clear" w:color="auto" w:fill="auto"/>
          </w:tcPr>
          <w:p w14:paraId="24595937" w14:textId="77777777" w:rsidR="00B3376F" w:rsidRPr="004A019F" w:rsidRDefault="00B3376F" w:rsidP="004A019F">
            <w:pPr>
              <w:keepNext/>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12C06508" w14:textId="77777777" w:rsidR="00B3376F" w:rsidRPr="004A019F" w:rsidRDefault="00B3376F" w:rsidP="004A019F">
            <w:pPr>
              <w:keepNext/>
              <w:spacing w:after="0" w:line="240" w:lineRule="auto"/>
              <w:ind w:left="0" w:firstLine="0"/>
              <w:contextualSpacing/>
              <w:rPr>
                <w:lang w:val="sv-SE"/>
              </w:rPr>
            </w:pPr>
            <w:r w:rsidRPr="004A019F">
              <w:rPr>
                <w:lang w:val="sv-SE"/>
              </w:rPr>
              <w:t>Slemhinneinflammation</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79F09368" w14:textId="77777777" w:rsidR="00B3376F" w:rsidRPr="004A019F" w:rsidRDefault="00B3376F" w:rsidP="004A019F">
            <w:pPr>
              <w:keepNext/>
              <w:spacing w:after="0" w:line="240" w:lineRule="auto"/>
              <w:ind w:left="0" w:firstLine="0"/>
              <w:contextualSpacing/>
              <w:rPr>
                <w:lang w:val="sv-SE"/>
              </w:rPr>
            </w:pPr>
            <w:r w:rsidRPr="004A019F">
              <w:rPr>
                <w:lang w:val="sv-SE"/>
              </w:rPr>
              <w:t>Mycket vanlig</w:t>
            </w:r>
          </w:p>
        </w:tc>
      </w:tr>
      <w:tr w:rsidR="00AD14F8" w:rsidRPr="00A74CC6" w14:paraId="3D0088E5" w14:textId="77777777" w:rsidTr="004A019F">
        <w:tblPrEx>
          <w:tblCellMar>
            <w:top w:w="23" w:type="dxa"/>
          </w:tblCellMar>
        </w:tblPrEx>
        <w:trPr>
          <w:trHeight w:val="227"/>
        </w:trPr>
        <w:tc>
          <w:tcPr>
            <w:tcW w:w="1579" w:type="pct"/>
            <w:vMerge/>
            <w:tcBorders>
              <w:top w:val="nil"/>
              <w:left w:val="single" w:sz="4" w:space="0" w:color="000000"/>
              <w:bottom w:val="single" w:sz="4" w:space="0" w:color="auto"/>
              <w:right w:val="single" w:sz="4" w:space="0" w:color="000000"/>
            </w:tcBorders>
            <w:shd w:val="clear" w:color="auto" w:fill="auto"/>
          </w:tcPr>
          <w:p w14:paraId="3B08D6B1" w14:textId="77777777" w:rsidR="00B3376F" w:rsidRPr="004A019F" w:rsidRDefault="00B3376F" w:rsidP="004A019F">
            <w:pPr>
              <w:keepNext/>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5D2105A3" w14:textId="77777777" w:rsidR="00B3376F" w:rsidRPr="004A019F" w:rsidRDefault="00B3376F" w:rsidP="004A019F">
            <w:pPr>
              <w:keepNext/>
              <w:spacing w:after="0" w:line="240" w:lineRule="auto"/>
              <w:ind w:left="0" w:firstLine="0"/>
              <w:contextualSpacing/>
              <w:rPr>
                <w:lang w:val="sv-SE"/>
              </w:rPr>
            </w:pPr>
            <w:r w:rsidRPr="004A019F">
              <w:rPr>
                <w:lang w:val="sv-SE"/>
              </w:rPr>
              <w:t>Perifera ödem</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56E2270A" w14:textId="77777777" w:rsidR="00B3376F" w:rsidRPr="004A019F" w:rsidRDefault="00B3376F" w:rsidP="004A019F">
            <w:pPr>
              <w:keepNext/>
              <w:spacing w:after="0" w:line="240" w:lineRule="auto"/>
              <w:ind w:left="0" w:firstLine="0"/>
              <w:contextualSpacing/>
              <w:rPr>
                <w:lang w:val="sv-SE"/>
              </w:rPr>
            </w:pPr>
            <w:r w:rsidRPr="004A019F">
              <w:rPr>
                <w:lang w:val="sv-SE"/>
              </w:rPr>
              <w:t>Mycket vanlig</w:t>
            </w:r>
          </w:p>
        </w:tc>
      </w:tr>
      <w:tr w:rsidR="00AD14F8" w:rsidRPr="00A74CC6" w14:paraId="4DBEC741" w14:textId="77777777" w:rsidTr="004A019F">
        <w:tblPrEx>
          <w:tblCellMar>
            <w:top w:w="23" w:type="dxa"/>
          </w:tblCellMar>
        </w:tblPrEx>
        <w:trPr>
          <w:trHeight w:val="262"/>
        </w:trPr>
        <w:tc>
          <w:tcPr>
            <w:tcW w:w="1579" w:type="pct"/>
            <w:vMerge/>
            <w:tcBorders>
              <w:top w:val="nil"/>
              <w:left w:val="single" w:sz="4" w:space="0" w:color="000000"/>
              <w:bottom w:val="single" w:sz="4" w:space="0" w:color="auto"/>
              <w:right w:val="single" w:sz="4" w:space="0" w:color="000000"/>
            </w:tcBorders>
            <w:shd w:val="clear" w:color="auto" w:fill="auto"/>
          </w:tcPr>
          <w:p w14:paraId="58907FFF" w14:textId="77777777" w:rsidR="00B3376F" w:rsidRPr="004A019F" w:rsidRDefault="00B3376F" w:rsidP="004A019F">
            <w:pPr>
              <w:keepNext/>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3A8B4C6D" w14:textId="77777777" w:rsidR="00B3376F" w:rsidRPr="004A019F" w:rsidRDefault="00B3376F" w:rsidP="004A019F">
            <w:pPr>
              <w:keepNext/>
              <w:spacing w:after="0" w:line="240" w:lineRule="auto"/>
              <w:ind w:left="0" w:firstLine="0"/>
              <w:contextualSpacing/>
              <w:rPr>
                <w:lang w:val="sv-SE"/>
              </w:rPr>
            </w:pPr>
            <w:r w:rsidRPr="004A019F">
              <w:rPr>
                <w:lang w:val="sv-SE"/>
              </w:rPr>
              <w:t>Sjukdomskänsla</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0CFFD5EE" w14:textId="77777777" w:rsidR="00B3376F" w:rsidRPr="004A019F" w:rsidRDefault="00B3376F" w:rsidP="004A019F">
            <w:pPr>
              <w:keepNext/>
              <w:spacing w:after="0" w:line="240" w:lineRule="auto"/>
              <w:ind w:left="0" w:firstLine="0"/>
              <w:contextualSpacing/>
              <w:rPr>
                <w:lang w:val="sv-SE"/>
              </w:rPr>
            </w:pPr>
            <w:r w:rsidRPr="004A019F">
              <w:rPr>
                <w:lang w:val="sv-SE"/>
              </w:rPr>
              <w:t>Vanlig</w:t>
            </w:r>
          </w:p>
        </w:tc>
      </w:tr>
      <w:tr w:rsidR="00AD14F8" w:rsidRPr="00A74CC6" w14:paraId="0D9E2299" w14:textId="77777777" w:rsidTr="004A019F">
        <w:tblPrEx>
          <w:tblCellMar>
            <w:top w:w="23" w:type="dxa"/>
          </w:tblCellMar>
        </w:tblPrEx>
        <w:trPr>
          <w:trHeight w:val="227"/>
        </w:trPr>
        <w:tc>
          <w:tcPr>
            <w:tcW w:w="1579" w:type="pct"/>
            <w:vMerge/>
            <w:tcBorders>
              <w:top w:val="nil"/>
              <w:left w:val="single" w:sz="4" w:space="0" w:color="000000"/>
              <w:bottom w:val="single" w:sz="4" w:space="0" w:color="auto"/>
              <w:right w:val="single" w:sz="4" w:space="0" w:color="000000"/>
            </w:tcBorders>
            <w:shd w:val="clear" w:color="auto" w:fill="auto"/>
          </w:tcPr>
          <w:p w14:paraId="2AEEE081" w14:textId="77777777" w:rsidR="00B3376F" w:rsidRPr="004A019F" w:rsidRDefault="00B3376F" w:rsidP="004A019F">
            <w:pPr>
              <w:keepNext/>
              <w:spacing w:after="0" w:line="240" w:lineRule="auto"/>
              <w:ind w:left="0" w:firstLine="0"/>
              <w:contextualSpacing/>
              <w:rPr>
                <w:lang w:val="sv-SE"/>
              </w:rPr>
            </w:pP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2927912D" w14:textId="77777777" w:rsidR="00B3376F" w:rsidRPr="004A019F" w:rsidRDefault="00B3376F" w:rsidP="004A019F">
            <w:pPr>
              <w:keepNext/>
              <w:spacing w:after="0" w:line="240" w:lineRule="auto"/>
              <w:ind w:left="0" w:firstLine="0"/>
              <w:contextualSpacing/>
              <w:rPr>
                <w:lang w:val="sv-SE"/>
              </w:rPr>
            </w:pPr>
            <w:r w:rsidRPr="004A019F">
              <w:rPr>
                <w:lang w:val="sv-SE"/>
              </w:rPr>
              <w:t>Ödem</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6DF93CCB" w14:textId="77777777" w:rsidR="00B3376F" w:rsidRPr="004A019F" w:rsidRDefault="00B3376F" w:rsidP="004A019F">
            <w:pPr>
              <w:keepNext/>
              <w:spacing w:after="0" w:line="240" w:lineRule="auto"/>
              <w:ind w:left="0" w:firstLine="0"/>
              <w:contextualSpacing/>
              <w:rPr>
                <w:lang w:val="sv-SE"/>
              </w:rPr>
            </w:pPr>
            <w:r w:rsidRPr="004A019F">
              <w:rPr>
                <w:lang w:val="sv-SE"/>
              </w:rPr>
              <w:t>Vanlig</w:t>
            </w:r>
          </w:p>
        </w:tc>
      </w:tr>
      <w:tr w:rsidR="00B3376F" w:rsidRPr="00A74CC6" w14:paraId="4C6B9D53" w14:textId="77777777" w:rsidTr="004A019F">
        <w:tblPrEx>
          <w:tblCellMar>
            <w:top w:w="23" w:type="dxa"/>
          </w:tblCellMar>
        </w:tblPrEx>
        <w:trPr>
          <w:trHeight w:val="516"/>
        </w:trPr>
        <w:tc>
          <w:tcPr>
            <w:tcW w:w="1579" w:type="pct"/>
            <w:tcBorders>
              <w:top w:val="single" w:sz="4" w:space="0" w:color="000000"/>
              <w:left w:val="single" w:sz="4" w:space="0" w:color="000000"/>
              <w:bottom w:val="single" w:sz="4" w:space="0" w:color="000000"/>
              <w:right w:val="single" w:sz="4" w:space="0" w:color="000000"/>
            </w:tcBorders>
            <w:shd w:val="clear" w:color="auto" w:fill="auto"/>
          </w:tcPr>
          <w:p w14:paraId="06A1FBF6" w14:textId="77777777" w:rsidR="00B3376F" w:rsidRPr="004A019F" w:rsidRDefault="00B3376F" w:rsidP="004A019F">
            <w:pPr>
              <w:keepNext/>
              <w:spacing w:after="0" w:line="240" w:lineRule="auto"/>
              <w:ind w:left="0" w:firstLine="0"/>
              <w:contextualSpacing/>
              <w:rPr>
                <w:lang w:val="sv-SE"/>
              </w:rPr>
            </w:pPr>
            <w:r w:rsidRPr="004A019F">
              <w:rPr>
                <w:lang w:val="sv-SE"/>
              </w:rPr>
              <w:t xml:space="preserve">Skador, förgiftningar och behandlingskomplikationer </w:t>
            </w: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14:paraId="0F4BBE93" w14:textId="77777777" w:rsidR="00B3376F" w:rsidRPr="004A019F" w:rsidRDefault="00B3376F" w:rsidP="004A019F">
            <w:pPr>
              <w:keepNext/>
              <w:spacing w:after="0" w:line="240" w:lineRule="auto"/>
              <w:ind w:left="0" w:firstLine="0"/>
              <w:contextualSpacing/>
              <w:rPr>
                <w:lang w:val="sv-SE"/>
              </w:rPr>
            </w:pPr>
            <w:r w:rsidRPr="004A019F">
              <w:rPr>
                <w:lang w:val="sv-SE"/>
              </w:rPr>
              <w:t>Kontusion (blåmärke)</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14:paraId="67DAB556" w14:textId="77777777" w:rsidR="00B3376F" w:rsidRPr="004A019F" w:rsidRDefault="00B3376F" w:rsidP="004A019F">
            <w:pPr>
              <w:keepNext/>
              <w:spacing w:after="0" w:line="240" w:lineRule="auto"/>
              <w:ind w:left="0" w:firstLine="0"/>
              <w:contextualSpacing/>
              <w:rPr>
                <w:lang w:val="sv-SE"/>
              </w:rPr>
            </w:pPr>
            <w:r w:rsidRPr="004A019F">
              <w:rPr>
                <w:lang w:val="sv-SE"/>
              </w:rPr>
              <w:t>Vanlig</w:t>
            </w:r>
          </w:p>
        </w:tc>
      </w:tr>
    </w:tbl>
    <w:p w14:paraId="577F675F" w14:textId="2D79DC96" w:rsidR="005027AB" w:rsidRPr="00A74CC6" w:rsidRDefault="00264096" w:rsidP="005565DC">
      <w:pPr>
        <w:keepNext/>
        <w:spacing w:after="0" w:line="240" w:lineRule="auto"/>
        <w:ind w:left="9" w:hanging="10"/>
        <w:contextualSpacing/>
        <w:rPr>
          <w:sz w:val="20"/>
          <w:szCs w:val="20"/>
          <w:lang w:val="sv-SE"/>
        </w:rPr>
      </w:pPr>
      <w:r w:rsidRPr="00A74CC6">
        <w:rPr>
          <w:sz w:val="20"/>
          <w:szCs w:val="20"/>
          <w:lang w:val="sv-SE"/>
        </w:rPr>
        <w:t xml:space="preserve">+ Markerar biverkningar som har rapporterats ha ett samband med </w:t>
      </w:r>
      <w:r w:rsidR="00285561" w:rsidRPr="00A74CC6">
        <w:rPr>
          <w:sz w:val="20"/>
          <w:szCs w:val="20"/>
          <w:lang w:val="sv-SE"/>
        </w:rPr>
        <w:t>dödlig</w:t>
      </w:r>
      <w:r w:rsidRPr="00A74CC6">
        <w:rPr>
          <w:sz w:val="20"/>
          <w:szCs w:val="20"/>
          <w:lang w:val="sv-SE"/>
        </w:rPr>
        <w:t xml:space="preserve"> utgång.</w:t>
      </w:r>
    </w:p>
    <w:p w14:paraId="4DAD88C5" w14:textId="77777777" w:rsidR="005027AB" w:rsidRPr="00A74CC6" w:rsidRDefault="00264096" w:rsidP="005565DC">
      <w:pPr>
        <w:keepNext/>
        <w:spacing w:after="0" w:line="240" w:lineRule="auto"/>
        <w:ind w:left="141" w:hanging="142"/>
        <w:contextualSpacing/>
        <w:rPr>
          <w:sz w:val="20"/>
          <w:szCs w:val="20"/>
          <w:lang w:val="sv-SE"/>
        </w:rPr>
      </w:pPr>
      <w:r w:rsidRPr="00A74CC6">
        <w:rPr>
          <w:sz w:val="20"/>
          <w:szCs w:val="20"/>
          <w:lang w:val="sv-SE"/>
        </w:rPr>
        <w:t>1 Markerar biverkningar som huvudsakligen har rapporterats i samband med infusionsrelaterade reaktioner. Specifika procenttal för dessa finns inte tillgängliga.</w:t>
      </w:r>
    </w:p>
    <w:p w14:paraId="1564BE91" w14:textId="77777777" w:rsidR="005027AB" w:rsidRPr="00A74CC6" w:rsidRDefault="00264096" w:rsidP="005565DC">
      <w:pPr>
        <w:keepNext/>
        <w:spacing w:after="0" w:line="240" w:lineRule="auto"/>
        <w:ind w:left="9" w:hanging="10"/>
        <w:contextualSpacing/>
        <w:rPr>
          <w:sz w:val="20"/>
          <w:szCs w:val="20"/>
          <w:lang w:val="sv-SE"/>
        </w:rPr>
      </w:pPr>
      <w:r w:rsidRPr="00A74CC6">
        <w:rPr>
          <w:sz w:val="20"/>
          <w:szCs w:val="20"/>
          <w:lang w:val="sv-SE"/>
        </w:rPr>
        <w:t>*</w:t>
      </w:r>
      <w:r w:rsidR="00EF24B4" w:rsidRPr="00A74CC6">
        <w:rPr>
          <w:sz w:val="20"/>
          <w:szCs w:val="20"/>
          <w:lang w:val="sv-SE"/>
        </w:rPr>
        <w:t xml:space="preserve"> </w:t>
      </w:r>
      <w:r w:rsidRPr="00A74CC6">
        <w:rPr>
          <w:sz w:val="20"/>
          <w:szCs w:val="20"/>
          <w:lang w:val="sv-SE"/>
        </w:rPr>
        <w:t>Observerad vid kombinationsbehandling med taxaner efter antracyklininnehållande behandling.</w:t>
      </w:r>
    </w:p>
    <w:p w14:paraId="54EF81B6" w14:textId="77777777" w:rsidR="00724EF4" w:rsidRPr="00A74CC6" w:rsidRDefault="00724EF4" w:rsidP="001E7238">
      <w:pPr>
        <w:spacing w:after="0" w:line="240" w:lineRule="auto"/>
        <w:ind w:left="9" w:hanging="10"/>
        <w:contextualSpacing/>
        <w:rPr>
          <w:lang w:val="sv-SE"/>
        </w:rPr>
      </w:pPr>
    </w:p>
    <w:p w14:paraId="03501670" w14:textId="77777777" w:rsidR="005027AB" w:rsidRPr="00A74CC6" w:rsidRDefault="00264096" w:rsidP="001E7238">
      <w:pPr>
        <w:pStyle w:val="Heading2"/>
        <w:spacing w:after="0" w:line="240" w:lineRule="auto"/>
        <w:ind w:left="0"/>
        <w:rPr>
          <w:lang w:val="sv-SE"/>
        </w:rPr>
      </w:pPr>
      <w:r w:rsidRPr="00A74CC6">
        <w:rPr>
          <w:lang w:val="sv-SE"/>
        </w:rPr>
        <w:t>Beskrivning av vissa biverkningar</w:t>
      </w:r>
    </w:p>
    <w:p w14:paraId="327968B5" w14:textId="77777777" w:rsidR="00724EF4" w:rsidRPr="00A74CC6" w:rsidRDefault="00724EF4" w:rsidP="001E7238">
      <w:pPr>
        <w:keepNext/>
        <w:keepLines/>
        <w:spacing w:after="0" w:line="240" w:lineRule="auto"/>
        <w:ind w:left="0"/>
        <w:rPr>
          <w:lang w:val="sv-SE"/>
        </w:rPr>
      </w:pPr>
    </w:p>
    <w:p w14:paraId="76B2AD10" w14:textId="77777777" w:rsidR="005027AB" w:rsidRPr="00A74CC6" w:rsidRDefault="00264096" w:rsidP="001E7238">
      <w:pPr>
        <w:pStyle w:val="Heading3"/>
        <w:spacing w:after="0" w:line="240" w:lineRule="auto"/>
        <w:ind w:left="0"/>
        <w:rPr>
          <w:lang w:val="sv-SE"/>
        </w:rPr>
      </w:pPr>
      <w:r w:rsidRPr="00A74CC6">
        <w:rPr>
          <w:lang w:val="sv-SE"/>
        </w:rPr>
        <w:t>Hjärtdysfunktion</w:t>
      </w:r>
    </w:p>
    <w:p w14:paraId="3FA63054" w14:textId="77777777" w:rsidR="00724EF4" w:rsidRPr="00A74CC6" w:rsidRDefault="00724EF4" w:rsidP="001E7238">
      <w:pPr>
        <w:keepNext/>
        <w:keepLines/>
        <w:spacing w:after="0" w:line="240" w:lineRule="auto"/>
        <w:ind w:left="0"/>
        <w:rPr>
          <w:lang w:val="sv-SE"/>
        </w:rPr>
      </w:pPr>
    </w:p>
    <w:p w14:paraId="6598E78C" w14:textId="63881E3E" w:rsidR="005027AB" w:rsidRPr="00A74CC6" w:rsidRDefault="00264096" w:rsidP="001E7238">
      <w:pPr>
        <w:spacing w:after="0" w:line="240" w:lineRule="auto"/>
        <w:ind w:left="0"/>
        <w:rPr>
          <w:lang w:val="sv-SE"/>
        </w:rPr>
      </w:pPr>
      <w:r w:rsidRPr="00A74CC6">
        <w:rPr>
          <w:lang w:val="sv-SE"/>
        </w:rPr>
        <w:t>Hjärtsvikt (CHF) (NYHA</w:t>
      </w:r>
      <w:r w:rsidR="00D40FA6" w:rsidRPr="00A74CC6">
        <w:rPr>
          <w:lang w:val="sv-SE"/>
        </w:rPr>
        <w:t>-</w:t>
      </w:r>
      <w:r w:rsidRPr="00A74CC6">
        <w:rPr>
          <w:lang w:val="sv-SE"/>
        </w:rPr>
        <w:t>klass</w:t>
      </w:r>
      <w:r w:rsidR="00F71DEE" w:rsidRPr="00A74CC6">
        <w:rPr>
          <w:lang w:val="sv-SE"/>
        </w:rPr>
        <w:t> </w:t>
      </w:r>
      <w:r w:rsidRPr="00A74CC6">
        <w:rPr>
          <w:lang w:val="sv-SE"/>
        </w:rPr>
        <w:t xml:space="preserve">II-IV) är en vanlig biverkan </w:t>
      </w:r>
      <w:r w:rsidR="00D40FA6" w:rsidRPr="00A74CC6">
        <w:rPr>
          <w:lang w:val="sv-SE"/>
        </w:rPr>
        <w:t>av</w:t>
      </w:r>
      <w:r w:rsidRPr="00A74CC6">
        <w:rPr>
          <w:lang w:val="sv-SE"/>
        </w:rPr>
        <w:t xml:space="preserve"> </w:t>
      </w:r>
      <w:r w:rsidR="00D5715D" w:rsidRPr="00A74CC6">
        <w:rPr>
          <w:lang w:val="sv-SE"/>
        </w:rPr>
        <w:t>trastuzumab</w:t>
      </w:r>
      <w:r w:rsidRPr="00A74CC6">
        <w:rPr>
          <w:lang w:val="sv-SE"/>
        </w:rPr>
        <w:t xml:space="preserve">. </w:t>
      </w:r>
      <w:r w:rsidR="00D40FA6" w:rsidRPr="00A74CC6">
        <w:rPr>
          <w:lang w:val="sv-SE"/>
        </w:rPr>
        <w:t>Dödlig</w:t>
      </w:r>
      <w:r w:rsidRPr="00A74CC6">
        <w:rPr>
          <w:lang w:val="sv-SE"/>
        </w:rPr>
        <w:t xml:space="preserve"> utgång har förekommit (se avsnitt</w:t>
      </w:r>
      <w:r w:rsidR="00D40FA6" w:rsidRPr="00A74CC6">
        <w:rPr>
          <w:lang w:val="sv-SE"/>
        </w:rPr>
        <w:t> </w:t>
      </w:r>
      <w:r w:rsidRPr="00A74CC6">
        <w:rPr>
          <w:lang w:val="sv-SE"/>
        </w:rPr>
        <w:t xml:space="preserve">4.4). Tecken och symtom på hjärtdysfunktion såsom dyspné, ortopné (andnöd i liggande </w:t>
      </w:r>
      <w:r w:rsidR="00D40FA6" w:rsidRPr="00A74CC6">
        <w:rPr>
          <w:lang w:val="sv-SE"/>
        </w:rPr>
        <w:t>ställning</w:t>
      </w:r>
      <w:r w:rsidRPr="00A74CC6">
        <w:rPr>
          <w:lang w:val="sv-SE"/>
        </w:rPr>
        <w:t xml:space="preserve">), ökad hosta, lungödem, tredjetons galopp eller minskad ventrikulär ejektionsfraktion har observerats hos </w:t>
      </w:r>
      <w:r w:rsidR="00D5715D" w:rsidRPr="00A74CC6">
        <w:rPr>
          <w:lang w:val="sv-SE"/>
        </w:rPr>
        <w:t>trastuzumab</w:t>
      </w:r>
      <w:r w:rsidRPr="00A74CC6">
        <w:rPr>
          <w:lang w:val="sv-SE"/>
        </w:rPr>
        <w:t>behandlade patienter (se avsnitt</w:t>
      </w:r>
      <w:r w:rsidR="00D40FA6" w:rsidRPr="00A74CC6">
        <w:rPr>
          <w:lang w:val="sv-SE"/>
        </w:rPr>
        <w:t> </w:t>
      </w:r>
      <w:r w:rsidRPr="00A74CC6">
        <w:rPr>
          <w:lang w:val="sv-SE"/>
        </w:rPr>
        <w:t>4.4).</w:t>
      </w:r>
    </w:p>
    <w:p w14:paraId="35F7C851" w14:textId="77777777" w:rsidR="00724EF4" w:rsidRPr="00A74CC6" w:rsidRDefault="00724EF4" w:rsidP="001E7238">
      <w:pPr>
        <w:spacing w:after="0" w:line="240" w:lineRule="auto"/>
        <w:ind w:left="0"/>
        <w:rPr>
          <w:lang w:val="sv-SE"/>
        </w:rPr>
      </w:pPr>
    </w:p>
    <w:p w14:paraId="7DCC98D3" w14:textId="5AE1581E" w:rsidR="005027AB" w:rsidRPr="00A74CC6" w:rsidRDefault="00264096" w:rsidP="001E7238">
      <w:pPr>
        <w:spacing w:after="0" w:line="240" w:lineRule="auto"/>
        <w:ind w:left="0"/>
        <w:rPr>
          <w:lang w:val="sv-SE"/>
        </w:rPr>
      </w:pPr>
      <w:r w:rsidRPr="00A74CC6">
        <w:rPr>
          <w:lang w:val="sv-SE"/>
        </w:rPr>
        <w:t xml:space="preserve">I tre pivotala kliniska studier med </w:t>
      </w:r>
      <w:r w:rsidR="00D40FA6" w:rsidRPr="00A74CC6">
        <w:rPr>
          <w:lang w:val="sv-SE"/>
        </w:rPr>
        <w:t xml:space="preserve">adjuvant </w:t>
      </w:r>
      <w:r w:rsidR="007470D8" w:rsidRPr="00A74CC6">
        <w:rPr>
          <w:lang w:val="sv-SE"/>
        </w:rPr>
        <w:t xml:space="preserve">trastuzumab </w:t>
      </w:r>
      <w:r w:rsidRPr="00A74CC6">
        <w:rPr>
          <w:lang w:val="sv-SE"/>
        </w:rPr>
        <w:t xml:space="preserve">i kombination med kemoterapi, var incidensen av </w:t>
      </w:r>
      <w:r w:rsidR="00D40FA6" w:rsidRPr="00A74CC6">
        <w:rPr>
          <w:lang w:val="sv-SE"/>
        </w:rPr>
        <w:t xml:space="preserve">hjärtdysfunktion av </w:t>
      </w:r>
      <w:r w:rsidRPr="00A74CC6">
        <w:rPr>
          <w:lang w:val="sv-SE"/>
        </w:rPr>
        <w:t>grad</w:t>
      </w:r>
      <w:r w:rsidR="00D40FA6" w:rsidRPr="00A74CC6">
        <w:rPr>
          <w:lang w:val="sv-SE"/>
        </w:rPr>
        <w:t> </w:t>
      </w:r>
      <w:r w:rsidRPr="00A74CC6">
        <w:rPr>
          <w:lang w:val="sv-SE"/>
        </w:rPr>
        <w:t xml:space="preserve">3/4 (framförallt symtomatisk kronisk hjärtsvikt) likartad hos patienter som </w:t>
      </w:r>
      <w:r w:rsidRPr="00A74CC6">
        <w:rPr>
          <w:lang w:val="sv-SE"/>
        </w:rPr>
        <w:lastRenderedPageBreak/>
        <w:t xml:space="preserve">fick enbart kemoterapi (d.v.s. inte fick </w:t>
      </w:r>
      <w:r w:rsidR="007470D8" w:rsidRPr="00A74CC6">
        <w:rPr>
          <w:lang w:val="sv-SE"/>
        </w:rPr>
        <w:t>trastuzumab</w:t>
      </w:r>
      <w:r w:rsidRPr="00A74CC6">
        <w:rPr>
          <w:lang w:val="sv-SE"/>
        </w:rPr>
        <w:t xml:space="preserve">) och hos patienter som fick </w:t>
      </w:r>
      <w:r w:rsidR="007470D8" w:rsidRPr="00A74CC6">
        <w:rPr>
          <w:lang w:val="sv-SE"/>
        </w:rPr>
        <w:t xml:space="preserve">trastuzumab </w:t>
      </w:r>
      <w:r w:rsidRPr="00A74CC6">
        <w:rPr>
          <w:lang w:val="sv-SE"/>
        </w:rPr>
        <w:t>sekventiellt efter en taxan (0,3</w:t>
      </w:r>
      <w:r w:rsidR="00D40FA6" w:rsidRPr="00A74CC6">
        <w:rPr>
          <w:lang w:val="sv-SE"/>
        </w:rPr>
        <w:noBreakHyphen/>
      </w:r>
      <w:r w:rsidRPr="00A74CC6">
        <w:rPr>
          <w:lang w:val="sv-SE"/>
        </w:rPr>
        <w:t>0,4</w:t>
      </w:r>
      <w:r w:rsidR="00B268E6" w:rsidRPr="00A74CC6">
        <w:rPr>
          <w:lang w:val="sv-SE"/>
        </w:rPr>
        <w:t> %</w:t>
      </w:r>
      <w:r w:rsidRPr="00A74CC6">
        <w:rPr>
          <w:lang w:val="sv-SE"/>
        </w:rPr>
        <w:t xml:space="preserve">). Frekvensen var högst hos patienter som fick </w:t>
      </w:r>
      <w:r w:rsidR="007470D8" w:rsidRPr="00A74CC6">
        <w:rPr>
          <w:lang w:val="sv-SE"/>
        </w:rPr>
        <w:t xml:space="preserve">trastuzumab </w:t>
      </w:r>
      <w:r w:rsidRPr="00A74CC6">
        <w:rPr>
          <w:lang w:val="sv-SE"/>
        </w:rPr>
        <w:t>samtidigt med en taxan (2,0</w:t>
      </w:r>
      <w:r w:rsidR="00B268E6" w:rsidRPr="00A74CC6">
        <w:rPr>
          <w:lang w:val="sv-SE"/>
        </w:rPr>
        <w:t> %</w:t>
      </w:r>
      <w:r w:rsidRPr="00A74CC6">
        <w:rPr>
          <w:lang w:val="sv-SE"/>
        </w:rPr>
        <w:t xml:space="preserve">). </w:t>
      </w:r>
      <w:r w:rsidR="00D40FA6" w:rsidRPr="00A74CC6">
        <w:rPr>
          <w:lang w:val="sv-SE"/>
        </w:rPr>
        <w:t>E</w:t>
      </w:r>
      <w:r w:rsidRPr="00A74CC6">
        <w:rPr>
          <w:lang w:val="sv-SE"/>
        </w:rPr>
        <w:t xml:space="preserve">rfarenheten </w:t>
      </w:r>
      <w:r w:rsidR="00D40FA6" w:rsidRPr="00A74CC6">
        <w:rPr>
          <w:lang w:val="sv-SE"/>
        </w:rPr>
        <w:t xml:space="preserve">är </w:t>
      </w:r>
      <w:r w:rsidRPr="00A74CC6">
        <w:rPr>
          <w:lang w:val="sv-SE"/>
        </w:rPr>
        <w:t xml:space="preserve">begränsad avseende </w:t>
      </w:r>
      <w:r w:rsidR="00D40FA6" w:rsidRPr="00A74CC6">
        <w:rPr>
          <w:lang w:val="sv-SE"/>
        </w:rPr>
        <w:t xml:space="preserve">neoadjuvant behandling med </w:t>
      </w:r>
      <w:r w:rsidRPr="00A74CC6">
        <w:rPr>
          <w:lang w:val="sv-SE"/>
        </w:rPr>
        <w:t xml:space="preserve">samtidig administrering av </w:t>
      </w:r>
      <w:r w:rsidR="007470D8" w:rsidRPr="00A74CC6">
        <w:rPr>
          <w:lang w:val="sv-SE"/>
        </w:rPr>
        <w:t xml:space="preserve">trastuzumab </w:t>
      </w:r>
      <w:r w:rsidRPr="00A74CC6">
        <w:rPr>
          <w:lang w:val="sv-SE"/>
        </w:rPr>
        <w:t>och antracykli</w:t>
      </w:r>
      <w:r w:rsidR="00724EF4" w:rsidRPr="00A74CC6">
        <w:rPr>
          <w:lang w:val="sv-SE"/>
        </w:rPr>
        <w:t>ner i låg dos (se avsnitt</w:t>
      </w:r>
      <w:r w:rsidR="00D40FA6" w:rsidRPr="00A74CC6">
        <w:rPr>
          <w:lang w:val="sv-SE"/>
        </w:rPr>
        <w:t> </w:t>
      </w:r>
      <w:r w:rsidR="00724EF4" w:rsidRPr="00A74CC6">
        <w:rPr>
          <w:lang w:val="sv-SE"/>
        </w:rPr>
        <w:t>4.4).</w:t>
      </w:r>
    </w:p>
    <w:p w14:paraId="2D0FC8D8" w14:textId="77777777" w:rsidR="00724EF4" w:rsidRPr="00A74CC6" w:rsidRDefault="00724EF4" w:rsidP="001E7238">
      <w:pPr>
        <w:spacing w:after="0" w:line="240" w:lineRule="auto"/>
        <w:ind w:left="0"/>
        <w:rPr>
          <w:lang w:val="sv-SE"/>
        </w:rPr>
      </w:pPr>
    </w:p>
    <w:p w14:paraId="5198D96A" w14:textId="4DB003C6" w:rsidR="005027AB" w:rsidRPr="00A74CC6" w:rsidRDefault="00264096" w:rsidP="001E7238">
      <w:pPr>
        <w:spacing w:after="0" w:line="240" w:lineRule="auto"/>
        <w:ind w:left="4" w:right="13"/>
        <w:contextualSpacing/>
        <w:rPr>
          <w:lang w:val="sv-SE"/>
        </w:rPr>
      </w:pPr>
      <w:r w:rsidRPr="00A74CC6">
        <w:rPr>
          <w:lang w:val="sv-SE"/>
        </w:rPr>
        <w:t xml:space="preserve">När </w:t>
      </w:r>
      <w:r w:rsidR="007470D8" w:rsidRPr="00A74CC6">
        <w:rPr>
          <w:lang w:val="sv-SE"/>
        </w:rPr>
        <w:t xml:space="preserve">trastuzumab </w:t>
      </w:r>
      <w:r w:rsidRPr="00A74CC6">
        <w:rPr>
          <w:lang w:val="sv-SE"/>
        </w:rPr>
        <w:t xml:space="preserve">administrerades efter fullföljd adjuvant kemoterapi observerades hjärtsvikt </w:t>
      </w:r>
      <w:r w:rsidR="00272B6D" w:rsidRPr="00A74CC6">
        <w:rPr>
          <w:lang w:val="sv-SE"/>
        </w:rPr>
        <w:t xml:space="preserve">av </w:t>
      </w:r>
      <w:r w:rsidRPr="00A74CC6">
        <w:rPr>
          <w:lang w:val="sv-SE"/>
        </w:rPr>
        <w:t>NYHA</w:t>
      </w:r>
      <w:r w:rsidR="00272B6D" w:rsidRPr="00A74CC6">
        <w:rPr>
          <w:lang w:val="sv-SE"/>
        </w:rPr>
        <w:t>-</w:t>
      </w:r>
      <w:r w:rsidRPr="00A74CC6">
        <w:rPr>
          <w:lang w:val="sv-SE"/>
        </w:rPr>
        <w:t>klass</w:t>
      </w:r>
      <w:r w:rsidR="00272B6D" w:rsidRPr="00A74CC6">
        <w:rPr>
          <w:lang w:val="sv-SE"/>
        </w:rPr>
        <w:t> </w:t>
      </w:r>
      <w:r w:rsidRPr="00A74CC6">
        <w:rPr>
          <w:lang w:val="sv-SE"/>
        </w:rPr>
        <w:t>III-IV hos 0,6</w:t>
      </w:r>
      <w:r w:rsidR="00B268E6" w:rsidRPr="00A74CC6">
        <w:rPr>
          <w:lang w:val="sv-SE"/>
        </w:rPr>
        <w:t> %</w:t>
      </w:r>
      <w:r w:rsidRPr="00A74CC6">
        <w:rPr>
          <w:lang w:val="sv-SE"/>
        </w:rPr>
        <w:t xml:space="preserve"> av patienterna i den ettåriga gruppen efter en medianuppföljningstid på 12</w:t>
      </w:r>
      <w:r w:rsidR="00272B6D" w:rsidRPr="00A74CC6">
        <w:rPr>
          <w:lang w:val="sv-SE"/>
        </w:rPr>
        <w:t> </w:t>
      </w:r>
      <w:r w:rsidRPr="00A74CC6">
        <w:rPr>
          <w:lang w:val="sv-SE"/>
        </w:rPr>
        <w:t>månade</w:t>
      </w:r>
      <w:r w:rsidR="007D3C64" w:rsidRPr="00A74CC6">
        <w:rPr>
          <w:lang w:val="sv-SE"/>
        </w:rPr>
        <w:t xml:space="preserve">r. </w:t>
      </w:r>
      <w:r w:rsidR="00272B6D" w:rsidRPr="00A74CC6">
        <w:rPr>
          <w:lang w:val="sv-SE"/>
        </w:rPr>
        <w:t>Efter en medianuppföljningstid på 8</w:t>
      </w:r>
      <w:r w:rsidR="00F71DEE" w:rsidRPr="00A74CC6">
        <w:rPr>
          <w:lang w:val="sv-SE"/>
        </w:rPr>
        <w:t> </w:t>
      </w:r>
      <w:r w:rsidR="00272B6D" w:rsidRPr="00A74CC6">
        <w:rPr>
          <w:lang w:val="sv-SE"/>
        </w:rPr>
        <w:t>år i</w:t>
      </w:r>
      <w:r w:rsidRPr="00A74CC6">
        <w:rPr>
          <w:lang w:val="sv-SE"/>
        </w:rPr>
        <w:t xml:space="preserve"> studien BO16348 var incidensen av allvarlig kronisk hjärtsvikt (NYHA</w:t>
      </w:r>
      <w:r w:rsidR="00272B6D" w:rsidRPr="00A74CC6">
        <w:rPr>
          <w:lang w:val="sv-SE"/>
        </w:rPr>
        <w:t>-</w:t>
      </w:r>
      <w:r w:rsidRPr="00A74CC6">
        <w:rPr>
          <w:lang w:val="sv-SE"/>
        </w:rPr>
        <w:t>klass</w:t>
      </w:r>
      <w:r w:rsidR="00F71DEE" w:rsidRPr="00A74CC6">
        <w:rPr>
          <w:lang w:val="sv-SE"/>
        </w:rPr>
        <w:t> </w:t>
      </w:r>
      <w:r w:rsidRPr="00A74CC6">
        <w:rPr>
          <w:lang w:val="sv-SE"/>
        </w:rPr>
        <w:t xml:space="preserve">III </w:t>
      </w:r>
      <w:r w:rsidR="00272B6D" w:rsidRPr="00A74CC6">
        <w:rPr>
          <w:lang w:val="sv-SE"/>
        </w:rPr>
        <w:t>och</w:t>
      </w:r>
      <w:r w:rsidRPr="00A74CC6">
        <w:rPr>
          <w:lang w:val="sv-SE"/>
        </w:rPr>
        <w:t xml:space="preserve"> IV) i gruppen </w:t>
      </w:r>
      <w:r w:rsidR="00272B6D" w:rsidRPr="00A74CC6">
        <w:rPr>
          <w:lang w:val="sv-SE"/>
        </w:rPr>
        <w:t>som fick</w:t>
      </w:r>
      <w:r w:rsidRPr="00A74CC6">
        <w:rPr>
          <w:lang w:val="sv-SE"/>
        </w:rPr>
        <w:t xml:space="preserve"> </w:t>
      </w:r>
      <w:r w:rsidR="007470D8" w:rsidRPr="00A74CC6">
        <w:rPr>
          <w:lang w:val="sv-SE"/>
        </w:rPr>
        <w:t xml:space="preserve">trastuzumab </w:t>
      </w:r>
      <w:r w:rsidRPr="00A74CC6">
        <w:rPr>
          <w:lang w:val="sv-SE"/>
        </w:rPr>
        <w:t>under 1</w:t>
      </w:r>
      <w:r w:rsidR="00272B6D" w:rsidRPr="00A74CC6">
        <w:rPr>
          <w:lang w:val="sv-SE"/>
        </w:rPr>
        <w:t> </w:t>
      </w:r>
      <w:r w:rsidRPr="00A74CC6">
        <w:rPr>
          <w:lang w:val="sv-SE"/>
        </w:rPr>
        <w:t>år 0,8</w:t>
      </w:r>
      <w:r w:rsidR="00B268E6" w:rsidRPr="00A74CC6">
        <w:rPr>
          <w:lang w:val="sv-SE"/>
        </w:rPr>
        <w:t> %</w:t>
      </w:r>
      <w:r w:rsidRPr="00A74CC6">
        <w:rPr>
          <w:lang w:val="sv-SE"/>
        </w:rPr>
        <w:t xml:space="preserve"> och </w:t>
      </w:r>
      <w:r w:rsidR="00272B6D" w:rsidRPr="00A74CC6">
        <w:rPr>
          <w:lang w:val="sv-SE"/>
        </w:rPr>
        <w:t>frekvensen</w:t>
      </w:r>
      <w:r w:rsidRPr="00A74CC6">
        <w:rPr>
          <w:lang w:val="sv-SE"/>
        </w:rPr>
        <w:t xml:space="preserve"> av mild symtomatisk och asymtomatisk väns</w:t>
      </w:r>
      <w:r w:rsidR="00724EF4" w:rsidRPr="00A74CC6">
        <w:rPr>
          <w:lang w:val="sv-SE"/>
        </w:rPr>
        <w:t>terkammardysfunktion var 4,6</w:t>
      </w:r>
      <w:r w:rsidR="00B268E6" w:rsidRPr="00A74CC6">
        <w:rPr>
          <w:lang w:val="sv-SE"/>
        </w:rPr>
        <w:t> %</w:t>
      </w:r>
      <w:r w:rsidR="00724EF4" w:rsidRPr="00A74CC6">
        <w:rPr>
          <w:lang w:val="sv-SE"/>
        </w:rPr>
        <w:t>.</w:t>
      </w:r>
    </w:p>
    <w:p w14:paraId="6FD99444" w14:textId="77777777" w:rsidR="00724EF4" w:rsidRPr="00A74CC6" w:rsidRDefault="00724EF4" w:rsidP="001E7238">
      <w:pPr>
        <w:spacing w:after="0" w:line="240" w:lineRule="auto"/>
        <w:ind w:left="4" w:right="13"/>
        <w:contextualSpacing/>
        <w:rPr>
          <w:lang w:val="sv-SE"/>
        </w:rPr>
      </w:pPr>
    </w:p>
    <w:p w14:paraId="0919EFF7" w14:textId="3B1CC10F" w:rsidR="005027AB" w:rsidRPr="00A74CC6" w:rsidRDefault="00F71DEE" w:rsidP="002314CE">
      <w:pPr>
        <w:spacing w:after="0" w:line="240" w:lineRule="auto"/>
        <w:ind w:left="4" w:right="13"/>
        <w:contextualSpacing/>
        <w:rPr>
          <w:lang w:val="sv-SE"/>
        </w:rPr>
      </w:pPr>
      <w:r w:rsidRPr="00A74CC6">
        <w:rPr>
          <w:lang w:val="sv-SE"/>
        </w:rPr>
        <w:t>A</w:t>
      </w:r>
      <w:r w:rsidR="00264096" w:rsidRPr="00A74CC6">
        <w:rPr>
          <w:lang w:val="sv-SE"/>
        </w:rPr>
        <w:t xml:space="preserve">llvarlig kronisk hjärtsvikt </w:t>
      </w:r>
      <w:r w:rsidRPr="00A74CC6">
        <w:rPr>
          <w:lang w:val="sv-SE"/>
        </w:rPr>
        <w:t xml:space="preserve">var klart reversibel </w:t>
      </w:r>
      <w:r w:rsidR="00264096" w:rsidRPr="00A74CC6">
        <w:rPr>
          <w:lang w:val="sv-SE"/>
        </w:rPr>
        <w:t>(definiera</w:t>
      </w:r>
      <w:r w:rsidRPr="00A74CC6">
        <w:rPr>
          <w:lang w:val="sv-SE"/>
        </w:rPr>
        <w:t>t</w:t>
      </w:r>
      <w:r w:rsidR="00264096" w:rsidRPr="00A74CC6">
        <w:rPr>
          <w:lang w:val="sv-SE"/>
        </w:rPr>
        <w:t xml:space="preserve"> som en sekvens av minst två på varandra följande LVEF-värden ≥</w:t>
      </w:r>
      <w:r w:rsidR="00BE0A78" w:rsidRPr="00A74CC6">
        <w:rPr>
          <w:lang w:val="sv-SE"/>
        </w:rPr>
        <w:t> 50</w:t>
      </w:r>
      <w:r w:rsidR="00B268E6" w:rsidRPr="00A74CC6">
        <w:rPr>
          <w:lang w:val="sv-SE"/>
        </w:rPr>
        <w:t> %</w:t>
      </w:r>
      <w:r w:rsidR="00264096" w:rsidRPr="00A74CC6">
        <w:rPr>
          <w:lang w:val="sv-SE"/>
        </w:rPr>
        <w:t xml:space="preserve"> efter händelsen) </w:t>
      </w:r>
      <w:r w:rsidRPr="00A74CC6">
        <w:rPr>
          <w:lang w:val="sv-SE"/>
        </w:rPr>
        <w:t xml:space="preserve">hos </w:t>
      </w:r>
      <w:r w:rsidR="00264096" w:rsidRPr="00A74CC6">
        <w:rPr>
          <w:lang w:val="sv-SE"/>
        </w:rPr>
        <w:t>71,4</w:t>
      </w:r>
      <w:r w:rsidR="00B268E6" w:rsidRPr="00A74CC6">
        <w:rPr>
          <w:lang w:val="sv-SE"/>
        </w:rPr>
        <w:t> %</w:t>
      </w:r>
      <w:r w:rsidR="00264096" w:rsidRPr="00A74CC6">
        <w:rPr>
          <w:lang w:val="sv-SE"/>
        </w:rPr>
        <w:t xml:space="preserve"> av patienterna behandlade med </w:t>
      </w:r>
      <w:r w:rsidR="007470D8" w:rsidRPr="00A74CC6">
        <w:rPr>
          <w:lang w:val="sv-SE"/>
        </w:rPr>
        <w:t>trastuzumab</w:t>
      </w:r>
      <w:r w:rsidR="00264096" w:rsidRPr="00A74CC6">
        <w:rPr>
          <w:lang w:val="sv-SE"/>
        </w:rPr>
        <w:t xml:space="preserve">. </w:t>
      </w:r>
      <w:r w:rsidRPr="00A74CC6">
        <w:rPr>
          <w:lang w:val="sv-SE"/>
        </w:rPr>
        <w:t>Vid</w:t>
      </w:r>
      <w:r w:rsidR="00264096" w:rsidRPr="00A74CC6">
        <w:rPr>
          <w:lang w:val="sv-SE"/>
        </w:rPr>
        <w:t xml:space="preserve"> mild symtomatisk och asymtomatisk vänsterkammardysfunktion påvisades </w:t>
      </w:r>
      <w:r w:rsidRPr="00A74CC6">
        <w:rPr>
          <w:lang w:val="sv-SE"/>
        </w:rPr>
        <w:t>reversibilitet hos</w:t>
      </w:r>
      <w:r w:rsidR="00264096" w:rsidRPr="00A74CC6">
        <w:rPr>
          <w:lang w:val="sv-SE"/>
        </w:rPr>
        <w:t xml:space="preserve"> 79,5</w:t>
      </w:r>
      <w:r w:rsidR="00B268E6" w:rsidRPr="00A74CC6">
        <w:rPr>
          <w:lang w:val="sv-SE"/>
        </w:rPr>
        <w:t> %</w:t>
      </w:r>
      <w:r w:rsidR="00264096" w:rsidRPr="00A74CC6">
        <w:rPr>
          <w:lang w:val="sv-SE"/>
        </w:rPr>
        <w:t xml:space="preserve"> av patienterna. Ungefär 17</w:t>
      </w:r>
      <w:r w:rsidR="00B268E6" w:rsidRPr="00A74CC6">
        <w:rPr>
          <w:lang w:val="sv-SE"/>
        </w:rPr>
        <w:t> %</w:t>
      </w:r>
      <w:r w:rsidR="00264096" w:rsidRPr="00A74CC6">
        <w:rPr>
          <w:lang w:val="sv-SE"/>
        </w:rPr>
        <w:t xml:space="preserve"> av de hjärtdysfunktionsrelaterade </w:t>
      </w:r>
      <w:r w:rsidR="00272B6D" w:rsidRPr="00A74CC6">
        <w:rPr>
          <w:lang w:val="sv-SE"/>
        </w:rPr>
        <w:t>händelserna</w:t>
      </w:r>
      <w:r w:rsidR="00264096" w:rsidRPr="00A74CC6">
        <w:rPr>
          <w:lang w:val="sv-SE"/>
        </w:rPr>
        <w:t xml:space="preserve"> inträffade efte</w:t>
      </w:r>
      <w:r w:rsidR="00724EF4" w:rsidRPr="00A74CC6">
        <w:rPr>
          <w:lang w:val="sv-SE"/>
        </w:rPr>
        <w:t xml:space="preserve">r avslutad </w:t>
      </w:r>
      <w:r w:rsidR="007470D8" w:rsidRPr="00A74CC6">
        <w:rPr>
          <w:lang w:val="sv-SE"/>
        </w:rPr>
        <w:t>trastuzumab</w:t>
      </w:r>
      <w:r w:rsidR="00724EF4" w:rsidRPr="00A74CC6">
        <w:rPr>
          <w:lang w:val="sv-SE"/>
        </w:rPr>
        <w:t>behandling.</w:t>
      </w:r>
    </w:p>
    <w:p w14:paraId="43178290" w14:textId="77777777" w:rsidR="00724EF4" w:rsidRPr="00A74CC6" w:rsidRDefault="00724EF4" w:rsidP="002314CE">
      <w:pPr>
        <w:spacing w:after="0" w:line="240" w:lineRule="auto"/>
        <w:ind w:left="4" w:right="13"/>
        <w:contextualSpacing/>
        <w:rPr>
          <w:lang w:val="sv-SE"/>
        </w:rPr>
      </w:pPr>
    </w:p>
    <w:p w14:paraId="1AD600A4" w14:textId="547302C8" w:rsidR="005027AB" w:rsidRPr="00A74CC6" w:rsidRDefault="00264096" w:rsidP="002314CE">
      <w:pPr>
        <w:spacing w:after="0" w:line="240" w:lineRule="auto"/>
        <w:ind w:left="4" w:right="13"/>
        <w:contextualSpacing/>
        <w:rPr>
          <w:lang w:val="sv-SE"/>
        </w:rPr>
      </w:pPr>
      <w:r w:rsidRPr="00A74CC6">
        <w:rPr>
          <w:lang w:val="sv-SE"/>
        </w:rPr>
        <w:t xml:space="preserve">I de pivotala studierna för metastaserad sjukdom med </w:t>
      </w:r>
      <w:r w:rsidR="00234852" w:rsidRPr="00A74CC6">
        <w:rPr>
          <w:lang w:val="sv-SE"/>
        </w:rPr>
        <w:t xml:space="preserve">trastuzumab </w:t>
      </w:r>
      <w:r w:rsidRPr="00A74CC6">
        <w:rPr>
          <w:lang w:val="sv-SE"/>
        </w:rPr>
        <w:t>intravenös beredning varierade incidensen av hjärtdysfunktion mellan 9</w:t>
      </w:r>
      <w:r w:rsidR="00B268E6" w:rsidRPr="00A74CC6">
        <w:rPr>
          <w:lang w:val="sv-SE"/>
        </w:rPr>
        <w:t> %</w:t>
      </w:r>
      <w:r w:rsidRPr="00A74CC6">
        <w:rPr>
          <w:lang w:val="sv-SE"/>
        </w:rPr>
        <w:t xml:space="preserve"> och 12</w:t>
      </w:r>
      <w:r w:rsidR="00B268E6" w:rsidRPr="00A74CC6">
        <w:rPr>
          <w:lang w:val="sv-SE"/>
        </w:rPr>
        <w:t> %</w:t>
      </w:r>
      <w:r w:rsidRPr="00A74CC6">
        <w:rPr>
          <w:lang w:val="sv-SE"/>
        </w:rPr>
        <w:t xml:space="preserve"> då det gavs tillsammans</w:t>
      </w:r>
      <w:r w:rsidR="00E36A8F" w:rsidRPr="00A74CC6">
        <w:rPr>
          <w:lang w:val="sv-SE"/>
        </w:rPr>
        <w:t xml:space="preserve"> med paklitaxel jämfört med 1</w:t>
      </w:r>
      <w:r w:rsidR="00272B6D" w:rsidRPr="00A74CC6">
        <w:rPr>
          <w:lang w:val="sv-SE"/>
        </w:rPr>
        <w:noBreakHyphen/>
      </w:r>
      <w:r w:rsidRPr="00A74CC6">
        <w:rPr>
          <w:lang w:val="sv-SE"/>
        </w:rPr>
        <w:t>4</w:t>
      </w:r>
      <w:r w:rsidR="00B268E6" w:rsidRPr="00A74CC6">
        <w:rPr>
          <w:lang w:val="sv-SE"/>
        </w:rPr>
        <w:t> %</w:t>
      </w:r>
      <w:r w:rsidRPr="00A74CC6">
        <w:rPr>
          <w:lang w:val="sv-SE"/>
        </w:rPr>
        <w:t xml:space="preserve"> med enbart paklitaxel. Vid monoterapibehandling var frekvensen 6</w:t>
      </w:r>
      <w:r w:rsidR="00272B6D" w:rsidRPr="00A74CC6">
        <w:rPr>
          <w:lang w:val="sv-SE"/>
        </w:rPr>
        <w:noBreakHyphen/>
      </w:r>
      <w:r w:rsidRPr="00A74CC6">
        <w:rPr>
          <w:lang w:val="sv-SE"/>
        </w:rPr>
        <w:t>9</w:t>
      </w:r>
      <w:r w:rsidR="00B268E6" w:rsidRPr="00A74CC6">
        <w:rPr>
          <w:lang w:val="sv-SE"/>
        </w:rPr>
        <w:t> %</w:t>
      </w:r>
      <w:r w:rsidRPr="00A74CC6">
        <w:rPr>
          <w:lang w:val="sv-SE"/>
        </w:rPr>
        <w:t xml:space="preserve">. Högsta frekvensen av hjärtdysfunktion sågs hos patienter som behandlades samtidigt med </w:t>
      </w:r>
      <w:r w:rsidR="009117F4" w:rsidRPr="00A74CC6">
        <w:rPr>
          <w:lang w:val="sv-SE"/>
        </w:rPr>
        <w:t xml:space="preserve">trastuzumab </w:t>
      </w:r>
      <w:r w:rsidRPr="00A74CC6">
        <w:rPr>
          <w:lang w:val="sv-SE"/>
        </w:rPr>
        <w:t>och antracyklin/cyklofosfamid (27</w:t>
      </w:r>
      <w:r w:rsidR="00B268E6" w:rsidRPr="00A74CC6">
        <w:rPr>
          <w:lang w:val="sv-SE"/>
        </w:rPr>
        <w:t> %</w:t>
      </w:r>
      <w:r w:rsidRPr="00A74CC6">
        <w:rPr>
          <w:lang w:val="sv-SE"/>
        </w:rPr>
        <w:t>), vilket var signifikant högre än för enbart antracyklin/cyklofosfamid (7</w:t>
      </w:r>
      <w:r w:rsidR="00272B6D" w:rsidRPr="00A74CC6">
        <w:rPr>
          <w:lang w:val="sv-SE"/>
        </w:rPr>
        <w:noBreakHyphen/>
      </w:r>
      <w:r w:rsidRPr="00A74CC6">
        <w:rPr>
          <w:lang w:val="sv-SE"/>
        </w:rPr>
        <w:t>10</w:t>
      </w:r>
      <w:r w:rsidR="00B268E6" w:rsidRPr="00A74CC6">
        <w:rPr>
          <w:lang w:val="sv-SE"/>
        </w:rPr>
        <w:t> %</w:t>
      </w:r>
      <w:r w:rsidRPr="00A74CC6">
        <w:rPr>
          <w:lang w:val="sv-SE"/>
        </w:rPr>
        <w:t>). I en påföljande studie med prospektiv uppföljning av hjärtfunktion</w:t>
      </w:r>
      <w:r w:rsidR="00DF10D4" w:rsidRPr="00A74CC6">
        <w:rPr>
          <w:lang w:val="sv-SE"/>
        </w:rPr>
        <w:t>en</w:t>
      </w:r>
      <w:r w:rsidRPr="00A74CC6">
        <w:rPr>
          <w:lang w:val="sv-SE"/>
        </w:rPr>
        <w:t>, var inciden</w:t>
      </w:r>
      <w:r w:rsidR="00272B6D" w:rsidRPr="00A74CC6">
        <w:rPr>
          <w:lang w:val="sv-SE"/>
        </w:rPr>
        <w:t>s</w:t>
      </w:r>
      <w:r w:rsidRPr="00A74CC6">
        <w:rPr>
          <w:lang w:val="sv-SE"/>
        </w:rPr>
        <w:t>en av symtomatisk hjärtsvikt 2,2</w:t>
      </w:r>
      <w:r w:rsidR="00B268E6" w:rsidRPr="00A74CC6">
        <w:rPr>
          <w:lang w:val="sv-SE"/>
        </w:rPr>
        <w:t> %</w:t>
      </w:r>
      <w:r w:rsidRPr="00A74CC6">
        <w:rPr>
          <w:lang w:val="sv-SE"/>
        </w:rPr>
        <w:t xml:space="preserve"> hos patienter som fick </w:t>
      </w:r>
      <w:r w:rsidR="009117F4" w:rsidRPr="00A74CC6">
        <w:rPr>
          <w:lang w:val="sv-SE"/>
        </w:rPr>
        <w:t xml:space="preserve">trastuzumab </w:t>
      </w:r>
      <w:r w:rsidRPr="00A74CC6">
        <w:rPr>
          <w:lang w:val="sv-SE"/>
        </w:rPr>
        <w:t>och docetaxel jämfört med 0</w:t>
      </w:r>
      <w:r w:rsidR="00B268E6" w:rsidRPr="00A74CC6">
        <w:rPr>
          <w:lang w:val="sv-SE"/>
        </w:rPr>
        <w:t> %</w:t>
      </w:r>
      <w:r w:rsidRPr="00A74CC6">
        <w:rPr>
          <w:lang w:val="sv-SE"/>
        </w:rPr>
        <w:t xml:space="preserve"> hos patienter som fick enbart docetaxel. De flesta patienter (79</w:t>
      </w:r>
      <w:r w:rsidR="00B268E6" w:rsidRPr="00A74CC6">
        <w:rPr>
          <w:lang w:val="sv-SE"/>
        </w:rPr>
        <w:t> %</w:t>
      </w:r>
      <w:r w:rsidRPr="00A74CC6">
        <w:rPr>
          <w:lang w:val="sv-SE"/>
        </w:rPr>
        <w:t>) som utvecklade hjärtdysfunktion i dessa studier upplevde en förbättring efter medicinsk standardbehandling mot hjärtsvikt.</w:t>
      </w:r>
    </w:p>
    <w:p w14:paraId="1EE36208" w14:textId="77777777" w:rsidR="00724EF4" w:rsidRPr="00A74CC6" w:rsidRDefault="00724EF4" w:rsidP="002314CE">
      <w:pPr>
        <w:spacing w:after="0" w:line="240" w:lineRule="auto"/>
        <w:ind w:left="4" w:right="13"/>
        <w:contextualSpacing/>
        <w:rPr>
          <w:lang w:val="sv-SE"/>
        </w:rPr>
      </w:pPr>
    </w:p>
    <w:p w14:paraId="14348734" w14:textId="5B3E8706" w:rsidR="005027AB" w:rsidRPr="00A74CC6" w:rsidRDefault="00264096" w:rsidP="002314CE">
      <w:pPr>
        <w:pStyle w:val="Heading4"/>
        <w:spacing w:after="0" w:line="240" w:lineRule="auto"/>
        <w:ind w:left="11" w:hanging="11"/>
        <w:contextualSpacing/>
        <w:rPr>
          <w:u w:val="single"/>
          <w:lang w:val="sv-SE"/>
        </w:rPr>
      </w:pPr>
      <w:r w:rsidRPr="00A74CC6">
        <w:rPr>
          <w:u w:val="single"/>
          <w:lang w:val="sv-SE"/>
        </w:rPr>
        <w:t>Infusionsreaktioner, allergiliknande reaktioner och överkänslighet</w:t>
      </w:r>
    </w:p>
    <w:p w14:paraId="3E339581" w14:textId="77777777" w:rsidR="001F7A9E" w:rsidRPr="00A74CC6" w:rsidRDefault="001F7A9E" w:rsidP="002314CE">
      <w:pPr>
        <w:keepNext/>
        <w:spacing w:after="0" w:line="240" w:lineRule="auto"/>
        <w:ind w:left="6" w:right="11" w:hanging="6"/>
        <w:contextualSpacing/>
        <w:rPr>
          <w:lang w:val="sv-SE"/>
        </w:rPr>
      </w:pPr>
    </w:p>
    <w:p w14:paraId="5BFB57DE" w14:textId="4C135347" w:rsidR="005027AB" w:rsidRPr="00A74CC6" w:rsidRDefault="00264096" w:rsidP="002314CE">
      <w:pPr>
        <w:spacing w:after="0" w:line="240" w:lineRule="auto"/>
        <w:ind w:left="4" w:right="13"/>
        <w:contextualSpacing/>
        <w:rPr>
          <w:lang w:val="sv-SE"/>
        </w:rPr>
      </w:pPr>
      <w:r w:rsidRPr="00A74CC6">
        <w:rPr>
          <w:lang w:val="sv-SE"/>
        </w:rPr>
        <w:t>Det uppskattas att ungefär 40</w:t>
      </w:r>
      <w:r w:rsidR="00B268E6" w:rsidRPr="00A74CC6">
        <w:rPr>
          <w:lang w:val="sv-SE"/>
        </w:rPr>
        <w:t> %</w:t>
      </w:r>
      <w:r w:rsidRPr="00A74CC6">
        <w:rPr>
          <w:lang w:val="sv-SE"/>
        </w:rPr>
        <w:t xml:space="preserve"> av patienterna som behandlas med </w:t>
      </w:r>
      <w:r w:rsidR="009117F4" w:rsidRPr="00A74CC6">
        <w:rPr>
          <w:lang w:val="sv-SE"/>
        </w:rPr>
        <w:t xml:space="preserve">trastuzumab </w:t>
      </w:r>
      <w:r w:rsidRPr="00A74CC6">
        <w:rPr>
          <w:lang w:val="sv-SE"/>
        </w:rPr>
        <w:t>får någon form av infusionsrelaterad reaktion. Majoriteten av de infusionsrelaterade reaktionerna är milda till måttliga i intensitet (enligt NCI-CTC</w:t>
      </w:r>
      <w:r w:rsidR="00DF10D4" w:rsidRPr="00A74CC6">
        <w:rPr>
          <w:lang w:val="sv-SE"/>
        </w:rPr>
        <w:t>:s</w:t>
      </w:r>
      <w:r w:rsidRPr="00A74CC6">
        <w:rPr>
          <w:lang w:val="sv-SE"/>
        </w:rPr>
        <w:t xml:space="preserve"> graderingssystem) och tenderar att inträffa tidigt i behandlingen, alltså under infusion ett, två och tre och med en lägre frekvens vid efterföljande infusioner. Reaktionerna innefattar frossa, feber, dyspné, hypotoni, rosslingar/pipande andning, bronkospasm, takykardi, minskad syremättnad (hypoxi), andnöd, hudutslag, illamående, kräkningar och huvudvärk (se avsnitt</w:t>
      </w:r>
      <w:r w:rsidR="007D63AD" w:rsidRPr="00A74CC6">
        <w:rPr>
          <w:lang w:val="sv-SE"/>
        </w:rPr>
        <w:t> </w:t>
      </w:r>
      <w:r w:rsidRPr="00A74CC6">
        <w:rPr>
          <w:lang w:val="sv-SE"/>
        </w:rPr>
        <w:t>4.4). Frekvensen av infusionsrelaterade reaktioner av samtliga grader varierade mellan studierna beroende på indikation, datainsamling</w:t>
      </w:r>
      <w:r w:rsidR="007D63AD" w:rsidRPr="00A74CC6">
        <w:rPr>
          <w:lang w:val="sv-SE"/>
        </w:rPr>
        <w:t>smetod</w:t>
      </w:r>
      <w:r w:rsidRPr="00A74CC6">
        <w:rPr>
          <w:lang w:val="sv-SE"/>
        </w:rPr>
        <w:t xml:space="preserve"> samt huruvida trastuzumab gavs samtidigt med kemoterapi eller som monoterapi.</w:t>
      </w:r>
    </w:p>
    <w:p w14:paraId="5466CFF7" w14:textId="77777777" w:rsidR="00724EF4" w:rsidRPr="00A74CC6" w:rsidRDefault="00724EF4" w:rsidP="002314CE">
      <w:pPr>
        <w:spacing w:after="0" w:line="240" w:lineRule="auto"/>
        <w:ind w:left="4" w:right="13"/>
        <w:contextualSpacing/>
        <w:rPr>
          <w:lang w:val="sv-SE"/>
        </w:rPr>
      </w:pPr>
    </w:p>
    <w:p w14:paraId="07451B4A" w14:textId="7E621C6E" w:rsidR="005027AB" w:rsidRPr="00A74CC6" w:rsidRDefault="00264096" w:rsidP="002314CE">
      <w:pPr>
        <w:spacing w:after="0" w:line="240" w:lineRule="auto"/>
        <w:ind w:left="4" w:right="13"/>
        <w:contextualSpacing/>
        <w:rPr>
          <w:lang w:val="sv-SE"/>
        </w:rPr>
      </w:pPr>
      <w:r w:rsidRPr="00A74CC6">
        <w:rPr>
          <w:lang w:val="sv-SE"/>
        </w:rPr>
        <w:t>Allvarliga anafylaktiska reaktioner som kräver omedelbar ytterligare intervention kan inträffa</w:t>
      </w:r>
      <w:r w:rsidR="007D63AD" w:rsidRPr="00A74CC6">
        <w:rPr>
          <w:lang w:val="sv-SE"/>
        </w:rPr>
        <w:t>, vanligen</w:t>
      </w:r>
      <w:r w:rsidRPr="00A74CC6">
        <w:rPr>
          <w:lang w:val="sv-SE"/>
        </w:rPr>
        <w:t xml:space="preserve"> under antingen den första eller andra infusionen av </w:t>
      </w:r>
      <w:r w:rsidR="009117F4" w:rsidRPr="00A74CC6">
        <w:rPr>
          <w:lang w:val="sv-SE"/>
        </w:rPr>
        <w:t xml:space="preserve">trastuzumab </w:t>
      </w:r>
      <w:r w:rsidRPr="00A74CC6">
        <w:rPr>
          <w:lang w:val="sv-SE"/>
        </w:rPr>
        <w:t>(se avsnitt</w:t>
      </w:r>
      <w:r w:rsidR="007D63AD" w:rsidRPr="00A74CC6">
        <w:rPr>
          <w:lang w:val="sv-SE"/>
        </w:rPr>
        <w:t> </w:t>
      </w:r>
      <w:r w:rsidRPr="00A74CC6">
        <w:rPr>
          <w:lang w:val="sv-SE"/>
        </w:rPr>
        <w:t>4.4)</w:t>
      </w:r>
      <w:r w:rsidR="00403374">
        <w:rPr>
          <w:lang w:val="sv-SE"/>
        </w:rPr>
        <w:t xml:space="preserve"> </w:t>
      </w:r>
      <w:r w:rsidRPr="00A74CC6">
        <w:rPr>
          <w:lang w:val="sv-SE"/>
        </w:rPr>
        <w:t>och har</w:t>
      </w:r>
      <w:r w:rsidR="00724EF4" w:rsidRPr="00A74CC6">
        <w:rPr>
          <w:lang w:val="sv-SE"/>
        </w:rPr>
        <w:t xml:space="preserve"> </w:t>
      </w:r>
      <w:r w:rsidR="007D63AD" w:rsidRPr="00A74CC6">
        <w:rPr>
          <w:lang w:val="sv-SE"/>
        </w:rPr>
        <w:t>varit förenade</w:t>
      </w:r>
      <w:r w:rsidR="00724EF4" w:rsidRPr="00A74CC6">
        <w:rPr>
          <w:lang w:val="sv-SE"/>
        </w:rPr>
        <w:t xml:space="preserve"> med dödlig utgång.</w:t>
      </w:r>
      <w:r w:rsidR="002F30F7" w:rsidRPr="00A74CC6">
        <w:rPr>
          <w:lang w:val="sv-SE"/>
        </w:rPr>
        <w:t xml:space="preserve"> </w:t>
      </w:r>
      <w:r w:rsidRPr="00A74CC6">
        <w:rPr>
          <w:lang w:val="sv-SE"/>
        </w:rPr>
        <w:t xml:space="preserve">Anafylaktoida reaktioner har observerats i enstaka </w:t>
      </w:r>
      <w:r w:rsidR="007D63AD" w:rsidRPr="00A74CC6">
        <w:rPr>
          <w:lang w:val="sv-SE"/>
        </w:rPr>
        <w:t>fall</w:t>
      </w:r>
      <w:r w:rsidRPr="00A74CC6">
        <w:rPr>
          <w:lang w:val="sv-SE"/>
        </w:rPr>
        <w:t>.</w:t>
      </w:r>
    </w:p>
    <w:p w14:paraId="01349039" w14:textId="77777777" w:rsidR="00724EF4" w:rsidRPr="00A74CC6" w:rsidRDefault="00724EF4" w:rsidP="002314CE">
      <w:pPr>
        <w:spacing w:after="0" w:line="240" w:lineRule="auto"/>
        <w:ind w:left="4" w:right="13"/>
        <w:contextualSpacing/>
        <w:rPr>
          <w:lang w:val="sv-SE"/>
        </w:rPr>
      </w:pPr>
    </w:p>
    <w:p w14:paraId="588D7FDF" w14:textId="77777777" w:rsidR="005027AB" w:rsidRPr="00A74CC6" w:rsidRDefault="00264096" w:rsidP="002314CE">
      <w:pPr>
        <w:pStyle w:val="Heading4"/>
        <w:spacing w:after="0" w:line="240" w:lineRule="auto"/>
        <w:ind w:left="11" w:hanging="11"/>
        <w:contextualSpacing/>
        <w:rPr>
          <w:u w:val="single"/>
          <w:lang w:val="sv-SE"/>
        </w:rPr>
      </w:pPr>
      <w:r w:rsidRPr="00A74CC6">
        <w:rPr>
          <w:u w:val="single"/>
          <w:lang w:val="sv-SE"/>
        </w:rPr>
        <w:t>Hematologisk toxicitet</w:t>
      </w:r>
    </w:p>
    <w:p w14:paraId="476F6B73" w14:textId="77777777" w:rsidR="00FB60AA" w:rsidRPr="00A74CC6" w:rsidRDefault="00FB60AA" w:rsidP="002314CE">
      <w:pPr>
        <w:keepNext/>
        <w:spacing w:after="0" w:line="240" w:lineRule="auto"/>
        <w:ind w:left="6" w:right="11" w:hanging="6"/>
        <w:contextualSpacing/>
        <w:rPr>
          <w:lang w:val="sv-SE"/>
        </w:rPr>
      </w:pPr>
    </w:p>
    <w:p w14:paraId="1879ED20" w14:textId="77777777" w:rsidR="005027AB" w:rsidRPr="00A74CC6" w:rsidRDefault="00264096" w:rsidP="002314CE">
      <w:pPr>
        <w:spacing w:after="0" w:line="240" w:lineRule="auto"/>
        <w:ind w:left="4" w:right="13"/>
        <w:contextualSpacing/>
        <w:rPr>
          <w:lang w:val="sv-SE"/>
        </w:rPr>
      </w:pPr>
      <w:r w:rsidRPr="00A74CC6">
        <w:rPr>
          <w:lang w:val="sv-SE"/>
        </w:rPr>
        <w:t>Febril neutropeni, leukopeni, anemi, trombocytopeni och neutropeni var mycket vanliga biverkningar. Frekvensen för hypoprotrombinemi är inte känd. Risken för neutropeni kan vara något förhöjd då trastuzumab ges med docetaxel efter antracyklininnehållande behandling.</w:t>
      </w:r>
    </w:p>
    <w:p w14:paraId="188AB001" w14:textId="77777777" w:rsidR="00724EF4" w:rsidRPr="00A74CC6" w:rsidRDefault="00724EF4" w:rsidP="002314CE">
      <w:pPr>
        <w:spacing w:after="0" w:line="240" w:lineRule="auto"/>
        <w:ind w:left="4" w:right="13"/>
        <w:contextualSpacing/>
        <w:rPr>
          <w:lang w:val="sv-SE"/>
        </w:rPr>
      </w:pPr>
    </w:p>
    <w:p w14:paraId="1B8EE5DD" w14:textId="77777777" w:rsidR="005027AB" w:rsidRPr="00A74CC6" w:rsidRDefault="00264096" w:rsidP="002314CE">
      <w:pPr>
        <w:pStyle w:val="Heading4"/>
        <w:spacing w:after="0" w:line="240" w:lineRule="auto"/>
        <w:ind w:left="11" w:hanging="11"/>
        <w:contextualSpacing/>
        <w:rPr>
          <w:u w:val="single"/>
          <w:lang w:val="sv-SE"/>
        </w:rPr>
      </w:pPr>
      <w:r w:rsidRPr="00A74CC6">
        <w:rPr>
          <w:u w:val="single"/>
          <w:lang w:val="sv-SE"/>
        </w:rPr>
        <w:t>Pulmonella biverkningar</w:t>
      </w:r>
    </w:p>
    <w:p w14:paraId="54151E69" w14:textId="77777777" w:rsidR="00FB60AA" w:rsidRPr="00A74CC6" w:rsidRDefault="00FB60AA" w:rsidP="002314CE">
      <w:pPr>
        <w:keepNext/>
        <w:spacing w:after="0" w:line="240" w:lineRule="auto"/>
        <w:ind w:left="6" w:right="11" w:hanging="6"/>
        <w:contextualSpacing/>
        <w:rPr>
          <w:lang w:val="sv-SE"/>
        </w:rPr>
      </w:pPr>
    </w:p>
    <w:p w14:paraId="493C74CA" w14:textId="1AFCA1D4" w:rsidR="005027AB" w:rsidRPr="00A74CC6" w:rsidRDefault="00264096" w:rsidP="002314CE">
      <w:pPr>
        <w:spacing w:after="0" w:line="240" w:lineRule="auto"/>
        <w:ind w:left="4" w:right="13"/>
        <w:contextualSpacing/>
        <w:rPr>
          <w:lang w:val="sv-SE"/>
        </w:rPr>
      </w:pPr>
      <w:r w:rsidRPr="00A74CC6">
        <w:rPr>
          <w:lang w:val="sv-SE"/>
        </w:rPr>
        <w:t xml:space="preserve">Allvarliga pulmonella biverkningar har i enstaka fall rapporterats i samband med </w:t>
      </w:r>
      <w:r w:rsidR="009117F4" w:rsidRPr="00A74CC6">
        <w:rPr>
          <w:lang w:val="sv-SE"/>
        </w:rPr>
        <w:t>trastuzumab</w:t>
      </w:r>
      <w:r w:rsidRPr="00A74CC6">
        <w:rPr>
          <w:lang w:val="sv-SE"/>
        </w:rPr>
        <w:t xml:space="preserve">behandling och </w:t>
      </w:r>
      <w:r w:rsidR="007D63AD" w:rsidRPr="00A74CC6">
        <w:rPr>
          <w:lang w:val="sv-SE"/>
        </w:rPr>
        <w:t>dödlig</w:t>
      </w:r>
      <w:r w:rsidRPr="00A74CC6">
        <w:rPr>
          <w:lang w:val="sv-SE"/>
        </w:rPr>
        <w:t xml:space="preserve"> utgång har förekommit. </w:t>
      </w:r>
      <w:r w:rsidR="00DF10D4" w:rsidRPr="00A74CC6">
        <w:rPr>
          <w:lang w:val="sv-SE"/>
        </w:rPr>
        <w:t>Biverkningarna</w:t>
      </w:r>
      <w:r w:rsidRPr="00A74CC6">
        <w:rPr>
          <w:lang w:val="sv-SE"/>
        </w:rPr>
        <w:t xml:space="preserve"> innefattar bland annat lunginfiltrat, akut </w:t>
      </w:r>
      <w:r w:rsidR="007D63AD" w:rsidRPr="00A74CC6">
        <w:rPr>
          <w:lang w:val="sv-SE"/>
        </w:rPr>
        <w:t>andnödssyndrom</w:t>
      </w:r>
      <w:r w:rsidRPr="00A74CC6">
        <w:rPr>
          <w:lang w:val="sv-SE"/>
        </w:rPr>
        <w:t xml:space="preserve"> (ARDS), lunginflammation, pneumonit, pleurautgjutning, andnöd, akut lungödem samt andningsinsufficiens (se avsnitt</w:t>
      </w:r>
      <w:r w:rsidR="007D63AD" w:rsidRPr="00A74CC6">
        <w:rPr>
          <w:lang w:val="sv-SE"/>
        </w:rPr>
        <w:t> </w:t>
      </w:r>
      <w:r w:rsidRPr="00A74CC6">
        <w:rPr>
          <w:lang w:val="sv-SE"/>
        </w:rPr>
        <w:t>4.4).</w:t>
      </w:r>
    </w:p>
    <w:p w14:paraId="2F5950A3" w14:textId="77777777" w:rsidR="00724EF4" w:rsidRPr="00A74CC6" w:rsidRDefault="00724EF4" w:rsidP="002314CE">
      <w:pPr>
        <w:spacing w:after="0" w:line="240" w:lineRule="auto"/>
        <w:ind w:left="4" w:right="13"/>
        <w:contextualSpacing/>
        <w:rPr>
          <w:lang w:val="sv-SE"/>
        </w:rPr>
      </w:pPr>
    </w:p>
    <w:p w14:paraId="40DE4E93" w14:textId="7F4DCA28" w:rsidR="00FE397E" w:rsidRDefault="00FE397E" w:rsidP="009F6B65">
      <w:pPr>
        <w:spacing w:after="0" w:line="240" w:lineRule="auto"/>
        <w:ind w:left="4" w:right="13"/>
        <w:contextualSpacing/>
        <w:rPr>
          <w:lang w:val="sv-SE"/>
        </w:rPr>
      </w:pPr>
      <w:r w:rsidRPr="00E5647A">
        <w:rPr>
          <w:lang w:val="sv-SE"/>
        </w:rPr>
        <w:lastRenderedPageBreak/>
        <w:t>Detaljer om riskminimeringsåtgärder i enlighet med EU:s Risk Management Plan presenteras i (avsnitt 4.4) Varningar och försiktighet.</w:t>
      </w:r>
    </w:p>
    <w:p w14:paraId="66515831" w14:textId="77777777" w:rsidR="00FE397E" w:rsidRPr="00E5647A" w:rsidRDefault="00FE397E" w:rsidP="00E5647A">
      <w:pPr>
        <w:spacing w:after="0" w:line="240" w:lineRule="auto"/>
        <w:ind w:left="4" w:right="13"/>
        <w:contextualSpacing/>
        <w:rPr>
          <w:lang w:val="sv-SE"/>
        </w:rPr>
      </w:pPr>
    </w:p>
    <w:p w14:paraId="61C72802" w14:textId="77777777" w:rsidR="005027AB" w:rsidRPr="00A74CC6" w:rsidRDefault="00264096" w:rsidP="00E5647A">
      <w:pPr>
        <w:pStyle w:val="Heading2"/>
        <w:spacing w:after="0" w:line="240" w:lineRule="auto"/>
        <w:ind w:left="0" w:firstLine="0"/>
        <w:contextualSpacing/>
        <w:rPr>
          <w:i/>
          <w:lang w:val="sv-SE"/>
        </w:rPr>
      </w:pPr>
      <w:r w:rsidRPr="00A74CC6">
        <w:rPr>
          <w:i/>
          <w:lang w:val="sv-SE"/>
        </w:rPr>
        <w:t>Immunogenicitet</w:t>
      </w:r>
    </w:p>
    <w:p w14:paraId="3056B649" w14:textId="77777777" w:rsidR="00724EF4" w:rsidRPr="00A74CC6" w:rsidRDefault="00724EF4" w:rsidP="002314CE">
      <w:pPr>
        <w:keepNext/>
        <w:keepLines/>
        <w:spacing w:after="0" w:line="240" w:lineRule="auto"/>
        <w:ind w:left="0"/>
        <w:contextualSpacing/>
        <w:rPr>
          <w:lang w:val="sv-SE"/>
        </w:rPr>
      </w:pPr>
    </w:p>
    <w:p w14:paraId="099BD508" w14:textId="3E5D7511" w:rsidR="005027AB" w:rsidRPr="00A74CC6" w:rsidRDefault="00935DCD" w:rsidP="002314CE">
      <w:pPr>
        <w:spacing w:after="0" w:line="240" w:lineRule="auto"/>
        <w:ind w:left="0"/>
        <w:contextualSpacing/>
        <w:rPr>
          <w:lang w:val="sv-SE"/>
        </w:rPr>
      </w:pPr>
      <w:r>
        <w:rPr>
          <w:lang w:val="sv-SE"/>
        </w:rPr>
        <w:t>I den</w:t>
      </w:r>
      <w:r w:rsidRPr="00A74CC6">
        <w:rPr>
          <w:lang w:val="sv-SE"/>
        </w:rPr>
        <w:t xml:space="preserve"> </w:t>
      </w:r>
      <w:r w:rsidR="00264096" w:rsidRPr="00A74CC6">
        <w:rPr>
          <w:lang w:val="sv-SE"/>
        </w:rPr>
        <w:t>neoadjuvant-adjuvant</w:t>
      </w:r>
      <w:r>
        <w:rPr>
          <w:lang w:val="sv-SE"/>
        </w:rPr>
        <w:t>a studien (BO22227) vid</w:t>
      </w:r>
      <w:r w:rsidR="00264096" w:rsidRPr="00A74CC6">
        <w:rPr>
          <w:lang w:val="sv-SE"/>
        </w:rPr>
        <w:t xml:space="preserve"> tidig bröstcancer</w:t>
      </w:r>
      <w:r>
        <w:rPr>
          <w:lang w:val="sv-SE"/>
        </w:rPr>
        <w:t>, med en medianuppföljning på mer än 70 månader,</w:t>
      </w:r>
      <w:r w:rsidR="00264096" w:rsidRPr="00A74CC6">
        <w:rPr>
          <w:lang w:val="sv-SE"/>
        </w:rPr>
        <w:t xml:space="preserve"> utvecklade </w:t>
      </w:r>
      <w:r>
        <w:rPr>
          <w:lang w:val="sv-SE"/>
        </w:rPr>
        <w:t>10</w:t>
      </w:r>
      <w:r w:rsidR="007520E1">
        <w:rPr>
          <w:lang w:val="sv-SE"/>
        </w:rPr>
        <w:t>,</w:t>
      </w:r>
      <w:r w:rsidR="00264096" w:rsidRPr="00A74CC6">
        <w:rPr>
          <w:lang w:val="sv-SE"/>
        </w:rPr>
        <w:t>1</w:t>
      </w:r>
      <w:r w:rsidR="00B268E6" w:rsidRPr="00A74CC6">
        <w:rPr>
          <w:lang w:val="sv-SE"/>
        </w:rPr>
        <w:t> %</w:t>
      </w:r>
      <w:r w:rsidR="00264096" w:rsidRPr="00A74CC6">
        <w:rPr>
          <w:lang w:val="sv-SE"/>
        </w:rPr>
        <w:t xml:space="preserve"> (</w:t>
      </w:r>
      <w:r>
        <w:rPr>
          <w:lang w:val="sv-SE"/>
        </w:rPr>
        <w:t>30</w:t>
      </w:r>
      <w:r w:rsidR="00264096" w:rsidRPr="00A74CC6">
        <w:rPr>
          <w:lang w:val="sv-SE"/>
        </w:rPr>
        <w:t xml:space="preserve">/296) av patienterna som fick </w:t>
      </w:r>
      <w:r w:rsidR="009117F4" w:rsidRPr="00A74CC6">
        <w:rPr>
          <w:lang w:val="sv-SE"/>
        </w:rPr>
        <w:t xml:space="preserve">trastuzumab </w:t>
      </w:r>
      <w:r w:rsidR="00264096" w:rsidRPr="00A74CC6">
        <w:rPr>
          <w:lang w:val="sv-SE"/>
        </w:rPr>
        <w:t>intravenöst antikroppar mot trastuzumab. Neutraliserande anti-trastuzumab</w:t>
      </w:r>
      <w:r w:rsidR="00C64B02">
        <w:rPr>
          <w:lang w:val="sv-SE"/>
        </w:rPr>
        <w:t>-</w:t>
      </w:r>
      <w:r w:rsidR="00264096" w:rsidRPr="00A74CC6">
        <w:rPr>
          <w:lang w:val="sv-SE"/>
        </w:rPr>
        <w:t xml:space="preserve">antikroppar sågs i prover efter behandlingsstart hos 2 av </w:t>
      </w:r>
      <w:r>
        <w:rPr>
          <w:lang w:val="sv-SE"/>
        </w:rPr>
        <w:t>30</w:t>
      </w:r>
      <w:r w:rsidR="007D63AD" w:rsidRPr="00A74CC6">
        <w:rPr>
          <w:lang w:val="sv-SE"/>
        </w:rPr>
        <w:t> </w:t>
      </w:r>
      <w:r w:rsidR="00264096" w:rsidRPr="00A74CC6">
        <w:rPr>
          <w:lang w:val="sv-SE"/>
        </w:rPr>
        <w:t>patienter</w:t>
      </w:r>
      <w:r>
        <w:rPr>
          <w:lang w:val="sv-SE"/>
        </w:rPr>
        <w:t xml:space="preserve"> i gruppen</w:t>
      </w:r>
      <w:r w:rsidR="00264096" w:rsidRPr="00A74CC6">
        <w:rPr>
          <w:lang w:val="sv-SE"/>
        </w:rPr>
        <w:t xml:space="preserve"> som fått </w:t>
      </w:r>
      <w:r w:rsidR="009117F4" w:rsidRPr="00A74CC6">
        <w:rPr>
          <w:lang w:val="sv-SE"/>
        </w:rPr>
        <w:t xml:space="preserve">trastuzumab </w:t>
      </w:r>
      <w:r w:rsidR="00264096" w:rsidRPr="00A74CC6">
        <w:rPr>
          <w:lang w:val="sv-SE"/>
        </w:rPr>
        <w:t>intravenöst.</w:t>
      </w:r>
    </w:p>
    <w:p w14:paraId="3A484476" w14:textId="77777777" w:rsidR="00724EF4" w:rsidRPr="00A74CC6" w:rsidRDefault="00724EF4" w:rsidP="002314CE">
      <w:pPr>
        <w:spacing w:after="0" w:line="240" w:lineRule="auto"/>
        <w:ind w:left="0"/>
        <w:contextualSpacing/>
        <w:rPr>
          <w:lang w:val="sv-SE"/>
        </w:rPr>
      </w:pPr>
    </w:p>
    <w:p w14:paraId="01773152" w14:textId="69F6CD23" w:rsidR="005027AB" w:rsidRPr="00A74CC6" w:rsidRDefault="00264096" w:rsidP="002314CE">
      <w:pPr>
        <w:spacing w:after="0" w:line="240" w:lineRule="auto"/>
        <w:ind w:left="0"/>
        <w:contextualSpacing/>
        <w:rPr>
          <w:lang w:val="sv-SE"/>
        </w:rPr>
      </w:pPr>
      <w:r w:rsidRPr="00A74CC6">
        <w:rPr>
          <w:lang w:val="sv-SE"/>
        </w:rPr>
        <w:t xml:space="preserve">Den kliniska relevansen av dessa antikroppar är inte känd. </w:t>
      </w:r>
      <w:r w:rsidR="00935DCD">
        <w:rPr>
          <w:lang w:val="sv-SE"/>
        </w:rPr>
        <w:t>Närvaro av anti-trastuzumab-antikroppar har ingen påverkan på</w:t>
      </w:r>
      <w:r w:rsidRPr="00A74CC6">
        <w:rPr>
          <w:lang w:val="sv-SE"/>
        </w:rPr>
        <w:t xml:space="preserve"> farmakokinetiken, effekten (bestämd som patologisk komplett respons [pCR]</w:t>
      </w:r>
      <w:r w:rsidR="00935DCD">
        <w:rPr>
          <w:lang w:val="sv-SE"/>
        </w:rPr>
        <w:t xml:space="preserve"> och händelsefri överlevnad [EFS, </w:t>
      </w:r>
      <w:r w:rsidR="00115F61">
        <w:rPr>
          <w:lang w:val="sv-SE"/>
        </w:rPr>
        <w:t>event-</w:t>
      </w:r>
      <w:r w:rsidR="00935DCD">
        <w:rPr>
          <w:lang w:val="sv-SE"/>
        </w:rPr>
        <w:t>free survival]</w:t>
      </w:r>
      <w:r w:rsidRPr="00A74CC6">
        <w:rPr>
          <w:lang w:val="sv-SE"/>
        </w:rPr>
        <w:t xml:space="preserve">) </w:t>
      </w:r>
      <w:r w:rsidR="00935DCD">
        <w:rPr>
          <w:lang w:val="sv-SE"/>
        </w:rPr>
        <w:t>samt</w:t>
      </w:r>
      <w:r w:rsidR="00935DCD" w:rsidRPr="00A74CC6">
        <w:rPr>
          <w:lang w:val="sv-SE"/>
        </w:rPr>
        <w:t xml:space="preserve"> </w:t>
      </w:r>
      <w:r w:rsidRPr="00A74CC6">
        <w:rPr>
          <w:lang w:val="sv-SE"/>
        </w:rPr>
        <w:t>säkerheten</w:t>
      </w:r>
      <w:r w:rsidR="00683C29">
        <w:rPr>
          <w:lang w:val="sv-SE"/>
        </w:rPr>
        <w:t>,</w:t>
      </w:r>
      <w:r w:rsidR="00935DCD">
        <w:rPr>
          <w:lang w:val="sv-SE"/>
        </w:rPr>
        <w:t xml:space="preserve"> </w:t>
      </w:r>
      <w:r w:rsidRPr="00A74CC6">
        <w:rPr>
          <w:lang w:val="sv-SE"/>
        </w:rPr>
        <w:t xml:space="preserve">bestämd som förekomsten av administreringsrelaterade reaktioner </w:t>
      </w:r>
      <w:r w:rsidR="00C64B02">
        <w:rPr>
          <w:lang w:val="sv-SE"/>
        </w:rPr>
        <w:t>(</w:t>
      </w:r>
      <w:r w:rsidRPr="00A74CC6">
        <w:rPr>
          <w:lang w:val="sv-SE"/>
        </w:rPr>
        <w:t>ARR</w:t>
      </w:r>
      <w:r w:rsidR="00C64B02">
        <w:rPr>
          <w:lang w:val="sv-SE"/>
        </w:rPr>
        <w:t>)</w:t>
      </w:r>
      <w:r w:rsidR="00CD7368">
        <w:rPr>
          <w:lang w:val="sv-SE"/>
        </w:rPr>
        <w:t>,</w:t>
      </w:r>
      <w:r w:rsidRPr="00A74CC6">
        <w:rPr>
          <w:lang w:val="sv-SE"/>
        </w:rPr>
        <w:t xml:space="preserve"> </w:t>
      </w:r>
      <w:r w:rsidR="00935DCD">
        <w:rPr>
          <w:lang w:val="sv-SE"/>
        </w:rPr>
        <w:t>av</w:t>
      </w:r>
      <w:r w:rsidR="00935DCD" w:rsidRPr="00A74CC6">
        <w:rPr>
          <w:lang w:val="sv-SE"/>
        </w:rPr>
        <w:t xml:space="preserve"> </w:t>
      </w:r>
      <w:r w:rsidR="009117F4" w:rsidRPr="00A74CC6">
        <w:rPr>
          <w:lang w:val="sv-SE"/>
        </w:rPr>
        <w:t xml:space="preserve">trastuzumab </w:t>
      </w:r>
      <w:r w:rsidRPr="00A74CC6">
        <w:rPr>
          <w:lang w:val="sv-SE"/>
        </w:rPr>
        <w:t>intravenöst.</w:t>
      </w:r>
    </w:p>
    <w:p w14:paraId="54ABD115" w14:textId="77777777" w:rsidR="00724EF4" w:rsidRPr="00A74CC6" w:rsidRDefault="00724EF4" w:rsidP="002314CE">
      <w:pPr>
        <w:spacing w:after="0" w:line="240" w:lineRule="auto"/>
        <w:ind w:left="0"/>
        <w:contextualSpacing/>
        <w:rPr>
          <w:lang w:val="sv-SE"/>
        </w:rPr>
      </w:pPr>
    </w:p>
    <w:p w14:paraId="5E80F89B" w14:textId="51C679D0" w:rsidR="005027AB" w:rsidRPr="00A74CC6" w:rsidRDefault="00264096" w:rsidP="002314CE">
      <w:pPr>
        <w:spacing w:after="0" w:line="240" w:lineRule="auto"/>
        <w:ind w:left="0"/>
        <w:contextualSpacing/>
        <w:rPr>
          <w:lang w:val="sv-SE"/>
        </w:rPr>
      </w:pPr>
      <w:r w:rsidRPr="00A74CC6">
        <w:rPr>
          <w:lang w:val="sv-SE"/>
        </w:rPr>
        <w:t>Det finns inga immunogenicitetsdata tillgängliga för</w:t>
      </w:r>
      <w:r w:rsidR="00724EF4" w:rsidRPr="00A74CC6">
        <w:rPr>
          <w:lang w:val="sv-SE"/>
        </w:rPr>
        <w:t xml:space="preserve"> </w:t>
      </w:r>
      <w:r w:rsidR="009117F4" w:rsidRPr="00A74CC6">
        <w:rPr>
          <w:lang w:val="sv-SE"/>
        </w:rPr>
        <w:t xml:space="preserve">trastuzumab </w:t>
      </w:r>
      <w:r w:rsidR="00724EF4" w:rsidRPr="00A74CC6">
        <w:rPr>
          <w:lang w:val="sv-SE"/>
        </w:rPr>
        <w:t>vid ventrikelcancer.</w:t>
      </w:r>
    </w:p>
    <w:p w14:paraId="14CE3FC8" w14:textId="77777777" w:rsidR="00724EF4" w:rsidRPr="00A74CC6" w:rsidRDefault="00724EF4" w:rsidP="002314CE">
      <w:pPr>
        <w:spacing w:after="0" w:line="240" w:lineRule="auto"/>
        <w:ind w:left="0"/>
        <w:contextualSpacing/>
        <w:rPr>
          <w:lang w:val="sv-SE"/>
        </w:rPr>
      </w:pPr>
    </w:p>
    <w:p w14:paraId="6A37424D" w14:textId="77777777" w:rsidR="00852BA4" w:rsidRPr="00A74CC6" w:rsidRDefault="00264096" w:rsidP="002314CE">
      <w:pPr>
        <w:pStyle w:val="Heading2"/>
        <w:spacing w:after="0" w:line="240" w:lineRule="auto"/>
        <w:ind w:left="0" w:firstLine="0"/>
        <w:contextualSpacing/>
        <w:rPr>
          <w:lang w:val="sv-SE"/>
        </w:rPr>
      </w:pPr>
      <w:r w:rsidRPr="00A74CC6">
        <w:rPr>
          <w:lang w:val="sv-SE"/>
        </w:rPr>
        <w:t>Rapportering av misstänkta biverkningar</w:t>
      </w:r>
    </w:p>
    <w:p w14:paraId="64F786DF" w14:textId="77777777" w:rsidR="00E6323B" w:rsidRPr="00A74CC6" w:rsidRDefault="00E6323B" w:rsidP="002314CE">
      <w:pPr>
        <w:spacing w:after="0" w:line="240" w:lineRule="auto"/>
        <w:ind w:left="0" w:firstLine="0"/>
        <w:rPr>
          <w:lang w:val="sv-SE"/>
        </w:rPr>
      </w:pPr>
    </w:p>
    <w:p w14:paraId="06FDFF5E" w14:textId="77777777" w:rsidR="005027AB" w:rsidRPr="00A74CC6" w:rsidRDefault="00264096" w:rsidP="002314CE">
      <w:pPr>
        <w:spacing w:after="0" w:line="240" w:lineRule="auto"/>
        <w:ind w:left="0" w:firstLine="0"/>
        <w:contextualSpacing/>
        <w:rPr>
          <w:lang w:val="sv-SE"/>
        </w:rPr>
      </w:pPr>
      <w:r w:rsidRPr="00A74CC6">
        <w:rPr>
          <w:lang w:val="sv-SE"/>
        </w:rPr>
        <w:t>Det är viktigt att rapportera misstänkta biverkningar efter att läkemedlet godkänts. Det gör det möjligt att kontinuerligt övervaka läkemedlets nytta-riskförhållande. Hälso- och sjukvårdspersonal uppmanas att rapportera varje misstänkt biverkning via</w:t>
      </w:r>
      <w:r w:rsidR="00852BA4" w:rsidRPr="00A74CC6">
        <w:rPr>
          <w:lang w:val="sv-SE"/>
        </w:rPr>
        <w:t xml:space="preserve"> </w:t>
      </w:r>
      <w:r w:rsidR="008C1D8C">
        <w:rPr>
          <w:highlight w:val="lightGray"/>
          <w:lang w:val="sv-SE"/>
        </w:rPr>
        <w:t xml:space="preserve">det nationella rapporteringssystemet listat i </w:t>
      </w:r>
      <w:r w:rsidR="008C1D8C">
        <w:fldChar w:fldCharType="begin"/>
      </w:r>
      <w:r w:rsidR="008C1D8C" w:rsidRPr="00472A6C">
        <w:rPr>
          <w:lang w:val="sv-SE"/>
        </w:rPr>
        <w:instrText>HYPERLINK "http://www.ema.europa.eu/docs/en_GB/document_library/Template_or_form/2013/03/WC500139752.doc" \h</w:instrText>
      </w:r>
      <w:r w:rsidR="008C1D8C">
        <w:fldChar w:fldCharType="separate"/>
      </w:r>
      <w:r w:rsidR="008C1D8C">
        <w:rPr>
          <w:rStyle w:val="Hyperlink"/>
          <w:highlight w:val="lightGray"/>
          <w:lang w:val="sv-SE"/>
        </w:rPr>
        <w:t>bilaga V</w:t>
      </w:r>
      <w:r w:rsidR="008C1D8C">
        <w:fldChar w:fldCharType="end"/>
      </w:r>
      <w:r w:rsidRPr="00A74CC6">
        <w:rPr>
          <w:lang w:val="sv-SE"/>
        </w:rPr>
        <w:t>.</w:t>
      </w:r>
    </w:p>
    <w:p w14:paraId="593A7145" w14:textId="77777777" w:rsidR="00852BA4" w:rsidRPr="00A74CC6" w:rsidRDefault="00852BA4" w:rsidP="002314CE">
      <w:pPr>
        <w:spacing w:after="0" w:line="240" w:lineRule="auto"/>
        <w:ind w:left="0" w:firstLine="0"/>
        <w:contextualSpacing/>
        <w:rPr>
          <w:lang w:val="sv-SE"/>
        </w:rPr>
      </w:pPr>
    </w:p>
    <w:p w14:paraId="32183FC8" w14:textId="77777777" w:rsidR="005027AB" w:rsidRPr="00A74CC6" w:rsidRDefault="00264096" w:rsidP="001E7238">
      <w:pPr>
        <w:pStyle w:val="Heading3"/>
        <w:tabs>
          <w:tab w:val="center" w:pos="1224"/>
        </w:tabs>
        <w:spacing w:after="0" w:line="240" w:lineRule="auto"/>
        <w:ind w:left="567" w:hanging="567"/>
        <w:contextualSpacing/>
        <w:rPr>
          <w:b/>
          <w:i w:val="0"/>
          <w:u w:val="none"/>
          <w:lang w:val="sv-SE"/>
        </w:rPr>
      </w:pPr>
      <w:r w:rsidRPr="00A74CC6">
        <w:rPr>
          <w:b/>
          <w:i w:val="0"/>
          <w:u w:val="none"/>
          <w:lang w:val="sv-SE"/>
        </w:rPr>
        <w:t>4.9</w:t>
      </w:r>
      <w:r w:rsidRPr="00A74CC6">
        <w:rPr>
          <w:b/>
          <w:i w:val="0"/>
          <w:u w:val="none"/>
          <w:lang w:val="sv-SE"/>
        </w:rPr>
        <w:tab/>
        <w:t>Överdosering</w:t>
      </w:r>
    </w:p>
    <w:p w14:paraId="67539BB8" w14:textId="77777777" w:rsidR="00BE0A78" w:rsidRPr="00A74CC6" w:rsidRDefault="00BE0A78" w:rsidP="002314CE">
      <w:pPr>
        <w:keepNext/>
        <w:keepLines/>
        <w:spacing w:after="0" w:line="240" w:lineRule="auto"/>
        <w:ind w:left="0" w:firstLine="0"/>
        <w:contextualSpacing/>
        <w:rPr>
          <w:lang w:val="sv-SE"/>
        </w:rPr>
      </w:pPr>
    </w:p>
    <w:p w14:paraId="0D89C74D" w14:textId="20CE5E32" w:rsidR="005027AB" w:rsidRPr="00A74CC6" w:rsidRDefault="00264096" w:rsidP="002314CE">
      <w:pPr>
        <w:spacing w:after="0" w:line="240" w:lineRule="auto"/>
        <w:ind w:left="0" w:firstLine="0"/>
        <w:contextualSpacing/>
        <w:rPr>
          <w:lang w:val="sv-SE"/>
        </w:rPr>
      </w:pPr>
      <w:r w:rsidRPr="00A74CC6">
        <w:rPr>
          <w:lang w:val="sv-SE"/>
        </w:rPr>
        <w:t>Erfarenhet av överdosering från kliniska studier saknas. Singeldoser me</w:t>
      </w:r>
      <w:r w:rsidR="00537162" w:rsidRPr="00A74CC6">
        <w:rPr>
          <w:lang w:val="sv-SE"/>
        </w:rPr>
        <w:t xml:space="preserve">d enbart </w:t>
      </w:r>
      <w:r w:rsidR="009117F4" w:rsidRPr="00A74CC6">
        <w:rPr>
          <w:lang w:val="sv-SE"/>
        </w:rPr>
        <w:t xml:space="preserve">trastuzumab </w:t>
      </w:r>
      <w:r w:rsidR="00DF10D4" w:rsidRPr="00A74CC6">
        <w:rPr>
          <w:lang w:val="sv-SE"/>
        </w:rPr>
        <w:t>högre</w:t>
      </w:r>
      <w:r w:rsidR="00537162" w:rsidRPr="00A74CC6">
        <w:rPr>
          <w:lang w:val="sv-SE"/>
        </w:rPr>
        <w:t xml:space="preserve"> än 10 </w:t>
      </w:r>
      <w:r w:rsidRPr="00A74CC6">
        <w:rPr>
          <w:lang w:val="sv-SE"/>
        </w:rPr>
        <w:t xml:space="preserve">mg/kg har inte givits i kliniska </w:t>
      </w:r>
      <w:r w:rsidR="00537162" w:rsidRPr="00A74CC6">
        <w:rPr>
          <w:lang w:val="sv-SE"/>
        </w:rPr>
        <w:t>studier. En underhållsdos på 10 </w:t>
      </w:r>
      <w:r w:rsidRPr="00A74CC6">
        <w:rPr>
          <w:lang w:val="sv-SE"/>
        </w:rPr>
        <w:t>mg/kg var tredje vecka efter en startdos på 8</w:t>
      </w:r>
      <w:r w:rsidR="00537162" w:rsidRPr="00A74CC6">
        <w:rPr>
          <w:lang w:val="sv-SE"/>
        </w:rPr>
        <w:t> </w:t>
      </w:r>
      <w:r w:rsidRPr="00A74CC6">
        <w:rPr>
          <w:lang w:val="sv-SE"/>
        </w:rPr>
        <w:t xml:space="preserve">mg/kg har studerats i en klinisk studie </w:t>
      </w:r>
      <w:r w:rsidR="007D63AD" w:rsidRPr="00A74CC6">
        <w:rPr>
          <w:lang w:val="sv-SE"/>
        </w:rPr>
        <w:t>på</w:t>
      </w:r>
      <w:r w:rsidRPr="00A74CC6">
        <w:rPr>
          <w:lang w:val="sv-SE"/>
        </w:rPr>
        <w:t xml:space="preserve"> patienter med metastaserad ventrikelcancer. Doser upp till denna nivå tolererades väl.</w:t>
      </w:r>
    </w:p>
    <w:p w14:paraId="79AF8633" w14:textId="77777777" w:rsidR="00537162" w:rsidRPr="00A74CC6" w:rsidRDefault="00537162" w:rsidP="002314CE">
      <w:pPr>
        <w:spacing w:after="0" w:line="240" w:lineRule="auto"/>
        <w:ind w:left="0" w:firstLine="0"/>
        <w:contextualSpacing/>
        <w:rPr>
          <w:lang w:val="sv-SE"/>
        </w:rPr>
      </w:pPr>
    </w:p>
    <w:p w14:paraId="5DBC3954" w14:textId="77777777" w:rsidR="00537162" w:rsidRPr="00A74CC6" w:rsidRDefault="00537162" w:rsidP="002314CE">
      <w:pPr>
        <w:spacing w:after="0" w:line="240" w:lineRule="auto"/>
        <w:ind w:left="0" w:firstLine="0"/>
        <w:contextualSpacing/>
        <w:rPr>
          <w:lang w:val="sv-SE"/>
        </w:rPr>
      </w:pPr>
    </w:p>
    <w:p w14:paraId="18F02D73" w14:textId="77777777" w:rsidR="005027AB" w:rsidRPr="00A74CC6" w:rsidRDefault="00264096" w:rsidP="001E7238">
      <w:pPr>
        <w:pStyle w:val="Heading1"/>
        <w:tabs>
          <w:tab w:val="center" w:pos="2462"/>
        </w:tabs>
        <w:spacing w:after="0" w:line="240" w:lineRule="auto"/>
        <w:ind w:left="567" w:hanging="567"/>
        <w:contextualSpacing/>
        <w:rPr>
          <w:lang w:val="sv-SE"/>
        </w:rPr>
      </w:pPr>
      <w:r w:rsidRPr="00A74CC6">
        <w:rPr>
          <w:lang w:val="sv-SE"/>
        </w:rPr>
        <w:t>5.</w:t>
      </w:r>
      <w:r w:rsidRPr="00A74CC6">
        <w:rPr>
          <w:lang w:val="sv-SE"/>
        </w:rPr>
        <w:tab/>
        <w:t>FARMAKOLOGISKA EGENSKAPER</w:t>
      </w:r>
    </w:p>
    <w:p w14:paraId="510C57C3" w14:textId="77777777" w:rsidR="00537162" w:rsidRPr="00A74CC6" w:rsidRDefault="00537162" w:rsidP="001E7238">
      <w:pPr>
        <w:keepNext/>
        <w:keepLines/>
        <w:spacing w:after="0" w:line="240" w:lineRule="auto"/>
        <w:contextualSpacing/>
        <w:rPr>
          <w:lang w:val="sv-SE"/>
        </w:rPr>
      </w:pPr>
    </w:p>
    <w:p w14:paraId="618FBC83" w14:textId="77777777" w:rsidR="005027AB" w:rsidRPr="00A74CC6" w:rsidRDefault="00264096" w:rsidP="001E7238">
      <w:pPr>
        <w:pStyle w:val="Heading2"/>
        <w:tabs>
          <w:tab w:val="center" w:pos="2089"/>
        </w:tabs>
        <w:spacing w:after="0" w:line="240" w:lineRule="auto"/>
        <w:ind w:left="567" w:hanging="567"/>
        <w:contextualSpacing/>
        <w:rPr>
          <w:b/>
          <w:u w:val="none"/>
          <w:lang w:val="sv-SE"/>
        </w:rPr>
      </w:pPr>
      <w:r w:rsidRPr="00A74CC6">
        <w:rPr>
          <w:b/>
          <w:u w:val="none"/>
          <w:lang w:val="sv-SE"/>
        </w:rPr>
        <w:t>5.1</w:t>
      </w:r>
      <w:r w:rsidRPr="00A74CC6">
        <w:rPr>
          <w:b/>
          <w:u w:val="none"/>
          <w:lang w:val="sv-SE"/>
        </w:rPr>
        <w:tab/>
        <w:t>Farmakodynamiska egenskaper</w:t>
      </w:r>
    </w:p>
    <w:p w14:paraId="623FE446" w14:textId="77777777" w:rsidR="00537162" w:rsidRPr="00A74CC6" w:rsidRDefault="00537162" w:rsidP="002314CE">
      <w:pPr>
        <w:keepNext/>
        <w:keepLines/>
        <w:spacing w:after="0" w:line="240" w:lineRule="auto"/>
        <w:contextualSpacing/>
        <w:rPr>
          <w:lang w:val="sv-SE"/>
        </w:rPr>
      </w:pPr>
    </w:p>
    <w:p w14:paraId="482546D8" w14:textId="3C28AACE" w:rsidR="005027AB" w:rsidRPr="00A74CC6" w:rsidRDefault="00264096" w:rsidP="002314CE">
      <w:pPr>
        <w:spacing w:after="0" w:line="240" w:lineRule="auto"/>
        <w:ind w:left="4" w:right="13"/>
        <w:contextualSpacing/>
        <w:rPr>
          <w:lang w:val="sv-SE"/>
        </w:rPr>
      </w:pPr>
      <w:r w:rsidRPr="00A74CC6">
        <w:rPr>
          <w:lang w:val="sv-SE"/>
        </w:rPr>
        <w:t xml:space="preserve">Farmakoterapeutisk grupp: Antineoplastiska </w:t>
      </w:r>
      <w:r w:rsidR="002839AC">
        <w:rPr>
          <w:lang w:val="sv-SE"/>
        </w:rPr>
        <w:t xml:space="preserve">och immunmodulerande </w:t>
      </w:r>
      <w:r w:rsidRPr="00A74CC6">
        <w:rPr>
          <w:lang w:val="sv-SE"/>
        </w:rPr>
        <w:t xml:space="preserve">medel, </w:t>
      </w:r>
      <w:r w:rsidR="009652D8">
        <w:rPr>
          <w:lang w:val="sv-SE"/>
        </w:rPr>
        <w:t xml:space="preserve">antineoplastiska medel, </w:t>
      </w:r>
      <w:r w:rsidRPr="00A74CC6">
        <w:rPr>
          <w:lang w:val="sv-SE"/>
        </w:rPr>
        <w:t>monoklonala antikroppar</w:t>
      </w:r>
      <w:r w:rsidR="00D540ED">
        <w:rPr>
          <w:lang w:val="sv-SE"/>
        </w:rPr>
        <w:t xml:space="preserve"> och </w:t>
      </w:r>
      <w:r w:rsidR="00B95CC1">
        <w:rPr>
          <w:lang w:val="sv-SE"/>
        </w:rPr>
        <w:t>antikropps</w:t>
      </w:r>
      <w:r w:rsidR="0031301D">
        <w:rPr>
          <w:lang w:val="sv-SE"/>
        </w:rPr>
        <w:t>läkemedels</w:t>
      </w:r>
      <w:r w:rsidR="00B95CC1">
        <w:rPr>
          <w:lang w:val="sv-SE"/>
        </w:rPr>
        <w:t>konjugat</w:t>
      </w:r>
      <w:r w:rsidRPr="00A74CC6">
        <w:rPr>
          <w:lang w:val="sv-SE"/>
        </w:rPr>
        <w:t xml:space="preserve">, ATC-kod: </w:t>
      </w:r>
      <w:r w:rsidR="005A1647" w:rsidRPr="00A74CC6">
        <w:rPr>
          <w:lang w:val="sv-SE"/>
        </w:rPr>
        <w:t>L01</w:t>
      </w:r>
      <w:r w:rsidR="005A1647">
        <w:rPr>
          <w:lang w:val="sv-SE"/>
        </w:rPr>
        <w:t>FD</w:t>
      </w:r>
      <w:r w:rsidR="005A1647" w:rsidRPr="00A74CC6">
        <w:rPr>
          <w:lang w:val="sv-SE"/>
        </w:rPr>
        <w:t>0</w:t>
      </w:r>
      <w:r w:rsidR="005A1647">
        <w:rPr>
          <w:lang w:val="sv-SE"/>
        </w:rPr>
        <w:t>1</w:t>
      </w:r>
    </w:p>
    <w:p w14:paraId="591B9825" w14:textId="77777777" w:rsidR="009117F4" w:rsidRPr="00A74CC6" w:rsidRDefault="009117F4" w:rsidP="00FB1FF3">
      <w:pPr>
        <w:spacing w:after="0" w:line="240" w:lineRule="auto"/>
        <w:ind w:left="4" w:right="13"/>
        <w:contextualSpacing/>
        <w:rPr>
          <w:lang w:val="sv-SE"/>
        </w:rPr>
      </w:pPr>
    </w:p>
    <w:p w14:paraId="12A8AED1" w14:textId="77777777" w:rsidR="009117F4" w:rsidRPr="00A74CC6" w:rsidRDefault="009117F4" w:rsidP="00FB1FF3">
      <w:pPr>
        <w:autoSpaceDE w:val="0"/>
        <w:autoSpaceDN w:val="0"/>
        <w:adjustRightInd w:val="0"/>
        <w:spacing w:after="0" w:line="240" w:lineRule="auto"/>
        <w:ind w:hanging="6"/>
        <w:rPr>
          <w:lang w:val="sv-SE"/>
        </w:rPr>
      </w:pPr>
      <w:r w:rsidRPr="00A74CC6">
        <w:rPr>
          <w:lang w:val="sv-SE"/>
        </w:rPr>
        <w:t xml:space="preserve">KANJINTI tillhör gruppen ”biosimilars”. Ytterligare information om detta läkemedel finns på Europeiska läkemedelsmyndighetens webbplats </w:t>
      </w:r>
      <w:r>
        <w:fldChar w:fldCharType="begin"/>
      </w:r>
      <w:r w:rsidRPr="00472A6C">
        <w:rPr>
          <w:lang w:val="sv-SE"/>
        </w:rPr>
        <w:instrText>HYPERLINK "http://www.ema.europa.eu/" \h</w:instrText>
      </w:r>
      <w:r>
        <w:fldChar w:fldCharType="separate"/>
      </w:r>
      <w:r w:rsidRPr="00A74CC6">
        <w:rPr>
          <w:rStyle w:val="Hyperlink"/>
          <w:noProof/>
          <w:lang w:val="sv-SE"/>
        </w:rPr>
        <w:t>http://www.ema.europa.eu</w:t>
      </w:r>
      <w:r>
        <w:fldChar w:fldCharType="end"/>
      </w:r>
      <w:r w:rsidRPr="00A74CC6">
        <w:rPr>
          <w:lang w:val="sv-SE"/>
        </w:rPr>
        <w:t>.</w:t>
      </w:r>
    </w:p>
    <w:p w14:paraId="6C474690" w14:textId="77777777" w:rsidR="009117F4" w:rsidRPr="00A74CC6" w:rsidRDefault="009117F4" w:rsidP="00FB1FF3">
      <w:pPr>
        <w:autoSpaceDE w:val="0"/>
        <w:autoSpaceDN w:val="0"/>
        <w:adjustRightInd w:val="0"/>
        <w:spacing w:after="0" w:line="240" w:lineRule="auto"/>
        <w:ind w:hanging="6"/>
        <w:rPr>
          <w:lang w:val="sv-SE"/>
        </w:rPr>
      </w:pPr>
    </w:p>
    <w:p w14:paraId="056AFCD3" w14:textId="04E8401E" w:rsidR="005027AB" w:rsidRPr="00A74CC6" w:rsidRDefault="00264096" w:rsidP="002314CE">
      <w:pPr>
        <w:spacing w:after="0" w:line="240" w:lineRule="auto"/>
        <w:ind w:left="4" w:right="13"/>
        <w:contextualSpacing/>
        <w:rPr>
          <w:lang w:val="sv-SE"/>
        </w:rPr>
      </w:pPr>
      <w:r w:rsidRPr="00A74CC6">
        <w:rPr>
          <w:lang w:val="sv-SE"/>
        </w:rPr>
        <w:t xml:space="preserve">Trastuzumab är en rekombinant humaniserad </w:t>
      </w:r>
      <w:r w:rsidR="00BD3D3B" w:rsidRPr="00A74CC6">
        <w:rPr>
          <w:lang w:val="sv-SE"/>
        </w:rPr>
        <w:t xml:space="preserve">monoklonal </w:t>
      </w:r>
      <w:r w:rsidRPr="00A74CC6">
        <w:rPr>
          <w:lang w:val="sv-SE"/>
        </w:rPr>
        <w:t>IgG1</w:t>
      </w:r>
      <w:r w:rsidR="00BD3D3B" w:rsidRPr="00A74CC6">
        <w:rPr>
          <w:lang w:val="sv-SE"/>
        </w:rPr>
        <w:t>-</w:t>
      </w:r>
      <w:r w:rsidRPr="00A74CC6">
        <w:rPr>
          <w:lang w:val="sv-SE"/>
        </w:rPr>
        <w:t>antikropp mot den humana epidermala tillväxtfaktorreceptorn</w:t>
      </w:r>
      <w:r w:rsidR="00DF10D4" w:rsidRPr="00A74CC6">
        <w:rPr>
          <w:lang w:val="sv-SE"/>
        </w:rPr>
        <w:t> </w:t>
      </w:r>
      <w:r w:rsidRPr="00A74CC6">
        <w:rPr>
          <w:lang w:val="sv-SE"/>
        </w:rPr>
        <w:t>2 (HER2). Överuttryck av HER2 ses hos 20</w:t>
      </w:r>
      <w:r w:rsidR="00BD3D3B" w:rsidRPr="00A74CC6">
        <w:rPr>
          <w:lang w:val="sv-SE"/>
        </w:rPr>
        <w:noBreakHyphen/>
      </w:r>
      <w:r w:rsidR="002B73A1" w:rsidRPr="00A74CC6">
        <w:rPr>
          <w:lang w:val="sv-SE"/>
        </w:rPr>
        <w:t>30 </w:t>
      </w:r>
      <w:r w:rsidRPr="00A74CC6">
        <w:rPr>
          <w:lang w:val="sv-SE"/>
        </w:rPr>
        <w:t xml:space="preserve">% av patienterna med primär bröstcancer. Studier av frekvensen av HER2-positivitet vid ventrikelcancer </w:t>
      </w:r>
      <w:r w:rsidR="00DF10D4" w:rsidRPr="00A74CC6">
        <w:rPr>
          <w:lang w:val="sv-SE"/>
        </w:rPr>
        <w:t>med</w:t>
      </w:r>
      <w:r w:rsidRPr="00A74CC6">
        <w:rPr>
          <w:lang w:val="sv-SE"/>
        </w:rPr>
        <w:t xml:space="preserve"> användning av immunhistokemi (IHC) och fluoresce</w:t>
      </w:r>
      <w:r w:rsidR="00BD3D3B" w:rsidRPr="00A74CC6">
        <w:rPr>
          <w:lang w:val="sv-SE"/>
        </w:rPr>
        <w:t>rande</w:t>
      </w:r>
      <w:r w:rsidRPr="00A74CC6">
        <w:rPr>
          <w:lang w:val="sv-SE"/>
        </w:rPr>
        <w:t xml:space="preserve"> </w:t>
      </w:r>
      <w:r w:rsidRPr="00A74CC6">
        <w:rPr>
          <w:i/>
          <w:lang w:val="sv-SE"/>
        </w:rPr>
        <w:t>in situ</w:t>
      </w:r>
      <w:r w:rsidR="00BD3D3B" w:rsidRPr="00A74CC6">
        <w:rPr>
          <w:i/>
          <w:lang w:val="sv-SE"/>
        </w:rPr>
        <w:t>-</w:t>
      </w:r>
      <w:r w:rsidRPr="00A74CC6">
        <w:rPr>
          <w:lang w:val="sv-SE"/>
        </w:rPr>
        <w:t xml:space="preserve">hybridisering (FISH) eller kromogen </w:t>
      </w:r>
      <w:r w:rsidRPr="00A74CC6">
        <w:rPr>
          <w:i/>
          <w:lang w:val="sv-SE"/>
        </w:rPr>
        <w:t>in situ</w:t>
      </w:r>
      <w:r w:rsidR="00BD3D3B" w:rsidRPr="00A74CC6">
        <w:rPr>
          <w:i/>
          <w:lang w:val="sv-SE"/>
        </w:rPr>
        <w:t>-</w:t>
      </w:r>
      <w:r w:rsidRPr="00A74CC6">
        <w:rPr>
          <w:lang w:val="sv-SE"/>
        </w:rPr>
        <w:t xml:space="preserve">hybridisering (CISH) har visat att </w:t>
      </w:r>
      <w:r w:rsidR="00BE08BA" w:rsidRPr="00A74CC6">
        <w:rPr>
          <w:lang w:val="sv-SE"/>
        </w:rPr>
        <w:t xml:space="preserve">frekvensen av </w:t>
      </w:r>
      <w:r w:rsidRPr="00A74CC6">
        <w:rPr>
          <w:lang w:val="sv-SE"/>
        </w:rPr>
        <w:t xml:space="preserve">HER2-positivitet </w:t>
      </w:r>
      <w:r w:rsidR="00BE08BA" w:rsidRPr="00A74CC6">
        <w:rPr>
          <w:lang w:val="sv-SE"/>
        </w:rPr>
        <w:t xml:space="preserve">varierar kraftigt, </w:t>
      </w:r>
      <w:r w:rsidR="00BD3D3B" w:rsidRPr="00A74CC6">
        <w:rPr>
          <w:lang w:val="sv-SE"/>
        </w:rPr>
        <w:t>mellan</w:t>
      </w:r>
      <w:r w:rsidRPr="00A74CC6">
        <w:rPr>
          <w:lang w:val="sv-SE"/>
        </w:rPr>
        <w:t xml:space="preserve"> 6,8</w:t>
      </w:r>
      <w:r w:rsidR="00B268E6" w:rsidRPr="00A74CC6">
        <w:rPr>
          <w:lang w:val="sv-SE"/>
        </w:rPr>
        <w:t> %</w:t>
      </w:r>
      <w:r w:rsidRPr="00A74CC6">
        <w:rPr>
          <w:lang w:val="sv-SE"/>
        </w:rPr>
        <w:t xml:space="preserve"> </w:t>
      </w:r>
      <w:r w:rsidR="00BD3D3B" w:rsidRPr="00A74CC6">
        <w:rPr>
          <w:lang w:val="sv-SE"/>
        </w:rPr>
        <w:t>och</w:t>
      </w:r>
      <w:r w:rsidRPr="00A74CC6">
        <w:rPr>
          <w:lang w:val="sv-SE"/>
        </w:rPr>
        <w:t xml:space="preserve"> 34,0</w:t>
      </w:r>
      <w:r w:rsidR="00B268E6" w:rsidRPr="00A74CC6">
        <w:rPr>
          <w:lang w:val="sv-SE"/>
        </w:rPr>
        <w:t> %</w:t>
      </w:r>
      <w:r w:rsidR="00BE08BA" w:rsidRPr="00A74CC6">
        <w:rPr>
          <w:lang w:val="sv-SE"/>
        </w:rPr>
        <w:t xml:space="preserve">, vid användning av </w:t>
      </w:r>
      <w:r w:rsidRPr="00A74CC6">
        <w:rPr>
          <w:lang w:val="sv-SE"/>
        </w:rPr>
        <w:t xml:space="preserve">IHC och </w:t>
      </w:r>
      <w:r w:rsidR="00BD3D3B" w:rsidRPr="00A74CC6">
        <w:rPr>
          <w:lang w:val="sv-SE"/>
        </w:rPr>
        <w:t xml:space="preserve">mellan </w:t>
      </w:r>
      <w:r w:rsidRPr="00A74CC6">
        <w:rPr>
          <w:lang w:val="sv-SE"/>
        </w:rPr>
        <w:t>7,1</w:t>
      </w:r>
      <w:r w:rsidR="00B268E6" w:rsidRPr="00A74CC6">
        <w:rPr>
          <w:lang w:val="sv-SE"/>
        </w:rPr>
        <w:t> %</w:t>
      </w:r>
      <w:r w:rsidRPr="00A74CC6">
        <w:rPr>
          <w:lang w:val="sv-SE"/>
        </w:rPr>
        <w:t xml:space="preserve"> </w:t>
      </w:r>
      <w:r w:rsidR="00BD3D3B" w:rsidRPr="00A74CC6">
        <w:rPr>
          <w:lang w:val="sv-SE"/>
        </w:rPr>
        <w:t>och</w:t>
      </w:r>
      <w:r w:rsidRPr="00A74CC6">
        <w:rPr>
          <w:lang w:val="sv-SE"/>
        </w:rPr>
        <w:t xml:space="preserve"> 42,6</w:t>
      </w:r>
      <w:r w:rsidR="00B268E6" w:rsidRPr="00A74CC6">
        <w:rPr>
          <w:lang w:val="sv-SE"/>
        </w:rPr>
        <w:t> %</w:t>
      </w:r>
      <w:r w:rsidRPr="00A74CC6">
        <w:rPr>
          <w:lang w:val="sv-SE"/>
        </w:rPr>
        <w:t xml:space="preserve"> </w:t>
      </w:r>
      <w:r w:rsidR="00BE08BA" w:rsidRPr="00A74CC6">
        <w:rPr>
          <w:lang w:val="sv-SE"/>
        </w:rPr>
        <w:t xml:space="preserve">vid användning av </w:t>
      </w:r>
      <w:r w:rsidRPr="00A74CC6">
        <w:rPr>
          <w:lang w:val="sv-SE"/>
        </w:rPr>
        <w:t xml:space="preserve">FISH. Studier visar att patienter med bröstcancer vars tumörer överuttrycker HER2 har kortare sjukdomsfri överlevnad </w:t>
      </w:r>
      <w:r w:rsidR="00BE08BA" w:rsidRPr="00A74CC6">
        <w:rPr>
          <w:lang w:val="sv-SE"/>
        </w:rPr>
        <w:t>än</w:t>
      </w:r>
      <w:r w:rsidRPr="00A74CC6">
        <w:rPr>
          <w:lang w:val="sv-SE"/>
        </w:rPr>
        <w:t xml:space="preserve"> patienter v</w:t>
      </w:r>
      <w:r w:rsidR="00BD3D3B" w:rsidRPr="00A74CC6">
        <w:rPr>
          <w:lang w:val="sv-SE"/>
        </w:rPr>
        <w:t>ars</w:t>
      </w:r>
      <w:r w:rsidRPr="00A74CC6">
        <w:rPr>
          <w:lang w:val="sv-SE"/>
        </w:rPr>
        <w:t xml:space="preserve"> tumörer inte överuttrycker HER2. Den extracellulära domänen hos receptorn (ECD, p105) kan utsöndras i blodet och mätas i serumprov.</w:t>
      </w:r>
    </w:p>
    <w:p w14:paraId="7471DD87" w14:textId="77777777" w:rsidR="00B81FC9" w:rsidRPr="00A74CC6" w:rsidRDefault="00B81FC9" w:rsidP="002314CE">
      <w:pPr>
        <w:spacing w:after="0" w:line="240" w:lineRule="auto"/>
        <w:ind w:left="4" w:right="13"/>
        <w:contextualSpacing/>
        <w:rPr>
          <w:lang w:val="sv-SE"/>
        </w:rPr>
      </w:pPr>
    </w:p>
    <w:p w14:paraId="4F4C6AB2" w14:textId="77777777" w:rsidR="005027AB" w:rsidRPr="00A74CC6" w:rsidRDefault="00264096" w:rsidP="002314CE">
      <w:pPr>
        <w:pStyle w:val="Heading2"/>
        <w:spacing w:after="0" w:line="240" w:lineRule="auto"/>
        <w:ind w:left="11" w:hanging="11"/>
        <w:contextualSpacing/>
        <w:rPr>
          <w:lang w:val="sv-SE"/>
        </w:rPr>
      </w:pPr>
      <w:r w:rsidRPr="00A74CC6">
        <w:rPr>
          <w:lang w:val="sv-SE"/>
        </w:rPr>
        <w:t>Verkningsmekanism</w:t>
      </w:r>
    </w:p>
    <w:p w14:paraId="41A602CF" w14:textId="77777777" w:rsidR="00B81FC9" w:rsidRPr="00A74CC6" w:rsidRDefault="00B81FC9" w:rsidP="002314CE">
      <w:pPr>
        <w:keepNext/>
        <w:keepLines/>
        <w:spacing w:after="0" w:line="240" w:lineRule="auto"/>
        <w:contextualSpacing/>
        <w:rPr>
          <w:lang w:val="sv-SE"/>
        </w:rPr>
      </w:pPr>
    </w:p>
    <w:p w14:paraId="18C6985E" w14:textId="48ECD654" w:rsidR="005027AB" w:rsidRPr="00A74CC6" w:rsidRDefault="00264096" w:rsidP="002314CE">
      <w:pPr>
        <w:spacing w:after="0" w:line="240" w:lineRule="auto"/>
        <w:ind w:left="4" w:right="13" w:firstLine="0"/>
        <w:contextualSpacing/>
        <w:rPr>
          <w:lang w:val="sv-SE"/>
        </w:rPr>
      </w:pPr>
      <w:r w:rsidRPr="00A74CC6">
        <w:rPr>
          <w:lang w:val="sv-SE"/>
        </w:rPr>
        <w:t>Trastuzumab binds med hög affinitet och specificitet till subdomän</w:t>
      </w:r>
      <w:r w:rsidR="00BD3D3B" w:rsidRPr="00A74CC6">
        <w:rPr>
          <w:lang w:val="sv-SE"/>
        </w:rPr>
        <w:t> </w:t>
      </w:r>
      <w:r w:rsidRPr="00A74CC6">
        <w:rPr>
          <w:lang w:val="sv-SE"/>
        </w:rPr>
        <w:t>IV, en juxtamembranregion på HER2</w:t>
      </w:r>
      <w:r w:rsidR="00BD3D3B" w:rsidRPr="00A74CC6">
        <w:rPr>
          <w:lang w:val="sv-SE"/>
        </w:rPr>
        <w:t>:</w:t>
      </w:r>
      <w:r w:rsidRPr="00A74CC6">
        <w:rPr>
          <w:lang w:val="sv-SE"/>
        </w:rPr>
        <w:t>s extracellulära domän. Bindning av trastuzumab till HER2 hämmar ligandoberoende HER</w:t>
      </w:r>
      <w:r w:rsidR="00DE05FF" w:rsidRPr="00A74CC6">
        <w:rPr>
          <w:lang w:val="sv-SE"/>
        </w:rPr>
        <w:t>-</w:t>
      </w:r>
      <w:r w:rsidRPr="00A74CC6">
        <w:rPr>
          <w:lang w:val="sv-SE"/>
        </w:rPr>
        <w:t xml:space="preserve">signalering och förhindrar den proteolytiska klyvningen av dess extracellulära domän, en </w:t>
      </w:r>
      <w:r w:rsidR="00BE08BA" w:rsidRPr="00A74CC6">
        <w:rPr>
          <w:lang w:val="sv-SE"/>
        </w:rPr>
        <w:t>HER2-</w:t>
      </w:r>
      <w:r w:rsidRPr="00A74CC6">
        <w:rPr>
          <w:lang w:val="sv-SE"/>
        </w:rPr>
        <w:t xml:space="preserve">aktiveringsmekanism. Som resultat har trastuzumab både i </w:t>
      </w:r>
      <w:r w:rsidRPr="00A74CC6">
        <w:rPr>
          <w:i/>
          <w:lang w:val="sv-SE"/>
        </w:rPr>
        <w:t>in vitro</w:t>
      </w:r>
      <w:r w:rsidRPr="00A74CC6">
        <w:rPr>
          <w:lang w:val="sv-SE"/>
        </w:rPr>
        <w:t xml:space="preserve">- och djurförsök visat sig hämma </w:t>
      </w:r>
      <w:r w:rsidRPr="00A74CC6">
        <w:rPr>
          <w:lang w:val="sv-SE"/>
        </w:rPr>
        <w:lastRenderedPageBreak/>
        <w:t xml:space="preserve">proliferationen av humana tumörceller som överuttrycker HER2. Dessutom är trastuzumab en potent mediator för antikroppsberoende cellmedierad cytotoxicitet (ADCC). </w:t>
      </w:r>
      <w:r w:rsidRPr="00A74CC6">
        <w:rPr>
          <w:i/>
          <w:lang w:val="sv-SE"/>
        </w:rPr>
        <w:t xml:space="preserve">In vitro </w:t>
      </w:r>
      <w:r w:rsidRPr="00A74CC6">
        <w:rPr>
          <w:lang w:val="sv-SE"/>
        </w:rPr>
        <w:t>har trastuzumab-medierad ADCC främst påvisats hos cancerceller som överuttrycker HER2 jämfört cancerceller som inte överuttrycker HER2.</w:t>
      </w:r>
    </w:p>
    <w:p w14:paraId="15D00779" w14:textId="77777777" w:rsidR="00B81FC9" w:rsidRPr="00A74CC6" w:rsidRDefault="00B81FC9" w:rsidP="002314CE">
      <w:pPr>
        <w:spacing w:after="0" w:line="240" w:lineRule="auto"/>
        <w:ind w:left="4" w:right="13" w:firstLine="0"/>
        <w:contextualSpacing/>
        <w:rPr>
          <w:lang w:val="sv-SE"/>
        </w:rPr>
      </w:pPr>
    </w:p>
    <w:p w14:paraId="772D36F8" w14:textId="6B79F3FC" w:rsidR="00B81FC9" w:rsidRPr="00A74CC6" w:rsidRDefault="00264096" w:rsidP="008763E6">
      <w:pPr>
        <w:pStyle w:val="Heading2"/>
        <w:spacing w:after="0" w:line="240" w:lineRule="auto"/>
        <w:ind w:left="9" w:firstLine="0"/>
        <w:contextualSpacing/>
        <w:rPr>
          <w:lang w:val="sv-SE"/>
        </w:rPr>
      </w:pPr>
      <w:r w:rsidRPr="00A74CC6">
        <w:rPr>
          <w:lang w:val="sv-SE"/>
        </w:rPr>
        <w:t>Påvisande av HER2</w:t>
      </w:r>
      <w:r w:rsidR="00BE08BA" w:rsidRPr="00A74CC6">
        <w:rPr>
          <w:lang w:val="sv-SE"/>
        </w:rPr>
        <w:t>-</w:t>
      </w:r>
      <w:r w:rsidRPr="00A74CC6">
        <w:rPr>
          <w:lang w:val="sv-SE"/>
        </w:rPr>
        <w:t>överuttryck eller HER2</w:t>
      </w:r>
      <w:r w:rsidR="00BE08BA" w:rsidRPr="00A74CC6">
        <w:rPr>
          <w:lang w:val="sv-SE"/>
        </w:rPr>
        <w:t>-</w:t>
      </w:r>
      <w:r w:rsidRPr="00A74CC6">
        <w:rPr>
          <w:lang w:val="sv-SE"/>
        </w:rPr>
        <w:t>genamplifiering</w:t>
      </w:r>
    </w:p>
    <w:p w14:paraId="1CA2B38B" w14:textId="77777777" w:rsidR="002D6FD7" w:rsidRDefault="002D6FD7" w:rsidP="002314CE">
      <w:pPr>
        <w:pStyle w:val="Heading3"/>
        <w:spacing w:after="0" w:line="240" w:lineRule="auto"/>
        <w:ind w:left="9" w:firstLine="0"/>
        <w:contextualSpacing/>
        <w:rPr>
          <w:u w:val="none"/>
          <w:lang w:val="sv-SE"/>
        </w:rPr>
      </w:pPr>
    </w:p>
    <w:p w14:paraId="28CEA142" w14:textId="3CD8C353" w:rsidR="005027AB" w:rsidRPr="00A74CC6" w:rsidRDefault="00264096" w:rsidP="002314CE">
      <w:pPr>
        <w:pStyle w:val="Heading3"/>
        <w:spacing w:after="0" w:line="240" w:lineRule="auto"/>
        <w:ind w:left="9" w:firstLine="0"/>
        <w:contextualSpacing/>
        <w:rPr>
          <w:lang w:val="sv-SE"/>
        </w:rPr>
      </w:pPr>
      <w:r w:rsidRPr="00A74CC6">
        <w:rPr>
          <w:u w:val="none"/>
          <w:lang w:val="sv-SE"/>
        </w:rPr>
        <w:t>Påvisande av HER2</w:t>
      </w:r>
      <w:r w:rsidR="00BE08BA" w:rsidRPr="00A74CC6">
        <w:rPr>
          <w:u w:val="none"/>
          <w:lang w:val="sv-SE"/>
        </w:rPr>
        <w:t>-</w:t>
      </w:r>
      <w:r w:rsidRPr="00A74CC6">
        <w:rPr>
          <w:u w:val="none"/>
          <w:lang w:val="sv-SE"/>
        </w:rPr>
        <w:t>överuttryck eller HER2</w:t>
      </w:r>
      <w:r w:rsidR="00BE08BA" w:rsidRPr="00A74CC6">
        <w:rPr>
          <w:u w:val="none"/>
          <w:lang w:val="sv-SE"/>
        </w:rPr>
        <w:t>-</w:t>
      </w:r>
      <w:r w:rsidRPr="00A74CC6">
        <w:rPr>
          <w:u w:val="none"/>
          <w:lang w:val="sv-SE"/>
        </w:rPr>
        <w:t>genamplifiering vid bröstcancer</w:t>
      </w:r>
    </w:p>
    <w:p w14:paraId="1A0D1893" w14:textId="68ADFA40" w:rsidR="005027AB" w:rsidRPr="00A74CC6" w:rsidRDefault="00FB1FF3" w:rsidP="002314CE">
      <w:pPr>
        <w:spacing w:after="0" w:line="240" w:lineRule="auto"/>
        <w:ind w:left="4" w:right="13" w:firstLine="0"/>
        <w:contextualSpacing/>
        <w:rPr>
          <w:lang w:val="sv-SE"/>
        </w:rPr>
      </w:pPr>
      <w:r w:rsidRPr="00A74CC6">
        <w:rPr>
          <w:lang w:val="sv-SE"/>
        </w:rPr>
        <w:t xml:space="preserve">KANJINTI </w:t>
      </w:r>
      <w:r w:rsidR="00264096" w:rsidRPr="00A74CC6">
        <w:rPr>
          <w:lang w:val="sv-SE"/>
        </w:rPr>
        <w:t>bör endast användas av patienter vars tumörer har HER2</w:t>
      </w:r>
      <w:r w:rsidR="00BE08BA" w:rsidRPr="00A74CC6">
        <w:rPr>
          <w:lang w:val="sv-SE"/>
        </w:rPr>
        <w:t>-</w:t>
      </w:r>
      <w:r w:rsidR="00264096" w:rsidRPr="00A74CC6">
        <w:rPr>
          <w:lang w:val="sv-SE"/>
        </w:rPr>
        <w:t>överuttryck eller HER2</w:t>
      </w:r>
      <w:r w:rsidR="00BE08BA" w:rsidRPr="00A74CC6">
        <w:rPr>
          <w:lang w:val="sv-SE"/>
        </w:rPr>
        <w:t>-</w:t>
      </w:r>
      <w:r w:rsidR="00264096" w:rsidRPr="00A74CC6">
        <w:rPr>
          <w:lang w:val="sv-SE"/>
        </w:rPr>
        <w:t xml:space="preserve">genamplifiering påvisad med en tillförlitlig och validerad metod. </w:t>
      </w:r>
      <w:r w:rsidR="00405210" w:rsidRPr="00A74CC6">
        <w:rPr>
          <w:lang w:val="sv-SE"/>
        </w:rPr>
        <w:t xml:space="preserve">Överuttryck av </w:t>
      </w:r>
      <w:r w:rsidR="00264096" w:rsidRPr="00A74CC6">
        <w:rPr>
          <w:lang w:val="sv-SE"/>
        </w:rPr>
        <w:t>HER2</w:t>
      </w:r>
      <w:r w:rsidR="00BE08BA" w:rsidRPr="00A74CC6">
        <w:rPr>
          <w:lang w:val="sv-SE"/>
        </w:rPr>
        <w:t xml:space="preserve"> </w:t>
      </w:r>
      <w:r w:rsidR="00264096" w:rsidRPr="00A74CC6">
        <w:rPr>
          <w:lang w:val="sv-SE"/>
        </w:rPr>
        <w:t xml:space="preserve">ska påvisas med en immunhistokemiskt (IHC) baserad teknik på fixerad tumörvävnad (se avsnitt 4.4). </w:t>
      </w:r>
      <w:r w:rsidR="00405210" w:rsidRPr="00A74CC6">
        <w:rPr>
          <w:lang w:val="sv-SE"/>
        </w:rPr>
        <w:t xml:space="preserve">Genamplifiering av </w:t>
      </w:r>
      <w:r w:rsidR="00264096" w:rsidRPr="00A74CC6">
        <w:rPr>
          <w:lang w:val="sv-SE"/>
        </w:rPr>
        <w:t>HER2 ska påvisas med fluoresce</w:t>
      </w:r>
      <w:r w:rsidR="00D4684A" w:rsidRPr="00A74CC6">
        <w:rPr>
          <w:lang w:val="sv-SE"/>
        </w:rPr>
        <w:t>rande</w:t>
      </w:r>
      <w:r w:rsidR="00264096" w:rsidRPr="00A74CC6">
        <w:rPr>
          <w:lang w:val="sv-SE"/>
        </w:rPr>
        <w:t xml:space="preserve"> </w:t>
      </w:r>
      <w:r w:rsidR="00264096" w:rsidRPr="00A74CC6">
        <w:rPr>
          <w:i/>
          <w:lang w:val="sv-SE"/>
        </w:rPr>
        <w:t>in situ</w:t>
      </w:r>
      <w:r w:rsidR="00D4684A" w:rsidRPr="00A74CC6">
        <w:rPr>
          <w:i/>
          <w:lang w:val="sv-SE"/>
        </w:rPr>
        <w:t>-</w:t>
      </w:r>
      <w:r w:rsidR="00264096" w:rsidRPr="00A74CC6">
        <w:rPr>
          <w:i/>
          <w:lang w:val="sv-SE"/>
        </w:rPr>
        <w:t xml:space="preserve"> </w:t>
      </w:r>
      <w:r w:rsidR="00264096" w:rsidRPr="00A74CC6">
        <w:rPr>
          <w:lang w:val="sv-SE"/>
        </w:rPr>
        <w:t xml:space="preserve">hybridisering (FISH) eller kromogen </w:t>
      </w:r>
      <w:r w:rsidR="00264096" w:rsidRPr="00A74CC6">
        <w:rPr>
          <w:i/>
          <w:lang w:val="sv-SE"/>
        </w:rPr>
        <w:t>in situ</w:t>
      </w:r>
      <w:r w:rsidR="00D4684A" w:rsidRPr="00A74CC6">
        <w:rPr>
          <w:i/>
          <w:lang w:val="sv-SE"/>
        </w:rPr>
        <w:t>-</w:t>
      </w:r>
      <w:r w:rsidR="00264096" w:rsidRPr="00A74CC6">
        <w:rPr>
          <w:lang w:val="sv-SE"/>
        </w:rPr>
        <w:t xml:space="preserve">hybridisering (CISH) på fixerad tumörvävnad. Lämpliga patienter för </w:t>
      </w:r>
      <w:r w:rsidRPr="00A74CC6">
        <w:rPr>
          <w:lang w:val="sv-SE"/>
        </w:rPr>
        <w:t xml:space="preserve">KANJINTI-behandling </w:t>
      </w:r>
      <w:r w:rsidR="00264096" w:rsidRPr="00A74CC6">
        <w:rPr>
          <w:lang w:val="sv-SE"/>
        </w:rPr>
        <w:t>är de som uppvisar ett starkt HER2</w:t>
      </w:r>
      <w:r w:rsidR="00D4684A" w:rsidRPr="00A74CC6">
        <w:rPr>
          <w:lang w:val="sv-SE"/>
        </w:rPr>
        <w:t>-</w:t>
      </w:r>
      <w:r w:rsidR="00264096" w:rsidRPr="00A74CC6">
        <w:rPr>
          <w:lang w:val="sv-SE"/>
        </w:rPr>
        <w:t>överuttryck klassificerat som 3+ med IHC eller ett positivt FISH</w:t>
      </w:r>
      <w:r w:rsidR="00D4684A" w:rsidRPr="00A74CC6">
        <w:rPr>
          <w:lang w:val="sv-SE"/>
        </w:rPr>
        <w:t>-</w:t>
      </w:r>
      <w:r w:rsidR="00264096" w:rsidRPr="00A74CC6">
        <w:rPr>
          <w:lang w:val="sv-SE"/>
        </w:rPr>
        <w:t xml:space="preserve"> eller CISH</w:t>
      </w:r>
      <w:r w:rsidR="00DE05FF" w:rsidRPr="00A74CC6">
        <w:rPr>
          <w:lang w:val="sv-SE"/>
        </w:rPr>
        <w:t>-</w:t>
      </w:r>
      <w:r w:rsidR="00264096" w:rsidRPr="00A74CC6">
        <w:rPr>
          <w:lang w:val="sv-SE"/>
        </w:rPr>
        <w:t>resultat.</w:t>
      </w:r>
    </w:p>
    <w:p w14:paraId="037490B4" w14:textId="77777777" w:rsidR="00B81FC9" w:rsidRPr="00A74CC6" w:rsidRDefault="00B81FC9" w:rsidP="002314CE">
      <w:pPr>
        <w:spacing w:after="0" w:line="240" w:lineRule="auto"/>
        <w:ind w:left="4" w:right="13" w:firstLine="0"/>
        <w:contextualSpacing/>
        <w:rPr>
          <w:lang w:val="sv-SE"/>
        </w:rPr>
      </w:pPr>
    </w:p>
    <w:p w14:paraId="29DFFFF1" w14:textId="756652F9" w:rsidR="005027AB" w:rsidRPr="00A74CC6" w:rsidRDefault="00264096" w:rsidP="002314CE">
      <w:pPr>
        <w:spacing w:after="0" w:line="240" w:lineRule="auto"/>
        <w:ind w:left="4" w:right="13" w:firstLine="0"/>
        <w:contextualSpacing/>
        <w:rPr>
          <w:lang w:val="sv-SE"/>
        </w:rPr>
      </w:pPr>
      <w:r w:rsidRPr="00A74CC6">
        <w:rPr>
          <w:lang w:val="sv-SE"/>
        </w:rPr>
        <w:t>För att säkerställa noggranna och reproducerbara resultat ska testerna genomföras i ett specialiserat laboratorium, som kan garantera validering av testmetoderna.</w:t>
      </w:r>
    </w:p>
    <w:p w14:paraId="116A7D05" w14:textId="77777777" w:rsidR="00384903" w:rsidRPr="00A74CC6" w:rsidRDefault="00384903" w:rsidP="002314CE">
      <w:pPr>
        <w:spacing w:after="0" w:line="240" w:lineRule="auto"/>
        <w:ind w:left="0" w:firstLine="0"/>
        <w:contextualSpacing/>
        <w:rPr>
          <w:lang w:val="sv-SE"/>
        </w:rPr>
      </w:pPr>
    </w:p>
    <w:p w14:paraId="3D4AF2B2" w14:textId="10242C70" w:rsidR="005027AB" w:rsidRPr="00A74CC6" w:rsidRDefault="00264096" w:rsidP="002314CE">
      <w:pPr>
        <w:keepNext/>
        <w:spacing w:after="0" w:line="240" w:lineRule="auto"/>
        <w:ind w:left="0" w:firstLine="0"/>
        <w:contextualSpacing/>
        <w:rPr>
          <w:lang w:val="sv-SE"/>
        </w:rPr>
      </w:pPr>
      <w:r w:rsidRPr="00A74CC6">
        <w:rPr>
          <w:lang w:val="sv-SE"/>
        </w:rPr>
        <w:t>Den rekommenderade klassificeringen för utvärdering av IHC</w:t>
      </w:r>
      <w:r w:rsidR="00D4684A" w:rsidRPr="00A74CC6">
        <w:rPr>
          <w:lang w:val="sv-SE"/>
        </w:rPr>
        <w:t>-</w:t>
      </w:r>
      <w:r w:rsidRPr="00A74CC6">
        <w:rPr>
          <w:lang w:val="sv-SE"/>
        </w:rPr>
        <w:t>färgningsmönster framgår av tabell</w:t>
      </w:r>
      <w:r w:rsidR="00D4684A" w:rsidRPr="00A74CC6">
        <w:rPr>
          <w:lang w:val="sv-SE"/>
        </w:rPr>
        <w:t> </w:t>
      </w:r>
      <w:r w:rsidRPr="00A74CC6">
        <w:rPr>
          <w:lang w:val="sv-SE"/>
        </w:rPr>
        <w:t>2:</w:t>
      </w:r>
    </w:p>
    <w:p w14:paraId="7F4D743F" w14:textId="77777777" w:rsidR="00B81FC9" w:rsidRPr="00A74CC6" w:rsidRDefault="00B81FC9" w:rsidP="002314CE">
      <w:pPr>
        <w:keepNext/>
        <w:spacing w:after="0" w:line="240" w:lineRule="auto"/>
        <w:ind w:left="0" w:firstLine="0"/>
        <w:contextualSpacing/>
        <w:rPr>
          <w:lang w:val="sv-SE"/>
        </w:rPr>
      </w:pPr>
    </w:p>
    <w:p w14:paraId="59719011" w14:textId="5F31CA6A" w:rsidR="005027AB" w:rsidRPr="00A74CC6" w:rsidRDefault="00A16DD3" w:rsidP="002314CE">
      <w:pPr>
        <w:keepNext/>
        <w:keepLines/>
        <w:tabs>
          <w:tab w:val="left" w:pos="1134"/>
        </w:tabs>
        <w:spacing w:after="0" w:line="240" w:lineRule="auto"/>
        <w:ind w:left="0" w:firstLine="0"/>
        <w:contextualSpacing/>
        <w:rPr>
          <w:b/>
          <w:lang w:val="sv-SE"/>
        </w:rPr>
      </w:pPr>
      <w:r w:rsidRPr="00A74CC6">
        <w:rPr>
          <w:b/>
          <w:lang w:val="sv-SE"/>
        </w:rPr>
        <w:t>Tabell 2.</w:t>
      </w:r>
      <w:r w:rsidR="00FB1FF3" w:rsidRPr="00A74CC6">
        <w:rPr>
          <w:b/>
          <w:lang w:val="sv-SE"/>
        </w:rPr>
        <w:t xml:space="preserve"> </w:t>
      </w:r>
      <w:r w:rsidR="00264096" w:rsidRPr="00A74CC6">
        <w:rPr>
          <w:b/>
          <w:lang w:val="sv-SE"/>
        </w:rPr>
        <w:t>Rekommenderat klassificeringssystem för att utvärdera IHC</w:t>
      </w:r>
      <w:r w:rsidR="00D4684A" w:rsidRPr="00A74CC6">
        <w:rPr>
          <w:b/>
          <w:lang w:val="sv-SE"/>
        </w:rPr>
        <w:t>-</w:t>
      </w:r>
      <w:r w:rsidR="00264096" w:rsidRPr="00A74CC6">
        <w:rPr>
          <w:b/>
          <w:lang w:val="sv-SE"/>
        </w:rPr>
        <w:t>färgningsmönster vid bröstcancer</w:t>
      </w:r>
    </w:p>
    <w:p w14:paraId="74B0CDB0" w14:textId="77777777" w:rsidR="00B81FC9" w:rsidRPr="00A74CC6" w:rsidRDefault="00B81FC9" w:rsidP="002314CE">
      <w:pPr>
        <w:keepNext/>
        <w:keepLines/>
        <w:tabs>
          <w:tab w:val="left" w:pos="1134"/>
        </w:tabs>
        <w:spacing w:after="0" w:line="240" w:lineRule="auto"/>
        <w:ind w:left="0" w:firstLine="0"/>
        <w:contextualSpacing/>
        <w:rPr>
          <w:lang w:val="sv-SE"/>
        </w:rPr>
      </w:pPr>
    </w:p>
    <w:tbl>
      <w:tblPr>
        <w:tblW w:w="4991" w:type="pct"/>
        <w:tblInd w:w="108" w:type="dxa"/>
        <w:tblCellMar>
          <w:top w:w="51" w:type="dxa"/>
          <w:right w:w="115" w:type="dxa"/>
        </w:tblCellMar>
        <w:tblLook w:val="04A0" w:firstRow="1" w:lastRow="0" w:firstColumn="1" w:lastColumn="0" w:noHBand="0" w:noVBand="1"/>
      </w:tblPr>
      <w:tblGrid>
        <w:gridCol w:w="1304"/>
        <w:gridCol w:w="5647"/>
        <w:gridCol w:w="2324"/>
      </w:tblGrid>
      <w:tr w:rsidR="005027AB" w:rsidRPr="00A74CC6" w14:paraId="2B6B3080" w14:textId="77777777" w:rsidTr="004A019F">
        <w:trPr>
          <w:trHeight w:val="270"/>
          <w:tblHeader/>
        </w:trPr>
        <w:tc>
          <w:tcPr>
            <w:tcW w:w="703" w:type="pct"/>
            <w:tcBorders>
              <w:top w:val="single" w:sz="4" w:space="0" w:color="000000"/>
              <w:left w:val="single" w:sz="4" w:space="0" w:color="000000"/>
              <w:bottom w:val="single" w:sz="4" w:space="0" w:color="000000"/>
              <w:right w:val="single" w:sz="4" w:space="0" w:color="000000"/>
            </w:tcBorders>
            <w:shd w:val="clear" w:color="auto" w:fill="auto"/>
          </w:tcPr>
          <w:p w14:paraId="3DCFE042" w14:textId="70135DD6" w:rsidR="005027AB" w:rsidRPr="004A019F" w:rsidRDefault="00264096" w:rsidP="004A019F">
            <w:pPr>
              <w:keepNext/>
              <w:keepLines/>
              <w:spacing w:after="0" w:line="240" w:lineRule="auto"/>
              <w:ind w:left="0" w:firstLine="0"/>
              <w:contextualSpacing/>
              <w:rPr>
                <w:lang w:val="sv-SE"/>
              </w:rPr>
            </w:pPr>
            <w:r w:rsidRPr="004A019F">
              <w:rPr>
                <w:b/>
                <w:lang w:val="sv-SE"/>
              </w:rPr>
              <w:t>Gradering</w:t>
            </w:r>
          </w:p>
        </w:tc>
        <w:tc>
          <w:tcPr>
            <w:tcW w:w="3044" w:type="pct"/>
            <w:tcBorders>
              <w:top w:val="single" w:sz="4" w:space="0" w:color="000000"/>
              <w:left w:val="single" w:sz="4" w:space="0" w:color="000000"/>
              <w:bottom w:val="single" w:sz="4" w:space="0" w:color="000000"/>
              <w:right w:val="single" w:sz="4" w:space="0" w:color="000000"/>
            </w:tcBorders>
            <w:shd w:val="clear" w:color="auto" w:fill="auto"/>
          </w:tcPr>
          <w:p w14:paraId="6ADB1F9D" w14:textId="77777777" w:rsidR="005027AB" w:rsidRPr="004A019F" w:rsidRDefault="00264096" w:rsidP="004A019F">
            <w:pPr>
              <w:keepNext/>
              <w:keepLines/>
              <w:spacing w:after="0" w:line="240" w:lineRule="auto"/>
              <w:ind w:left="0" w:firstLine="0"/>
              <w:contextualSpacing/>
              <w:rPr>
                <w:lang w:val="sv-SE"/>
              </w:rPr>
            </w:pPr>
            <w:r w:rsidRPr="004A019F">
              <w:rPr>
                <w:b/>
                <w:lang w:val="sv-SE"/>
              </w:rPr>
              <w:t>Färgningsmönster</w:t>
            </w:r>
          </w:p>
        </w:tc>
        <w:tc>
          <w:tcPr>
            <w:tcW w:w="1253" w:type="pct"/>
            <w:tcBorders>
              <w:top w:val="single" w:sz="4" w:space="0" w:color="000000"/>
              <w:left w:val="single" w:sz="4" w:space="0" w:color="000000"/>
              <w:bottom w:val="single" w:sz="4" w:space="0" w:color="000000"/>
              <w:right w:val="single" w:sz="4" w:space="0" w:color="000000"/>
            </w:tcBorders>
            <w:shd w:val="clear" w:color="auto" w:fill="auto"/>
          </w:tcPr>
          <w:p w14:paraId="7358A97E" w14:textId="566C84D5" w:rsidR="005027AB" w:rsidRPr="004A019F" w:rsidRDefault="00AE068D" w:rsidP="004A019F">
            <w:pPr>
              <w:keepNext/>
              <w:keepLines/>
              <w:spacing w:after="0" w:line="240" w:lineRule="auto"/>
              <w:ind w:left="0" w:firstLine="0"/>
              <w:contextualSpacing/>
              <w:rPr>
                <w:lang w:val="sv-SE"/>
              </w:rPr>
            </w:pPr>
            <w:r w:rsidRPr="004A019F">
              <w:rPr>
                <w:b/>
                <w:lang w:val="sv-SE"/>
              </w:rPr>
              <w:t>Bedömning</w:t>
            </w:r>
            <w:r w:rsidR="00264096" w:rsidRPr="004A019F">
              <w:rPr>
                <w:b/>
                <w:lang w:val="sv-SE"/>
              </w:rPr>
              <w:t xml:space="preserve"> av HER2</w:t>
            </w:r>
            <w:r w:rsidRPr="004A019F">
              <w:rPr>
                <w:b/>
                <w:lang w:val="sv-SE"/>
              </w:rPr>
              <w:t>-</w:t>
            </w:r>
            <w:r w:rsidR="00264096" w:rsidRPr="004A019F">
              <w:rPr>
                <w:b/>
                <w:lang w:val="sv-SE"/>
              </w:rPr>
              <w:t>överuttryck</w:t>
            </w:r>
          </w:p>
        </w:tc>
      </w:tr>
      <w:tr w:rsidR="005027AB" w:rsidRPr="00A74CC6" w14:paraId="4787C44E" w14:textId="77777777" w:rsidTr="004A019F">
        <w:trPr>
          <w:trHeight w:val="530"/>
        </w:trPr>
        <w:tc>
          <w:tcPr>
            <w:tcW w:w="703" w:type="pct"/>
            <w:tcBorders>
              <w:top w:val="single" w:sz="4" w:space="0" w:color="000000"/>
              <w:left w:val="single" w:sz="4" w:space="0" w:color="000000"/>
              <w:bottom w:val="single" w:sz="4" w:space="0" w:color="000000"/>
              <w:right w:val="single" w:sz="4" w:space="0" w:color="000000"/>
            </w:tcBorders>
            <w:shd w:val="clear" w:color="auto" w:fill="auto"/>
          </w:tcPr>
          <w:p w14:paraId="4A305D5D" w14:textId="77777777" w:rsidR="005027AB" w:rsidRPr="004A019F" w:rsidRDefault="00264096" w:rsidP="004A019F">
            <w:pPr>
              <w:spacing w:after="0" w:line="240" w:lineRule="auto"/>
              <w:ind w:left="0" w:firstLine="0"/>
              <w:contextualSpacing/>
              <w:rPr>
                <w:lang w:val="sv-SE"/>
              </w:rPr>
            </w:pPr>
            <w:r w:rsidRPr="004A019F">
              <w:rPr>
                <w:lang w:val="sv-SE"/>
              </w:rPr>
              <w:t>0</w:t>
            </w:r>
          </w:p>
        </w:tc>
        <w:tc>
          <w:tcPr>
            <w:tcW w:w="3044" w:type="pct"/>
            <w:tcBorders>
              <w:top w:val="single" w:sz="4" w:space="0" w:color="000000"/>
              <w:left w:val="single" w:sz="4" w:space="0" w:color="000000"/>
              <w:bottom w:val="single" w:sz="4" w:space="0" w:color="000000"/>
              <w:right w:val="single" w:sz="4" w:space="0" w:color="000000"/>
            </w:tcBorders>
            <w:shd w:val="clear" w:color="auto" w:fill="auto"/>
          </w:tcPr>
          <w:p w14:paraId="3C7AA1D6" w14:textId="173DE87D" w:rsidR="005027AB" w:rsidRPr="004A019F" w:rsidRDefault="00264096" w:rsidP="004A019F">
            <w:pPr>
              <w:spacing w:after="0" w:line="240" w:lineRule="auto"/>
              <w:ind w:left="0" w:firstLine="0"/>
              <w:contextualSpacing/>
              <w:rPr>
                <w:lang w:val="sv-SE"/>
              </w:rPr>
            </w:pPr>
            <w:r w:rsidRPr="004A019F">
              <w:rPr>
                <w:lang w:val="sv-SE"/>
              </w:rPr>
              <w:t>Ingen färgning observeras eller</w:t>
            </w:r>
            <w:r w:rsidR="00B81FC9" w:rsidRPr="004A019F">
              <w:rPr>
                <w:lang w:val="sv-SE"/>
              </w:rPr>
              <w:t xml:space="preserve"> membranfärgning observeras hos &lt;</w:t>
            </w:r>
            <w:r w:rsidR="00FB1FF3" w:rsidRPr="004A019F">
              <w:rPr>
                <w:lang w:val="sv-SE"/>
              </w:rPr>
              <w:t> </w:t>
            </w:r>
            <w:r w:rsidRPr="004A019F">
              <w:rPr>
                <w:lang w:val="sv-SE"/>
              </w:rPr>
              <w:t>10</w:t>
            </w:r>
            <w:r w:rsidR="00FB1FF3" w:rsidRPr="004A019F">
              <w:rPr>
                <w:lang w:val="sv-SE"/>
              </w:rPr>
              <w:t> </w:t>
            </w:r>
            <w:r w:rsidRPr="004A019F">
              <w:rPr>
                <w:lang w:val="sv-SE"/>
              </w:rPr>
              <w:t>% av tumörcellerna</w:t>
            </w:r>
          </w:p>
        </w:tc>
        <w:tc>
          <w:tcPr>
            <w:tcW w:w="1253" w:type="pct"/>
            <w:tcBorders>
              <w:top w:val="single" w:sz="4" w:space="0" w:color="000000"/>
              <w:left w:val="single" w:sz="4" w:space="0" w:color="000000"/>
              <w:bottom w:val="single" w:sz="4" w:space="0" w:color="000000"/>
              <w:right w:val="single" w:sz="4" w:space="0" w:color="000000"/>
            </w:tcBorders>
            <w:shd w:val="clear" w:color="auto" w:fill="auto"/>
          </w:tcPr>
          <w:p w14:paraId="479F5B8B" w14:textId="77777777" w:rsidR="005027AB" w:rsidRPr="004A019F" w:rsidRDefault="00264096" w:rsidP="004A019F">
            <w:pPr>
              <w:spacing w:after="0" w:line="240" w:lineRule="auto"/>
              <w:ind w:left="0" w:firstLine="0"/>
              <w:contextualSpacing/>
              <w:rPr>
                <w:lang w:val="sv-SE"/>
              </w:rPr>
            </w:pPr>
            <w:r w:rsidRPr="004A019F">
              <w:rPr>
                <w:lang w:val="sv-SE"/>
              </w:rPr>
              <w:t>Negativt</w:t>
            </w:r>
          </w:p>
        </w:tc>
      </w:tr>
      <w:tr w:rsidR="005027AB" w:rsidRPr="00A74CC6" w14:paraId="7181B939" w14:textId="77777777" w:rsidTr="004A019F">
        <w:trPr>
          <w:trHeight w:val="787"/>
        </w:trPr>
        <w:tc>
          <w:tcPr>
            <w:tcW w:w="703" w:type="pct"/>
            <w:tcBorders>
              <w:top w:val="single" w:sz="4" w:space="0" w:color="000000"/>
              <w:left w:val="single" w:sz="4" w:space="0" w:color="000000"/>
              <w:bottom w:val="single" w:sz="4" w:space="0" w:color="000000"/>
              <w:right w:val="single" w:sz="4" w:space="0" w:color="000000"/>
            </w:tcBorders>
            <w:shd w:val="clear" w:color="auto" w:fill="auto"/>
          </w:tcPr>
          <w:p w14:paraId="3E82B1E3" w14:textId="77777777" w:rsidR="005027AB" w:rsidRPr="004A019F" w:rsidRDefault="00264096" w:rsidP="004A019F">
            <w:pPr>
              <w:spacing w:after="0" w:line="240" w:lineRule="auto"/>
              <w:ind w:left="0" w:firstLine="0"/>
              <w:contextualSpacing/>
              <w:rPr>
                <w:lang w:val="sv-SE"/>
              </w:rPr>
            </w:pPr>
            <w:r w:rsidRPr="004A019F">
              <w:rPr>
                <w:lang w:val="sv-SE"/>
              </w:rPr>
              <w:t>1+</w:t>
            </w:r>
          </w:p>
        </w:tc>
        <w:tc>
          <w:tcPr>
            <w:tcW w:w="3044" w:type="pct"/>
            <w:tcBorders>
              <w:top w:val="single" w:sz="4" w:space="0" w:color="000000"/>
              <w:left w:val="single" w:sz="4" w:space="0" w:color="000000"/>
              <w:bottom w:val="single" w:sz="4" w:space="0" w:color="000000"/>
              <w:right w:val="single" w:sz="4" w:space="0" w:color="000000"/>
            </w:tcBorders>
            <w:shd w:val="clear" w:color="auto" w:fill="auto"/>
          </w:tcPr>
          <w:p w14:paraId="36EF2B3B" w14:textId="5D3455DE" w:rsidR="005027AB" w:rsidRPr="004A019F" w:rsidRDefault="00264096" w:rsidP="004A019F">
            <w:pPr>
              <w:spacing w:after="0" w:line="240" w:lineRule="auto"/>
              <w:ind w:left="0" w:firstLine="0"/>
              <w:contextualSpacing/>
              <w:rPr>
                <w:lang w:val="sv-SE"/>
              </w:rPr>
            </w:pPr>
            <w:r w:rsidRPr="004A019F">
              <w:rPr>
                <w:lang w:val="sv-SE"/>
              </w:rPr>
              <w:t>En svag</w:t>
            </w:r>
            <w:r w:rsidR="00D4684A" w:rsidRPr="004A019F">
              <w:rPr>
                <w:lang w:val="sv-SE"/>
              </w:rPr>
              <w:t>,</w:t>
            </w:r>
            <w:r w:rsidRPr="004A019F">
              <w:rPr>
                <w:lang w:val="sv-SE"/>
              </w:rPr>
              <w:t xml:space="preserve"> knappt märkbar me</w:t>
            </w:r>
            <w:r w:rsidR="00B81FC9" w:rsidRPr="004A019F">
              <w:rPr>
                <w:lang w:val="sv-SE"/>
              </w:rPr>
              <w:t>mbranfärgning kan upptäckas hos &gt;</w:t>
            </w:r>
            <w:r w:rsidR="00FB1FF3" w:rsidRPr="004A019F">
              <w:rPr>
                <w:lang w:val="sv-SE"/>
              </w:rPr>
              <w:t> </w:t>
            </w:r>
            <w:r w:rsidRPr="004A019F">
              <w:rPr>
                <w:lang w:val="sv-SE"/>
              </w:rPr>
              <w:t>10</w:t>
            </w:r>
            <w:r w:rsidR="00FB1FF3" w:rsidRPr="004A019F">
              <w:rPr>
                <w:lang w:val="sv-SE"/>
              </w:rPr>
              <w:t> </w:t>
            </w:r>
            <w:r w:rsidRPr="004A019F">
              <w:rPr>
                <w:lang w:val="sv-SE"/>
              </w:rPr>
              <w:t>% av tumörcellerna</w:t>
            </w:r>
            <w:r w:rsidR="00E47C1F" w:rsidRPr="004A019F">
              <w:rPr>
                <w:lang w:val="sv-SE"/>
              </w:rPr>
              <w:t>;</w:t>
            </w:r>
            <w:r w:rsidRPr="004A019F">
              <w:rPr>
                <w:lang w:val="sv-SE"/>
              </w:rPr>
              <w:t xml:space="preserve"> </w:t>
            </w:r>
            <w:r w:rsidR="00E47C1F" w:rsidRPr="004A019F">
              <w:rPr>
                <w:lang w:val="sv-SE"/>
              </w:rPr>
              <w:t>c</w:t>
            </w:r>
            <w:r w:rsidRPr="004A019F">
              <w:rPr>
                <w:lang w:val="sv-SE"/>
              </w:rPr>
              <w:t>ellerna är endast delvis färgade på membranen</w:t>
            </w:r>
          </w:p>
        </w:tc>
        <w:tc>
          <w:tcPr>
            <w:tcW w:w="1253" w:type="pct"/>
            <w:tcBorders>
              <w:top w:val="single" w:sz="4" w:space="0" w:color="000000"/>
              <w:left w:val="single" w:sz="4" w:space="0" w:color="000000"/>
              <w:bottom w:val="single" w:sz="4" w:space="0" w:color="000000"/>
              <w:right w:val="single" w:sz="4" w:space="0" w:color="000000"/>
            </w:tcBorders>
            <w:shd w:val="clear" w:color="auto" w:fill="auto"/>
          </w:tcPr>
          <w:p w14:paraId="105A4124" w14:textId="77777777" w:rsidR="005027AB" w:rsidRPr="004A019F" w:rsidRDefault="00264096" w:rsidP="004A019F">
            <w:pPr>
              <w:spacing w:after="0" w:line="240" w:lineRule="auto"/>
              <w:ind w:left="0" w:firstLine="0"/>
              <w:contextualSpacing/>
              <w:rPr>
                <w:lang w:val="sv-SE"/>
              </w:rPr>
            </w:pPr>
            <w:r w:rsidRPr="004A019F">
              <w:rPr>
                <w:lang w:val="sv-SE"/>
              </w:rPr>
              <w:t>Negativt</w:t>
            </w:r>
          </w:p>
        </w:tc>
      </w:tr>
      <w:tr w:rsidR="005027AB" w:rsidRPr="00A74CC6" w14:paraId="77154C99" w14:textId="77777777" w:rsidTr="004A019F">
        <w:trPr>
          <w:trHeight w:val="533"/>
        </w:trPr>
        <w:tc>
          <w:tcPr>
            <w:tcW w:w="703" w:type="pct"/>
            <w:tcBorders>
              <w:top w:val="single" w:sz="4" w:space="0" w:color="000000"/>
              <w:left w:val="single" w:sz="4" w:space="0" w:color="000000"/>
              <w:bottom w:val="single" w:sz="4" w:space="0" w:color="000000"/>
              <w:right w:val="single" w:sz="4" w:space="0" w:color="000000"/>
            </w:tcBorders>
            <w:shd w:val="clear" w:color="auto" w:fill="auto"/>
          </w:tcPr>
          <w:p w14:paraId="18ABB3EC" w14:textId="77777777" w:rsidR="005027AB" w:rsidRPr="004A019F" w:rsidRDefault="00264096" w:rsidP="004A019F">
            <w:pPr>
              <w:spacing w:after="0" w:line="240" w:lineRule="auto"/>
              <w:ind w:left="0" w:firstLine="0"/>
              <w:contextualSpacing/>
              <w:rPr>
                <w:lang w:val="sv-SE"/>
              </w:rPr>
            </w:pPr>
            <w:r w:rsidRPr="004A019F">
              <w:rPr>
                <w:lang w:val="sv-SE"/>
              </w:rPr>
              <w:t>2+</w:t>
            </w:r>
          </w:p>
        </w:tc>
        <w:tc>
          <w:tcPr>
            <w:tcW w:w="3044" w:type="pct"/>
            <w:tcBorders>
              <w:top w:val="single" w:sz="4" w:space="0" w:color="000000"/>
              <w:left w:val="single" w:sz="4" w:space="0" w:color="000000"/>
              <w:bottom w:val="single" w:sz="4" w:space="0" w:color="000000"/>
              <w:right w:val="single" w:sz="4" w:space="0" w:color="000000"/>
            </w:tcBorders>
            <w:shd w:val="clear" w:color="auto" w:fill="auto"/>
          </w:tcPr>
          <w:p w14:paraId="0E223416" w14:textId="5A522CA9" w:rsidR="005027AB" w:rsidRPr="004A019F" w:rsidRDefault="00264096" w:rsidP="004A019F">
            <w:pPr>
              <w:spacing w:after="0" w:line="240" w:lineRule="auto"/>
              <w:ind w:left="0" w:firstLine="0"/>
              <w:contextualSpacing/>
              <w:rPr>
                <w:lang w:val="sv-SE"/>
              </w:rPr>
            </w:pPr>
            <w:r w:rsidRPr="004A019F">
              <w:rPr>
                <w:lang w:val="sv-SE"/>
              </w:rPr>
              <w:t>En svag till måttlig, k</w:t>
            </w:r>
            <w:r w:rsidR="00B81FC9" w:rsidRPr="004A019F">
              <w:rPr>
                <w:lang w:val="sv-SE"/>
              </w:rPr>
              <w:t>omplett membranfärgning ses hos &gt;</w:t>
            </w:r>
            <w:r w:rsidR="00FB1FF3" w:rsidRPr="004A019F">
              <w:rPr>
                <w:lang w:val="sv-SE"/>
              </w:rPr>
              <w:t> </w:t>
            </w:r>
            <w:r w:rsidRPr="004A019F">
              <w:rPr>
                <w:lang w:val="sv-SE"/>
              </w:rPr>
              <w:t>10</w:t>
            </w:r>
            <w:r w:rsidR="00FB1FF3" w:rsidRPr="004A019F">
              <w:rPr>
                <w:lang w:val="sv-SE"/>
              </w:rPr>
              <w:t> </w:t>
            </w:r>
            <w:r w:rsidRPr="004A019F">
              <w:rPr>
                <w:lang w:val="sv-SE"/>
              </w:rPr>
              <w:t>% av tumörcellerna</w:t>
            </w:r>
          </w:p>
        </w:tc>
        <w:tc>
          <w:tcPr>
            <w:tcW w:w="1253" w:type="pct"/>
            <w:tcBorders>
              <w:top w:val="single" w:sz="4" w:space="0" w:color="000000"/>
              <w:left w:val="single" w:sz="4" w:space="0" w:color="000000"/>
              <w:bottom w:val="single" w:sz="4" w:space="0" w:color="000000"/>
              <w:right w:val="single" w:sz="4" w:space="0" w:color="000000"/>
            </w:tcBorders>
            <w:shd w:val="clear" w:color="auto" w:fill="auto"/>
          </w:tcPr>
          <w:p w14:paraId="5134F12E" w14:textId="77777777" w:rsidR="005027AB" w:rsidRPr="004A019F" w:rsidRDefault="00264096" w:rsidP="004A019F">
            <w:pPr>
              <w:spacing w:after="0" w:line="240" w:lineRule="auto"/>
              <w:ind w:left="55" w:firstLine="0"/>
              <w:contextualSpacing/>
              <w:rPr>
                <w:lang w:val="sv-SE"/>
              </w:rPr>
            </w:pPr>
            <w:r w:rsidRPr="004A019F">
              <w:rPr>
                <w:lang w:val="sv-SE"/>
              </w:rPr>
              <w:t>Tvetydigt</w:t>
            </w:r>
          </w:p>
        </w:tc>
      </w:tr>
      <w:tr w:rsidR="005027AB" w:rsidRPr="00A74CC6" w14:paraId="37087EFA" w14:textId="77777777" w:rsidTr="004A019F">
        <w:trPr>
          <w:trHeight w:val="533"/>
        </w:trPr>
        <w:tc>
          <w:tcPr>
            <w:tcW w:w="703" w:type="pct"/>
            <w:tcBorders>
              <w:top w:val="single" w:sz="4" w:space="0" w:color="000000"/>
              <w:left w:val="single" w:sz="4" w:space="0" w:color="000000"/>
              <w:bottom w:val="single" w:sz="4" w:space="0" w:color="000000"/>
              <w:right w:val="single" w:sz="4" w:space="0" w:color="000000"/>
            </w:tcBorders>
            <w:shd w:val="clear" w:color="auto" w:fill="auto"/>
          </w:tcPr>
          <w:p w14:paraId="07287016" w14:textId="77777777" w:rsidR="005027AB" w:rsidRPr="004A019F" w:rsidRDefault="00264096" w:rsidP="004A019F">
            <w:pPr>
              <w:spacing w:after="0" w:line="240" w:lineRule="auto"/>
              <w:ind w:left="0" w:firstLine="0"/>
              <w:contextualSpacing/>
              <w:rPr>
                <w:lang w:val="sv-SE"/>
              </w:rPr>
            </w:pPr>
            <w:r w:rsidRPr="004A019F">
              <w:rPr>
                <w:lang w:val="sv-SE"/>
              </w:rPr>
              <w:t>3+</w:t>
            </w:r>
          </w:p>
        </w:tc>
        <w:tc>
          <w:tcPr>
            <w:tcW w:w="3044" w:type="pct"/>
            <w:tcBorders>
              <w:top w:val="single" w:sz="4" w:space="0" w:color="000000"/>
              <w:left w:val="single" w:sz="4" w:space="0" w:color="000000"/>
              <w:bottom w:val="single" w:sz="4" w:space="0" w:color="000000"/>
              <w:right w:val="single" w:sz="4" w:space="0" w:color="000000"/>
            </w:tcBorders>
            <w:shd w:val="clear" w:color="auto" w:fill="auto"/>
          </w:tcPr>
          <w:p w14:paraId="3560C20D" w14:textId="103D3F73" w:rsidR="005027AB" w:rsidRPr="004A019F" w:rsidRDefault="00264096" w:rsidP="004A019F">
            <w:pPr>
              <w:spacing w:after="0" w:line="240" w:lineRule="auto"/>
              <w:ind w:left="0" w:firstLine="0"/>
              <w:contextualSpacing/>
              <w:rPr>
                <w:lang w:val="sv-SE"/>
              </w:rPr>
            </w:pPr>
            <w:r w:rsidRPr="004A019F">
              <w:rPr>
                <w:lang w:val="sv-SE"/>
              </w:rPr>
              <w:t>Stark, k</w:t>
            </w:r>
            <w:r w:rsidR="00B81FC9" w:rsidRPr="004A019F">
              <w:rPr>
                <w:lang w:val="sv-SE"/>
              </w:rPr>
              <w:t>omplett membranfärgning ses hos &gt;</w:t>
            </w:r>
            <w:r w:rsidR="00FB1FF3" w:rsidRPr="004A019F">
              <w:rPr>
                <w:lang w:val="sv-SE"/>
              </w:rPr>
              <w:t> </w:t>
            </w:r>
            <w:r w:rsidRPr="004A019F">
              <w:rPr>
                <w:lang w:val="sv-SE"/>
              </w:rPr>
              <w:t>10</w:t>
            </w:r>
            <w:r w:rsidR="00FB1FF3" w:rsidRPr="004A019F">
              <w:rPr>
                <w:lang w:val="sv-SE"/>
              </w:rPr>
              <w:t> </w:t>
            </w:r>
            <w:r w:rsidRPr="004A019F">
              <w:rPr>
                <w:lang w:val="sv-SE"/>
              </w:rPr>
              <w:t>% av tumörcellerna</w:t>
            </w:r>
          </w:p>
        </w:tc>
        <w:tc>
          <w:tcPr>
            <w:tcW w:w="1253" w:type="pct"/>
            <w:tcBorders>
              <w:top w:val="single" w:sz="4" w:space="0" w:color="000000"/>
              <w:left w:val="single" w:sz="4" w:space="0" w:color="000000"/>
              <w:bottom w:val="single" w:sz="4" w:space="0" w:color="000000"/>
              <w:right w:val="single" w:sz="4" w:space="0" w:color="000000"/>
            </w:tcBorders>
            <w:shd w:val="clear" w:color="auto" w:fill="auto"/>
          </w:tcPr>
          <w:p w14:paraId="5C014031" w14:textId="77777777" w:rsidR="005027AB" w:rsidRPr="004A019F" w:rsidRDefault="00264096" w:rsidP="004A019F">
            <w:pPr>
              <w:spacing w:after="0" w:line="240" w:lineRule="auto"/>
              <w:ind w:left="55" w:firstLine="0"/>
              <w:contextualSpacing/>
              <w:rPr>
                <w:lang w:val="sv-SE"/>
              </w:rPr>
            </w:pPr>
            <w:r w:rsidRPr="004A019F">
              <w:rPr>
                <w:lang w:val="sv-SE"/>
              </w:rPr>
              <w:t>Positivt</w:t>
            </w:r>
          </w:p>
        </w:tc>
      </w:tr>
    </w:tbl>
    <w:p w14:paraId="5BFC1B3B" w14:textId="77777777" w:rsidR="00B81FC9" w:rsidRPr="00A74CC6" w:rsidRDefault="00B81FC9" w:rsidP="002314CE">
      <w:pPr>
        <w:spacing w:after="0" w:line="240" w:lineRule="auto"/>
        <w:ind w:left="0" w:firstLine="0"/>
        <w:contextualSpacing/>
        <w:rPr>
          <w:lang w:val="sv-SE"/>
        </w:rPr>
      </w:pPr>
    </w:p>
    <w:p w14:paraId="71AD7B2D" w14:textId="69415931" w:rsidR="005027AB" w:rsidRPr="00A74CC6" w:rsidRDefault="00264096" w:rsidP="002314CE">
      <w:pPr>
        <w:spacing w:after="0" w:line="240" w:lineRule="auto"/>
        <w:ind w:left="0" w:firstLine="0"/>
        <w:contextualSpacing/>
        <w:rPr>
          <w:lang w:val="sv-SE"/>
        </w:rPr>
      </w:pPr>
      <w:r w:rsidRPr="00A74CC6">
        <w:rPr>
          <w:lang w:val="sv-SE"/>
        </w:rPr>
        <w:t>I allmänhet bedöms FISH vara positivt om kvoten mellan antal</w:t>
      </w:r>
      <w:r w:rsidR="00D4684A" w:rsidRPr="00A74CC6">
        <w:rPr>
          <w:lang w:val="sv-SE"/>
        </w:rPr>
        <w:t>et</w:t>
      </w:r>
      <w:r w:rsidRPr="00A74CC6">
        <w:rPr>
          <w:lang w:val="sv-SE"/>
        </w:rPr>
        <w:t xml:space="preserve"> genkopior av HER2 per tumörcell och antal</w:t>
      </w:r>
      <w:r w:rsidR="00D4684A" w:rsidRPr="00A74CC6">
        <w:rPr>
          <w:lang w:val="sv-SE"/>
        </w:rPr>
        <w:t>et</w:t>
      </w:r>
      <w:r w:rsidRPr="00A74CC6">
        <w:rPr>
          <w:lang w:val="sv-SE"/>
        </w:rPr>
        <w:t xml:space="preserve"> kopior av kromosom</w:t>
      </w:r>
      <w:r w:rsidR="00D4684A" w:rsidRPr="00A74CC6">
        <w:rPr>
          <w:lang w:val="sv-SE"/>
        </w:rPr>
        <w:t> </w:t>
      </w:r>
      <w:r w:rsidRPr="00A74CC6">
        <w:rPr>
          <w:lang w:val="sv-SE"/>
        </w:rPr>
        <w:t>17 är större än eller lika med 2, eller om det finns fler än 4</w:t>
      </w:r>
      <w:r w:rsidR="00D4684A" w:rsidRPr="00A74CC6">
        <w:rPr>
          <w:lang w:val="sv-SE"/>
        </w:rPr>
        <w:t> </w:t>
      </w:r>
      <w:r w:rsidRPr="00A74CC6">
        <w:rPr>
          <w:lang w:val="sv-SE"/>
        </w:rPr>
        <w:t>kopior av HER2</w:t>
      </w:r>
      <w:r w:rsidR="00D4684A" w:rsidRPr="00A74CC6">
        <w:rPr>
          <w:lang w:val="sv-SE"/>
        </w:rPr>
        <w:t>-</w:t>
      </w:r>
      <w:r w:rsidRPr="00A74CC6">
        <w:rPr>
          <w:lang w:val="sv-SE"/>
        </w:rPr>
        <w:t>genen per tumörcell då ingen kromosom</w:t>
      </w:r>
      <w:r w:rsidR="00D4684A" w:rsidRPr="00A74CC6">
        <w:rPr>
          <w:lang w:val="sv-SE"/>
        </w:rPr>
        <w:t> </w:t>
      </w:r>
      <w:r w:rsidRPr="00A74CC6">
        <w:rPr>
          <w:lang w:val="sv-SE"/>
        </w:rPr>
        <w:t>17-kontroll används.</w:t>
      </w:r>
    </w:p>
    <w:p w14:paraId="275B57E6" w14:textId="77777777" w:rsidR="00B81FC9" w:rsidRPr="00A74CC6" w:rsidRDefault="00B81FC9" w:rsidP="002314CE">
      <w:pPr>
        <w:spacing w:after="0" w:line="240" w:lineRule="auto"/>
        <w:ind w:left="0" w:firstLine="0"/>
        <w:contextualSpacing/>
        <w:rPr>
          <w:lang w:val="sv-SE"/>
        </w:rPr>
      </w:pPr>
    </w:p>
    <w:p w14:paraId="7647D16B" w14:textId="0B078E70" w:rsidR="005027AB" w:rsidRPr="00A74CC6" w:rsidRDefault="00264096" w:rsidP="002314CE">
      <w:pPr>
        <w:spacing w:after="0" w:line="240" w:lineRule="auto"/>
        <w:ind w:left="0" w:firstLine="0"/>
        <w:contextualSpacing/>
        <w:rPr>
          <w:lang w:val="sv-SE"/>
        </w:rPr>
      </w:pPr>
      <w:r w:rsidRPr="00A74CC6">
        <w:rPr>
          <w:lang w:val="sv-SE"/>
        </w:rPr>
        <w:t>I allmänhet bedöms CISH vara positivt om det finns fler än 5</w:t>
      </w:r>
      <w:r w:rsidR="00D4684A" w:rsidRPr="00A74CC6">
        <w:rPr>
          <w:lang w:val="sv-SE"/>
        </w:rPr>
        <w:t> </w:t>
      </w:r>
      <w:r w:rsidRPr="00A74CC6">
        <w:rPr>
          <w:lang w:val="sv-SE"/>
        </w:rPr>
        <w:t>kopior av HER2-genen per cellkärna i mer än 50</w:t>
      </w:r>
      <w:r w:rsidR="00B268E6" w:rsidRPr="00A74CC6">
        <w:rPr>
          <w:lang w:val="sv-SE"/>
        </w:rPr>
        <w:t> %</w:t>
      </w:r>
      <w:r w:rsidRPr="00A74CC6">
        <w:rPr>
          <w:lang w:val="sv-SE"/>
        </w:rPr>
        <w:t xml:space="preserve"> av tumörcellerna.</w:t>
      </w:r>
    </w:p>
    <w:p w14:paraId="3C39DEEC" w14:textId="77777777" w:rsidR="00B81FC9" w:rsidRPr="00A74CC6" w:rsidRDefault="00B81FC9" w:rsidP="002314CE">
      <w:pPr>
        <w:spacing w:after="0" w:line="240" w:lineRule="auto"/>
        <w:ind w:left="0" w:firstLine="0"/>
        <w:contextualSpacing/>
        <w:rPr>
          <w:lang w:val="sv-SE"/>
        </w:rPr>
      </w:pPr>
    </w:p>
    <w:p w14:paraId="1329D0B0" w14:textId="021B5C46" w:rsidR="005027AB" w:rsidRPr="00A74CC6" w:rsidRDefault="00264096" w:rsidP="002314CE">
      <w:pPr>
        <w:spacing w:after="0" w:line="240" w:lineRule="auto"/>
        <w:ind w:left="0" w:firstLine="0"/>
        <w:contextualSpacing/>
        <w:rPr>
          <w:lang w:val="sv-SE"/>
        </w:rPr>
      </w:pPr>
      <w:r w:rsidRPr="00A74CC6">
        <w:rPr>
          <w:lang w:val="sv-SE"/>
        </w:rPr>
        <w:t xml:space="preserve">För kompletta instruktioner </w:t>
      </w:r>
      <w:r w:rsidR="00D4684A" w:rsidRPr="00A74CC6">
        <w:rPr>
          <w:lang w:val="sv-SE"/>
        </w:rPr>
        <w:t>om</w:t>
      </w:r>
      <w:r w:rsidRPr="00A74CC6">
        <w:rPr>
          <w:lang w:val="sv-SE"/>
        </w:rPr>
        <w:t xml:space="preserve"> hur testerna utförs hänvisas till de instruktioner som medföljer validerade FISH</w:t>
      </w:r>
      <w:r w:rsidR="00D4684A" w:rsidRPr="00A74CC6">
        <w:rPr>
          <w:lang w:val="sv-SE"/>
        </w:rPr>
        <w:t>-</w:t>
      </w:r>
      <w:r w:rsidRPr="00A74CC6">
        <w:rPr>
          <w:lang w:val="sv-SE"/>
        </w:rPr>
        <w:t xml:space="preserve"> och CISH-metoder. Officiella rekommendationer för HER2-testning kan också vara tillämpliga.</w:t>
      </w:r>
    </w:p>
    <w:p w14:paraId="4637B851" w14:textId="77777777" w:rsidR="00B81FC9" w:rsidRPr="00A74CC6" w:rsidRDefault="00B81FC9" w:rsidP="002314CE">
      <w:pPr>
        <w:spacing w:after="0" w:line="240" w:lineRule="auto"/>
        <w:ind w:left="0" w:firstLine="0"/>
        <w:contextualSpacing/>
        <w:rPr>
          <w:lang w:val="sv-SE"/>
        </w:rPr>
      </w:pPr>
    </w:p>
    <w:p w14:paraId="62A6E719" w14:textId="6EAF91E3" w:rsidR="005027AB" w:rsidRPr="00A74CC6" w:rsidRDefault="00264096" w:rsidP="002314CE">
      <w:pPr>
        <w:spacing w:after="0" w:line="240" w:lineRule="auto"/>
        <w:ind w:left="0" w:firstLine="0"/>
        <w:contextualSpacing/>
        <w:rPr>
          <w:lang w:val="sv-SE"/>
        </w:rPr>
      </w:pPr>
      <w:r w:rsidRPr="00A74CC6">
        <w:rPr>
          <w:lang w:val="sv-SE"/>
        </w:rPr>
        <w:t>Vid användning av någon annan metod för bestämning av HER2</w:t>
      </w:r>
      <w:r w:rsidR="00D4684A" w:rsidRPr="00A74CC6">
        <w:rPr>
          <w:lang w:val="sv-SE"/>
        </w:rPr>
        <w:t>-</w:t>
      </w:r>
      <w:r w:rsidRPr="00A74CC6">
        <w:rPr>
          <w:lang w:val="sv-SE"/>
        </w:rPr>
        <w:t xml:space="preserve">protein eller </w:t>
      </w:r>
      <w:r w:rsidR="00D4684A" w:rsidRPr="00A74CC6">
        <w:rPr>
          <w:lang w:val="sv-SE"/>
        </w:rPr>
        <w:t>HER2-</w:t>
      </w:r>
      <w:r w:rsidRPr="00A74CC6">
        <w:rPr>
          <w:lang w:val="sv-SE"/>
        </w:rPr>
        <w:t>genuttryck bör analyserna endast utföras av laboratorier som kan tillhandahålla adekvata och validerade analysmetoder i enlighet med rådande ”state-of-the-art”. Sådana metoder bör naturligtvis också vara tillräckligt noggranna och tillförlitliga för att påvisa överuttryck av HER2 och måste kunna särskilja mellan måttligt (överensstämmande med 2+) och starkt (överensstämmande med 3+) överuttryck av HER2.</w:t>
      </w:r>
    </w:p>
    <w:p w14:paraId="37FC8499" w14:textId="77777777" w:rsidR="00B81FC9" w:rsidRPr="00A74CC6" w:rsidRDefault="00B81FC9" w:rsidP="002314CE">
      <w:pPr>
        <w:spacing w:after="0" w:line="240" w:lineRule="auto"/>
        <w:ind w:left="0" w:firstLine="0"/>
        <w:contextualSpacing/>
        <w:rPr>
          <w:lang w:val="sv-SE"/>
        </w:rPr>
      </w:pPr>
    </w:p>
    <w:p w14:paraId="6D77A53D" w14:textId="2B37501B" w:rsidR="005027AB" w:rsidRPr="00A74CC6" w:rsidRDefault="00264096" w:rsidP="002314CE">
      <w:pPr>
        <w:pStyle w:val="Heading3"/>
        <w:spacing w:after="0" w:line="240" w:lineRule="auto"/>
        <w:ind w:left="0" w:firstLine="0"/>
        <w:contextualSpacing/>
        <w:rPr>
          <w:lang w:val="sv-SE"/>
        </w:rPr>
      </w:pPr>
      <w:r w:rsidRPr="00A74CC6">
        <w:rPr>
          <w:u w:val="none"/>
          <w:lang w:val="sv-SE"/>
        </w:rPr>
        <w:lastRenderedPageBreak/>
        <w:t>Påvisande av HER2</w:t>
      </w:r>
      <w:r w:rsidR="001327B5" w:rsidRPr="00A74CC6">
        <w:rPr>
          <w:u w:val="none"/>
          <w:lang w:val="sv-SE"/>
        </w:rPr>
        <w:t>-</w:t>
      </w:r>
      <w:r w:rsidRPr="00A74CC6">
        <w:rPr>
          <w:u w:val="none"/>
          <w:lang w:val="sv-SE"/>
        </w:rPr>
        <w:t>överuttryck eller HER2</w:t>
      </w:r>
      <w:r w:rsidR="001327B5" w:rsidRPr="00A74CC6">
        <w:rPr>
          <w:u w:val="none"/>
          <w:lang w:val="sv-SE"/>
        </w:rPr>
        <w:t>-</w:t>
      </w:r>
      <w:r w:rsidRPr="00A74CC6">
        <w:rPr>
          <w:u w:val="none"/>
          <w:lang w:val="sv-SE"/>
        </w:rPr>
        <w:t>genamplifiering vid ventrikelcancer</w:t>
      </w:r>
    </w:p>
    <w:p w14:paraId="1E5F0130" w14:textId="32A84708" w:rsidR="005027AB" w:rsidRPr="00A74CC6" w:rsidRDefault="00264096" w:rsidP="002314CE">
      <w:pPr>
        <w:spacing w:after="0" w:line="240" w:lineRule="auto"/>
        <w:ind w:left="0" w:firstLine="0"/>
        <w:contextualSpacing/>
        <w:rPr>
          <w:lang w:val="sv-SE"/>
        </w:rPr>
      </w:pPr>
      <w:r w:rsidRPr="00A74CC6">
        <w:rPr>
          <w:lang w:val="sv-SE"/>
        </w:rPr>
        <w:t>Enbart en tillförlitlig och validerad metod ska användas för att påvisa överuttryck eller genamplifiering</w:t>
      </w:r>
      <w:r w:rsidR="00D4684A" w:rsidRPr="00A74CC6">
        <w:rPr>
          <w:lang w:val="sv-SE"/>
        </w:rPr>
        <w:t xml:space="preserve"> av HE</w:t>
      </w:r>
      <w:r w:rsidR="00E47C1F" w:rsidRPr="00A74CC6">
        <w:rPr>
          <w:lang w:val="sv-SE"/>
        </w:rPr>
        <w:t>R</w:t>
      </w:r>
      <w:r w:rsidR="00D4684A" w:rsidRPr="00A74CC6">
        <w:rPr>
          <w:lang w:val="sv-SE"/>
        </w:rPr>
        <w:t>2</w:t>
      </w:r>
      <w:r w:rsidRPr="00A74CC6">
        <w:rPr>
          <w:lang w:val="sv-SE"/>
        </w:rPr>
        <w:t>. Immunhistokemisk (IHC) teknik rekommenderas som den inledande testmetoden och</w:t>
      </w:r>
      <w:r w:rsidR="001327B5" w:rsidRPr="00A74CC6">
        <w:rPr>
          <w:lang w:val="sv-SE"/>
        </w:rPr>
        <w:t>,</w:t>
      </w:r>
      <w:r w:rsidRPr="00A74CC6">
        <w:rPr>
          <w:lang w:val="sv-SE"/>
        </w:rPr>
        <w:t xml:space="preserve"> </w:t>
      </w:r>
      <w:r w:rsidR="00D4684A" w:rsidRPr="00A74CC6">
        <w:rPr>
          <w:lang w:val="sv-SE"/>
        </w:rPr>
        <w:t>när</w:t>
      </w:r>
      <w:r w:rsidRPr="00A74CC6">
        <w:rPr>
          <w:lang w:val="sv-SE"/>
        </w:rPr>
        <w:t xml:space="preserve"> även HER2-genamplifieringsstatus krävs</w:t>
      </w:r>
      <w:r w:rsidR="00E47C1F" w:rsidRPr="00A74CC6">
        <w:rPr>
          <w:lang w:val="sv-SE"/>
        </w:rPr>
        <w:t>,</w:t>
      </w:r>
      <w:r w:rsidRPr="00A74CC6">
        <w:rPr>
          <w:lang w:val="sv-SE"/>
        </w:rPr>
        <w:t xml:space="preserve"> måste antingen silverförstärkt </w:t>
      </w:r>
      <w:r w:rsidRPr="00A74CC6">
        <w:rPr>
          <w:i/>
          <w:lang w:val="sv-SE"/>
        </w:rPr>
        <w:t>in situ</w:t>
      </w:r>
      <w:r w:rsidR="00D4684A" w:rsidRPr="00A74CC6">
        <w:rPr>
          <w:i/>
          <w:lang w:val="sv-SE"/>
        </w:rPr>
        <w:t>-</w:t>
      </w:r>
      <w:r w:rsidRPr="00A74CC6">
        <w:rPr>
          <w:lang w:val="sv-SE"/>
        </w:rPr>
        <w:t xml:space="preserve">hybridisering </w:t>
      </w:r>
      <w:r w:rsidR="001327B5" w:rsidRPr="00A74CC6">
        <w:rPr>
          <w:lang w:val="sv-SE"/>
        </w:rPr>
        <w:t>(</w:t>
      </w:r>
      <w:r w:rsidRPr="00A74CC6">
        <w:rPr>
          <w:lang w:val="sv-SE"/>
        </w:rPr>
        <w:t>SISH</w:t>
      </w:r>
      <w:r w:rsidR="001327B5" w:rsidRPr="00A74CC6">
        <w:rPr>
          <w:lang w:val="sv-SE"/>
        </w:rPr>
        <w:t>)</w:t>
      </w:r>
      <w:r w:rsidRPr="00A74CC6">
        <w:rPr>
          <w:lang w:val="sv-SE"/>
        </w:rPr>
        <w:t xml:space="preserve"> eller FISH-teknik användas. SISH-teknik rekommenderas dock för att möjliggöra en parallell utvärdering av tumörhistologi och morfologi. För att säkerställa validering av testmetoderna och framtagande av noggranna och reproducerbara resultat ska HER2-testerna </w:t>
      </w:r>
      <w:r w:rsidR="00D4684A" w:rsidRPr="00A74CC6">
        <w:rPr>
          <w:lang w:val="sv-SE"/>
        </w:rPr>
        <w:t>ut</w:t>
      </w:r>
      <w:r w:rsidRPr="00A74CC6">
        <w:rPr>
          <w:lang w:val="sv-SE"/>
        </w:rPr>
        <w:t xml:space="preserve">föras i ett laboratorium med erfaren personal. Fullständiga instruktioner om analysutförande och tolkning av resultaten ska </w:t>
      </w:r>
      <w:r w:rsidR="00D4684A" w:rsidRPr="00A74CC6">
        <w:rPr>
          <w:lang w:val="sv-SE"/>
        </w:rPr>
        <w:t>häm</w:t>
      </w:r>
      <w:r w:rsidRPr="00A74CC6">
        <w:rPr>
          <w:lang w:val="sv-SE"/>
        </w:rPr>
        <w:t>tas från produktinformationen som tillhandahålls med de</w:t>
      </w:r>
      <w:r w:rsidR="00B81FC9" w:rsidRPr="00A74CC6">
        <w:rPr>
          <w:lang w:val="sv-SE"/>
        </w:rPr>
        <w:t xml:space="preserve"> HER2</w:t>
      </w:r>
      <w:r w:rsidR="00DE05FF" w:rsidRPr="00A74CC6">
        <w:rPr>
          <w:lang w:val="sv-SE"/>
        </w:rPr>
        <w:t>-</w:t>
      </w:r>
      <w:r w:rsidR="00B81FC9" w:rsidRPr="00A74CC6">
        <w:rPr>
          <w:lang w:val="sv-SE"/>
        </w:rPr>
        <w:t>analysmetoder som används.</w:t>
      </w:r>
    </w:p>
    <w:p w14:paraId="3DBD486F" w14:textId="77777777" w:rsidR="00B81FC9" w:rsidRPr="00A74CC6" w:rsidRDefault="00B81FC9" w:rsidP="002314CE">
      <w:pPr>
        <w:spacing w:after="0" w:line="240" w:lineRule="auto"/>
        <w:ind w:left="0" w:firstLine="0"/>
        <w:contextualSpacing/>
        <w:rPr>
          <w:lang w:val="sv-SE"/>
        </w:rPr>
      </w:pPr>
    </w:p>
    <w:p w14:paraId="2190946E" w14:textId="2AA71206" w:rsidR="005027AB" w:rsidRPr="00A74CC6" w:rsidRDefault="00264096" w:rsidP="002314CE">
      <w:pPr>
        <w:spacing w:after="0" w:line="240" w:lineRule="auto"/>
        <w:ind w:left="0" w:firstLine="0"/>
        <w:contextualSpacing/>
        <w:rPr>
          <w:lang w:val="sv-SE"/>
        </w:rPr>
      </w:pPr>
      <w:r w:rsidRPr="00A74CC6">
        <w:rPr>
          <w:lang w:val="sv-SE"/>
        </w:rPr>
        <w:t>I ToGA-studien (BO18255) definierades patienter vars tumörer antingen var IHC3+ eller FISH</w:t>
      </w:r>
      <w:r w:rsidR="00E47C1F" w:rsidRPr="00A74CC6">
        <w:rPr>
          <w:lang w:val="sv-SE"/>
        </w:rPr>
        <w:t>-</w:t>
      </w:r>
      <w:r w:rsidRPr="00A74CC6">
        <w:rPr>
          <w:lang w:val="sv-SE"/>
        </w:rPr>
        <w:t xml:space="preserve">positiva som HER2-positiva och inkluderades därmed i studien. Baserat på kliniska studieresultat var effekten begränsad till patienter med starkt </w:t>
      </w:r>
      <w:r w:rsidR="00E47C1F" w:rsidRPr="00A74CC6">
        <w:rPr>
          <w:lang w:val="sv-SE"/>
        </w:rPr>
        <w:t xml:space="preserve">överuttryck av </w:t>
      </w:r>
      <w:r w:rsidRPr="00A74CC6">
        <w:rPr>
          <w:lang w:val="sv-SE"/>
        </w:rPr>
        <w:t xml:space="preserve">HER2-protein, klassificerat som 3+ med IHC eller 2+ med IHC </w:t>
      </w:r>
      <w:r w:rsidR="00B81FC9" w:rsidRPr="00A74CC6">
        <w:rPr>
          <w:lang w:val="sv-SE"/>
        </w:rPr>
        <w:t>och ett positivt FISH-resultat.</w:t>
      </w:r>
    </w:p>
    <w:p w14:paraId="429B0C17" w14:textId="77777777" w:rsidR="00B81FC9" w:rsidRPr="00A74CC6" w:rsidRDefault="00B81FC9" w:rsidP="002314CE">
      <w:pPr>
        <w:spacing w:after="0" w:line="240" w:lineRule="auto"/>
        <w:ind w:left="0" w:firstLine="0"/>
        <w:contextualSpacing/>
        <w:rPr>
          <w:lang w:val="sv-SE"/>
        </w:rPr>
      </w:pPr>
    </w:p>
    <w:p w14:paraId="512B96CF" w14:textId="0246B202" w:rsidR="005027AB" w:rsidRPr="00A74CC6" w:rsidRDefault="00264096" w:rsidP="002314CE">
      <w:pPr>
        <w:spacing w:after="0" w:line="240" w:lineRule="auto"/>
        <w:ind w:left="0" w:firstLine="0"/>
        <w:contextualSpacing/>
        <w:rPr>
          <w:lang w:val="sv-SE"/>
        </w:rPr>
      </w:pPr>
      <w:r w:rsidRPr="00A74CC6">
        <w:rPr>
          <w:lang w:val="sv-SE"/>
        </w:rPr>
        <w:t>I en studie som jämförde metoder (studie D008548) observerades en hög grad av samstämmighet (&gt;</w:t>
      </w:r>
      <w:r w:rsidR="00B81FC9" w:rsidRPr="00A74CC6">
        <w:rPr>
          <w:lang w:val="sv-SE"/>
        </w:rPr>
        <w:t> </w:t>
      </w:r>
      <w:r w:rsidRPr="00A74CC6">
        <w:rPr>
          <w:lang w:val="sv-SE"/>
        </w:rPr>
        <w:t>95</w:t>
      </w:r>
      <w:r w:rsidR="00EF53D2" w:rsidRPr="00A74CC6">
        <w:rPr>
          <w:lang w:val="sv-SE"/>
        </w:rPr>
        <w:t> </w:t>
      </w:r>
      <w:r w:rsidRPr="00A74CC6">
        <w:rPr>
          <w:lang w:val="sv-SE"/>
        </w:rPr>
        <w:t xml:space="preserve">%) för SISH- och FISH-teknik </w:t>
      </w:r>
      <w:r w:rsidR="00E47C1F" w:rsidRPr="00A74CC6">
        <w:rPr>
          <w:lang w:val="sv-SE"/>
        </w:rPr>
        <w:t xml:space="preserve">vad avser påvisande av </w:t>
      </w:r>
      <w:r w:rsidRPr="00A74CC6">
        <w:rPr>
          <w:lang w:val="sv-SE"/>
        </w:rPr>
        <w:t>HER2</w:t>
      </w:r>
      <w:r w:rsidR="00E47C1F" w:rsidRPr="00A74CC6">
        <w:rPr>
          <w:lang w:val="sv-SE"/>
        </w:rPr>
        <w:t>-</w:t>
      </w:r>
      <w:r w:rsidRPr="00A74CC6">
        <w:rPr>
          <w:lang w:val="sv-SE"/>
        </w:rPr>
        <w:t>genamplifiering hos patienter med ventrikelcancer.</w:t>
      </w:r>
    </w:p>
    <w:p w14:paraId="104575D8" w14:textId="77777777" w:rsidR="00391CA5" w:rsidRPr="00A74CC6" w:rsidRDefault="00391CA5" w:rsidP="002314CE">
      <w:pPr>
        <w:spacing w:after="0" w:line="240" w:lineRule="auto"/>
        <w:ind w:left="0" w:firstLine="0"/>
        <w:contextualSpacing/>
        <w:rPr>
          <w:lang w:val="sv-SE"/>
        </w:rPr>
      </w:pPr>
    </w:p>
    <w:p w14:paraId="53C68F7F" w14:textId="56C98294" w:rsidR="005027AB" w:rsidRPr="00A74CC6" w:rsidRDefault="00264096" w:rsidP="002314CE">
      <w:pPr>
        <w:spacing w:after="0" w:line="240" w:lineRule="auto"/>
        <w:ind w:left="0" w:firstLine="0"/>
        <w:contextualSpacing/>
        <w:rPr>
          <w:lang w:val="sv-SE"/>
        </w:rPr>
      </w:pPr>
      <w:r w:rsidRPr="00A74CC6">
        <w:rPr>
          <w:lang w:val="sv-SE"/>
        </w:rPr>
        <w:t>HER2</w:t>
      </w:r>
      <w:r w:rsidR="00E47C1F" w:rsidRPr="00A74CC6">
        <w:rPr>
          <w:lang w:val="sv-SE"/>
        </w:rPr>
        <w:t>-</w:t>
      </w:r>
      <w:r w:rsidRPr="00A74CC6">
        <w:rPr>
          <w:lang w:val="sv-SE"/>
        </w:rPr>
        <w:t>överuttryck ska påvisas med en immunhistokemisk</w:t>
      </w:r>
      <w:r w:rsidR="001327B5" w:rsidRPr="00A74CC6">
        <w:rPr>
          <w:lang w:val="sv-SE"/>
        </w:rPr>
        <w:t>t</w:t>
      </w:r>
      <w:r w:rsidRPr="00A74CC6">
        <w:rPr>
          <w:lang w:val="sv-SE"/>
        </w:rPr>
        <w:t xml:space="preserve"> (IHC)</w:t>
      </w:r>
      <w:r w:rsidR="001327B5" w:rsidRPr="00A74CC6">
        <w:rPr>
          <w:lang w:val="sv-SE"/>
        </w:rPr>
        <w:t xml:space="preserve"> </w:t>
      </w:r>
      <w:r w:rsidRPr="00A74CC6">
        <w:rPr>
          <w:lang w:val="sv-SE"/>
        </w:rPr>
        <w:t>baserad teknik på fixerad tumörvävnad. HER2</w:t>
      </w:r>
      <w:r w:rsidR="00E47C1F" w:rsidRPr="00A74CC6">
        <w:rPr>
          <w:lang w:val="sv-SE"/>
        </w:rPr>
        <w:t>-</w:t>
      </w:r>
      <w:r w:rsidRPr="00A74CC6">
        <w:rPr>
          <w:lang w:val="sv-SE"/>
        </w:rPr>
        <w:t xml:space="preserve">genamplifiering ska påvisas med </w:t>
      </w:r>
      <w:r w:rsidRPr="00A74CC6">
        <w:rPr>
          <w:i/>
          <w:lang w:val="sv-SE"/>
        </w:rPr>
        <w:t>in situ</w:t>
      </w:r>
      <w:r w:rsidR="00E47C1F" w:rsidRPr="00A74CC6">
        <w:rPr>
          <w:i/>
          <w:lang w:val="sv-SE"/>
        </w:rPr>
        <w:t>-</w:t>
      </w:r>
      <w:r w:rsidRPr="00A74CC6">
        <w:rPr>
          <w:lang w:val="sv-SE"/>
        </w:rPr>
        <w:t xml:space="preserve">hybridisering </w:t>
      </w:r>
      <w:r w:rsidR="00E47C1F" w:rsidRPr="00A74CC6">
        <w:rPr>
          <w:lang w:val="sv-SE"/>
        </w:rPr>
        <w:t>med</w:t>
      </w:r>
      <w:r w:rsidRPr="00A74CC6">
        <w:rPr>
          <w:lang w:val="sv-SE"/>
        </w:rPr>
        <w:t xml:space="preserve"> </w:t>
      </w:r>
      <w:r w:rsidR="00E47C1F" w:rsidRPr="00A74CC6">
        <w:rPr>
          <w:lang w:val="sv-SE"/>
        </w:rPr>
        <w:t xml:space="preserve">användning av </w:t>
      </w:r>
      <w:r w:rsidRPr="00A74CC6">
        <w:rPr>
          <w:lang w:val="sv-SE"/>
        </w:rPr>
        <w:t>antingen SISH eller FISH på fixerad tumörvävnad.</w:t>
      </w:r>
    </w:p>
    <w:p w14:paraId="037BE58A" w14:textId="77777777" w:rsidR="00B81FC9" w:rsidRPr="00A74CC6" w:rsidRDefault="00B81FC9" w:rsidP="002314CE">
      <w:pPr>
        <w:spacing w:after="0" w:line="240" w:lineRule="auto"/>
        <w:ind w:left="0" w:firstLine="0"/>
        <w:contextualSpacing/>
        <w:rPr>
          <w:lang w:val="sv-SE"/>
        </w:rPr>
      </w:pPr>
    </w:p>
    <w:p w14:paraId="43218FE9" w14:textId="14E367E5" w:rsidR="005027AB" w:rsidRPr="00A74CC6" w:rsidRDefault="00264096" w:rsidP="002314CE">
      <w:pPr>
        <w:keepNext/>
        <w:spacing w:after="0" w:line="240" w:lineRule="auto"/>
        <w:ind w:left="0" w:firstLine="0"/>
        <w:contextualSpacing/>
        <w:rPr>
          <w:lang w:val="sv-SE"/>
        </w:rPr>
      </w:pPr>
      <w:r w:rsidRPr="00A74CC6">
        <w:rPr>
          <w:lang w:val="sv-SE"/>
        </w:rPr>
        <w:t>Den rekommenderade klassificeringen för utvärdering av IHC</w:t>
      </w:r>
      <w:r w:rsidR="00E47C1F" w:rsidRPr="00A74CC6">
        <w:rPr>
          <w:lang w:val="sv-SE"/>
        </w:rPr>
        <w:t>-</w:t>
      </w:r>
      <w:r w:rsidRPr="00A74CC6">
        <w:rPr>
          <w:lang w:val="sv-SE"/>
        </w:rPr>
        <w:t>färgningsmönster sammanfattas i tabell</w:t>
      </w:r>
      <w:r w:rsidR="00E47C1F" w:rsidRPr="00A74CC6">
        <w:rPr>
          <w:lang w:val="sv-SE"/>
        </w:rPr>
        <w:t> </w:t>
      </w:r>
      <w:r w:rsidRPr="00A74CC6">
        <w:rPr>
          <w:lang w:val="sv-SE"/>
        </w:rPr>
        <w:t>3:</w:t>
      </w:r>
    </w:p>
    <w:p w14:paraId="799AC0FF" w14:textId="77777777" w:rsidR="00B81FC9" w:rsidRPr="00A74CC6" w:rsidRDefault="00B81FC9" w:rsidP="002314CE">
      <w:pPr>
        <w:keepNext/>
        <w:spacing w:after="0" w:line="240" w:lineRule="auto"/>
        <w:ind w:left="0" w:firstLine="0"/>
        <w:contextualSpacing/>
        <w:rPr>
          <w:lang w:val="sv-SE"/>
        </w:rPr>
      </w:pPr>
    </w:p>
    <w:p w14:paraId="40EAF14B" w14:textId="1824C7E6" w:rsidR="005027AB" w:rsidRPr="00A74CC6" w:rsidRDefault="00B81FC9" w:rsidP="002314CE">
      <w:pPr>
        <w:keepNext/>
        <w:keepLines/>
        <w:spacing w:after="0" w:line="240" w:lineRule="auto"/>
        <w:ind w:left="0" w:firstLine="0"/>
        <w:contextualSpacing/>
        <w:rPr>
          <w:b/>
          <w:lang w:val="sv-SE"/>
        </w:rPr>
      </w:pPr>
      <w:r w:rsidRPr="00A74CC6">
        <w:rPr>
          <w:b/>
          <w:lang w:val="sv-SE"/>
        </w:rPr>
        <w:t>Tabell</w:t>
      </w:r>
      <w:r w:rsidR="00E47C1F" w:rsidRPr="00A74CC6">
        <w:rPr>
          <w:b/>
          <w:lang w:val="sv-SE"/>
        </w:rPr>
        <w:t> </w:t>
      </w:r>
      <w:r w:rsidRPr="00A74CC6">
        <w:rPr>
          <w:b/>
          <w:lang w:val="sv-SE"/>
        </w:rPr>
        <w:t>3</w:t>
      </w:r>
      <w:r w:rsidR="00293805" w:rsidRPr="00A74CC6">
        <w:rPr>
          <w:b/>
          <w:lang w:val="sv-SE"/>
        </w:rPr>
        <w:t>.</w:t>
      </w:r>
      <w:r w:rsidR="00FB1FF3" w:rsidRPr="00A74CC6">
        <w:rPr>
          <w:b/>
          <w:lang w:val="sv-SE"/>
        </w:rPr>
        <w:t xml:space="preserve"> </w:t>
      </w:r>
      <w:r w:rsidR="00264096" w:rsidRPr="00A74CC6">
        <w:rPr>
          <w:b/>
          <w:lang w:val="sv-SE"/>
        </w:rPr>
        <w:t>Rekommenderat klassificeringssystem för att utvärdera IHC</w:t>
      </w:r>
      <w:r w:rsidR="00E47C1F" w:rsidRPr="00A74CC6">
        <w:rPr>
          <w:b/>
          <w:lang w:val="sv-SE"/>
        </w:rPr>
        <w:t>-</w:t>
      </w:r>
      <w:r w:rsidR="00264096" w:rsidRPr="00A74CC6">
        <w:rPr>
          <w:b/>
          <w:lang w:val="sv-SE"/>
        </w:rPr>
        <w:t>färgningsmönster vid</w:t>
      </w:r>
      <w:r w:rsidR="00E47C1F" w:rsidRPr="00A74CC6">
        <w:rPr>
          <w:b/>
          <w:lang w:val="sv-SE"/>
        </w:rPr>
        <w:t xml:space="preserve"> </w:t>
      </w:r>
      <w:r w:rsidR="00264096" w:rsidRPr="00A74CC6">
        <w:rPr>
          <w:b/>
          <w:lang w:val="sv-SE"/>
        </w:rPr>
        <w:t>ventrikelcancer</w:t>
      </w:r>
    </w:p>
    <w:p w14:paraId="1037B16D" w14:textId="77777777" w:rsidR="00B81FC9" w:rsidRPr="00A74CC6" w:rsidRDefault="00B81FC9" w:rsidP="002314CE">
      <w:pPr>
        <w:keepNext/>
        <w:keepLines/>
        <w:spacing w:after="0" w:line="240" w:lineRule="auto"/>
        <w:ind w:left="0" w:firstLine="0"/>
        <w:contextualSpacing/>
        <w:rPr>
          <w:b/>
          <w:lang w:val="sv-SE"/>
        </w:rPr>
      </w:pPr>
    </w:p>
    <w:tbl>
      <w:tblPr>
        <w:tblW w:w="5032"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6" w:type="dxa"/>
          <w:left w:w="67" w:type="dxa"/>
          <w:right w:w="53" w:type="dxa"/>
        </w:tblCellMar>
        <w:tblLook w:val="04A0" w:firstRow="1" w:lastRow="0" w:firstColumn="1" w:lastColumn="0" w:noHBand="0" w:noVBand="1"/>
      </w:tblPr>
      <w:tblGrid>
        <w:gridCol w:w="1246"/>
        <w:gridCol w:w="2913"/>
        <w:gridCol w:w="3093"/>
        <w:gridCol w:w="1996"/>
      </w:tblGrid>
      <w:tr w:rsidR="00AD14F8" w:rsidRPr="00A74CC6" w14:paraId="526F89E3" w14:textId="77777777" w:rsidTr="004A019F">
        <w:trPr>
          <w:trHeight w:val="369"/>
          <w:tblHeader/>
        </w:trPr>
        <w:tc>
          <w:tcPr>
            <w:tcW w:w="674" w:type="pct"/>
            <w:shd w:val="clear" w:color="auto" w:fill="auto"/>
          </w:tcPr>
          <w:p w14:paraId="439E5AA5" w14:textId="77777777" w:rsidR="005027AB" w:rsidRPr="004A019F" w:rsidRDefault="00264096" w:rsidP="004A019F">
            <w:pPr>
              <w:keepNext/>
              <w:keepLines/>
              <w:spacing w:after="0" w:line="240" w:lineRule="auto"/>
              <w:ind w:left="2" w:firstLine="0"/>
              <w:contextualSpacing/>
              <w:rPr>
                <w:lang w:val="sv-SE"/>
              </w:rPr>
            </w:pPr>
            <w:r w:rsidRPr="004A019F">
              <w:rPr>
                <w:b/>
                <w:lang w:val="sv-SE"/>
              </w:rPr>
              <w:t xml:space="preserve">Gradering </w:t>
            </w:r>
          </w:p>
        </w:tc>
        <w:tc>
          <w:tcPr>
            <w:tcW w:w="1575" w:type="pct"/>
            <w:shd w:val="clear" w:color="auto" w:fill="auto"/>
          </w:tcPr>
          <w:p w14:paraId="2D0840B0" w14:textId="77777777" w:rsidR="005027AB" w:rsidRPr="004A019F" w:rsidRDefault="00264096" w:rsidP="004A019F">
            <w:pPr>
              <w:keepNext/>
              <w:keepLines/>
              <w:spacing w:after="0" w:line="240" w:lineRule="auto"/>
              <w:ind w:left="0" w:firstLine="0"/>
              <w:contextualSpacing/>
              <w:rPr>
                <w:lang w:val="sv-SE"/>
              </w:rPr>
            </w:pPr>
            <w:r w:rsidRPr="004A019F">
              <w:rPr>
                <w:b/>
                <w:lang w:val="sv-SE"/>
              </w:rPr>
              <w:t>Tumörmaterial; färgnings</w:t>
            </w:r>
            <w:r w:rsidR="00DE05FF" w:rsidRPr="004A019F">
              <w:rPr>
                <w:b/>
                <w:lang w:val="sv-SE"/>
              </w:rPr>
              <w:t>-</w:t>
            </w:r>
            <w:r w:rsidRPr="004A019F">
              <w:rPr>
                <w:b/>
                <w:lang w:val="sv-SE"/>
              </w:rPr>
              <w:t>mönster</w:t>
            </w:r>
          </w:p>
        </w:tc>
        <w:tc>
          <w:tcPr>
            <w:tcW w:w="1672" w:type="pct"/>
            <w:shd w:val="clear" w:color="auto" w:fill="auto"/>
          </w:tcPr>
          <w:p w14:paraId="30A66420" w14:textId="77777777" w:rsidR="005027AB" w:rsidRPr="004A019F" w:rsidRDefault="00264096" w:rsidP="004A019F">
            <w:pPr>
              <w:keepNext/>
              <w:keepLines/>
              <w:spacing w:after="0" w:line="240" w:lineRule="auto"/>
              <w:ind w:left="2" w:firstLine="0"/>
              <w:contextualSpacing/>
              <w:rPr>
                <w:lang w:val="sv-SE"/>
              </w:rPr>
            </w:pPr>
            <w:r w:rsidRPr="004A019F">
              <w:rPr>
                <w:b/>
                <w:lang w:val="sv-SE"/>
              </w:rPr>
              <w:t>Biopsimaterial; färgningsmönster</w:t>
            </w:r>
          </w:p>
        </w:tc>
        <w:tc>
          <w:tcPr>
            <w:tcW w:w="1079" w:type="pct"/>
            <w:shd w:val="clear" w:color="auto" w:fill="auto"/>
          </w:tcPr>
          <w:p w14:paraId="316D8AB8" w14:textId="451AE93B" w:rsidR="005027AB" w:rsidRPr="004A019F" w:rsidRDefault="00AE068D" w:rsidP="004A019F">
            <w:pPr>
              <w:keepNext/>
              <w:keepLines/>
              <w:spacing w:after="0" w:line="240" w:lineRule="auto"/>
              <w:ind w:left="2" w:firstLine="0"/>
              <w:contextualSpacing/>
              <w:rPr>
                <w:lang w:val="sv-SE"/>
              </w:rPr>
            </w:pPr>
            <w:r w:rsidRPr="004A019F">
              <w:rPr>
                <w:b/>
                <w:lang w:val="sv-SE"/>
              </w:rPr>
              <w:t xml:space="preserve">Bedömning </w:t>
            </w:r>
            <w:r w:rsidR="00264096" w:rsidRPr="004A019F">
              <w:rPr>
                <w:b/>
                <w:lang w:val="sv-SE"/>
              </w:rPr>
              <w:t>av HER2</w:t>
            </w:r>
            <w:r w:rsidRPr="004A019F">
              <w:rPr>
                <w:b/>
                <w:lang w:val="sv-SE"/>
              </w:rPr>
              <w:t>-</w:t>
            </w:r>
            <w:r w:rsidR="00264096" w:rsidRPr="004A019F">
              <w:rPr>
                <w:b/>
                <w:lang w:val="sv-SE"/>
              </w:rPr>
              <w:t xml:space="preserve">överuttryck </w:t>
            </w:r>
          </w:p>
        </w:tc>
      </w:tr>
      <w:tr w:rsidR="00AD14F8" w:rsidRPr="00A74CC6" w14:paraId="6BCCD700" w14:textId="77777777" w:rsidTr="004A019F">
        <w:trPr>
          <w:trHeight w:val="633"/>
        </w:trPr>
        <w:tc>
          <w:tcPr>
            <w:tcW w:w="674" w:type="pct"/>
            <w:shd w:val="clear" w:color="auto" w:fill="auto"/>
            <w:vAlign w:val="center"/>
          </w:tcPr>
          <w:p w14:paraId="1C09A987" w14:textId="77777777" w:rsidR="005027AB" w:rsidRPr="004A019F" w:rsidRDefault="00264096" w:rsidP="004A019F">
            <w:pPr>
              <w:spacing w:after="0" w:line="240" w:lineRule="auto"/>
              <w:ind w:left="2" w:firstLine="0"/>
              <w:contextualSpacing/>
              <w:rPr>
                <w:lang w:val="sv-SE"/>
              </w:rPr>
            </w:pPr>
            <w:r w:rsidRPr="004A019F">
              <w:rPr>
                <w:lang w:val="sv-SE"/>
              </w:rPr>
              <w:t>0</w:t>
            </w:r>
          </w:p>
        </w:tc>
        <w:tc>
          <w:tcPr>
            <w:tcW w:w="1575" w:type="pct"/>
            <w:shd w:val="clear" w:color="auto" w:fill="auto"/>
          </w:tcPr>
          <w:p w14:paraId="39B94E46" w14:textId="19A53C22" w:rsidR="005027AB" w:rsidRPr="004A019F" w:rsidRDefault="00264096" w:rsidP="004A019F">
            <w:pPr>
              <w:spacing w:after="0" w:line="240" w:lineRule="auto"/>
              <w:ind w:left="0" w:firstLine="0"/>
              <w:contextualSpacing/>
              <w:rPr>
                <w:lang w:val="sv-SE"/>
              </w:rPr>
            </w:pPr>
            <w:r w:rsidRPr="004A019F">
              <w:rPr>
                <w:lang w:val="sv-SE"/>
              </w:rPr>
              <w:t xml:space="preserve">Ingen </w:t>
            </w:r>
            <w:r w:rsidR="00AE068D" w:rsidRPr="004A019F">
              <w:rPr>
                <w:lang w:val="sv-SE"/>
              </w:rPr>
              <w:t>färgning</w:t>
            </w:r>
            <w:r w:rsidRPr="004A019F">
              <w:rPr>
                <w:lang w:val="sv-SE"/>
              </w:rPr>
              <w:t xml:space="preserve"> eller membranfärgning </w:t>
            </w:r>
            <w:r w:rsidR="00B9758B" w:rsidRPr="004A019F">
              <w:rPr>
                <w:lang w:val="sv-SE"/>
              </w:rPr>
              <w:t>hos &lt;</w:t>
            </w:r>
            <w:r w:rsidR="00FB1FF3" w:rsidRPr="004A019F">
              <w:rPr>
                <w:lang w:val="sv-SE"/>
              </w:rPr>
              <w:t> </w:t>
            </w:r>
            <w:r w:rsidRPr="004A019F">
              <w:rPr>
                <w:lang w:val="sv-SE"/>
              </w:rPr>
              <w:t>10</w:t>
            </w:r>
            <w:r w:rsidR="00FB1FF3" w:rsidRPr="004A019F">
              <w:rPr>
                <w:lang w:val="sv-SE"/>
              </w:rPr>
              <w:t> </w:t>
            </w:r>
            <w:r w:rsidRPr="004A019F">
              <w:rPr>
                <w:lang w:val="sv-SE"/>
              </w:rPr>
              <w:t xml:space="preserve">% av cellerna </w:t>
            </w:r>
          </w:p>
        </w:tc>
        <w:tc>
          <w:tcPr>
            <w:tcW w:w="1672" w:type="pct"/>
            <w:shd w:val="clear" w:color="auto" w:fill="auto"/>
          </w:tcPr>
          <w:p w14:paraId="14FCB00B" w14:textId="3BBAF17A" w:rsidR="005027AB" w:rsidRPr="004A019F" w:rsidRDefault="00264096" w:rsidP="004A019F">
            <w:pPr>
              <w:spacing w:after="0" w:line="240" w:lineRule="auto"/>
              <w:ind w:left="2" w:firstLine="0"/>
              <w:contextualSpacing/>
              <w:rPr>
                <w:lang w:val="sv-SE"/>
              </w:rPr>
            </w:pPr>
            <w:r w:rsidRPr="004A019F">
              <w:rPr>
                <w:lang w:val="sv-SE"/>
              </w:rPr>
              <w:t xml:space="preserve">Ingen </w:t>
            </w:r>
            <w:r w:rsidR="00AE068D" w:rsidRPr="004A019F">
              <w:rPr>
                <w:lang w:val="sv-SE"/>
              </w:rPr>
              <w:t>färgning</w:t>
            </w:r>
            <w:r w:rsidRPr="004A019F">
              <w:rPr>
                <w:lang w:val="sv-SE"/>
              </w:rPr>
              <w:t xml:space="preserve"> eller membranfärgning hos några tumörceller</w:t>
            </w:r>
          </w:p>
        </w:tc>
        <w:tc>
          <w:tcPr>
            <w:tcW w:w="1079" w:type="pct"/>
            <w:shd w:val="clear" w:color="auto" w:fill="auto"/>
            <w:vAlign w:val="center"/>
          </w:tcPr>
          <w:p w14:paraId="3CFA5CF4" w14:textId="77777777" w:rsidR="005027AB" w:rsidRPr="004A019F" w:rsidRDefault="00264096" w:rsidP="004A019F">
            <w:pPr>
              <w:spacing w:after="0" w:line="240" w:lineRule="auto"/>
              <w:ind w:left="2" w:firstLine="0"/>
              <w:contextualSpacing/>
              <w:rPr>
                <w:lang w:val="sv-SE"/>
              </w:rPr>
            </w:pPr>
            <w:r w:rsidRPr="004A019F">
              <w:rPr>
                <w:lang w:val="sv-SE"/>
              </w:rPr>
              <w:t>Negativt</w:t>
            </w:r>
          </w:p>
        </w:tc>
      </w:tr>
      <w:tr w:rsidR="00AD14F8" w:rsidRPr="00A74CC6" w14:paraId="773102B4" w14:textId="77777777" w:rsidTr="004A019F">
        <w:trPr>
          <w:trHeight w:val="1536"/>
        </w:trPr>
        <w:tc>
          <w:tcPr>
            <w:tcW w:w="674" w:type="pct"/>
            <w:shd w:val="clear" w:color="auto" w:fill="auto"/>
            <w:vAlign w:val="center"/>
          </w:tcPr>
          <w:p w14:paraId="2C611D74" w14:textId="77777777" w:rsidR="005027AB" w:rsidRPr="004A019F" w:rsidRDefault="00264096" w:rsidP="004A019F">
            <w:pPr>
              <w:spacing w:after="0" w:line="240" w:lineRule="auto"/>
              <w:ind w:left="2" w:firstLine="0"/>
              <w:contextualSpacing/>
              <w:rPr>
                <w:lang w:val="sv-SE"/>
              </w:rPr>
            </w:pPr>
            <w:r w:rsidRPr="004A019F">
              <w:rPr>
                <w:lang w:val="sv-SE"/>
              </w:rPr>
              <w:t>1+</w:t>
            </w:r>
          </w:p>
        </w:tc>
        <w:tc>
          <w:tcPr>
            <w:tcW w:w="1575" w:type="pct"/>
            <w:shd w:val="clear" w:color="auto" w:fill="auto"/>
          </w:tcPr>
          <w:p w14:paraId="24B3A7C2" w14:textId="1395A299" w:rsidR="005027AB" w:rsidRPr="004A019F" w:rsidRDefault="00264096" w:rsidP="004A019F">
            <w:pPr>
              <w:spacing w:after="0" w:line="240" w:lineRule="auto"/>
              <w:ind w:left="0" w:firstLine="0"/>
              <w:contextualSpacing/>
              <w:rPr>
                <w:lang w:val="sv-SE"/>
              </w:rPr>
            </w:pPr>
            <w:r w:rsidRPr="004A019F">
              <w:rPr>
                <w:lang w:val="sv-SE"/>
              </w:rPr>
              <w:t>Knappt märkbar membranfärgning hos ≥</w:t>
            </w:r>
            <w:r w:rsidR="00FB1FF3" w:rsidRPr="004A019F">
              <w:rPr>
                <w:lang w:val="sv-SE"/>
              </w:rPr>
              <w:t> </w:t>
            </w:r>
            <w:r w:rsidRPr="004A019F">
              <w:rPr>
                <w:lang w:val="sv-SE"/>
              </w:rPr>
              <w:t>10</w:t>
            </w:r>
            <w:r w:rsidR="00FB1FF3" w:rsidRPr="004A019F">
              <w:rPr>
                <w:lang w:val="sv-SE"/>
              </w:rPr>
              <w:t> </w:t>
            </w:r>
            <w:r w:rsidRPr="004A019F">
              <w:rPr>
                <w:lang w:val="sv-SE"/>
              </w:rPr>
              <w:t xml:space="preserve">% av tumörcellerna; cellerna är </w:t>
            </w:r>
            <w:r w:rsidR="00AE068D" w:rsidRPr="004A019F">
              <w:rPr>
                <w:lang w:val="sv-SE"/>
              </w:rPr>
              <w:t>endast</w:t>
            </w:r>
            <w:r w:rsidRPr="004A019F">
              <w:rPr>
                <w:lang w:val="sv-SE"/>
              </w:rPr>
              <w:t xml:space="preserve"> delvis färgade på membranet</w:t>
            </w:r>
          </w:p>
        </w:tc>
        <w:tc>
          <w:tcPr>
            <w:tcW w:w="1672" w:type="pct"/>
            <w:shd w:val="clear" w:color="auto" w:fill="auto"/>
          </w:tcPr>
          <w:p w14:paraId="1B37954C" w14:textId="77777777" w:rsidR="00B9758B" w:rsidRPr="004A019F" w:rsidRDefault="00264096" w:rsidP="004A019F">
            <w:pPr>
              <w:spacing w:after="0" w:line="240" w:lineRule="auto"/>
              <w:ind w:left="2" w:firstLine="0"/>
              <w:contextualSpacing/>
              <w:rPr>
                <w:lang w:val="sv-SE"/>
              </w:rPr>
            </w:pPr>
            <w:r w:rsidRPr="004A019F">
              <w:rPr>
                <w:lang w:val="sv-SE"/>
              </w:rPr>
              <w:t xml:space="preserve">Tumörcellskluster med knappt märkbar membranfärgning </w:t>
            </w:r>
          </w:p>
          <w:p w14:paraId="3E673397" w14:textId="6E8B78CF" w:rsidR="005027AB" w:rsidRPr="004A019F" w:rsidRDefault="00264096" w:rsidP="004A019F">
            <w:pPr>
              <w:spacing w:after="0" w:line="240" w:lineRule="auto"/>
              <w:ind w:left="2" w:firstLine="0"/>
              <w:contextualSpacing/>
              <w:rPr>
                <w:lang w:val="sv-SE"/>
              </w:rPr>
            </w:pPr>
            <w:r w:rsidRPr="004A019F">
              <w:rPr>
                <w:lang w:val="sv-SE"/>
              </w:rPr>
              <w:t>oavsett andelen tumörceller som färgats</w:t>
            </w:r>
          </w:p>
        </w:tc>
        <w:tc>
          <w:tcPr>
            <w:tcW w:w="1079" w:type="pct"/>
            <w:shd w:val="clear" w:color="auto" w:fill="auto"/>
            <w:vAlign w:val="center"/>
          </w:tcPr>
          <w:p w14:paraId="1832FD6D" w14:textId="77777777" w:rsidR="005027AB" w:rsidRPr="004A019F" w:rsidRDefault="00264096" w:rsidP="004A019F">
            <w:pPr>
              <w:spacing w:after="0" w:line="240" w:lineRule="auto"/>
              <w:ind w:left="2" w:firstLine="0"/>
              <w:contextualSpacing/>
              <w:rPr>
                <w:lang w:val="sv-SE"/>
              </w:rPr>
            </w:pPr>
            <w:r w:rsidRPr="004A019F">
              <w:rPr>
                <w:lang w:val="sv-SE"/>
              </w:rPr>
              <w:t>Negativt</w:t>
            </w:r>
          </w:p>
        </w:tc>
      </w:tr>
      <w:tr w:rsidR="00AD14F8" w:rsidRPr="00A74CC6" w14:paraId="3827BE64" w14:textId="77777777" w:rsidTr="004A019F">
        <w:trPr>
          <w:trHeight w:val="1286"/>
        </w:trPr>
        <w:tc>
          <w:tcPr>
            <w:tcW w:w="674" w:type="pct"/>
            <w:shd w:val="clear" w:color="auto" w:fill="auto"/>
            <w:vAlign w:val="center"/>
          </w:tcPr>
          <w:p w14:paraId="2E41B7DE" w14:textId="77777777" w:rsidR="005027AB" w:rsidRPr="004A019F" w:rsidRDefault="00264096" w:rsidP="004A019F">
            <w:pPr>
              <w:spacing w:after="0" w:line="240" w:lineRule="auto"/>
              <w:ind w:left="2" w:firstLine="0"/>
              <w:contextualSpacing/>
              <w:rPr>
                <w:lang w:val="sv-SE"/>
              </w:rPr>
            </w:pPr>
            <w:r w:rsidRPr="004A019F">
              <w:rPr>
                <w:lang w:val="sv-SE"/>
              </w:rPr>
              <w:t>2+</w:t>
            </w:r>
          </w:p>
        </w:tc>
        <w:tc>
          <w:tcPr>
            <w:tcW w:w="1575" w:type="pct"/>
            <w:shd w:val="clear" w:color="auto" w:fill="auto"/>
          </w:tcPr>
          <w:p w14:paraId="2A377885" w14:textId="3575F4E3" w:rsidR="005027AB" w:rsidRPr="004A019F" w:rsidRDefault="00264096" w:rsidP="004A019F">
            <w:pPr>
              <w:spacing w:after="0" w:line="240" w:lineRule="auto"/>
              <w:ind w:left="0" w:firstLine="0"/>
              <w:contextualSpacing/>
              <w:rPr>
                <w:lang w:val="sv-SE"/>
              </w:rPr>
            </w:pPr>
            <w:r w:rsidRPr="004A019F">
              <w:rPr>
                <w:lang w:val="sv-SE"/>
              </w:rPr>
              <w:t>Svag till måttlig, komplett basolateral eller lateral membranfärgning hos ≥</w:t>
            </w:r>
            <w:r w:rsidR="00FB1FF3" w:rsidRPr="004A019F">
              <w:rPr>
                <w:lang w:val="sv-SE"/>
              </w:rPr>
              <w:t> </w:t>
            </w:r>
            <w:r w:rsidRPr="004A019F">
              <w:rPr>
                <w:lang w:val="sv-SE"/>
              </w:rPr>
              <w:t>10</w:t>
            </w:r>
            <w:r w:rsidR="00FB1FF3" w:rsidRPr="004A019F">
              <w:rPr>
                <w:lang w:val="sv-SE"/>
              </w:rPr>
              <w:t> </w:t>
            </w:r>
            <w:r w:rsidRPr="004A019F">
              <w:rPr>
                <w:lang w:val="sv-SE"/>
              </w:rPr>
              <w:t>% av tumörcellerna</w:t>
            </w:r>
          </w:p>
        </w:tc>
        <w:tc>
          <w:tcPr>
            <w:tcW w:w="1672" w:type="pct"/>
            <w:shd w:val="clear" w:color="auto" w:fill="auto"/>
          </w:tcPr>
          <w:p w14:paraId="2D175AFD" w14:textId="77777777" w:rsidR="0028247A" w:rsidRPr="004A019F" w:rsidRDefault="00264096" w:rsidP="004A019F">
            <w:pPr>
              <w:spacing w:after="0" w:line="240" w:lineRule="auto"/>
              <w:ind w:left="2" w:firstLine="0"/>
              <w:contextualSpacing/>
              <w:rPr>
                <w:lang w:val="sv-SE"/>
              </w:rPr>
            </w:pPr>
            <w:r w:rsidRPr="004A019F">
              <w:rPr>
                <w:lang w:val="sv-SE"/>
              </w:rPr>
              <w:t xml:space="preserve">Tumörcellskluster med en svag till måttlig, komplett, basolateral eller lateral membranfärgning </w:t>
            </w:r>
          </w:p>
          <w:p w14:paraId="740A5920" w14:textId="094071C0" w:rsidR="005027AB" w:rsidRPr="004A019F" w:rsidRDefault="00264096" w:rsidP="004A019F">
            <w:pPr>
              <w:spacing w:after="0" w:line="240" w:lineRule="auto"/>
              <w:ind w:left="2" w:firstLine="0"/>
              <w:contextualSpacing/>
              <w:rPr>
                <w:lang w:val="sv-SE"/>
              </w:rPr>
            </w:pPr>
            <w:r w:rsidRPr="004A019F">
              <w:rPr>
                <w:lang w:val="sv-SE"/>
              </w:rPr>
              <w:t xml:space="preserve">oavsett andelen tumörceller som färgats </w:t>
            </w:r>
          </w:p>
        </w:tc>
        <w:tc>
          <w:tcPr>
            <w:tcW w:w="1079" w:type="pct"/>
            <w:shd w:val="clear" w:color="auto" w:fill="auto"/>
            <w:vAlign w:val="center"/>
          </w:tcPr>
          <w:p w14:paraId="4C0A09D3" w14:textId="08587898" w:rsidR="005027AB" w:rsidRPr="004A019F" w:rsidRDefault="00E47C1F" w:rsidP="004A019F">
            <w:pPr>
              <w:spacing w:after="0" w:line="240" w:lineRule="auto"/>
              <w:ind w:left="2" w:firstLine="0"/>
              <w:contextualSpacing/>
              <w:rPr>
                <w:lang w:val="sv-SE"/>
              </w:rPr>
            </w:pPr>
            <w:r w:rsidRPr="004A019F">
              <w:rPr>
                <w:lang w:val="sv-SE"/>
              </w:rPr>
              <w:t>Tve</w:t>
            </w:r>
            <w:r w:rsidR="00264096" w:rsidRPr="004A019F">
              <w:rPr>
                <w:lang w:val="sv-SE"/>
              </w:rPr>
              <w:t>tydigt</w:t>
            </w:r>
          </w:p>
        </w:tc>
      </w:tr>
      <w:tr w:rsidR="00AD14F8" w:rsidRPr="00A74CC6" w14:paraId="1119EB68" w14:textId="77777777" w:rsidTr="004A019F">
        <w:trPr>
          <w:trHeight w:val="1284"/>
        </w:trPr>
        <w:tc>
          <w:tcPr>
            <w:tcW w:w="674" w:type="pct"/>
            <w:shd w:val="clear" w:color="auto" w:fill="auto"/>
            <w:vAlign w:val="center"/>
          </w:tcPr>
          <w:p w14:paraId="67BFDAE4" w14:textId="77777777" w:rsidR="005027AB" w:rsidRPr="004A019F" w:rsidRDefault="00264096" w:rsidP="004A019F">
            <w:pPr>
              <w:spacing w:after="0" w:line="240" w:lineRule="auto"/>
              <w:ind w:left="2" w:firstLine="0"/>
              <w:contextualSpacing/>
              <w:rPr>
                <w:lang w:val="sv-SE"/>
              </w:rPr>
            </w:pPr>
            <w:r w:rsidRPr="004A019F">
              <w:rPr>
                <w:lang w:val="sv-SE"/>
              </w:rPr>
              <w:t>3+</w:t>
            </w:r>
          </w:p>
        </w:tc>
        <w:tc>
          <w:tcPr>
            <w:tcW w:w="1575" w:type="pct"/>
            <w:shd w:val="clear" w:color="auto" w:fill="auto"/>
          </w:tcPr>
          <w:p w14:paraId="463D517E" w14:textId="1FA57A51" w:rsidR="005027AB" w:rsidRPr="004A019F" w:rsidRDefault="00264096" w:rsidP="004A019F">
            <w:pPr>
              <w:spacing w:after="0" w:line="240" w:lineRule="auto"/>
              <w:ind w:left="0" w:firstLine="0"/>
              <w:contextualSpacing/>
              <w:rPr>
                <w:lang w:val="sv-SE"/>
              </w:rPr>
            </w:pPr>
            <w:r w:rsidRPr="004A019F">
              <w:rPr>
                <w:lang w:val="sv-SE"/>
              </w:rPr>
              <w:t>Stark, komplett basolateral eller lateral membranfärgning hos ≥</w:t>
            </w:r>
            <w:r w:rsidR="00891B2B" w:rsidRPr="004A019F">
              <w:rPr>
                <w:lang w:val="sv-SE"/>
              </w:rPr>
              <w:t> </w:t>
            </w:r>
            <w:r w:rsidRPr="004A019F">
              <w:rPr>
                <w:lang w:val="sv-SE"/>
              </w:rPr>
              <w:t>10</w:t>
            </w:r>
            <w:r w:rsidR="00FB1FF3" w:rsidRPr="004A019F">
              <w:rPr>
                <w:lang w:val="sv-SE"/>
              </w:rPr>
              <w:t> </w:t>
            </w:r>
            <w:r w:rsidRPr="004A019F">
              <w:rPr>
                <w:lang w:val="sv-SE"/>
              </w:rPr>
              <w:t>% av tumörcellerna</w:t>
            </w:r>
          </w:p>
        </w:tc>
        <w:tc>
          <w:tcPr>
            <w:tcW w:w="1672" w:type="pct"/>
            <w:shd w:val="clear" w:color="auto" w:fill="auto"/>
          </w:tcPr>
          <w:p w14:paraId="396C217F" w14:textId="77777777" w:rsidR="005027AB" w:rsidRPr="004A019F" w:rsidRDefault="00264096" w:rsidP="004A019F">
            <w:pPr>
              <w:spacing w:after="0" w:line="240" w:lineRule="auto"/>
              <w:ind w:left="2" w:firstLine="0"/>
              <w:contextualSpacing/>
              <w:rPr>
                <w:lang w:val="sv-SE"/>
              </w:rPr>
            </w:pPr>
            <w:r w:rsidRPr="004A019F">
              <w:rPr>
                <w:lang w:val="sv-SE"/>
              </w:rPr>
              <w:t xml:space="preserve">Tumörcellskluster med en stark, </w:t>
            </w:r>
          </w:p>
          <w:p w14:paraId="044DCCFF" w14:textId="2A5225D5" w:rsidR="005027AB" w:rsidRPr="004A019F" w:rsidRDefault="00264096" w:rsidP="004A019F">
            <w:pPr>
              <w:spacing w:after="0" w:line="240" w:lineRule="auto"/>
              <w:ind w:left="2" w:firstLine="0"/>
              <w:contextualSpacing/>
              <w:rPr>
                <w:lang w:val="sv-SE"/>
              </w:rPr>
            </w:pPr>
            <w:r w:rsidRPr="004A019F">
              <w:rPr>
                <w:lang w:val="sv-SE"/>
              </w:rPr>
              <w:t xml:space="preserve">komplett, basolateral eller lateral membranfärgning oavsett andelen tumörceller som färgats </w:t>
            </w:r>
          </w:p>
        </w:tc>
        <w:tc>
          <w:tcPr>
            <w:tcW w:w="1079" w:type="pct"/>
            <w:shd w:val="clear" w:color="auto" w:fill="auto"/>
            <w:vAlign w:val="center"/>
          </w:tcPr>
          <w:p w14:paraId="37BE0D88" w14:textId="77777777" w:rsidR="005027AB" w:rsidRPr="004A019F" w:rsidRDefault="00264096" w:rsidP="004A019F">
            <w:pPr>
              <w:spacing w:after="0" w:line="240" w:lineRule="auto"/>
              <w:ind w:left="2" w:firstLine="0"/>
              <w:contextualSpacing/>
              <w:rPr>
                <w:lang w:val="sv-SE"/>
              </w:rPr>
            </w:pPr>
            <w:r w:rsidRPr="004A019F">
              <w:rPr>
                <w:lang w:val="sv-SE"/>
              </w:rPr>
              <w:t>Positivt</w:t>
            </w:r>
          </w:p>
        </w:tc>
      </w:tr>
    </w:tbl>
    <w:p w14:paraId="2A68B5D2" w14:textId="77777777" w:rsidR="00891B2B" w:rsidRPr="00A74CC6" w:rsidRDefault="00891B2B" w:rsidP="002314CE">
      <w:pPr>
        <w:spacing w:after="0" w:line="240" w:lineRule="auto"/>
        <w:ind w:left="0" w:firstLine="0"/>
        <w:contextualSpacing/>
        <w:rPr>
          <w:lang w:val="sv-SE"/>
        </w:rPr>
      </w:pPr>
    </w:p>
    <w:p w14:paraId="0E14063E" w14:textId="2C821CE5" w:rsidR="005027AB" w:rsidRPr="00A74CC6" w:rsidRDefault="00264096" w:rsidP="002314CE">
      <w:pPr>
        <w:spacing w:after="0" w:line="240" w:lineRule="auto"/>
        <w:ind w:left="0" w:firstLine="0"/>
        <w:contextualSpacing/>
        <w:rPr>
          <w:lang w:val="sv-SE"/>
        </w:rPr>
      </w:pPr>
      <w:r w:rsidRPr="00A74CC6">
        <w:rPr>
          <w:lang w:val="sv-SE"/>
        </w:rPr>
        <w:t>I allmänhet bedöms SISH eller FISH vara positivt om kvoten mellan antal</w:t>
      </w:r>
      <w:r w:rsidR="00AE068D" w:rsidRPr="00A74CC6">
        <w:rPr>
          <w:lang w:val="sv-SE"/>
        </w:rPr>
        <w:t>et</w:t>
      </w:r>
      <w:r w:rsidRPr="00A74CC6">
        <w:rPr>
          <w:lang w:val="sv-SE"/>
        </w:rPr>
        <w:t xml:space="preserve"> genkopior av HER2 per tumörcell och antal</w:t>
      </w:r>
      <w:r w:rsidR="00AE068D" w:rsidRPr="00A74CC6">
        <w:rPr>
          <w:lang w:val="sv-SE"/>
        </w:rPr>
        <w:t>et</w:t>
      </w:r>
      <w:r w:rsidRPr="00A74CC6">
        <w:rPr>
          <w:lang w:val="sv-SE"/>
        </w:rPr>
        <w:t xml:space="preserve"> kopior av kromosom</w:t>
      </w:r>
      <w:r w:rsidR="00AE068D" w:rsidRPr="00A74CC6">
        <w:rPr>
          <w:lang w:val="sv-SE"/>
        </w:rPr>
        <w:t> </w:t>
      </w:r>
      <w:r w:rsidRPr="00A74CC6">
        <w:rPr>
          <w:lang w:val="sv-SE"/>
        </w:rPr>
        <w:t>17 är större än eller lika med 2.</w:t>
      </w:r>
    </w:p>
    <w:p w14:paraId="314040E8" w14:textId="77777777" w:rsidR="00891B2B" w:rsidRPr="00A74CC6" w:rsidRDefault="00891B2B" w:rsidP="002314CE">
      <w:pPr>
        <w:pStyle w:val="Heading2"/>
        <w:keepNext w:val="0"/>
        <w:keepLines w:val="0"/>
        <w:spacing w:after="0" w:line="240" w:lineRule="auto"/>
        <w:ind w:left="0" w:firstLine="0"/>
        <w:contextualSpacing/>
        <w:rPr>
          <w:lang w:val="sv-SE"/>
        </w:rPr>
      </w:pPr>
    </w:p>
    <w:p w14:paraId="0906C998" w14:textId="77777777" w:rsidR="005027AB" w:rsidRPr="00A74CC6" w:rsidRDefault="00264096" w:rsidP="002314CE">
      <w:pPr>
        <w:pStyle w:val="Heading2"/>
        <w:spacing w:after="0" w:line="240" w:lineRule="auto"/>
        <w:ind w:left="9"/>
        <w:contextualSpacing/>
        <w:rPr>
          <w:lang w:val="sv-SE"/>
        </w:rPr>
      </w:pPr>
      <w:r w:rsidRPr="00A74CC6">
        <w:rPr>
          <w:lang w:val="sv-SE"/>
        </w:rPr>
        <w:lastRenderedPageBreak/>
        <w:t>Klinisk effekt och säkerhet</w:t>
      </w:r>
    </w:p>
    <w:p w14:paraId="6470805E" w14:textId="77777777" w:rsidR="00891B2B" w:rsidRPr="00A74CC6" w:rsidRDefault="00891B2B" w:rsidP="002314CE">
      <w:pPr>
        <w:pStyle w:val="Heading3"/>
        <w:spacing w:after="0" w:line="240" w:lineRule="auto"/>
        <w:ind w:left="9"/>
        <w:contextualSpacing/>
        <w:rPr>
          <w:lang w:val="sv-SE"/>
        </w:rPr>
      </w:pPr>
    </w:p>
    <w:p w14:paraId="4AF9802C" w14:textId="77777777" w:rsidR="005027AB" w:rsidRPr="00A74CC6" w:rsidRDefault="00264096" w:rsidP="002314CE">
      <w:pPr>
        <w:pStyle w:val="Heading3"/>
        <w:spacing w:after="0" w:line="240" w:lineRule="auto"/>
        <w:ind w:left="9"/>
        <w:contextualSpacing/>
        <w:rPr>
          <w:lang w:val="sv-SE"/>
        </w:rPr>
      </w:pPr>
      <w:r w:rsidRPr="00A74CC6">
        <w:rPr>
          <w:lang w:val="sv-SE"/>
        </w:rPr>
        <w:t>Metastaserad bröstcancer</w:t>
      </w:r>
    </w:p>
    <w:p w14:paraId="60B6F2A5" w14:textId="77777777" w:rsidR="00891B2B" w:rsidRPr="00A74CC6" w:rsidRDefault="00891B2B" w:rsidP="002314CE">
      <w:pPr>
        <w:keepNext/>
        <w:keepLines/>
        <w:spacing w:after="0" w:line="240" w:lineRule="auto"/>
        <w:ind w:left="4" w:right="13"/>
        <w:contextualSpacing/>
        <w:rPr>
          <w:lang w:val="sv-SE"/>
        </w:rPr>
      </w:pPr>
    </w:p>
    <w:p w14:paraId="65879BE6" w14:textId="7F2D7AAC" w:rsidR="005027AB" w:rsidRPr="00A74CC6" w:rsidRDefault="00FB1FF3" w:rsidP="002314CE">
      <w:pPr>
        <w:spacing w:after="0" w:line="240" w:lineRule="auto"/>
        <w:ind w:left="4" w:right="13"/>
        <w:contextualSpacing/>
        <w:rPr>
          <w:lang w:val="sv-SE"/>
        </w:rPr>
      </w:pPr>
      <w:r w:rsidRPr="00A74CC6">
        <w:rPr>
          <w:lang w:val="sv-SE"/>
        </w:rPr>
        <w:t xml:space="preserve">Trastuzumab </w:t>
      </w:r>
      <w:r w:rsidR="00264096" w:rsidRPr="00A74CC6">
        <w:rPr>
          <w:lang w:val="sv-SE"/>
        </w:rPr>
        <w:t xml:space="preserve">har använts i kliniska </w:t>
      </w:r>
      <w:r w:rsidR="00DF6BEC">
        <w:rPr>
          <w:lang w:val="sv-SE"/>
        </w:rPr>
        <w:t>studier</w:t>
      </w:r>
      <w:r w:rsidR="00DF6BEC" w:rsidRPr="00A74CC6">
        <w:rPr>
          <w:lang w:val="sv-SE"/>
        </w:rPr>
        <w:t xml:space="preserve"> </w:t>
      </w:r>
      <w:r w:rsidR="00264096" w:rsidRPr="00A74CC6">
        <w:rPr>
          <w:lang w:val="sv-SE"/>
        </w:rPr>
        <w:t xml:space="preserve">som monoterapi hos patienter med metastaserad bröstcancer som har tumörer som överuttrycker HER2 och som </w:t>
      </w:r>
      <w:r w:rsidR="000E328C" w:rsidRPr="00A74CC6">
        <w:rPr>
          <w:lang w:val="sv-SE"/>
        </w:rPr>
        <w:t xml:space="preserve">har </w:t>
      </w:r>
      <w:r w:rsidR="00264096" w:rsidRPr="00A74CC6">
        <w:rPr>
          <w:lang w:val="sv-SE"/>
        </w:rPr>
        <w:t>sviktat på en eller flera kemoterapier mot sin metastaserade sjukdom (</w:t>
      </w:r>
      <w:r w:rsidRPr="00A74CC6">
        <w:rPr>
          <w:lang w:val="sv-SE"/>
        </w:rPr>
        <w:t xml:space="preserve">trastuzumab </w:t>
      </w:r>
      <w:r w:rsidR="00264096" w:rsidRPr="00A74CC6">
        <w:rPr>
          <w:lang w:val="sv-SE"/>
        </w:rPr>
        <w:t>enbart).</w:t>
      </w:r>
    </w:p>
    <w:p w14:paraId="1E74BF57" w14:textId="77777777" w:rsidR="00891B2B" w:rsidRPr="00A74CC6" w:rsidRDefault="00891B2B" w:rsidP="002314CE">
      <w:pPr>
        <w:spacing w:after="0" w:line="240" w:lineRule="auto"/>
        <w:ind w:left="4" w:right="13"/>
        <w:contextualSpacing/>
        <w:rPr>
          <w:lang w:val="sv-SE"/>
        </w:rPr>
      </w:pPr>
    </w:p>
    <w:p w14:paraId="7FDD3EF3" w14:textId="58181554" w:rsidR="005027AB" w:rsidRPr="00A74CC6" w:rsidRDefault="00FB1FF3" w:rsidP="002314CE">
      <w:pPr>
        <w:spacing w:after="0" w:line="240" w:lineRule="auto"/>
        <w:ind w:left="4" w:right="13"/>
        <w:contextualSpacing/>
        <w:rPr>
          <w:lang w:val="sv-SE"/>
        </w:rPr>
      </w:pPr>
      <w:r w:rsidRPr="00A74CC6">
        <w:rPr>
          <w:lang w:val="sv-SE"/>
        </w:rPr>
        <w:t xml:space="preserve">Trastuzumab </w:t>
      </w:r>
      <w:r w:rsidR="00264096" w:rsidRPr="00A74CC6">
        <w:rPr>
          <w:lang w:val="sv-SE"/>
        </w:rPr>
        <w:t>har också använts i kombination med paklitaxel eller docetaxel för behandling av patienter som ej erhållit kemoterapi mot sin metastaserade sjukdom. Patienter som tidigare behandlats med antracyklinbaserad adjuvant kemoterapi fick paklitaxel (175</w:t>
      </w:r>
      <w:r w:rsidR="00AB315E" w:rsidRPr="00A74CC6">
        <w:rPr>
          <w:lang w:val="sv-SE"/>
        </w:rPr>
        <w:t> </w:t>
      </w:r>
      <w:r w:rsidR="00264096" w:rsidRPr="00A74CC6">
        <w:rPr>
          <w:lang w:val="sv-SE"/>
        </w:rPr>
        <w:t>mg/m</w:t>
      </w:r>
      <w:r w:rsidR="00264096" w:rsidRPr="00A74CC6">
        <w:rPr>
          <w:vertAlign w:val="superscript"/>
          <w:lang w:val="sv-SE"/>
        </w:rPr>
        <w:t>2</w:t>
      </w:r>
      <w:r w:rsidR="00264096" w:rsidRPr="00A74CC6">
        <w:rPr>
          <w:lang w:val="sv-SE"/>
        </w:rPr>
        <w:t xml:space="preserve"> </w:t>
      </w:r>
      <w:r w:rsidR="000E328C" w:rsidRPr="00A74CC6">
        <w:rPr>
          <w:lang w:val="sv-SE"/>
        </w:rPr>
        <w:t>infunderat under</w:t>
      </w:r>
      <w:r w:rsidR="00147106" w:rsidRPr="00A74CC6">
        <w:rPr>
          <w:lang w:val="sv-SE"/>
        </w:rPr>
        <w:t xml:space="preserve"> 3 </w:t>
      </w:r>
      <w:r w:rsidR="00264096" w:rsidRPr="00A74CC6">
        <w:rPr>
          <w:lang w:val="sv-SE"/>
        </w:rPr>
        <w:t xml:space="preserve">timmar) med eller utan </w:t>
      </w:r>
      <w:r w:rsidRPr="00A74CC6">
        <w:rPr>
          <w:lang w:val="sv-SE"/>
        </w:rPr>
        <w:t>trastuzumab</w:t>
      </w:r>
      <w:r w:rsidR="00264096" w:rsidRPr="00A74CC6">
        <w:rPr>
          <w:lang w:val="sv-SE"/>
        </w:rPr>
        <w:t>. I den pivo</w:t>
      </w:r>
      <w:r w:rsidR="00AB315E" w:rsidRPr="00A74CC6">
        <w:rPr>
          <w:lang w:val="sv-SE"/>
        </w:rPr>
        <w:t>tala studien med docetaxel (100 </w:t>
      </w:r>
      <w:r w:rsidR="00264096" w:rsidRPr="00A74CC6">
        <w:rPr>
          <w:lang w:val="sv-SE"/>
        </w:rPr>
        <w:t>mg/m</w:t>
      </w:r>
      <w:r w:rsidR="00264096" w:rsidRPr="00A74CC6">
        <w:rPr>
          <w:vertAlign w:val="superscript"/>
          <w:lang w:val="sv-SE"/>
        </w:rPr>
        <w:t>2</w:t>
      </w:r>
      <w:r w:rsidR="00264096" w:rsidRPr="00A74CC6">
        <w:rPr>
          <w:lang w:val="sv-SE"/>
        </w:rPr>
        <w:t xml:space="preserve"> infunderat under 1</w:t>
      </w:r>
      <w:r w:rsidR="000E328C" w:rsidRPr="00A74CC6">
        <w:rPr>
          <w:lang w:val="sv-SE"/>
        </w:rPr>
        <w:t> </w:t>
      </w:r>
      <w:r w:rsidR="00264096" w:rsidRPr="00A74CC6">
        <w:rPr>
          <w:lang w:val="sv-SE"/>
        </w:rPr>
        <w:t xml:space="preserve">timme) med eller utan </w:t>
      </w:r>
      <w:r w:rsidRPr="00A74CC6">
        <w:rPr>
          <w:lang w:val="sv-SE"/>
        </w:rPr>
        <w:t xml:space="preserve">trastuzumab </w:t>
      </w:r>
      <w:r w:rsidR="00264096" w:rsidRPr="00A74CC6">
        <w:rPr>
          <w:lang w:val="sv-SE"/>
        </w:rPr>
        <w:t>hade 60</w:t>
      </w:r>
      <w:r w:rsidR="00B268E6" w:rsidRPr="00A74CC6">
        <w:rPr>
          <w:lang w:val="sv-SE"/>
        </w:rPr>
        <w:t> %</w:t>
      </w:r>
      <w:r w:rsidR="00264096" w:rsidRPr="00A74CC6">
        <w:rPr>
          <w:lang w:val="sv-SE"/>
        </w:rPr>
        <w:t xml:space="preserve"> av patienterna erhållit tidigare antracyklinbaserad adjuvant kemoterapi. Patienterna behandlades med </w:t>
      </w:r>
      <w:r w:rsidR="004D7E0C" w:rsidRPr="00A74CC6">
        <w:rPr>
          <w:lang w:val="sv-SE"/>
        </w:rPr>
        <w:t xml:space="preserve">trastuzumab </w:t>
      </w:r>
      <w:r w:rsidR="00891B2B" w:rsidRPr="00A74CC6">
        <w:rPr>
          <w:lang w:val="sv-SE"/>
        </w:rPr>
        <w:t>till sjukdomsprogress.</w:t>
      </w:r>
    </w:p>
    <w:p w14:paraId="65C4E204" w14:textId="77777777" w:rsidR="00891B2B" w:rsidRPr="00A74CC6" w:rsidRDefault="00891B2B" w:rsidP="002314CE">
      <w:pPr>
        <w:spacing w:after="0" w:line="240" w:lineRule="auto"/>
        <w:ind w:left="4" w:right="13"/>
        <w:contextualSpacing/>
        <w:rPr>
          <w:lang w:val="sv-SE"/>
        </w:rPr>
      </w:pPr>
    </w:p>
    <w:p w14:paraId="4D1FA977" w14:textId="5B557435" w:rsidR="005027AB" w:rsidRPr="00A74CC6" w:rsidRDefault="00264096" w:rsidP="002314CE">
      <w:pPr>
        <w:spacing w:after="0" w:line="240" w:lineRule="auto"/>
        <w:ind w:left="4" w:right="13"/>
        <w:contextualSpacing/>
        <w:rPr>
          <w:lang w:val="sv-SE"/>
        </w:rPr>
      </w:pPr>
      <w:r w:rsidRPr="00A74CC6">
        <w:rPr>
          <w:lang w:val="sv-SE"/>
        </w:rPr>
        <w:t xml:space="preserve">Effekten av </w:t>
      </w:r>
      <w:r w:rsidR="004D7E0C" w:rsidRPr="00A74CC6">
        <w:rPr>
          <w:lang w:val="sv-SE"/>
        </w:rPr>
        <w:t xml:space="preserve">trastuzumab </w:t>
      </w:r>
      <w:r w:rsidRPr="00A74CC6">
        <w:rPr>
          <w:lang w:val="sv-SE"/>
        </w:rPr>
        <w:t xml:space="preserve">i kombination med paklitaxel hos patienter som ej tidigare erhållit adjuvant antracyklinbehandling har inte studerats. </w:t>
      </w:r>
      <w:r w:rsidR="004D7E0C" w:rsidRPr="00A74CC6">
        <w:rPr>
          <w:lang w:val="sv-SE"/>
        </w:rPr>
        <w:t xml:space="preserve">Trastuzumab </w:t>
      </w:r>
      <w:r w:rsidRPr="00A74CC6">
        <w:rPr>
          <w:lang w:val="sv-SE"/>
        </w:rPr>
        <w:t>plus docetaxel var dock effektiv</w:t>
      </w:r>
      <w:r w:rsidR="000E328C" w:rsidRPr="00A74CC6">
        <w:rPr>
          <w:lang w:val="sv-SE"/>
        </w:rPr>
        <w:t>t</w:t>
      </w:r>
      <w:r w:rsidRPr="00A74CC6">
        <w:rPr>
          <w:lang w:val="sv-SE"/>
        </w:rPr>
        <w:t xml:space="preserve"> hos patienterna vare sig de hade erhållit adjuvant antracyklinbehandling eller ej.</w:t>
      </w:r>
    </w:p>
    <w:p w14:paraId="52B5174A" w14:textId="77777777" w:rsidR="00891B2B" w:rsidRPr="00A74CC6" w:rsidRDefault="00891B2B" w:rsidP="002314CE">
      <w:pPr>
        <w:spacing w:after="0" w:line="240" w:lineRule="auto"/>
        <w:ind w:left="4" w:right="13"/>
        <w:contextualSpacing/>
        <w:rPr>
          <w:lang w:val="sv-SE"/>
        </w:rPr>
      </w:pPr>
    </w:p>
    <w:p w14:paraId="084B62A7" w14:textId="0EC81086" w:rsidR="005027AB" w:rsidRPr="00A74CC6" w:rsidRDefault="00264096" w:rsidP="002314CE">
      <w:pPr>
        <w:spacing w:after="0" w:line="240" w:lineRule="auto"/>
        <w:ind w:left="4" w:right="13"/>
        <w:contextualSpacing/>
        <w:rPr>
          <w:lang w:val="sv-SE"/>
        </w:rPr>
      </w:pPr>
      <w:r w:rsidRPr="00A74CC6">
        <w:rPr>
          <w:lang w:val="sv-SE"/>
        </w:rPr>
        <w:t>Den testmetod för HER2</w:t>
      </w:r>
      <w:r w:rsidR="000E328C" w:rsidRPr="00A74CC6">
        <w:rPr>
          <w:lang w:val="sv-SE"/>
        </w:rPr>
        <w:t>-</w:t>
      </w:r>
      <w:r w:rsidRPr="00A74CC6">
        <w:rPr>
          <w:lang w:val="sv-SE"/>
        </w:rPr>
        <w:t xml:space="preserve">överuttryck som användes för att bestämma </w:t>
      </w:r>
      <w:r w:rsidR="001327B5" w:rsidRPr="00A74CC6">
        <w:rPr>
          <w:lang w:val="sv-SE"/>
        </w:rPr>
        <w:t>om</w:t>
      </w:r>
      <w:r w:rsidRPr="00A74CC6">
        <w:rPr>
          <w:lang w:val="sv-SE"/>
        </w:rPr>
        <w:t xml:space="preserve"> patienter</w:t>
      </w:r>
      <w:r w:rsidR="001327B5" w:rsidRPr="00A74CC6">
        <w:rPr>
          <w:lang w:val="sv-SE"/>
        </w:rPr>
        <w:t xml:space="preserve"> var lämpliga som deltagare</w:t>
      </w:r>
      <w:r w:rsidRPr="00A74CC6">
        <w:rPr>
          <w:lang w:val="sv-SE"/>
        </w:rPr>
        <w:t xml:space="preserve"> i de pivotala kliniska </w:t>
      </w:r>
      <w:r w:rsidR="00DF6BEC">
        <w:rPr>
          <w:lang w:val="sv-SE"/>
        </w:rPr>
        <w:t>studierna</w:t>
      </w:r>
      <w:r w:rsidR="00DF6BEC" w:rsidRPr="00A74CC6">
        <w:rPr>
          <w:lang w:val="sv-SE"/>
        </w:rPr>
        <w:t xml:space="preserve"> </w:t>
      </w:r>
      <w:r w:rsidRPr="00A74CC6">
        <w:rPr>
          <w:lang w:val="sv-SE"/>
        </w:rPr>
        <w:t xml:space="preserve">med </w:t>
      </w:r>
      <w:r w:rsidR="004D7E0C" w:rsidRPr="00A74CC6">
        <w:rPr>
          <w:lang w:val="sv-SE"/>
        </w:rPr>
        <w:t xml:space="preserve">trastuzumab </w:t>
      </w:r>
      <w:r w:rsidRPr="00A74CC6">
        <w:rPr>
          <w:lang w:val="sv-SE"/>
        </w:rPr>
        <w:t xml:space="preserve">som monoterapi och </w:t>
      </w:r>
      <w:r w:rsidR="004D7E0C" w:rsidRPr="00A74CC6">
        <w:rPr>
          <w:lang w:val="sv-SE"/>
        </w:rPr>
        <w:t xml:space="preserve">trastuzumab </w:t>
      </w:r>
      <w:r w:rsidRPr="00A74CC6">
        <w:rPr>
          <w:lang w:val="sv-SE"/>
        </w:rPr>
        <w:t>plus paklitaxel, var immunhistokemisk färgning av HER2 på fixerat material från brösttumörer med användning av de murina monoklonala antikropparna CB11 och 4D5. Dessa vävnader fixerades i formalin eller i Bouins fixeringsmedel. Denna experimentella undersökningsmetod</w:t>
      </w:r>
      <w:r w:rsidR="000E328C" w:rsidRPr="00A74CC6">
        <w:rPr>
          <w:lang w:val="sv-SE"/>
        </w:rPr>
        <w:t>,</w:t>
      </w:r>
      <w:r w:rsidRPr="00A74CC6">
        <w:rPr>
          <w:lang w:val="sv-SE"/>
        </w:rPr>
        <w:t xml:space="preserve"> som genomfördes på ett centralt laboratorium</w:t>
      </w:r>
      <w:r w:rsidR="000E328C" w:rsidRPr="00A74CC6">
        <w:rPr>
          <w:lang w:val="sv-SE"/>
        </w:rPr>
        <w:t>,</w:t>
      </w:r>
      <w:r w:rsidRPr="00A74CC6">
        <w:rPr>
          <w:lang w:val="sv-SE"/>
        </w:rPr>
        <w:t xml:space="preserve"> använde en skala från 0 till 3+. Patienter </w:t>
      </w:r>
      <w:r w:rsidR="000E328C" w:rsidRPr="00A74CC6">
        <w:rPr>
          <w:lang w:val="sv-SE"/>
        </w:rPr>
        <w:t>vars färgning</w:t>
      </w:r>
      <w:r w:rsidRPr="00A74CC6">
        <w:rPr>
          <w:lang w:val="sv-SE"/>
        </w:rPr>
        <w:t xml:space="preserve"> klassificerades som 2+ eller 3+ inkluderades medan de vars färgning var 0 eller 1+ exkluderades. </w:t>
      </w:r>
      <w:r w:rsidR="00BD206D" w:rsidRPr="00A74CC6">
        <w:rPr>
          <w:lang w:val="sv-SE"/>
        </w:rPr>
        <w:t>Hos m</w:t>
      </w:r>
      <w:r w:rsidRPr="00A74CC6">
        <w:rPr>
          <w:lang w:val="sv-SE"/>
        </w:rPr>
        <w:t>er än 70</w:t>
      </w:r>
      <w:r w:rsidR="00B268E6" w:rsidRPr="00A74CC6">
        <w:rPr>
          <w:lang w:val="sv-SE"/>
        </w:rPr>
        <w:t> %</w:t>
      </w:r>
      <w:r w:rsidRPr="00A74CC6">
        <w:rPr>
          <w:lang w:val="sv-SE"/>
        </w:rPr>
        <w:t xml:space="preserve"> av patienterna som inkluderades </w:t>
      </w:r>
      <w:r w:rsidR="00BD206D" w:rsidRPr="00A74CC6">
        <w:rPr>
          <w:lang w:val="sv-SE"/>
        </w:rPr>
        <w:t xml:space="preserve">klassificerades överuttrycket som </w:t>
      </w:r>
      <w:r w:rsidRPr="00A74CC6">
        <w:rPr>
          <w:lang w:val="sv-SE"/>
        </w:rPr>
        <w:t>3+. Data tyder på att nyttan av behandlingen var större bland de patienter som hade högre nivå av överuttryck av HER2 (3+).</w:t>
      </w:r>
    </w:p>
    <w:p w14:paraId="4F14624E" w14:textId="77777777" w:rsidR="00891B2B" w:rsidRPr="00A74CC6" w:rsidRDefault="00891B2B" w:rsidP="002314CE">
      <w:pPr>
        <w:spacing w:after="0" w:line="240" w:lineRule="auto"/>
        <w:ind w:left="4" w:right="13"/>
        <w:contextualSpacing/>
        <w:rPr>
          <w:lang w:val="sv-SE"/>
        </w:rPr>
      </w:pPr>
    </w:p>
    <w:p w14:paraId="5C0C28AB" w14:textId="2C2E97DB" w:rsidR="005027AB" w:rsidRPr="00A74CC6" w:rsidRDefault="00264096" w:rsidP="002314CE">
      <w:pPr>
        <w:spacing w:after="0" w:line="240" w:lineRule="auto"/>
        <w:ind w:left="4" w:right="13"/>
        <w:contextualSpacing/>
        <w:rPr>
          <w:lang w:val="sv-SE"/>
        </w:rPr>
      </w:pPr>
      <w:r w:rsidRPr="00A74CC6">
        <w:rPr>
          <w:lang w:val="sv-SE"/>
        </w:rPr>
        <w:t xml:space="preserve">I den pivotala studien med docetaxel, med eller utan </w:t>
      </w:r>
      <w:r w:rsidR="004D7E0C" w:rsidRPr="00A74CC6">
        <w:rPr>
          <w:lang w:val="sv-SE"/>
        </w:rPr>
        <w:t>trastuzumab</w:t>
      </w:r>
      <w:r w:rsidRPr="00A74CC6">
        <w:rPr>
          <w:lang w:val="sv-SE"/>
        </w:rPr>
        <w:t xml:space="preserve">, </w:t>
      </w:r>
      <w:r w:rsidR="00BD206D" w:rsidRPr="00A74CC6">
        <w:rPr>
          <w:lang w:val="sv-SE"/>
        </w:rPr>
        <w:t xml:space="preserve">användes immunhistokemi som </w:t>
      </w:r>
      <w:r w:rsidRPr="00A74CC6">
        <w:rPr>
          <w:lang w:val="sv-SE"/>
        </w:rPr>
        <w:t>den huvudsakliga testmetoden för att bestämma HER2-positivitetunhistokemi. En minoritet av patienterna testades med fluoresce</w:t>
      </w:r>
      <w:r w:rsidR="00253C7C" w:rsidRPr="00A74CC6">
        <w:rPr>
          <w:lang w:val="sv-SE"/>
        </w:rPr>
        <w:t>rande</w:t>
      </w:r>
      <w:r w:rsidRPr="00A74CC6">
        <w:rPr>
          <w:lang w:val="sv-SE"/>
        </w:rPr>
        <w:t xml:space="preserve"> </w:t>
      </w:r>
      <w:r w:rsidRPr="00A74CC6">
        <w:rPr>
          <w:i/>
          <w:lang w:val="sv-SE"/>
        </w:rPr>
        <w:t>in</w:t>
      </w:r>
      <w:r w:rsidR="00D4502A">
        <w:rPr>
          <w:i/>
          <w:lang w:val="sv-SE"/>
        </w:rPr>
        <w:t xml:space="preserve"> </w:t>
      </w:r>
      <w:r w:rsidRPr="00A74CC6">
        <w:rPr>
          <w:i/>
          <w:lang w:val="sv-SE"/>
        </w:rPr>
        <w:t>situ</w:t>
      </w:r>
      <w:r w:rsidR="00253C7C" w:rsidRPr="00A74CC6">
        <w:rPr>
          <w:i/>
          <w:lang w:val="sv-SE"/>
        </w:rPr>
        <w:t>-</w:t>
      </w:r>
      <w:r w:rsidRPr="00A74CC6">
        <w:rPr>
          <w:lang w:val="sv-SE"/>
        </w:rPr>
        <w:t>hybridisering (FISH). I den</w:t>
      </w:r>
      <w:r w:rsidR="00253C7C" w:rsidRPr="00A74CC6">
        <w:rPr>
          <w:lang w:val="sv-SE"/>
        </w:rPr>
        <w:t>na</w:t>
      </w:r>
      <w:r w:rsidRPr="00A74CC6">
        <w:rPr>
          <w:lang w:val="sv-SE"/>
        </w:rPr>
        <w:t xml:space="preserve"> studie hade 87</w:t>
      </w:r>
      <w:r w:rsidR="00B268E6" w:rsidRPr="00A74CC6">
        <w:rPr>
          <w:lang w:val="sv-SE"/>
        </w:rPr>
        <w:t> %</w:t>
      </w:r>
      <w:r w:rsidRPr="00A74CC6">
        <w:rPr>
          <w:lang w:val="sv-SE"/>
        </w:rPr>
        <w:t xml:space="preserve"> av de inkluderade patienterna sjukdom </w:t>
      </w:r>
      <w:r w:rsidR="00253C7C" w:rsidRPr="00A74CC6">
        <w:rPr>
          <w:lang w:val="sv-SE"/>
        </w:rPr>
        <w:t xml:space="preserve">klassificerad </w:t>
      </w:r>
      <w:r w:rsidRPr="00A74CC6">
        <w:rPr>
          <w:lang w:val="sv-SE"/>
        </w:rPr>
        <w:t>som IHC3+ och 95</w:t>
      </w:r>
      <w:r w:rsidR="00B268E6" w:rsidRPr="00A74CC6">
        <w:rPr>
          <w:lang w:val="sv-SE"/>
        </w:rPr>
        <w:t> %</w:t>
      </w:r>
      <w:r w:rsidRPr="00A74CC6">
        <w:rPr>
          <w:lang w:val="sv-SE"/>
        </w:rPr>
        <w:t xml:space="preserve"> av de inkluderade patienterna </w:t>
      </w:r>
      <w:r w:rsidR="00BD206D" w:rsidRPr="00A74CC6">
        <w:rPr>
          <w:lang w:val="sv-SE"/>
        </w:rPr>
        <w:t xml:space="preserve">hade </w:t>
      </w:r>
      <w:r w:rsidRPr="00A74CC6">
        <w:rPr>
          <w:lang w:val="sv-SE"/>
        </w:rPr>
        <w:t xml:space="preserve">sjukdom </w:t>
      </w:r>
      <w:r w:rsidR="00253C7C" w:rsidRPr="00A74CC6">
        <w:rPr>
          <w:lang w:val="sv-SE"/>
        </w:rPr>
        <w:t xml:space="preserve">klassificerad </w:t>
      </w:r>
      <w:r w:rsidRPr="00A74CC6">
        <w:rPr>
          <w:lang w:val="sv-SE"/>
        </w:rPr>
        <w:t>som IHC3+ och/eller FISH-positiv.</w:t>
      </w:r>
    </w:p>
    <w:p w14:paraId="59811C42" w14:textId="77777777" w:rsidR="00891B2B" w:rsidRPr="00A74CC6" w:rsidRDefault="00891B2B" w:rsidP="002314CE">
      <w:pPr>
        <w:spacing w:after="0" w:line="240" w:lineRule="auto"/>
        <w:ind w:left="4" w:right="13"/>
        <w:contextualSpacing/>
        <w:rPr>
          <w:lang w:val="sv-SE"/>
        </w:rPr>
      </w:pPr>
    </w:p>
    <w:p w14:paraId="4925FEA5" w14:textId="77777777" w:rsidR="005027AB" w:rsidRPr="00A74CC6" w:rsidRDefault="00264096" w:rsidP="002314CE">
      <w:pPr>
        <w:pStyle w:val="Heading4"/>
        <w:spacing w:after="0" w:line="240" w:lineRule="auto"/>
        <w:ind w:left="11" w:hanging="11"/>
        <w:contextualSpacing/>
        <w:rPr>
          <w:lang w:val="sv-SE"/>
        </w:rPr>
      </w:pPr>
      <w:r w:rsidRPr="00A74CC6">
        <w:rPr>
          <w:lang w:val="sv-SE"/>
        </w:rPr>
        <w:t>Veckovis dosering vid metastaserad bröstcancer</w:t>
      </w:r>
    </w:p>
    <w:p w14:paraId="51A6E4A5" w14:textId="1069939B" w:rsidR="005027AB" w:rsidRPr="00A74CC6" w:rsidRDefault="00264096" w:rsidP="002314CE">
      <w:pPr>
        <w:spacing w:after="0" w:line="240" w:lineRule="auto"/>
        <w:ind w:left="4" w:right="13"/>
        <w:contextualSpacing/>
        <w:rPr>
          <w:lang w:val="sv-SE"/>
        </w:rPr>
      </w:pPr>
      <w:r w:rsidRPr="00A74CC6">
        <w:rPr>
          <w:lang w:val="sv-SE"/>
        </w:rPr>
        <w:t>Resultaten av monoterapi- respektive kombinationsstudierna sammanfattas i tabell</w:t>
      </w:r>
      <w:r w:rsidR="00253C7C" w:rsidRPr="00A74CC6">
        <w:rPr>
          <w:lang w:val="sv-SE"/>
        </w:rPr>
        <w:t> </w:t>
      </w:r>
      <w:r w:rsidRPr="00A74CC6">
        <w:rPr>
          <w:lang w:val="sv-SE"/>
        </w:rPr>
        <w:t>4</w:t>
      </w:r>
      <w:r w:rsidR="00B84530">
        <w:rPr>
          <w:lang w:val="sv-SE"/>
        </w:rPr>
        <w:t>.</w:t>
      </w:r>
    </w:p>
    <w:p w14:paraId="0A9E6C94" w14:textId="77777777" w:rsidR="00891B2B" w:rsidRPr="00A74CC6" w:rsidRDefault="00891B2B" w:rsidP="002314CE">
      <w:pPr>
        <w:spacing w:after="0" w:line="240" w:lineRule="auto"/>
        <w:ind w:left="0" w:firstLine="0"/>
        <w:contextualSpacing/>
        <w:rPr>
          <w:lang w:val="sv-SE"/>
        </w:rPr>
      </w:pPr>
    </w:p>
    <w:p w14:paraId="7AB82D0C" w14:textId="3D5062A6" w:rsidR="005027AB" w:rsidRPr="00A74CC6" w:rsidRDefault="00264096" w:rsidP="002314CE">
      <w:pPr>
        <w:keepNext/>
        <w:tabs>
          <w:tab w:val="center" w:pos="3882"/>
        </w:tabs>
        <w:spacing w:after="0" w:line="240" w:lineRule="auto"/>
        <w:ind w:left="0" w:firstLine="0"/>
        <w:contextualSpacing/>
        <w:rPr>
          <w:b/>
          <w:lang w:val="sv-SE"/>
        </w:rPr>
      </w:pPr>
      <w:r w:rsidRPr="00A74CC6">
        <w:rPr>
          <w:b/>
          <w:lang w:val="sv-SE"/>
        </w:rPr>
        <w:t>Tabell</w:t>
      </w:r>
      <w:r w:rsidR="00253C7C" w:rsidRPr="00A74CC6">
        <w:rPr>
          <w:b/>
          <w:lang w:val="sv-SE"/>
        </w:rPr>
        <w:t> </w:t>
      </w:r>
      <w:r w:rsidRPr="00A74CC6">
        <w:rPr>
          <w:b/>
          <w:lang w:val="sv-SE"/>
        </w:rPr>
        <w:t>4</w:t>
      </w:r>
      <w:r w:rsidR="00E1391C" w:rsidRPr="00A74CC6">
        <w:rPr>
          <w:b/>
          <w:lang w:val="sv-SE"/>
        </w:rPr>
        <w:t>.</w:t>
      </w:r>
      <w:r w:rsidR="004D7E0C" w:rsidRPr="00A74CC6">
        <w:rPr>
          <w:b/>
          <w:lang w:val="sv-SE"/>
        </w:rPr>
        <w:t xml:space="preserve"> </w:t>
      </w:r>
      <w:r w:rsidRPr="00A74CC6">
        <w:rPr>
          <w:b/>
          <w:lang w:val="sv-SE"/>
        </w:rPr>
        <w:t>Effektresultat från monoterapi- och kombinationsterapistudier</w:t>
      </w:r>
    </w:p>
    <w:p w14:paraId="06A529E9" w14:textId="77777777" w:rsidR="003C3414" w:rsidRPr="00A74CC6" w:rsidRDefault="003C3414" w:rsidP="002314CE">
      <w:pPr>
        <w:keepNext/>
        <w:tabs>
          <w:tab w:val="center" w:pos="3882"/>
        </w:tabs>
        <w:spacing w:after="0" w:line="240" w:lineRule="auto"/>
        <w:ind w:left="0" w:firstLine="0"/>
        <w:contextualSpacing/>
        <w:rPr>
          <w:b/>
          <w:lang w:val="sv-SE"/>
        </w:rPr>
      </w:pPr>
    </w:p>
    <w:tbl>
      <w:tblPr>
        <w:tblW w:w="5033" w:type="pct"/>
        <w:tblInd w:w="50" w:type="dxa"/>
        <w:tblLayout w:type="fixed"/>
        <w:tblCellMar>
          <w:top w:w="56" w:type="dxa"/>
          <w:left w:w="50" w:type="dxa"/>
          <w:right w:w="4" w:type="dxa"/>
        </w:tblCellMar>
        <w:tblLook w:val="04A0" w:firstRow="1" w:lastRow="0" w:firstColumn="1" w:lastColumn="0" w:noHBand="0" w:noVBand="1"/>
      </w:tblPr>
      <w:tblGrid>
        <w:gridCol w:w="1985"/>
        <w:gridCol w:w="1506"/>
        <w:gridCol w:w="1425"/>
        <w:gridCol w:w="1425"/>
        <w:gridCol w:w="1425"/>
        <w:gridCol w:w="1418"/>
      </w:tblGrid>
      <w:tr w:rsidR="00617807" w:rsidRPr="00A74CC6" w14:paraId="7D0204DD" w14:textId="77777777" w:rsidTr="004A019F">
        <w:trPr>
          <w:trHeight w:val="227"/>
          <w:tblHeader/>
        </w:trPr>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09458F90" w14:textId="77777777" w:rsidR="00617807" w:rsidRPr="004A019F" w:rsidRDefault="00617807" w:rsidP="004A019F">
            <w:pPr>
              <w:keepNext/>
              <w:spacing w:after="0" w:line="240" w:lineRule="auto"/>
              <w:ind w:left="58" w:firstLine="0"/>
              <w:contextualSpacing/>
              <w:rPr>
                <w:lang w:val="sv-SE"/>
              </w:rPr>
            </w:pPr>
            <w:r w:rsidRPr="004A019F">
              <w:rPr>
                <w:b/>
                <w:lang w:val="sv-SE"/>
              </w:rPr>
              <w:t>Parameter</w:t>
            </w:r>
          </w:p>
        </w:tc>
        <w:tc>
          <w:tcPr>
            <w:tcW w:w="820" w:type="pct"/>
            <w:tcBorders>
              <w:top w:val="single" w:sz="4" w:space="0" w:color="000000"/>
              <w:left w:val="single" w:sz="4" w:space="0" w:color="000000"/>
              <w:bottom w:val="single" w:sz="4" w:space="0" w:color="000000"/>
              <w:right w:val="single" w:sz="4" w:space="0" w:color="000000"/>
            </w:tcBorders>
            <w:shd w:val="clear" w:color="auto" w:fill="auto"/>
          </w:tcPr>
          <w:p w14:paraId="4CA13877" w14:textId="77777777" w:rsidR="00617807" w:rsidRPr="004A019F" w:rsidRDefault="00617807" w:rsidP="004A019F">
            <w:pPr>
              <w:keepNext/>
              <w:spacing w:after="0" w:line="240" w:lineRule="auto"/>
              <w:ind w:left="58" w:firstLine="0"/>
              <w:contextualSpacing/>
              <w:rPr>
                <w:lang w:val="sv-SE"/>
              </w:rPr>
            </w:pPr>
            <w:r w:rsidRPr="004A019F">
              <w:rPr>
                <w:b/>
                <w:lang w:val="sv-SE"/>
              </w:rPr>
              <w:t>Monoterapi</w:t>
            </w:r>
          </w:p>
        </w:tc>
        <w:tc>
          <w:tcPr>
            <w:tcW w:w="3100" w:type="pct"/>
            <w:gridSpan w:val="4"/>
            <w:tcBorders>
              <w:top w:val="single" w:sz="4" w:space="0" w:color="000000"/>
              <w:left w:val="single" w:sz="4" w:space="0" w:color="000000"/>
              <w:bottom w:val="single" w:sz="4" w:space="0" w:color="000000"/>
              <w:right w:val="single" w:sz="4" w:space="0" w:color="000000"/>
            </w:tcBorders>
            <w:shd w:val="clear" w:color="auto" w:fill="auto"/>
          </w:tcPr>
          <w:p w14:paraId="60000D10" w14:textId="77777777" w:rsidR="00617807" w:rsidRPr="004A019F" w:rsidRDefault="00617807" w:rsidP="004A019F">
            <w:pPr>
              <w:keepNext/>
              <w:spacing w:after="0" w:line="240" w:lineRule="auto"/>
              <w:ind w:left="0" w:firstLine="0"/>
              <w:contextualSpacing/>
              <w:jc w:val="center"/>
              <w:rPr>
                <w:lang w:val="sv-SE"/>
              </w:rPr>
            </w:pPr>
            <w:r w:rsidRPr="004A019F">
              <w:rPr>
                <w:b/>
                <w:lang w:val="sv-SE"/>
              </w:rPr>
              <w:t>Kombinationsbehandling</w:t>
            </w:r>
          </w:p>
        </w:tc>
      </w:tr>
      <w:tr w:rsidR="00AD14F8" w:rsidRPr="00A74CC6" w14:paraId="27BBD712" w14:textId="77777777" w:rsidTr="004A019F">
        <w:trPr>
          <w:trHeight w:val="662"/>
          <w:tblHeader/>
        </w:trPr>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51817B42" w14:textId="77777777" w:rsidR="005027AB" w:rsidRPr="004A019F" w:rsidRDefault="005027AB" w:rsidP="004A019F">
            <w:pPr>
              <w:spacing w:after="0" w:line="240" w:lineRule="auto"/>
              <w:ind w:left="0" w:firstLine="0"/>
              <w:contextualSpacing/>
              <w:rPr>
                <w:lang w:val="sv-SE"/>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tcPr>
          <w:p w14:paraId="6F627F3F" w14:textId="4FE53CC4" w:rsidR="005027AB" w:rsidRPr="004A019F" w:rsidRDefault="004D7E0C" w:rsidP="004A019F">
            <w:pPr>
              <w:spacing w:after="0" w:line="240" w:lineRule="auto"/>
              <w:ind w:left="0" w:right="46" w:firstLine="0"/>
              <w:contextualSpacing/>
              <w:jc w:val="center"/>
              <w:rPr>
                <w:b/>
                <w:lang w:val="sv-SE"/>
              </w:rPr>
            </w:pPr>
            <w:r w:rsidRPr="004A019F">
              <w:rPr>
                <w:b/>
                <w:lang w:val="sv-SE"/>
              </w:rPr>
              <w:t>Trastuzumab</w:t>
            </w:r>
            <w:r w:rsidR="00264096" w:rsidRPr="004A019F">
              <w:rPr>
                <w:b/>
                <w:vertAlign w:val="superscript"/>
                <w:lang w:val="sv-SE"/>
              </w:rPr>
              <w:t>1</w:t>
            </w:r>
          </w:p>
          <w:p w14:paraId="30B87FC9" w14:textId="20E20910" w:rsidR="005027AB" w:rsidRPr="004A019F" w:rsidRDefault="004D7E0C" w:rsidP="004A019F">
            <w:pPr>
              <w:spacing w:after="0" w:line="240" w:lineRule="auto"/>
              <w:ind w:left="0" w:right="48" w:firstLine="0"/>
              <w:contextualSpacing/>
              <w:jc w:val="center"/>
              <w:rPr>
                <w:lang w:val="sv-SE"/>
              </w:rPr>
            </w:pPr>
            <w:r w:rsidRPr="004A019F">
              <w:rPr>
                <w:b/>
                <w:lang w:val="sv-SE"/>
              </w:rPr>
              <w:t>N </w:t>
            </w:r>
            <w:r w:rsidR="00264096" w:rsidRPr="004A019F">
              <w:rPr>
                <w:b/>
                <w:lang w:val="sv-SE"/>
              </w:rPr>
              <w:t>=</w:t>
            </w:r>
            <w:r w:rsidRPr="004A019F">
              <w:rPr>
                <w:b/>
                <w:lang w:val="sv-SE"/>
              </w:rPr>
              <w:t> </w:t>
            </w:r>
            <w:r w:rsidR="00264096" w:rsidRPr="004A019F">
              <w:rPr>
                <w:b/>
                <w:lang w:val="sv-SE"/>
              </w:rPr>
              <w:t>172</w:t>
            </w: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14:paraId="310B0B13" w14:textId="1A8268C8" w:rsidR="00C27620" w:rsidRPr="004A019F" w:rsidRDefault="004D7E0C" w:rsidP="004A019F">
            <w:pPr>
              <w:spacing w:after="0" w:line="240" w:lineRule="auto"/>
              <w:ind w:left="0" w:firstLine="0"/>
              <w:contextualSpacing/>
              <w:jc w:val="center"/>
              <w:rPr>
                <w:b/>
                <w:vertAlign w:val="superscript"/>
                <w:lang w:val="sv-SE"/>
              </w:rPr>
            </w:pPr>
            <w:r w:rsidRPr="004A019F">
              <w:rPr>
                <w:b/>
                <w:lang w:val="sv-SE"/>
              </w:rPr>
              <w:t xml:space="preserve">Trastuzumab </w:t>
            </w:r>
            <w:r w:rsidR="00264096" w:rsidRPr="004A019F">
              <w:rPr>
                <w:b/>
                <w:lang w:val="sv-SE"/>
              </w:rPr>
              <w:t>plus paklitaxel</w:t>
            </w:r>
            <w:r w:rsidR="00264096" w:rsidRPr="004A019F">
              <w:rPr>
                <w:b/>
                <w:vertAlign w:val="superscript"/>
                <w:lang w:val="sv-SE"/>
              </w:rPr>
              <w:t>2</w:t>
            </w:r>
          </w:p>
          <w:p w14:paraId="0FB4B591" w14:textId="311CBF6F" w:rsidR="005027AB" w:rsidRPr="004A019F" w:rsidRDefault="004D7E0C" w:rsidP="004A019F">
            <w:pPr>
              <w:spacing w:after="0" w:line="240" w:lineRule="auto"/>
              <w:ind w:left="0" w:firstLine="0"/>
              <w:contextualSpacing/>
              <w:jc w:val="center"/>
              <w:rPr>
                <w:lang w:val="sv-SE"/>
              </w:rPr>
            </w:pPr>
            <w:r w:rsidRPr="004A019F">
              <w:rPr>
                <w:b/>
                <w:lang w:val="sv-SE"/>
              </w:rPr>
              <w:t>N </w:t>
            </w:r>
            <w:r w:rsidR="00264096" w:rsidRPr="004A019F">
              <w:rPr>
                <w:b/>
                <w:lang w:val="sv-SE"/>
              </w:rPr>
              <w:t>=</w:t>
            </w:r>
            <w:r w:rsidRPr="004A019F">
              <w:rPr>
                <w:b/>
                <w:lang w:val="sv-SE"/>
              </w:rPr>
              <w:t> </w:t>
            </w:r>
            <w:r w:rsidR="00264096" w:rsidRPr="004A019F">
              <w:rPr>
                <w:b/>
                <w:lang w:val="sv-SE"/>
              </w:rPr>
              <w:t>68</w:t>
            </w: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14:paraId="22A6311A" w14:textId="77777777" w:rsidR="005027AB" w:rsidRPr="004A019F" w:rsidRDefault="00264096" w:rsidP="004A019F">
            <w:pPr>
              <w:spacing w:after="0" w:line="240" w:lineRule="auto"/>
              <w:ind w:left="-50" w:firstLine="0"/>
              <w:contextualSpacing/>
              <w:jc w:val="center"/>
              <w:rPr>
                <w:lang w:val="sv-SE"/>
              </w:rPr>
            </w:pPr>
            <w:r w:rsidRPr="004A019F">
              <w:rPr>
                <w:b/>
                <w:lang w:val="sv-SE"/>
              </w:rPr>
              <w:t>Paklitaxel</w:t>
            </w:r>
            <w:r w:rsidRPr="004A019F">
              <w:rPr>
                <w:b/>
                <w:vertAlign w:val="superscript"/>
                <w:lang w:val="sv-SE"/>
              </w:rPr>
              <w:t>2</w:t>
            </w:r>
          </w:p>
          <w:p w14:paraId="5CB6797A" w14:textId="1D842E6B" w:rsidR="005027AB" w:rsidRPr="004A019F" w:rsidRDefault="004D7E0C" w:rsidP="004A019F">
            <w:pPr>
              <w:spacing w:after="0" w:line="240" w:lineRule="auto"/>
              <w:ind w:left="0" w:right="46" w:firstLine="0"/>
              <w:contextualSpacing/>
              <w:jc w:val="center"/>
              <w:rPr>
                <w:lang w:val="sv-SE"/>
              </w:rPr>
            </w:pPr>
            <w:r w:rsidRPr="004A019F">
              <w:rPr>
                <w:b/>
                <w:lang w:val="sv-SE"/>
              </w:rPr>
              <w:t>N </w:t>
            </w:r>
            <w:r w:rsidR="00264096" w:rsidRPr="004A019F">
              <w:rPr>
                <w:b/>
                <w:lang w:val="sv-SE"/>
              </w:rPr>
              <w:t>=</w:t>
            </w:r>
            <w:r w:rsidRPr="004A019F">
              <w:rPr>
                <w:b/>
                <w:lang w:val="sv-SE"/>
              </w:rPr>
              <w:t> </w:t>
            </w:r>
            <w:r w:rsidR="00264096" w:rsidRPr="004A019F">
              <w:rPr>
                <w:b/>
                <w:lang w:val="sv-SE"/>
              </w:rPr>
              <w:t>77</w:t>
            </w: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14:paraId="5F5F1EA7" w14:textId="4D4D50B6" w:rsidR="00C27620" w:rsidRPr="004A019F" w:rsidRDefault="004D7E0C" w:rsidP="004A019F">
            <w:pPr>
              <w:spacing w:after="0" w:line="240" w:lineRule="auto"/>
              <w:ind w:left="0" w:firstLine="0"/>
              <w:contextualSpacing/>
              <w:jc w:val="center"/>
              <w:rPr>
                <w:b/>
                <w:lang w:val="fr-FR"/>
              </w:rPr>
            </w:pPr>
            <w:r w:rsidRPr="004A019F">
              <w:rPr>
                <w:b/>
                <w:lang w:val="fr-FR"/>
              </w:rPr>
              <w:t>Trastuzumab</w:t>
            </w:r>
            <w:r w:rsidRPr="004A019F">
              <w:rPr>
                <w:lang w:val="fr-FR"/>
              </w:rPr>
              <w:t xml:space="preserve"> </w:t>
            </w:r>
            <w:r w:rsidR="00264096" w:rsidRPr="004A019F">
              <w:rPr>
                <w:b/>
                <w:lang w:val="fr-FR"/>
              </w:rPr>
              <w:t>plus docetaxel</w:t>
            </w:r>
            <w:r w:rsidR="00C27620" w:rsidRPr="004A019F">
              <w:rPr>
                <w:b/>
                <w:vertAlign w:val="superscript"/>
                <w:lang w:val="fr-FR"/>
              </w:rPr>
              <w:t>3</w:t>
            </w:r>
          </w:p>
          <w:p w14:paraId="5F27C4A2" w14:textId="62A4215D" w:rsidR="005027AB" w:rsidRPr="004A019F" w:rsidRDefault="004D7E0C" w:rsidP="004A019F">
            <w:pPr>
              <w:spacing w:after="0" w:line="240" w:lineRule="auto"/>
              <w:ind w:left="0" w:firstLine="0"/>
              <w:contextualSpacing/>
              <w:jc w:val="center"/>
              <w:rPr>
                <w:lang w:val="fr-FR"/>
              </w:rPr>
            </w:pPr>
            <w:r w:rsidRPr="004A019F">
              <w:rPr>
                <w:b/>
                <w:lang w:val="fr-FR"/>
              </w:rPr>
              <w:t>N </w:t>
            </w:r>
            <w:r w:rsidR="00264096" w:rsidRPr="004A019F">
              <w:rPr>
                <w:b/>
                <w:lang w:val="fr-FR"/>
              </w:rPr>
              <w:t>=</w:t>
            </w:r>
            <w:r w:rsidRPr="004A019F">
              <w:rPr>
                <w:b/>
                <w:lang w:val="fr-FR"/>
              </w:rPr>
              <w:t> </w:t>
            </w:r>
            <w:r w:rsidR="00264096" w:rsidRPr="004A019F">
              <w:rPr>
                <w:b/>
                <w:lang w:val="fr-FR"/>
              </w:rPr>
              <w:t>92</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14:paraId="13AF5E22" w14:textId="77777777" w:rsidR="003C3414" w:rsidRPr="004A019F" w:rsidRDefault="00264096" w:rsidP="004A019F">
            <w:pPr>
              <w:spacing w:after="0" w:line="240" w:lineRule="auto"/>
              <w:ind w:left="-49" w:firstLine="0"/>
              <w:contextualSpacing/>
              <w:jc w:val="center"/>
              <w:rPr>
                <w:lang w:val="sv-SE"/>
              </w:rPr>
            </w:pPr>
            <w:r w:rsidRPr="004A019F">
              <w:rPr>
                <w:b/>
                <w:lang w:val="sv-SE"/>
              </w:rPr>
              <w:t>Docetaxel</w:t>
            </w:r>
            <w:r w:rsidRPr="004A019F">
              <w:rPr>
                <w:b/>
                <w:vertAlign w:val="superscript"/>
                <w:lang w:val="sv-SE"/>
              </w:rPr>
              <w:t>3</w:t>
            </w:r>
          </w:p>
          <w:p w14:paraId="49BB0BAD" w14:textId="300CCA77" w:rsidR="005027AB" w:rsidRPr="004A019F" w:rsidRDefault="004D7E0C" w:rsidP="004A019F">
            <w:pPr>
              <w:spacing w:after="0" w:line="240" w:lineRule="auto"/>
              <w:ind w:left="0" w:firstLine="0"/>
              <w:contextualSpacing/>
              <w:jc w:val="center"/>
              <w:rPr>
                <w:lang w:val="sv-SE"/>
              </w:rPr>
            </w:pPr>
            <w:r w:rsidRPr="004A019F">
              <w:rPr>
                <w:b/>
                <w:lang w:val="sv-SE"/>
              </w:rPr>
              <w:t>N </w:t>
            </w:r>
            <w:r w:rsidR="00264096" w:rsidRPr="004A019F">
              <w:rPr>
                <w:b/>
                <w:lang w:val="sv-SE"/>
              </w:rPr>
              <w:t>=</w:t>
            </w:r>
            <w:r w:rsidRPr="004A019F">
              <w:rPr>
                <w:b/>
                <w:lang w:val="sv-SE"/>
              </w:rPr>
              <w:t> </w:t>
            </w:r>
            <w:r w:rsidR="00264096" w:rsidRPr="004A019F">
              <w:rPr>
                <w:b/>
                <w:lang w:val="sv-SE"/>
              </w:rPr>
              <w:t>94</w:t>
            </w:r>
          </w:p>
        </w:tc>
      </w:tr>
      <w:tr w:rsidR="00AD14F8" w:rsidRPr="00A74CC6" w14:paraId="06A4B2DA" w14:textId="77777777" w:rsidTr="004A019F">
        <w:trPr>
          <w:trHeight w:val="510"/>
        </w:trPr>
        <w:tc>
          <w:tcPr>
            <w:tcW w:w="108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C36A49A" w14:textId="75C0047B" w:rsidR="005027AB" w:rsidRPr="004A019F" w:rsidRDefault="00264096" w:rsidP="004A019F">
            <w:pPr>
              <w:spacing w:after="0" w:line="240" w:lineRule="auto"/>
              <w:ind w:left="0" w:firstLine="0"/>
              <w:contextualSpacing/>
              <w:rPr>
                <w:lang w:val="sv-SE"/>
              </w:rPr>
            </w:pPr>
            <w:r w:rsidRPr="004A019F">
              <w:rPr>
                <w:b/>
                <w:lang w:val="sv-SE"/>
              </w:rPr>
              <w:t>Respons (95</w:t>
            </w:r>
            <w:r w:rsidR="004D7E0C" w:rsidRPr="004A019F">
              <w:rPr>
                <w:b/>
                <w:lang w:val="sv-SE"/>
              </w:rPr>
              <w:t> </w:t>
            </w:r>
            <w:r w:rsidRPr="004A019F">
              <w:rPr>
                <w:b/>
                <w:lang w:val="sv-SE"/>
              </w:rPr>
              <w:t>% KI)</w:t>
            </w:r>
          </w:p>
        </w:tc>
        <w:tc>
          <w:tcPr>
            <w:tcW w:w="820" w:type="pct"/>
            <w:tcBorders>
              <w:top w:val="single" w:sz="4" w:space="0" w:color="000000"/>
              <w:left w:val="single" w:sz="4" w:space="0" w:color="000000"/>
              <w:bottom w:val="single" w:sz="4" w:space="0" w:color="000000"/>
              <w:right w:val="single" w:sz="4" w:space="0" w:color="000000"/>
            </w:tcBorders>
            <w:shd w:val="clear" w:color="auto" w:fill="auto"/>
          </w:tcPr>
          <w:p w14:paraId="0755AAB3" w14:textId="6278C6F0" w:rsidR="005027AB" w:rsidRPr="004A019F" w:rsidRDefault="00264096" w:rsidP="004A019F">
            <w:pPr>
              <w:spacing w:after="0" w:line="240" w:lineRule="auto"/>
              <w:ind w:left="0" w:right="47" w:firstLine="0"/>
              <w:contextualSpacing/>
              <w:jc w:val="center"/>
              <w:rPr>
                <w:lang w:val="sv-SE"/>
              </w:rPr>
            </w:pPr>
            <w:r w:rsidRPr="004A019F">
              <w:rPr>
                <w:lang w:val="sv-SE"/>
              </w:rPr>
              <w:t>18</w:t>
            </w:r>
            <w:r w:rsidR="004D7E0C" w:rsidRPr="004A019F">
              <w:rPr>
                <w:lang w:val="sv-SE"/>
              </w:rPr>
              <w:t> </w:t>
            </w:r>
            <w:r w:rsidRPr="004A019F">
              <w:rPr>
                <w:lang w:val="sv-SE"/>
              </w:rPr>
              <w:t>%</w:t>
            </w:r>
          </w:p>
          <w:p w14:paraId="7C824727" w14:textId="700ABEA0" w:rsidR="005027AB" w:rsidRPr="004A019F" w:rsidRDefault="00264096" w:rsidP="004A019F">
            <w:pPr>
              <w:spacing w:after="0" w:line="240" w:lineRule="auto"/>
              <w:ind w:left="0" w:right="49" w:firstLine="0"/>
              <w:contextualSpacing/>
              <w:jc w:val="center"/>
              <w:rPr>
                <w:lang w:val="sv-SE"/>
              </w:rPr>
            </w:pPr>
            <w:r w:rsidRPr="004A019F">
              <w:rPr>
                <w:lang w:val="sv-SE"/>
              </w:rPr>
              <w:t>(13</w:t>
            </w:r>
            <w:r w:rsidR="00DA48BB" w:rsidRPr="004A019F">
              <w:rPr>
                <w:lang w:val="sv-SE"/>
              </w:rPr>
              <w:t xml:space="preserve"> – </w:t>
            </w:r>
            <w:r w:rsidRPr="004A019F">
              <w:rPr>
                <w:lang w:val="sv-SE"/>
              </w:rPr>
              <w:t>25)</w:t>
            </w: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14:paraId="2CF090DD" w14:textId="673FFA2E" w:rsidR="005027AB" w:rsidRPr="004A019F" w:rsidRDefault="00264096" w:rsidP="004A019F">
            <w:pPr>
              <w:spacing w:after="0" w:line="240" w:lineRule="auto"/>
              <w:ind w:left="0" w:right="47" w:firstLine="0"/>
              <w:contextualSpacing/>
              <w:jc w:val="center"/>
              <w:rPr>
                <w:lang w:val="sv-SE"/>
              </w:rPr>
            </w:pPr>
            <w:r w:rsidRPr="004A019F">
              <w:rPr>
                <w:lang w:val="sv-SE"/>
              </w:rPr>
              <w:t>49</w:t>
            </w:r>
            <w:r w:rsidR="004D7E0C" w:rsidRPr="004A019F">
              <w:rPr>
                <w:lang w:val="sv-SE"/>
              </w:rPr>
              <w:t> </w:t>
            </w:r>
            <w:r w:rsidRPr="004A019F">
              <w:rPr>
                <w:lang w:val="sv-SE"/>
              </w:rPr>
              <w:t>%</w:t>
            </w:r>
          </w:p>
          <w:p w14:paraId="23F24521" w14:textId="3773C7AA" w:rsidR="005027AB" w:rsidRPr="004A019F" w:rsidRDefault="00264096" w:rsidP="004A019F">
            <w:pPr>
              <w:spacing w:after="0" w:line="240" w:lineRule="auto"/>
              <w:ind w:left="0" w:right="49" w:firstLine="0"/>
              <w:contextualSpacing/>
              <w:jc w:val="center"/>
              <w:rPr>
                <w:lang w:val="sv-SE"/>
              </w:rPr>
            </w:pPr>
            <w:r w:rsidRPr="004A019F">
              <w:rPr>
                <w:lang w:val="sv-SE"/>
              </w:rPr>
              <w:t>(36</w:t>
            </w:r>
            <w:r w:rsidR="00DA48BB" w:rsidRPr="004A019F">
              <w:rPr>
                <w:lang w:val="sv-SE"/>
              </w:rPr>
              <w:t xml:space="preserve"> – </w:t>
            </w:r>
            <w:r w:rsidRPr="004A019F">
              <w:rPr>
                <w:lang w:val="sv-SE"/>
              </w:rPr>
              <w:t>61)</w:t>
            </w: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14:paraId="2052CA79" w14:textId="6FBF9681" w:rsidR="005027AB" w:rsidRPr="004A019F" w:rsidRDefault="00264096" w:rsidP="004A019F">
            <w:pPr>
              <w:spacing w:after="0" w:line="240" w:lineRule="auto"/>
              <w:ind w:left="0" w:right="44" w:firstLine="0"/>
              <w:contextualSpacing/>
              <w:jc w:val="center"/>
              <w:rPr>
                <w:lang w:val="sv-SE"/>
              </w:rPr>
            </w:pPr>
            <w:r w:rsidRPr="004A019F">
              <w:rPr>
                <w:lang w:val="sv-SE"/>
              </w:rPr>
              <w:t>17</w:t>
            </w:r>
            <w:r w:rsidR="004D7E0C" w:rsidRPr="004A019F">
              <w:rPr>
                <w:lang w:val="sv-SE"/>
              </w:rPr>
              <w:t> </w:t>
            </w:r>
            <w:r w:rsidRPr="004A019F">
              <w:rPr>
                <w:lang w:val="sv-SE"/>
              </w:rPr>
              <w:t>%</w:t>
            </w:r>
          </w:p>
          <w:p w14:paraId="232E4260" w14:textId="56D15BF6" w:rsidR="005027AB" w:rsidRPr="004A019F" w:rsidRDefault="00264096" w:rsidP="004A019F">
            <w:pPr>
              <w:spacing w:after="0" w:line="240" w:lineRule="auto"/>
              <w:ind w:left="0" w:right="47" w:firstLine="0"/>
              <w:contextualSpacing/>
              <w:jc w:val="center"/>
              <w:rPr>
                <w:lang w:val="sv-SE"/>
              </w:rPr>
            </w:pPr>
            <w:r w:rsidRPr="004A019F">
              <w:rPr>
                <w:lang w:val="sv-SE"/>
              </w:rPr>
              <w:t>(9</w:t>
            </w:r>
            <w:r w:rsidR="00DA48BB" w:rsidRPr="004A019F">
              <w:rPr>
                <w:lang w:val="sv-SE"/>
              </w:rPr>
              <w:t xml:space="preserve"> – </w:t>
            </w:r>
            <w:r w:rsidRPr="004A019F">
              <w:rPr>
                <w:lang w:val="sv-SE"/>
              </w:rPr>
              <w:t>27)</w:t>
            </w: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14:paraId="40B51C1D" w14:textId="38C1C66F" w:rsidR="005027AB" w:rsidRPr="004A019F" w:rsidRDefault="00264096" w:rsidP="004A019F">
            <w:pPr>
              <w:spacing w:after="0" w:line="240" w:lineRule="auto"/>
              <w:ind w:left="0" w:right="47" w:firstLine="0"/>
              <w:contextualSpacing/>
              <w:jc w:val="center"/>
              <w:rPr>
                <w:lang w:val="sv-SE"/>
              </w:rPr>
            </w:pPr>
            <w:r w:rsidRPr="004A019F">
              <w:rPr>
                <w:lang w:val="sv-SE"/>
              </w:rPr>
              <w:t>61</w:t>
            </w:r>
            <w:r w:rsidR="004D7E0C" w:rsidRPr="004A019F">
              <w:rPr>
                <w:lang w:val="sv-SE"/>
              </w:rPr>
              <w:t> </w:t>
            </w:r>
            <w:r w:rsidRPr="004A019F">
              <w:rPr>
                <w:lang w:val="sv-SE"/>
              </w:rPr>
              <w:t>%</w:t>
            </w:r>
          </w:p>
          <w:p w14:paraId="7F046A0F" w14:textId="5A48F913" w:rsidR="005027AB" w:rsidRPr="004A019F" w:rsidRDefault="00264096" w:rsidP="004A019F">
            <w:pPr>
              <w:spacing w:after="0" w:line="240" w:lineRule="auto"/>
              <w:ind w:left="0" w:right="49" w:firstLine="0"/>
              <w:contextualSpacing/>
              <w:jc w:val="center"/>
              <w:rPr>
                <w:lang w:val="sv-SE"/>
              </w:rPr>
            </w:pPr>
            <w:r w:rsidRPr="004A019F">
              <w:rPr>
                <w:lang w:val="sv-SE"/>
              </w:rPr>
              <w:t>(50</w:t>
            </w:r>
            <w:r w:rsidR="00DA48BB" w:rsidRPr="004A019F">
              <w:rPr>
                <w:lang w:val="sv-SE"/>
              </w:rPr>
              <w:t xml:space="preserve"> – </w:t>
            </w:r>
            <w:r w:rsidRPr="004A019F">
              <w:rPr>
                <w:lang w:val="sv-SE"/>
              </w:rPr>
              <w:t>71)</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14:paraId="6765C65F" w14:textId="3C8828CA" w:rsidR="005027AB" w:rsidRPr="004A019F" w:rsidRDefault="00264096" w:rsidP="004A019F">
            <w:pPr>
              <w:spacing w:after="0" w:line="240" w:lineRule="auto"/>
              <w:ind w:left="0" w:right="49" w:firstLine="0"/>
              <w:contextualSpacing/>
              <w:jc w:val="center"/>
              <w:rPr>
                <w:lang w:val="sv-SE"/>
              </w:rPr>
            </w:pPr>
            <w:r w:rsidRPr="004A019F">
              <w:rPr>
                <w:lang w:val="sv-SE"/>
              </w:rPr>
              <w:t>34</w:t>
            </w:r>
            <w:r w:rsidR="004D7E0C" w:rsidRPr="004A019F">
              <w:rPr>
                <w:lang w:val="sv-SE"/>
              </w:rPr>
              <w:t> </w:t>
            </w:r>
            <w:r w:rsidRPr="004A019F">
              <w:rPr>
                <w:lang w:val="sv-SE"/>
              </w:rPr>
              <w:t>%</w:t>
            </w:r>
          </w:p>
          <w:p w14:paraId="46780D58" w14:textId="5705F9FB" w:rsidR="005027AB" w:rsidRPr="004A019F" w:rsidRDefault="00264096" w:rsidP="004A019F">
            <w:pPr>
              <w:spacing w:after="0" w:line="240" w:lineRule="auto"/>
              <w:ind w:left="0" w:right="52" w:firstLine="0"/>
              <w:contextualSpacing/>
              <w:jc w:val="center"/>
              <w:rPr>
                <w:lang w:val="sv-SE"/>
              </w:rPr>
            </w:pPr>
            <w:r w:rsidRPr="004A019F">
              <w:rPr>
                <w:lang w:val="sv-SE"/>
              </w:rPr>
              <w:t>(25</w:t>
            </w:r>
            <w:r w:rsidR="00DA48BB" w:rsidRPr="004A019F">
              <w:rPr>
                <w:lang w:val="sv-SE"/>
              </w:rPr>
              <w:t xml:space="preserve"> – </w:t>
            </w:r>
            <w:r w:rsidRPr="004A019F">
              <w:rPr>
                <w:lang w:val="sv-SE"/>
              </w:rPr>
              <w:t>45)</w:t>
            </w:r>
          </w:p>
        </w:tc>
      </w:tr>
      <w:tr w:rsidR="00AD14F8" w:rsidRPr="00A74CC6" w14:paraId="46601436" w14:textId="77777777" w:rsidTr="004A019F">
        <w:trPr>
          <w:trHeight w:val="737"/>
        </w:trPr>
        <w:tc>
          <w:tcPr>
            <w:tcW w:w="108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3DF39B0" w14:textId="3D3A86EA" w:rsidR="005027AB" w:rsidRPr="004A019F" w:rsidRDefault="00264096" w:rsidP="004A019F">
            <w:pPr>
              <w:spacing w:after="0" w:line="240" w:lineRule="auto"/>
              <w:ind w:left="0" w:firstLine="0"/>
              <w:contextualSpacing/>
              <w:rPr>
                <w:lang w:val="sv-SE"/>
              </w:rPr>
            </w:pPr>
            <w:r w:rsidRPr="004A019F">
              <w:rPr>
                <w:b/>
                <w:lang w:val="sv-SE"/>
              </w:rPr>
              <w:t>Medianvaraktighet av respons (månader) (95</w:t>
            </w:r>
            <w:r w:rsidR="004D7E0C" w:rsidRPr="004A019F">
              <w:rPr>
                <w:b/>
                <w:lang w:val="sv-SE"/>
              </w:rPr>
              <w:t> </w:t>
            </w:r>
            <w:r w:rsidRPr="004A019F">
              <w:rPr>
                <w:b/>
                <w:lang w:val="sv-SE"/>
              </w:rPr>
              <w:t>% KI)</w:t>
            </w:r>
          </w:p>
        </w:tc>
        <w:tc>
          <w:tcPr>
            <w:tcW w:w="820" w:type="pct"/>
            <w:tcBorders>
              <w:top w:val="single" w:sz="4" w:space="0" w:color="000000"/>
              <w:left w:val="single" w:sz="4" w:space="0" w:color="000000"/>
              <w:bottom w:val="single" w:sz="4" w:space="0" w:color="000000"/>
              <w:right w:val="single" w:sz="4" w:space="0" w:color="000000"/>
            </w:tcBorders>
            <w:shd w:val="clear" w:color="auto" w:fill="auto"/>
          </w:tcPr>
          <w:p w14:paraId="35B50674" w14:textId="77777777" w:rsidR="005027AB" w:rsidRPr="004A019F" w:rsidRDefault="00264096" w:rsidP="004A019F">
            <w:pPr>
              <w:spacing w:after="0" w:line="240" w:lineRule="auto"/>
              <w:ind w:left="0" w:right="48" w:firstLine="0"/>
              <w:contextualSpacing/>
              <w:jc w:val="center"/>
              <w:rPr>
                <w:lang w:val="sv-SE"/>
              </w:rPr>
            </w:pPr>
            <w:r w:rsidRPr="004A019F">
              <w:rPr>
                <w:lang w:val="sv-SE"/>
              </w:rPr>
              <w:t>9,1</w:t>
            </w:r>
          </w:p>
          <w:p w14:paraId="7CC57118" w14:textId="5A60A3A2" w:rsidR="005027AB" w:rsidRPr="004A019F" w:rsidRDefault="00264096" w:rsidP="004A019F">
            <w:pPr>
              <w:spacing w:after="0" w:line="240" w:lineRule="auto"/>
              <w:ind w:left="0" w:right="47" w:firstLine="0"/>
              <w:contextualSpacing/>
              <w:jc w:val="center"/>
              <w:rPr>
                <w:lang w:val="sv-SE"/>
              </w:rPr>
            </w:pPr>
            <w:r w:rsidRPr="004A019F">
              <w:rPr>
                <w:lang w:val="sv-SE"/>
              </w:rPr>
              <w:t>(5,6</w:t>
            </w:r>
            <w:r w:rsidR="00DA48BB" w:rsidRPr="004A019F">
              <w:rPr>
                <w:lang w:val="sv-SE"/>
              </w:rPr>
              <w:t xml:space="preserve"> – </w:t>
            </w:r>
            <w:r w:rsidRPr="004A019F">
              <w:rPr>
                <w:lang w:val="sv-SE"/>
              </w:rPr>
              <w:t>10,3)</w:t>
            </w: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14:paraId="3D90A792" w14:textId="77777777" w:rsidR="005027AB" w:rsidRPr="004A019F" w:rsidRDefault="00264096" w:rsidP="004A019F">
            <w:pPr>
              <w:spacing w:after="0" w:line="240" w:lineRule="auto"/>
              <w:ind w:left="0" w:right="48" w:firstLine="0"/>
              <w:contextualSpacing/>
              <w:jc w:val="center"/>
              <w:rPr>
                <w:lang w:val="sv-SE"/>
              </w:rPr>
            </w:pPr>
            <w:r w:rsidRPr="004A019F">
              <w:rPr>
                <w:lang w:val="sv-SE"/>
              </w:rPr>
              <w:t>8,3</w:t>
            </w:r>
          </w:p>
          <w:p w14:paraId="71795DA2" w14:textId="5A875CEA" w:rsidR="005027AB" w:rsidRPr="004A019F" w:rsidRDefault="00264096" w:rsidP="004A019F">
            <w:pPr>
              <w:spacing w:after="0" w:line="240" w:lineRule="auto"/>
              <w:ind w:left="0" w:right="49" w:firstLine="0"/>
              <w:contextualSpacing/>
              <w:jc w:val="center"/>
              <w:rPr>
                <w:lang w:val="sv-SE"/>
              </w:rPr>
            </w:pPr>
            <w:r w:rsidRPr="004A019F">
              <w:rPr>
                <w:lang w:val="sv-SE"/>
              </w:rPr>
              <w:t>(7,3</w:t>
            </w:r>
            <w:r w:rsidR="00DA48BB" w:rsidRPr="004A019F">
              <w:rPr>
                <w:lang w:val="sv-SE"/>
              </w:rPr>
              <w:t xml:space="preserve"> – </w:t>
            </w:r>
            <w:r w:rsidRPr="004A019F">
              <w:rPr>
                <w:lang w:val="sv-SE"/>
              </w:rPr>
              <w:t>8,8)</w:t>
            </w: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14:paraId="580A08A3" w14:textId="77777777" w:rsidR="005027AB" w:rsidRPr="004A019F" w:rsidRDefault="00264096" w:rsidP="004A019F">
            <w:pPr>
              <w:spacing w:after="0" w:line="240" w:lineRule="auto"/>
              <w:ind w:left="0" w:right="46" w:firstLine="0"/>
              <w:contextualSpacing/>
              <w:jc w:val="center"/>
              <w:rPr>
                <w:lang w:val="sv-SE"/>
              </w:rPr>
            </w:pPr>
            <w:r w:rsidRPr="004A019F">
              <w:rPr>
                <w:lang w:val="sv-SE"/>
              </w:rPr>
              <w:t>4,6</w:t>
            </w:r>
          </w:p>
          <w:p w14:paraId="13FA2790" w14:textId="0A92CFC7" w:rsidR="005027AB" w:rsidRPr="004A019F" w:rsidRDefault="00264096" w:rsidP="004A019F">
            <w:pPr>
              <w:spacing w:after="0" w:line="240" w:lineRule="auto"/>
              <w:ind w:left="0" w:right="47" w:firstLine="0"/>
              <w:contextualSpacing/>
              <w:jc w:val="center"/>
              <w:rPr>
                <w:lang w:val="sv-SE"/>
              </w:rPr>
            </w:pPr>
            <w:r w:rsidRPr="004A019F">
              <w:rPr>
                <w:lang w:val="sv-SE"/>
              </w:rPr>
              <w:t>(3,7</w:t>
            </w:r>
            <w:r w:rsidR="00DA48BB" w:rsidRPr="004A019F">
              <w:rPr>
                <w:lang w:val="sv-SE"/>
              </w:rPr>
              <w:t xml:space="preserve"> – </w:t>
            </w:r>
            <w:r w:rsidRPr="004A019F">
              <w:rPr>
                <w:lang w:val="sv-SE"/>
              </w:rPr>
              <w:t>7,4)</w:t>
            </w: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14:paraId="7ECC8AB0" w14:textId="77777777" w:rsidR="005027AB" w:rsidRPr="004A019F" w:rsidRDefault="00264096" w:rsidP="004A019F">
            <w:pPr>
              <w:spacing w:after="0" w:line="240" w:lineRule="auto"/>
              <w:ind w:left="0" w:right="48" w:firstLine="0"/>
              <w:contextualSpacing/>
              <w:jc w:val="center"/>
              <w:rPr>
                <w:lang w:val="sv-SE"/>
              </w:rPr>
            </w:pPr>
            <w:r w:rsidRPr="004A019F">
              <w:rPr>
                <w:lang w:val="sv-SE"/>
              </w:rPr>
              <w:t>11,7</w:t>
            </w:r>
          </w:p>
          <w:p w14:paraId="07F177CE" w14:textId="60CC04E5" w:rsidR="005027AB" w:rsidRPr="004A019F" w:rsidRDefault="00264096" w:rsidP="004A019F">
            <w:pPr>
              <w:spacing w:after="0" w:line="240" w:lineRule="auto"/>
              <w:ind w:left="89" w:firstLine="0"/>
              <w:contextualSpacing/>
              <w:jc w:val="center"/>
              <w:rPr>
                <w:lang w:val="sv-SE"/>
              </w:rPr>
            </w:pPr>
            <w:r w:rsidRPr="004A019F">
              <w:rPr>
                <w:lang w:val="sv-SE"/>
              </w:rPr>
              <w:t>(9,3</w:t>
            </w:r>
            <w:r w:rsidR="00DA48BB" w:rsidRPr="004A019F">
              <w:rPr>
                <w:lang w:val="sv-SE"/>
              </w:rPr>
              <w:t xml:space="preserve"> – </w:t>
            </w:r>
            <w:r w:rsidRPr="004A019F">
              <w:rPr>
                <w:lang w:val="sv-SE"/>
              </w:rPr>
              <w:t>15,0)</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14:paraId="558DC2AC" w14:textId="77777777" w:rsidR="005027AB" w:rsidRPr="004A019F" w:rsidRDefault="00264096" w:rsidP="004A019F">
            <w:pPr>
              <w:spacing w:after="0" w:line="240" w:lineRule="auto"/>
              <w:ind w:left="0" w:right="51" w:firstLine="0"/>
              <w:contextualSpacing/>
              <w:jc w:val="center"/>
              <w:rPr>
                <w:lang w:val="sv-SE"/>
              </w:rPr>
            </w:pPr>
            <w:r w:rsidRPr="004A019F">
              <w:rPr>
                <w:lang w:val="sv-SE"/>
              </w:rPr>
              <w:t>5,7</w:t>
            </w:r>
          </w:p>
          <w:p w14:paraId="3A721A19" w14:textId="31E7FE80" w:rsidR="005027AB" w:rsidRPr="004A019F" w:rsidRDefault="00264096" w:rsidP="004A019F">
            <w:pPr>
              <w:spacing w:after="0" w:line="240" w:lineRule="auto"/>
              <w:ind w:left="0" w:right="52" w:firstLine="0"/>
              <w:contextualSpacing/>
              <w:jc w:val="center"/>
              <w:rPr>
                <w:lang w:val="sv-SE"/>
              </w:rPr>
            </w:pPr>
            <w:r w:rsidRPr="004A019F">
              <w:rPr>
                <w:lang w:val="sv-SE"/>
              </w:rPr>
              <w:t>(4,6</w:t>
            </w:r>
            <w:r w:rsidR="00DA48BB" w:rsidRPr="004A019F">
              <w:rPr>
                <w:lang w:val="sv-SE"/>
              </w:rPr>
              <w:t xml:space="preserve"> – </w:t>
            </w:r>
            <w:r w:rsidRPr="004A019F">
              <w:rPr>
                <w:lang w:val="sv-SE"/>
              </w:rPr>
              <w:t>7,6)</w:t>
            </w:r>
          </w:p>
        </w:tc>
      </w:tr>
      <w:tr w:rsidR="00AD14F8" w:rsidRPr="00A74CC6" w14:paraId="06DAD18E" w14:textId="77777777" w:rsidTr="004A019F">
        <w:trPr>
          <w:trHeight w:val="510"/>
        </w:trPr>
        <w:tc>
          <w:tcPr>
            <w:tcW w:w="108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EF4415E" w14:textId="2C884913" w:rsidR="005027AB" w:rsidRPr="004A019F" w:rsidRDefault="00264096" w:rsidP="004A019F">
            <w:pPr>
              <w:spacing w:after="0" w:line="240" w:lineRule="auto"/>
              <w:ind w:left="0" w:firstLine="0"/>
              <w:contextualSpacing/>
              <w:rPr>
                <w:lang w:val="sv-SE"/>
              </w:rPr>
            </w:pPr>
            <w:r w:rsidRPr="004A019F">
              <w:rPr>
                <w:b/>
                <w:lang w:val="sv-SE"/>
              </w:rPr>
              <w:t>Median</w:t>
            </w:r>
            <w:r w:rsidR="00253C7C" w:rsidRPr="004A019F">
              <w:rPr>
                <w:b/>
                <w:lang w:val="sv-SE"/>
              </w:rPr>
              <w:t>-</w:t>
            </w:r>
            <w:r w:rsidRPr="004A019F">
              <w:rPr>
                <w:b/>
                <w:lang w:val="sv-SE"/>
              </w:rPr>
              <w:t>TTP (månader) (95</w:t>
            </w:r>
            <w:r w:rsidR="004D7E0C" w:rsidRPr="004A019F">
              <w:rPr>
                <w:b/>
                <w:lang w:val="sv-SE"/>
              </w:rPr>
              <w:t> </w:t>
            </w:r>
            <w:r w:rsidRPr="004A019F">
              <w:rPr>
                <w:b/>
                <w:lang w:val="sv-SE"/>
              </w:rPr>
              <w:t>% KI)</w:t>
            </w:r>
          </w:p>
        </w:tc>
        <w:tc>
          <w:tcPr>
            <w:tcW w:w="820" w:type="pct"/>
            <w:tcBorders>
              <w:top w:val="single" w:sz="4" w:space="0" w:color="000000"/>
              <w:left w:val="single" w:sz="4" w:space="0" w:color="000000"/>
              <w:bottom w:val="single" w:sz="4" w:space="0" w:color="000000"/>
              <w:right w:val="single" w:sz="4" w:space="0" w:color="000000"/>
            </w:tcBorders>
            <w:shd w:val="clear" w:color="auto" w:fill="auto"/>
          </w:tcPr>
          <w:p w14:paraId="2B7CA69D" w14:textId="77777777" w:rsidR="005027AB" w:rsidRPr="004A019F" w:rsidRDefault="00264096" w:rsidP="004A019F">
            <w:pPr>
              <w:spacing w:after="0" w:line="240" w:lineRule="auto"/>
              <w:ind w:left="0" w:right="48" w:firstLine="0"/>
              <w:contextualSpacing/>
              <w:jc w:val="center"/>
              <w:rPr>
                <w:lang w:val="sv-SE"/>
              </w:rPr>
            </w:pPr>
            <w:r w:rsidRPr="004A019F">
              <w:rPr>
                <w:lang w:val="sv-SE"/>
              </w:rPr>
              <w:t>3,2</w:t>
            </w:r>
          </w:p>
          <w:p w14:paraId="6810AB6D" w14:textId="0CCD48C4" w:rsidR="005027AB" w:rsidRPr="004A019F" w:rsidRDefault="00264096" w:rsidP="004A019F">
            <w:pPr>
              <w:spacing w:after="0" w:line="240" w:lineRule="auto"/>
              <w:ind w:left="0" w:right="49" w:firstLine="0"/>
              <w:contextualSpacing/>
              <w:jc w:val="center"/>
              <w:rPr>
                <w:lang w:val="sv-SE"/>
              </w:rPr>
            </w:pPr>
            <w:r w:rsidRPr="004A019F">
              <w:rPr>
                <w:lang w:val="sv-SE"/>
              </w:rPr>
              <w:t>(2,6</w:t>
            </w:r>
            <w:r w:rsidR="00DA48BB" w:rsidRPr="004A019F">
              <w:rPr>
                <w:lang w:val="sv-SE"/>
              </w:rPr>
              <w:t xml:space="preserve"> – </w:t>
            </w:r>
            <w:r w:rsidRPr="004A019F">
              <w:rPr>
                <w:lang w:val="sv-SE"/>
              </w:rPr>
              <w:t>3,5)</w:t>
            </w: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14:paraId="628D5EFE" w14:textId="77777777" w:rsidR="005027AB" w:rsidRPr="004A019F" w:rsidRDefault="00264096" w:rsidP="004A019F">
            <w:pPr>
              <w:spacing w:after="0" w:line="240" w:lineRule="auto"/>
              <w:ind w:left="0" w:right="48" w:firstLine="0"/>
              <w:contextualSpacing/>
              <w:jc w:val="center"/>
              <w:rPr>
                <w:lang w:val="sv-SE"/>
              </w:rPr>
            </w:pPr>
            <w:r w:rsidRPr="004A019F">
              <w:rPr>
                <w:lang w:val="sv-SE"/>
              </w:rPr>
              <w:t>7,1</w:t>
            </w:r>
          </w:p>
          <w:p w14:paraId="648233C7" w14:textId="2C91E616" w:rsidR="005027AB" w:rsidRPr="004A019F" w:rsidRDefault="00264096" w:rsidP="004A019F">
            <w:pPr>
              <w:spacing w:after="0" w:line="240" w:lineRule="auto"/>
              <w:ind w:left="0" w:right="49" w:firstLine="0"/>
              <w:contextualSpacing/>
              <w:jc w:val="center"/>
              <w:rPr>
                <w:lang w:val="sv-SE"/>
              </w:rPr>
            </w:pPr>
            <w:r w:rsidRPr="004A019F">
              <w:rPr>
                <w:lang w:val="sv-SE"/>
              </w:rPr>
              <w:t>(6,2</w:t>
            </w:r>
            <w:r w:rsidR="00DA48BB" w:rsidRPr="004A019F">
              <w:rPr>
                <w:lang w:val="sv-SE"/>
              </w:rPr>
              <w:t xml:space="preserve"> – </w:t>
            </w:r>
            <w:r w:rsidRPr="004A019F">
              <w:rPr>
                <w:lang w:val="sv-SE"/>
              </w:rPr>
              <w:t>12,0)</w:t>
            </w: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14:paraId="72093CA5" w14:textId="77777777" w:rsidR="005027AB" w:rsidRPr="004A019F" w:rsidRDefault="00264096" w:rsidP="004A019F">
            <w:pPr>
              <w:spacing w:after="0" w:line="240" w:lineRule="auto"/>
              <w:ind w:left="0" w:right="46" w:firstLine="0"/>
              <w:contextualSpacing/>
              <w:jc w:val="center"/>
              <w:rPr>
                <w:lang w:val="sv-SE"/>
              </w:rPr>
            </w:pPr>
            <w:r w:rsidRPr="004A019F">
              <w:rPr>
                <w:lang w:val="sv-SE"/>
              </w:rPr>
              <w:t>3,0</w:t>
            </w:r>
          </w:p>
          <w:p w14:paraId="67688099" w14:textId="0D65AF6D" w:rsidR="005027AB" w:rsidRPr="004A019F" w:rsidRDefault="00264096" w:rsidP="004A019F">
            <w:pPr>
              <w:spacing w:after="0" w:line="240" w:lineRule="auto"/>
              <w:ind w:left="0" w:right="47" w:firstLine="0"/>
              <w:contextualSpacing/>
              <w:jc w:val="center"/>
              <w:rPr>
                <w:lang w:val="sv-SE"/>
              </w:rPr>
            </w:pPr>
            <w:r w:rsidRPr="004A019F">
              <w:rPr>
                <w:lang w:val="sv-SE"/>
              </w:rPr>
              <w:t>(2,0</w:t>
            </w:r>
            <w:r w:rsidR="00DA48BB" w:rsidRPr="004A019F">
              <w:rPr>
                <w:lang w:val="sv-SE"/>
              </w:rPr>
              <w:t xml:space="preserve"> – </w:t>
            </w:r>
            <w:r w:rsidRPr="004A019F">
              <w:rPr>
                <w:lang w:val="sv-SE"/>
              </w:rPr>
              <w:t>4,4)</w:t>
            </w: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14:paraId="2F1A54C2" w14:textId="77777777" w:rsidR="005027AB" w:rsidRPr="004A019F" w:rsidRDefault="00264096" w:rsidP="004A019F">
            <w:pPr>
              <w:spacing w:after="0" w:line="240" w:lineRule="auto"/>
              <w:ind w:left="0" w:right="48" w:firstLine="0"/>
              <w:contextualSpacing/>
              <w:jc w:val="center"/>
              <w:rPr>
                <w:lang w:val="sv-SE"/>
              </w:rPr>
            </w:pPr>
            <w:r w:rsidRPr="004A019F">
              <w:rPr>
                <w:lang w:val="sv-SE"/>
              </w:rPr>
              <w:t>11,7</w:t>
            </w:r>
          </w:p>
          <w:p w14:paraId="203274E3" w14:textId="24BFE763" w:rsidR="005027AB" w:rsidRPr="004A019F" w:rsidRDefault="00264096" w:rsidP="004A019F">
            <w:pPr>
              <w:spacing w:after="0" w:line="240" w:lineRule="auto"/>
              <w:ind w:left="0" w:right="49" w:firstLine="0"/>
              <w:contextualSpacing/>
              <w:jc w:val="center"/>
              <w:rPr>
                <w:lang w:val="sv-SE"/>
              </w:rPr>
            </w:pPr>
            <w:r w:rsidRPr="004A019F">
              <w:rPr>
                <w:lang w:val="sv-SE"/>
              </w:rPr>
              <w:t>(9,2</w:t>
            </w:r>
            <w:r w:rsidR="00DA48BB" w:rsidRPr="004A019F">
              <w:rPr>
                <w:lang w:val="sv-SE"/>
              </w:rPr>
              <w:t xml:space="preserve"> – </w:t>
            </w:r>
            <w:r w:rsidRPr="004A019F">
              <w:rPr>
                <w:lang w:val="sv-SE"/>
              </w:rPr>
              <w:t>13,5)</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14:paraId="4ABAFD35" w14:textId="77777777" w:rsidR="005027AB" w:rsidRPr="004A019F" w:rsidRDefault="00264096" w:rsidP="004A019F">
            <w:pPr>
              <w:spacing w:after="0" w:line="240" w:lineRule="auto"/>
              <w:ind w:left="0" w:right="51" w:firstLine="0"/>
              <w:contextualSpacing/>
              <w:jc w:val="center"/>
              <w:rPr>
                <w:lang w:val="sv-SE"/>
              </w:rPr>
            </w:pPr>
            <w:r w:rsidRPr="004A019F">
              <w:rPr>
                <w:lang w:val="sv-SE"/>
              </w:rPr>
              <w:t>6,1</w:t>
            </w:r>
          </w:p>
          <w:p w14:paraId="0290C4CE" w14:textId="15BE9A5D" w:rsidR="005027AB" w:rsidRPr="004A019F" w:rsidRDefault="00264096" w:rsidP="004A019F">
            <w:pPr>
              <w:spacing w:after="0" w:line="240" w:lineRule="auto"/>
              <w:ind w:left="0" w:right="52" w:firstLine="0"/>
              <w:contextualSpacing/>
              <w:jc w:val="center"/>
              <w:rPr>
                <w:lang w:val="sv-SE"/>
              </w:rPr>
            </w:pPr>
            <w:r w:rsidRPr="004A019F">
              <w:rPr>
                <w:lang w:val="sv-SE"/>
              </w:rPr>
              <w:t>(5,4</w:t>
            </w:r>
            <w:r w:rsidR="00DA48BB" w:rsidRPr="004A019F">
              <w:rPr>
                <w:lang w:val="sv-SE"/>
              </w:rPr>
              <w:t xml:space="preserve"> – </w:t>
            </w:r>
            <w:r w:rsidRPr="004A019F">
              <w:rPr>
                <w:lang w:val="sv-SE"/>
              </w:rPr>
              <w:t>7,2)</w:t>
            </w:r>
          </w:p>
        </w:tc>
      </w:tr>
      <w:tr w:rsidR="00AD14F8" w:rsidRPr="00A74CC6" w14:paraId="73FE8C79" w14:textId="77777777" w:rsidTr="004A019F">
        <w:trPr>
          <w:trHeight w:val="510"/>
        </w:trPr>
        <w:tc>
          <w:tcPr>
            <w:tcW w:w="108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3A5E957" w14:textId="1ACA406F" w:rsidR="005027AB" w:rsidRPr="004A019F" w:rsidRDefault="00264096" w:rsidP="004A019F">
            <w:pPr>
              <w:spacing w:after="0" w:line="240" w:lineRule="auto"/>
              <w:ind w:left="0" w:firstLine="0"/>
              <w:contextualSpacing/>
              <w:rPr>
                <w:lang w:val="sv-SE"/>
              </w:rPr>
            </w:pPr>
            <w:r w:rsidRPr="004A019F">
              <w:rPr>
                <w:b/>
                <w:lang w:val="sv-SE"/>
              </w:rPr>
              <w:lastRenderedPageBreak/>
              <w:t>Medianöverlevnad (månader) (95</w:t>
            </w:r>
            <w:r w:rsidR="004D7E0C" w:rsidRPr="004A019F">
              <w:rPr>
                <w:b/>
                <w:lang w:val="sv-SE"/>
              </w:rPr>
              <w:t> </w:t>
            </w:r>
            <w:r w:rsidRPr="004A019F">
              <w:rPr>
                <w:b/>
                <w:lang w:val="sv-SE"/>
              </w:rPr>
              <w:t>% KI)</w:t>
            </w:r>
          </w:p>
        </w:tc>
        <w:tc>
          <w:tcPr>
            <w:tcW w:w="820" w:type="pct"/>
            <w:tcBorders>
              <w:top w:val="single" w:sz="4" w:space="0" w:color="000000"/>
              <w:left w:val="single" w:sz="4" w:space="0" w:color="000000"/>
              <w:bottom w:val="single" w:sz="4" w:space="0" w:color="000000"/>
              <w:right w:val="single" w:sz="4" w:space="0" w:color="000000"/>
            </w:tcBorders>
            <w:shd w:val="clear" w:color="auto" w:fill="auto"/>
          </w:tcPr>
          <w:p w14:paraId="5EF57447" w14:textId="77777777" w:rsidR="005027AB" w:rsidRPr="004A019F" w:rsidRDefault="00264096" w:rsidP="004A019F">
            <w:pPr>
              <w:spacing w:after="0" w:line="240" w:lineRule="auto"/>
              <w:ind w:left="0" w:right="44" w:firstLine="0"/>
              <w:contextualSpacing/>
              <w:jc w:val="center"/>
              <w:rPr>
                <w:lang w:val="sv-SE"/>
              </w:rPr>
            </w:pPr>
            <w:r w:rsidRPr="004A019F">
              <w:rPr>
                <w:lang w:val="sv-SE"/>
              </w:rPr>
              <w:t>16,4</w:t>
            </w:r>
          </w:p>
          <w:p w14:paraId="097AB5E7" w14:textId="7E791A5A" w:rsidR="005027AB" w:rsidRPr="004A019F" w:rsidRDefault="00264096" w:rsidP="004A019F">
            <w:pPr>
              <w:spacing w:after="0" w:line="240" w:lineRule="auto"/>
              <w:ind w:left="0" w:right="49" w:firstLine="0"/>
              <w:contextualSpacing/>
              <w:jc w:val="center"/>
              <w:rPr>
                <w:lang w:val="sv-SE"/>
              </w:rPr>
            </w:pPr>
            <w:r w:rsidRPr="004A019F">
              <w:rPr>
                <w:lang w:val="sv-SE"/>
              </w:rPr>
              <w:t>(12,3</w:t>
            </w:r>
            <w:r w:rsidR="00DA48BB" w:rsidRPr="004A019F">
              <w:rPr>
                <w:lang w:val="sv-SE"/>
              </w:rPr>
              <w:t xml:space="preserve"> – </w:t>
            </w:r>
            <w:r w:rsidRPr="004A019F">
              <w:rPr>
                <w:lang w:val="sv-SE"/>
              </w:rPr>
              <w:t>ne)</w:t>
            </w: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14:paraId="43A12281" w14:textId="77777777" w:rsidR="005027AB" w:rsidRPr="004A019F" w:rsidRDefault="00264096" w:rsidP="004A019F">
            <w:pPr>
              <w:spacing w:after="0" w:line="240" w:lineRule="auto"/>
              <w:ind w:left="0" w:right="48" w:firstLine="0"/>
              <w:contextualSpacing/>
              <w:jc w:val="center"/>
              <w:rPr>
                <w:lang w:val="sv-SE"/>
              </w:rPr>
            </w:pPr>
            <w:r w:rsidRPr="004A019F">
              <w:rPr>
                <w:lang w:val="sv-SE"/>
              </w:rPr>
              <w:t>24,8</w:t>
            </w:r>
          </w:p>
          <w:p w14:paraId="17B58290" w14:textId="34D85763" w:rsidR="005027AB" w:rsidRPr="004A019F" w:rsidRDefault="00264096" w:rsidP="004A019F">
            <w:pPr>
              <w:spacing w:after="0" w:line="240" w:lineRule="auto"/>
              <w:ind w:left="108" w:firstLine="0"/>
              <w:contextualSpacing/>
              <w:jc w:val="center"/>
              <w:rPr>
                <w:lang w:val="sv-SE"/>
              </w:rPr>
            </w:pPr>
            <w:r w:rsidRPr="004A019F">
              <w:rPr>
                <w:lang w:val="sv-SE"/>
              </w:rPr>
              <w:t>(18,6</w:t>
            </w:r>
            <w:r w:rsidR="00DA48BB" w:rsidRPr="004A019F">
              <w:rPr>
                <w:lang w:val="sv-SE"/>
              </w:rPr>
              <w:t xml:space="preserve"> – </w:t>
            </w:r>
            <w:r w:rsidRPr="004A019F">
              <w:rPr>
                <w:lang w:val="sv-SE"/>
              </w:rPr>
              <w:t>33,7)</w:t>
            </w: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14:paraId="295E7DAB" w14:textId="77777777" w:rsidR="005027AB" w:rsidRPr="004A019F" w:rsidRDefault="00264096" w:rsidP="004A019F">
            <w:pPr>
              <w:spacing w:after="0" w:line="240" w:lineRule="auto"/>
              <w:ind w:left="0" w:right="46" w:firstLine="0"/>
              <w:contextualSpacing/>
              <w:jc w:val="center"/>
              <w:rPr>
                <w:lang w:val="sv-SE"/>
              </w:rPr>
            </w:pPr>
            <w:r w:rsidRPr="004A019F">
              <w:rPr>
                <w:lang w:val="sv-SE"/>
              </w:rPr>
              <w:t>17,9</w:t>
            </w:r>
          </w:p>
          <w:p w14:paraId="2907DB2B" w14:textId="7E602751" w:rsidR="005027AB" w:rsidRPr="004A019F" w:rsidRDefault="00264096" w:rsidP="004A019F">
            <w:pPr>
              <w:spacing w:after="0" w:line="240" w:lineRule="auto"/>
              <w:ind w:left="108" w:firstLine="0"/>
              <w:contextualSpacing/>
              <w:jc w:val="center"/>
              <w:rPr>
                <w:lang w:val="sv-SE"/>
              </w:rPr>
            </w:pPr>
            <w:r w:rsidRPr="004A019F">
              <w:rPr>
                <w:lang w:val="sv-SE"/>
              </w:rPr>
              <w:t>(11,2</w:t>
            </w:r>
            <w:r w:rsidR="00DA48BB" w:rsidRPr="004A019F">
              <w:rPr>
                <w:lang w:val="sv-SE"/>
              </w:rPr>
              <w:t xml:space="preserve"> – </w:t>
            </w:r>
            <w:r w:rsidRPr="004A019F">
              <w:rPr>
                <w:lang w:val="sv-SE"/>
              </w:rPr>
              <w:t>23,8)</w:t>
            </w: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14:paraId="2D6FD67E" w14:textId="77777777" w:rsidR="005027AB" w:rsidRPr="004A019F" w:rsidRDefault="00264096" w:rsidP="004A019F">
            <w:pPr>
              <w:spacing w:after="0" w:line="240" w:lineRule="auto"/>
              <w:ind w:left="0" w:right="48" w:firstLine="0"/>
              <w:contextualSpacing/>
              <w:jc w:val="center"/>
              <w:rPr>
                <w:lang w:val="sv-SE"/>
              </w:rPr>
            </w:pPr>
            <w:r w:rsidRPr="004A019F">
              <w:rPr>
                <w:lang w:val="sv-SE"/>
              </w:rPr>
              <w:t>31,2</w:t>
            </w:r>
          </w:p>
          <w:p w14:paraId="36845965" w14:textId="4406FD02" w:rsidR="005027AB" w:rsidRPr="004A019F" w:rsidRDefault="00264096" w:rsidP="004A019F">
            <w:pPr>
              <w:spacing w:after="0" w:line="240" w:lineRule="auto"/>
              <w:ind w:left="108" w:firstLine="0"/>
              <w:contextualSpacing/>
              <w:jc w:val="center"/>
              <w:rPr>
                <w:lang w:val="sv-SE"/>
              </w:rPr>
            </w:pPr>
            <w:r w:rsidRPr="004A019F">
              <w:rPr>
                <w:lang w:val="sv-SE"/>
              </w:rPr>
              <w:t>(27,3</w:t>
            </w:r>
            <w:r w:rsidR="00DA48BB" w:rsidRPr="004A019F">
              <w:rPr>
                <w:lang w:val="sv-SE"/>
              </w:rPr>
              <w:t xml:space="preserve"> – </w:t>
            </w:r>
            <w:r w:rsidRPr="004A019F">
              <w:rPr>
                <w:lang w:val="sv-SE"/>
              </w:rPr>
              <w:t>40,8)</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14:paraId="0E664552" w14:textId="77777777" w:rsidR="005027AB" w:rsidRPr="004A019F" w:rsidRDefault="00264096" w:rsidP="004A019F">
            <w:pPr>
              <w:spacing w:after="0" w:line="240" w:lineRule="auto"/>
              <w:ind w:left="0" w:right="51" w:firstLine="0"/>
              <w:contextualSpacing/>
              <w:jc w:val="center"/>
              <w:rPr>
                <w:lang w:val="sv-SE"/>
              </w:rPr>
            </w:pPr>
            <w:r w:rsidRPr="004A019F">
              <w:rPr>
                <w:lang w:val="sv-SE"/>
              </w:rPr>
              <w:t>22,74</w:t>
            </w:r>
          </w:p>
          <w:p w14:paraId="047E152A" w14:textId="2B59F91F" w:rsidR="005027AB" w:rsidRPr="004A019F" w:rsidRDefault="00264096" w:rsidP="004A019F">
            <w:pPr>
              <w:spacing w:after="0" w:line="240" w:lineRule="auto"/>
              <w:ind w:left="106" w:firstLine="0"/>
              <w:contextualSpacing/>
              <w:jc w:val="center"/>
              <w:rPr>
                <w:lang w:val="sv-SE"/>
              </w:rPr>
            </w:pPr>
            <w:r w:rsidRPr="004A019F">
              <w:rPr>
                <w:lang w:val="sv-SE"/>
              </w:rPr>
              <w:t>(19,1</w:t>
            </w:r>
            <w:r w:rsidR="00DA48BB" w:rsidRPr="004A019F">
              <w:rPr>
                <w:lang w:val="sv-SE"/>
              </w:rPr>
              <w:t xml:space="preserve"> – </w:t>
            </w:r>
            <w:r w:rsidRPr="004A019F">
              <w:rPr>
                <w:lang w:val="sv-SE"/>
              </w:rPr>
              <w:t>30,8)</w:t>
            </w:r>
          </w:p>
        </w:tc>
      </w:tr>
    </w:tbl>
    <w:p w14:paraId="07600236" w14:textId="3FC58174" w:rsidR="005027AB" w:rsidRPr="00A74CC6" w:rsidRDefault="00264096" w:rsidP="001E7238">
      <w:pPr>
        <w:spacing w:after="0" w:line="240" w:lineRule="auto"/>
        <w:ind w:left="9" w:hanging="10"/>
        <w:contextualSpacing/>
        <w:rPr>
          <w:lang w:val="sv-SE"/>
        </w:rPr>
      </w:pPr>
      <w:r w:rsidRPr="00A74CC6">
        <w:rPr>
          <w:sz w:val="20"/>
          <w:lang w:val="sv-SE"/>
        </w:rPr>
        <w:t>TT</w:t>
      </w:r>
      <w:r w:rsidR="00342D88" w:rsidRPr="00A74CC6">
        <w:rPr>
          <w:sz w:val="20"/>
          <w:lang w:val="sv-SE"/>
        </w:rPr>
        <w:t>P = </w:t>
      </w:r>
      <w:r w:rsidRPr="00A74CC6">
        <w:rPr>
          <w:sz w:val="20"/>
          <w:lang w:val="sv-SE"/>
        </w:rPr>
        <w:t>tid till progression; "ne" indikerar att ett värde ej kunnat beräknas eller uppnås.</w:t>
      </w:r>
    </w:p>
    <w:p w14:paraId="094175A9" w14:textId="77777777" w:rsidR="005027AB" w:rsidRPr="00A74CC6" w:rsidRDefault="009F23D2" w:rsidP="009F23D2">
      <w:pPr>
        <w:spacing w:after="0" w:line="240" w:lineRule="auto"/>
        <w:contextualSpacing/>
        <w:rPr>
          <w:lang w:val="sv-SE"/>
        </w:rPr>
      </w:pPr>
      <w:r w:rsidRPr="00A74CC6">
        <w:rPr>
          <w:sz w:val="20"/>
          <w:lang w:val="sv-SE"/>
        </w:rPr>
        <w:t xml:space="preserve">1. </w:t>
      </w:r>
      <w:r w:rsidR="00264096" w:rsidRPr="00A74CC6">
        <w:rPr>
          <w:sz w:val="20"/>
          <w:lang w:val="sv-SE"/>
        </w:rPr>
        <w:t>Studie H0649g: delgrupp av patienter med IHC3+</w:t>
      </w:r>
    </w:p>
    <w:p w14:paraId="2F4B9608" w14:textId="77777777" w:rsidR="005027AB" w:rsidRPr="00A74CC6" w:rsidRDefault="009F23D2" w:rsidP="009F23D2">
      <w:pPr>
        <w:spacing w:after="0" w:line="240" w:lineRule="auto"/>
        <w:contextualSpacing/>
        <w:rPr>
          <w:lang w:val="sv-SE"/>
        </w:rPr>
      </w:pPr>
      <w:r w:rsidRPr="00A74CC6">
        <w:rPr>
          <w:sz w:val="20"/>
          <w:lang w:val="sv-SE"/>
        </w:rPr>
        <w:t xml:space="preserve">2. </w:t>
      </w:r>
      <w:r w:rsidR="00264096" w:rsidRPr="00A74CC6">
        <w:rPr>
          <w:sz w:val="20"/>
          <w:lang w:val="sv-SE"/>
        </w:rPr>
        <w:t>Studie H0648g: delgrupp av patienter med IHC3+</w:t>
      </w:r>
    </w:p>
    <w:p w14:paraId="01C78F3F" w14:textId="170418E8" w:rsidR="005027AB" w:rsidRPr="00A74CC6" w:rsidRDefault="009F23D2" w:rsidP="009F23D2">
      <w:pPr>
        <w:spacing w:after="0" w:line="240" w:lineRule="auto"/>
        <w:contextualSpacing/>
        <w:rPr>
          <w:lang w:val="sv-SE"/>
        </w:rPr>
      </w:pPr>
      <w:r w:rsidRPr="00A74CC6">
        <w:rPr>
          <w:sz w:val="20"/>
          <w:lang w:val="sv-SE"/>
        </w:rPr>
        <w:t xml:space="preserve">3. </w:t>
      </w:r>
      <w:r w:rsidR="00264096" w:rsidRPr="00A74CC6">
        <w:rPr>
          <w:sz w:val="20"/>
          <w:lang w:val="sv-SE"/>
        </w:rPr>
        <w:t>Studie M77001: Komplett analysset (intent-to-treat), 24</w:t>
      </w:r>
      <w:r w:rsidR="00253C7C" w:rsidRPr="00A74CC6">
        <w:rPr>
          <w:sz w:val="20"/>
          <w:lang w:val="sv-SE"/>
        </w:rPr>
        <w:t> </w:t>
      </w:r>
      <w:r w:rsidR="00264096" w:rsidRPr="00A74CC6">
        <w:rPr>
          <w:sz w:val="20"/>
          <w:lang w:val="sv-SE"/>
        </w:rPr>
        <w:t>månaders resultat</w:t>
      </w:r>
    </w:p>
    <w:p w14:paraId="5FCF0B4C" w14:textId="77777777" w:rsidR="003C3414" w:rsidRPr="00A74CC6" w:rsidRDefault="003C3414" w:rsidP="001E7238">
      <w:pPr>
        <w:spacing w:after="0" w:line="240" w:lineRule="auto"/>
        <w:ind w:left="0" w:firstLine="0"/>
        <w:contextualSpacing/>
        <w:rPr>
          <w:lang w:val="sv-SE"/>
        </w:rPr>
      </w:pPr>
    </w:p>
    <w:p w14:paraId="24F15148" w14:textId="133C46FD" w:rsidR="005027AB" w:rsidRPr="00A74CC6" w:rsidRDefault="00264096" w:rsidP="001E7238">
      <w:pPr>
        <w:pStyle w:val="Heading4"/>
        <w:keepLines w:val="0"/>
        <w:spacing w:after="0" w:line="240" w:lineRule="auto"/>
        <w:ind w:left="11" w:hanging="11"/>
        <w:contextualSpacing/>
        <w:rPr>
          <w:lang w:val="sv-SE"/>
        </w:rPr>
      </w:pPr>
      <w:r w:rsidRPr="00A74CC6">
        <w:rPr>
          <w:lang w:val="sv-SE"/>
        </w:rPr>
        <w:t xml:space="preserve">Kombinationsbehandling med </w:t>
      </w:r>
      <w:r w:rsidR="004D7E0C" w:rsidRPr="00A74CC6">
        <w:rPr>
          <w:lang w:val="sv-SE"/>
        </w:rPr>
        <w:t xml:space="preserve">trastuzumab </w:t>
      </w:r>
      <w:r w:rsidRPr="00A74CC6">
        <w:rPr>
          <w:lang w:val="sv-SE"/>
        </w:rPr>
        <w:t>och anastrozol</w:t>
      </w:r>
    </w:p>
    <w:p w14:paraId="58C80C80" w14:textId="3D2F255C" w:rsidR="005027AB" w:rsidRPr="00A74CC6" w:rsidRDefault="004D7E0C" w:rsidP="001E7238">
      <w:pPr>
        <w:spacing w:after="0" w:line="240" w:lineRule="auto"/>
        <w:ind w:left="4" w:right="253"/>
        <w:contextualSpacing/>
        <w:rPr>
          <w:lang w:val="sv-SE"/>
        </w:rPr>
      </w:pPr>
      <w:r w:rsidRPr="00A74CC6">
        <w:rPr>
          <w:lang w:val="sv-SE"/>
        </w:rPr>
        <w:t xml:space="preserve">Trastuzumab </w:t>
      </w:r>
      <w:r w:rsidR="00264096" w:rsidRPr="00A74CC6">
        <w:rPr>
          <w:lang w:val="sv-SE"/>
        </w:rPr>
        <w:t>har studerats i kombination med anastrozol som första linjens behandling av metastaserad bröstcancer hos HER2-överuttryckande, hormonreceptor-(d</w:t>
      </w:r>
      <w:r w:rsidR="00253C7C" w:rsidRPr="00A74CC6">
        <w:rPr>
          <w:lang w:val="sv-SE"/>
        </w:rPr>
        <w:t>.</w:t>
      </w:r>
      <w:r w:rsidR="00264096" w:rsidRPr="00A74CC6">
        <w:rPr>
          <w:lang w:val="sv-SE"/>
        </w:rPr>
        <w:t>v</w:t>
      </w:r>
      <w:r w:rsidR="00253C7C" w:rsidRPr="00A74CC6">
        <w:rPr>
          <w:lang w:val="sv-SE"/>
        </w:rPr>
        <w:t>.</w:t>
      </w:r>
      <w:r w:rsidR="00264096" w:rsidRPr="00A74CC6">
        <w:rPr>
          <w:lang w:val="sv-SE"/>
        </w:rPr>
        <w:t>s</w:t>
      </w:r>
      <w:r w:rsidR="00253C7C" w:rsidRPr="00A74CC6">
        <w:rPr>
          <w:lang w:val="sv-SE"/>
        </w:rPr>
        <w:t>.</w:t>
      </w:r>
      <w:r w:rsidR="00264096" w:rsidRPr="00A74CC6">
        <w:rPr>
          <w:lang w:val="sv-SE"/>
        </w:rPr>
        <w:t xml:space="preserve"> östrogenreceptor (ER) och/eller progesteronreceptor (PR))</w:t>
      </w:r>
      <w:r w:rsidR="00253C7C" w:rsidRPr="00A74CC6">
        <w:rPr>
          <w:lang w:val="sv-SE"/>
        </w:rPr>
        <w:t>-</w:t>
      </w:r>
      <w:r w:rsidR="00264096" w:rsidRPr="00A74CC6">
        <w:rPr>
          <w:lang w:val="sv-SE"/>
        </w:rPr>
        <w:t xml:space="preserve">positiva postmenopausala patienter. Progressionsfri överlevnad fördubblades i behandlingsgruppen som fick </w:t>
      </w:r>
      <w:r w:rsidRPr="00A74CC6">
        <w:rPr>
          <w:lang w:val="sv-SE"/>
        </w:rPr>
        <w:t xml:space="preserve">trastuzumab </w:t>
      </w:r>
      <w:r w:rsidR="00264096" w:rsidRPr="00A74CC6">
        <w:rPr>
          <w:lang w:val="sv-SE"/>
        </w:rPr>
        <w:t>plus anastrozol jämfört med anastrozol (4,8</w:t>
      </w:r>
      <w:r w:rsidR="00253C7C" w:rsidRPr="00A74CC6">
        <w:rPr>
          <w:lang w:val="sv-SE"/>
        </w:rPr>
        <w:t> </w:t>
      </w:r>
      <w:r w:rsidR="00264096" w:rsidRPr="00A74CC6">
        <w:rPr>
          <w:lang w:val="sv-SE"/>
        </w:rPr>
        <w:t>månader jämfört med 2,4</w:t>
      </w:r>
      <w:r w:rsidR="00253C7C" w:rsidRPr="00A74CC6">
        <w:rPr>
          <w:lang w:val="sv-SE"/>
        </w:rPr>
        <w:t> </w:t>
      </w:r>
      <w:r w:rsidR="00264096" w:rsidRPr="00A74CC6">
        <w:rPr>
          <w:lang w:val="sv-SE"/>
        </w:rPr>
        <w:t>månader). För de andra parametrarna sågs förbättringar med kombinationsbehandlingen för respons (16,5</w:t>
      </w:r>
      <w:r w:rsidR="00B268E6" w:rsidRPr="00A74CC6">
        <w:rPr>
          <w:lang w:val="sv-SE"/>
        </w:rPr>
        <w:t> %</w:t>
      </w:r>
      <w:r w:rsidR="00264096" w:rsidRPr="00A74CC6">
        <w:rPr>
          <w:lang w:val="sv-SE"/>
        </w:rPr>
        <w:t xml:space="preserve"> jämfört med 6,7</w:t>
      </w:r>
      <w:r w:rsidR="00B268E6" w:rsidRPr="00A74CC6">
        <w:rPr>
          <w:lang w:val="sv-SE"/>
        </w:rPr>
        <w:t> %</w:t>
      </w:r>
      <w:r w:rsidR="00264096" w:rsidRPr="00A74CC6">
        <w:rPr>
          <w:lang w:val="sv-SE"/>
        </w:rPr>
        <w:t>); klinisk nytta (42,7</w:t>
      </w:r>
      <w:r w:rsidR="00EF53D2" w:rsidRPr="00A74CC6">
        <w:rPr>
          <w:lang w:val="sv-SE"/>
        </w:rPr>
        <w:t> </w:t>
      </w:r>
      <w:r w:rsidR="00264096" w:rsidRPr="00A74CC6">
        <w:rPr>
          <w:lang w:val="sv-SE"/>
        </w:rPr>
        <w:t>% jämfört med 27,9</w:t>
      </w:r>
      <w:r w:rsidR="00EF53D2" w:rsidRPr="00A74CC6">
        <w:rPr>
          <w:lang w:val="sv-SE"/>
        </w:rPr>
        <w:t> </w:t>
      </w:r>
      <w:r w:rsidR="00264096" w:rsidRPr="00A74CC6">
        <w:rPr>
          <w:lang w:val="sv-SE"/>
        </w:rPr>
        <w:t>%); tid till progression (4,8</w:t>
      </w:r>
      <w:r w:rsidR="00253C7C" w:rsidRPr="00A74CC6">
        <w:rPr>
          <w:lang w:val="sv-SE"/>
        </w:rPr>
        <w:t> </w:t>
      </w:r>
      <w:r w:rsidR="00264096" w:rsidRPr="00A74CC6">
        <w:rPr>
          <w:lang w:val="sv-SE"/>
        </w:rPr>
        <w:t>månader jämfört med 2,4</w:t>
      </w:r>
      <w:r w:rsidR="00253C7C" w:rsidRPr="00A74CC6">
        <w:rPr>
          <w:lang w:val="sv-SE"/>
        </w:rPr>
        <w:t> </w:t>
      </w:r>
      <w:r w:rsidR="00264096" w:rsidRPr="00A74CC6">
        <w:rPr>
          <w:lang w:val="sv-SE"/>
        </w:rPr>
        <w:t>månader). Ingen skillnad mellan de båda behandlingsgrupperna kunde registreras för tid till respons och responsduration. Medianöverlevnaden förlängdes med 4,6</w:t>
      </w:r>
      <w:r w:rsidR="00253C7C" w:rsidRPr="00A74CC6">
        <w:rPr>
          <w:lang w:val="sv-SE"/>
        </w:rPr>
        <w:t> </w:t>
      </w:r>
      <w:r w:rsidR="00264096" w:rsidRPr="00A74CC6">
        <w:rPr>
          <w:lang w:val="sv-SE"/>
        </w:rPr>
        <w:t xml:space="preserve">månader för patienter i kombinationsbehandlingsgruppen. Skillnaden var inte statistiskt signifikant, men mer än hälften av patienterna i behandlingsgruppen med enbart anastrozol gick vid sjukdomsprogress över till den </w:t>
      </w:r>
      <w:r w:rsidRPr="00A74CC6">
        <w:rPr>
          <w:lang w:val="sv-SE"/>
        </w:rPr>
        <w:t>trastuzumab</w:t>
      </w:r>
      <w:r w:rsidR="00264096" w:rsidRPr="00A74CC6">
        <w:rPr>
          <w:lang w:val="sv-SE"/>
        </w:rPr>
        <w:t>innehållande behandlingsregimen.</w:t>
      </w:r>
    </w:p>
    <w:p w14:paraId="0D946012" w14:textId="77777777" w:rsidR="003C3414" w:rsidRPr="00A74CC6" w:rsidRDefault="003C3414" w:rsidP="001E7238">
      <w:pPr>
        <w:spacing w:after="0" w:line="240" w:lineRule="auto"/>
        <w:ind w:left="4" w:right="253"/>
        <w:contextualSpacing/>
        <w:rPr>
          <w:lang w:val="sv-SE"/>
        </w:rPr>
      </w:pPr>
    </w:p>
    <w:p w14:paraId="103656A7" w14:textId="54B9068C" w:rsidR="005027AB" w:rsidRPr="00A74CC6" w:rsidRDefault="00264096" w:rsidP="001E7238">
      <w:pPr>
        <w:pStyle w:val="Heading4"/>
        <w:spacing w:after="0" w:line="240" w:lineRule="auto"/>
        <w:ind w:left="11" w:hanging="11"/>
        <w:contextualSpacing/>
        <w:rPr>
          <w:lang w:val="sv-SE"/>
        </w:rPr>
      </w:pPr>
      <w:r w:rsidRPr="00A74CC6">
        <w:rPr>
          <w:lang w:val="sv-SE"/>
        </w:rPr>
        <w:t>Treveckors dosering</w:t>
      </w:r>
      <w:r w:rsidR="00703506">
        <w:rPr>
          <w:lang w:val="sv-SE"/>
        </w:rPr>
        <w:t>s</w:t>
      </w:r>
      <w:r w:rsidR="0068131D" w:rsidRPr="00A74CC6">
        <w:rPr>
          <w:lang w:val="sv-SE"/>
        </w:rPr>
        <w:t>schema</w:t>
      </w:r>
      <w:r w:rsidRPr="00A74CC6">
        <w:rPr>
          <w:lang w:val="sv-SE"/>
        </w:rPr>
        <w:t xml:space="preserve"> vid metastaserad bröstcancer</w:t>
      </w:r>
    </w:p>
    <w:p w14:paraId="0FA6FC6B" w14:textId="3F051727" w:rsidR="005027AB" w:rsidRPr="00A74CC6" w:rsidRDefault="00264096" w:rsidP="001E7238">
      <w:pPr>
        <w:spacing w:after="0" w:line="240" w:lineRule="auto"/>
        <w:ind w:left="4" w:right="13"/>
        <w:contextualSpacing/>
        <w:rPr>
          <w:lang w:val="sv-SE"/>
        </w:rPr>
      </w:pPr>
      <w:r w:rsidRPr="00A74CC6">
        <w:rPr>
          <w:lang w:val="sv-SE"/>
        </w:rPr>
        <w:t xml:space="preserve">Effektresultaten från de </w:t>
      </w:r>
      <w:r w:rsidR="0068131D" w:rsidRPr="00A74CC6">
        <w:rPr>
          <w:lang w:val="sv-SE"/>
        </w:rPr>
        <w:t>icke</w:t>
      </w:r>
      <w:r w:rsidRPr="00A74CC6">
        <w:rPr>
          <w:lang w:val="sv-SE"/>
        </w:rPr>
        <w:t xml:space="preserve">-komparativa </w:t>
      </w:r>
      <w:r w:rsidR="00BD206D" w:rsidRPr="00A74CC6">
        <w:rPr>
          <w:lang w:val="sv-SE"/>
        </w:rPr>
        <w:t xml:space="preserve">studierna av </w:t>
      </w:r>
      <w:r w:rsidRPr="00A74CC6">
        <w:rPr>
          <w:lang w:val="sv-SE"/>
        </w:rPr>
        <w:t>monoterapi respektive kombinations</w:t>
      </w:r>
      <w:r w:rsidR="00BD206D" w:rsidRPr="00A74CC6">
        <w:rPr>
          <w:lang w:val="sv-SE"/>
        </w:rPr>
        <w:t>terapi med</w:t>
      </w:r>
      <w:r w:rsidRPr="00A74CC6">
        <w:rPr>
          <w:lang w:val="sv-SE"/>
        </w:rPr>
        <w:t xml:space="preserve"> treveckors dosering</w:t>
      </w:r>
      <w:r w:rsidR="0068131D" w:rsidRPr="00A74CC6">
        <w:rPr>
          <w:lang w:val="sv-SE"/>
        </w:rPr>
        <w:t>sschema</w:t>
      </w:r>
      <w:r w:rsidRPr="00A74CC6">
        <w:rPr>
          <w:lang w:val="sv-SE"/>
        </w:rPr>
        <w:t xml:space="preserve"> sammanfattas i tabell</w:t>
      </w:r>
      <w:r w:rsidR="0068131D" w:rsidRPr="00A74CC6">
        <w:rPr>
          <w:lang w:val="sv-SE"/>
        </w:rPr>
        <w:t> </w:t>
      </w:r>
      <w:r w:rsidRPr="00A74CC6">
        <w:rPr>
          <w:lang w:val="sv-SE"/>
        </w:rPr>
        <w:t>5:</w:t>
      </w:r>
    </w:p>
    <w:p w14:paraId="142E4DBF" w14:textId="77777777" w:rsidR="003C3414" w:rsidRPr="00A74CC6" w:rsidRDefault="003C3414" w:rsidP="00BE7A5B">
      <w:pPr>
        <w:spacing w:after="0" w:line="240" w:lineRule="auto"/>
        <w:ind w:left="0" w:firstLine="0"/>
        <w:contextualSpacing/>
        <w:rPr>
          <w:lang w:val="sv-SE"/>
        </w:rPr>
      </w:pPr>
    </w:p>
    <w:p w14:paraId="4F6946B1" w14:textId="0BB22F74" w:rsidR="005027AB" w:rsidRPr="00A74CC6" w:rsidRDefault="003C3414" w:rsidP="00BE7A5B">
      <w:pPr>
        <w:keepNext/>
        <w:keepLines/>
        <w:tabs>
          <w:tab w:val="left" w:pos="567"/>
          <w:tab w:val="left" w:pos="1134"/>
          <w:tab w:val="center" w:pos="4621"/>
        </w:tabs>
        <w:spacing w:after="0" w:line="240" w:lineRule="auto"/>
        <w:ind w:left="0" w:firstLine="0"/>
        <w:contextualSpacing/>
        <w:rPr>
          <w:b/>
          <w:lang w:val="sv-SE"/>
        </w:rPr>
      </w:pPr>
      <w:r w:rsidRPr="00A74CC6">
        <w:rPr>
          <w:b/>
          <w:lang w:val="sv-SE"/>
        </w:rPr>
        <w:t>Tabell</w:t>
      </w:r>
      <w:r w:rsidR="00BD206D" w:rsidRPr="00A74CC6">
        <w:rPr>
          <w:b/>
          <w:lang w:val="sv-SE"/>
        </w:rPr>
        <w:t> </w:t>
      </w:r>
      <w:r w:rsidRPr="00A74CC6">
        <w:rPr>
          <w:b/>
          <w:lang w:val="sv-SE"/>
        </w:rPr>
        <w:t>5</w:t>
      </w:r>
      <w:r w:rsidR="00E1391C" w:rsidRPr="00A74CC6">
        <w:rPr>
          <w:b/>
          <w:lang w:val="sv-SE"/>
        </w:rPr>
        <w:t>.</w:t>
      </w:r>
      <w:r w:rsidR="004D7E0C" w:rsidRPr="00A74CC6">
        <w:rPr>
          <w:b/>
          <w:lang w:val="sv-SE"/>
        </w:rPr>
        <w:t xml:space="preserve"> </w:t>
      </w:r>
      <w:r w:rsidR="00264096" w:rsidRPr="00A74CC6">
        <w:rPr>
          <w:b/>
          <w:lang w:val="sv-SE"/>
        </w:rPr>
        <w:t xml:space="preserve">Effektresultat från icke jämförande </w:t>
      </w:r>
      <w:r w:rsidR="00BD206D" w:rsidRPr="00A74CC6">
        <w:rPr>
          <w:b/>
          <w:lang w:val="sv-SE"/>
        </w:rPr>
        <w:t xml:space="preserve">studier av </w:t>
      </w:r>
      <w:r w:rsidR="00264096" w:rsidRPr="00A74CC6">
        <w:rPr>
          <w:b/>
          <w:lang w:val="sv-SE"/>
        </w:rPr>
        <w:t>monoterapi- och kombinationsterapi</w:t>
      </w:r>
    </w:p>
    <w:p w14:paraId="14C9D7E2" w14:textId="77777777" w:rsidR="003C3414" w:rsidRPr="00A74CC6" w:rsidRDefault="003C3414" w:rsidP="00BE7A5B">
      <w:pPr>
        <w:keepNext/>
        <w:keepLines/>
        <w:tabs>
          <w:tab w:val="center" w:pos="4621"/>
        </w:tabs>
        <w:spacing w:after="0" w:line="240" w:lineRule="auto"/>
        <w:ind w:left="0" w:firstLine="0"/>
        <w:contextualSpacing/>
        <w:rPr>
          <w:lang w:val="sv-SE"/>
        </w:rPr>
      </w:pPr>
    </w:p>
    <w:tbl>
      <w:tblPr>
        <w:tblW w:w="4976" w:type="pct"/>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6" w:type="dxa"/>
          <w:left w:w="50" w:type="dxa"/>
          <w:right w:w="14" w:type="dxa"/>
        </w:tblCellMar>
        <w:tblLook w:val="04A0" w:firstRow="1" w:lastRow="0" w:firstColumn="1" w:lastColumn="0" w:noHBand="0" w:noVBand="1"/>
      </w:tblPr>
      <w:tblGrid>
        <w:gridCol w:w="2835"/>
        <w:gridCol w:w="1422"/>
        <w:gridCol w:w="1567"/>
        <w:gridCol w:w="1709"/>
        <w:gridCol w:w="1556"/>
      </w:tblGrid>
      <w:tr w:rsidR="00BE7A5B" w:rsidRPr="00A74CC6" w14:paraId="5F33740E" w14:textId="77777777" w:rsidTr="004A019F">
        <w:trPr>
          <w:trHeight w:val="227"/>
          <w:tblHeader/>
        </w:trPr>
        <w:tc>
          <w:tcPr>
            <w:tcW w:w="1560" w:type="pct"/>
            <w:shd w:val="clear" w:color="auto" w:fill="auto"/>
          </w:tcPr>
          <w:p w14:paraId="1E6BBBF1" w14:textId="77777777" w:rsidR="005027AB" w:rsidRPr="004A019F" w:rsidRDefault="00264096" w:rsidP="004A019F">
            <w:pPr>
              <w:keepNext/>
              <w:keepLines/>
              <w:spacing w:after="0" w:line="240" w:lineRule="auto"/>
              <w:ind w:left="0" w:firstLine="0"/>
              <w:contextualSpacing/>
              <w:rPr>
                <w:lang w:val="sv-SE"/>
              </w:rPr>
            </w:pPr>
            <w:r w:rsidRPr="004A019F">
              <w:rPr>
                <w:b/>
                <w:lang w:val="sv-SE"/>
              </w:rPr>
              <w:t>Parameter</w:t>
            </w:r>
          </w:p>
        </w:tc>
        <w:tc>
          <w:tcPr>
            <w:tcW w:w="1644" w:type="pct"/>
            <w:gridSpan w:val="2"/>
            <w:shd w:val="clear" w:color="auto" w:fill="auto"/>
          </w:tcPr>
          <w:p w14:paraId="2615C0ED" w14:textId="77777777" w:rsidR="005027AB" w:rsidRPr="004A019F" w:rsidRDefault="00264096" w:rsidP="004A019F">
            <w:pPr>
              <w:keepNext/>
              <w:keepLines/>
              <w:spacing w:after="0" w:line="240" w:lineRule="auto"/>
              <w:ind w:left="0" w:firstLine="0"/>
              <w:contextualSpacing/>
              <w:jc w:val="center"/>
              <w:rPr>
                <w:lang w:val="sv-SE"/>
              </w:rPr>
            </w:pPr>
            <w:r w:rsidRPr="004A019F">
              <w:rPr>
                <w:b/>
                <w:lang w:val="sv-SE"/>
              </w:rPr>
              <w:t>Monoterapi</w:t>
            </w:r>
          </w:p>
        </w:tc>
        <w:tc>
          <w:tcPr>
            <w:tcW w:w="1797" w:type="pct"/>
            <w:gridSpan w:val="2"/>
            <w:shd w:val="clear" w:color="auto" w:fill="auto"/>
          </w:tcPr>
          <w:p w14:paraId="2B971CAA" w14:textId="77777777" w:rsidR="005027AB" w:rsidRPr="004A019F" w:rsidRDefault="00264096" w:rsidP="004A019F">
            <w:pPr>
              <w:keepNext/>
              <w:keepLines/>
              <w:spacing w:after="0" w:line="240" w:lineRule="auto"/>
              <w:ind w:left="0" w:firstLine="0"/>
              <w:contextualSpacing/>
              <w:jc w:val="center"/>
              <w:rPr>
                <w:lang w:val="sv-SE"/>
              </w:rPr>
            </w:pPr>
            <w:r w:rsidRPr="004A019F">
              <w:rPr>
                <w:b/>
                <w:lang w:val="sv-SE"/>
              </w:rPr>
              <w:t>Kombinationsbehandling</w:t>
            </w:r>
          </w:p>
        </w:tc>
      </w:tr>
      <w:tr w:rsidR="00AD14F8" w:rsidRPr="00A74CC6" w14:paraId="4DFED0F4" w14:textId="77777777" w:rsidTr="004A019F">
        <w:trPr>
          <w:trHeight w:val="768"/>
          <w:tblHeader/>
        </w:trPr>
        <w:tc>
          <w:tcPr>
            <w:tcW w:w="1560" w:type="pct"/>
            <w:shd w:val="clear" w:color="auto" w:fill="auto"/>
          </w:tcPr>
          <w:p w14:paraId="53F8362B" w14:textId="77777777" w:rsidR="005027AB" w:rsidRPr="004A019F" w:rsidRDefault="005027AB" w:rsidP="004A019F">
            <w:pPr>
              <w:keepNext/>
              <w:keepLines/>
              <w:spacing w:after="0" w:line="240" w:lineRule="auto"/>
              <w:ind w:left="0" w:firstLine="0"/>
              <w:contextualSpacing/>
              <w:rPr>
                <w:lang w:val="sv-SE"/>
              </w:rPr>
            </w:pPr>
          </w:p>
        </w:tc>
        <w:tc>
          <w:tcPr>
            <w:tcW w:w="782" w:type="pct"/>
            <w:shd w:val="clear" w:color="auto" w:fill="auto"/>
          </w:tcPr>
          <w:p w14:paraId="7442FDD6" w14:textId="4DD32698" w:rsidR="005027AB" w:rsidRPr="004A019F" w:rsidRDefault="004D7E0C" w:rsidP="004A019F">
            <w:pPr>
              <w:keepNext/>
              <w:keepLines/>
              <w:spacing w:after="0" w:line="240" w:lineRule="auto"/>
              <w:ind w:left="0" w:firstLine="0"/>
              <w:contextualSpacing/>
              <w:jc w:val="center"/>
              <w:rPr>
                <w:b/>
                <w:lang w:val="sv-SE"/>
              </w:rPr>
            </w:pPr>
            <w:r w:rsidRPr="004A019F">
              <w:rPr>
                <w:b/>
                <w:lang w:val="sv-SE"/>
              </w:rPr>
              <w:t>Trastuzumab</w:t>
            </w:r>
            <w:r w:rsidR="00264096" w:rsidRPr="004A019F">
              <w:rPr>
                <w:b/>
                <w:vertAlign w:val="superscript"/>
                <w:lang w:val="sv-SE"/>
              </w:rPr>
              <w:t>1</w:t>
            </w:r>
          </w:p>
          <w:p w14:paraId="4911025D" w14:textId="5C360136" w:rsidR="005027AB" w:rsidRPr="004A019F" w:rsidRDefault="004D7E0C" w:rsidP="004A019F">
            <w:pPr>
              <w:keepNext/>
              <w:keepLines/>
              <w:spacing w:after="0" w:line="240" w:lineRule="auto"/>
              <w:ind w:left="0" w:firstLine="0"/>
              <w:contextualSpacing/>
              <w:jc w:val="center"/>
              <w:rPr>
                <w:lang w:val="sv-SE"/>
              </w:rPr>
            </w:pPr>
            <w:r w:rsidRPr="004A019F">
              <w:rPr>
                <w:b/>
                <w:lang w:val="sv-SE"/>
              </w:rPr>
              <w:t>N </w:t>
            </w:r>
            <w:r w:rsidR="00264096" w:rsidRPr="004A019F">
              <w:rPr>
                <w:b/>
                <w:lang w:val="sv-SE"/>
              </w:rPr>
              <w:t>=</w:t>
            </w:r>
            <w:r w:rsidRPr="004A019F">
              <w:rPr>
                <w:b/>
                <w:lang w:val="sv-SE"/>
              </w:rPr>
              <w:t> </w:t>
            </w:r>
            <w:r w:rsidR="00264096" w:rsidRPr="004A019F">
              <w:rPr>
                <w:b/>
                <w:lang w:val="sv-SE"/>
              </w:rPr>
              <w:t>105</w:t>
            </w:r>
          </w:p>
        </w:tc>
        <w:tc>
          <w:tcPr>
            <w:tcW w:w="862" w:type="pct"/>
            <w:shd w:val="clear" w:color="auto" w:fill="auto"/>
          </w:tcPr>
          <w:p w14:paraId="2C947AEF" w14:textId="1ED952BB" w:rsidR="005027AB" w:rsidRPr="004A019F" w:rsidRDefault="004D7E0C" w:rsidP="004A019F">
            <w:pPr>
              <w:keepNext/>
              <w:keepLines/>
              <w:spacing w:after="0" w:line="240" w:lineRule="auto"/>
              <w:ind w:left="0" w:firstLine="0"/>
              <w:contextualSpacing/>
              <w:jc w:val="center"/>
              <w:rPr>
                <w:b/>
                <w:lang w:val="sv-SE"/>
              </w:rPr>
            </w:pPr>
            <w:r w:rsidRPr="004A019F">
              <w:rPr>
                <w:b/>
                <w:lang w:val="sv-SE"/>
              </w:rPr>
              <w:t>Trastuzumab</w:t>
            </w:r>
            <w:r w:rsidR="00264096" w:rsidRPr="004A019F">
              <w:rPr>
                <w:b/>
                <w:vertAlign w:val="superscript"/>
                <w:lang w:val="sv-SE"/>
              </w:rPr>
              <w:t>2</w:t>
            </w:r>
          </w:p>
          <w:p w14:paraId="573CF1CC" w14:textId="5D581B81" w:rsidR="005027AB" w:rsidRPr="004A019F" w:rsidRDefault="00264096" w:rsidP="004A019F">
            <w:pPr>
              <w:keepNext/>
              <w:keepLines/>
              <w:spacing w:after="0" w:line="240" w:lineRule="auto"/>
              <w:ind w:left="0" w:firstLine="0"/>
              <w:contextualSpacing/>
              <w:jc w:val="center"/>
              <w:rPr>
                <w:lang w:val="sv-SE"/>
              </w:rPr>
            </w:pPr>
            <w:r w:rsidRPr="004A019F">
              <w:rPr>
                <w:b/>
                <w:lang w:val="sv-SE"/>
              </w:rPr>
              <w:t>N</w:t>
            </w:r>
            <w:r w:rsidR="004D7E0C" w:rsidRPr="004A019F">
              <w:rPr>
                <w:b/>
                <w:lang w:val="sv-SE"/>
              </w:rPr>
              <w:t> </w:t>
            </w:r>
            <w:r w:rsidRPr="004A019F">
              <w:rPr>
                <w:b/>
                <w:lang w:val="sv-SE"/>
              </w:rPr>
              <w:t>=</w:t>
            </w:r>
            <w:r w:rsidR="004D7E0C" w:rsidRPr="004A019F">
              <w:rPr>
                <w:b/>
                <w:lang w:val="sv-SE"/>
              </w:rPr>
              <w:t> </w:t>
            </w:r>
            <w:r w:rsidRPr="004A019F">
              <w:rPr>
                <w:b/>
                <w:lang w:val="sv-SE"/>
              </w:rPr>
              <w:t>72</w:t>
            </w:r>
          </w:p>
        </w:tc>
        <w:tc>
          <w:tcPr>
            <w:tcW w:w="940" w:type="pct"/>
            <w:shd w:val="clear" w:color="auto" w:fill="auto"/>
          </w:tcPr>
          <w:p w14:paraId="58150A2E" w14:textId="18240772" w:rsidR="005027AB" w:rsidRPr="004A019F" w:rsidRDefault="004D7E0C" w:rsidP="004A019F">
            <w:pPr>
              <w:keepNext/>
              <w:keepLines/>
              <w:spacing w:after="0" w:line="240" w:lineRule="auto"/>
              <w:ind w:left="0" w:firstLine="0"/>
              <w:contextualSpacing/>
              <w:jc w:val="center"/>
              <w:rPr>
                <w:lang w:val="sv-SE"/>
              </w:rPr>
            </w:pPr>
            <w:r w:rsidRPr="004A019F">
              <w:rPr>
                <w:b/>
                <w:lang w:val="sv-SE"/>
              </w:rPr>
              <w:t>Trastuzumab</w:t>
            </w:r>
            <w:r w:rsidRPr="004A019F">
              <w:rPr>
                <w:lang w:val="sv-SE"/>
              </w:rPr>
              <w:t xml:space="preserve"> </w:t>
            </w:r>
            <w:r w:rsidR="00264096" w:rsidRPr="004A019F">
              <w:rPr>
                <w:b/>
                <w:lang w:val="sv-SE"/>
              </w:rPr>
              <w:t>plus paklitaxel</w:t>
            </w:r>
            <w:r w:rsidR="00264096" w:rsidRPr="004A019F">
              <w:rPr>
                <w:b/>
                <w:vertAlign w:val="superscript"/>
                <w:lang w:val="sv-SE"/>
              </w:rPr>
              <w:t>3</w:t>
            </w:r>
          </w:p>
          <w:p w14:paraId="3A347634" w14:textId="297268FD" w:rsidR="005027AB" w:rsidRPr="004A019F" w:rsidRDefault="00264096" w:rsidP="004A019F">
            <w:pPr>
              <w:keepNext/>
              <w:keepLines/>
              <w:spacing w:after="0" w:line="240" w:lineRule="auto"/>
              <w:ind w:left="0" w:firstLine="0"/>
              <w:contextualSpacing/>
              <w:jc w:val="center"/>
              <w:rPr>
                <w:lang w:val="sv-SE"/>
              </w:rPr>
            </w:pPr>
            <w:r w:rsidRPr="004A019F">
              <w:rPr>
                <w:b/>
                <w:lang w:val="sv-SE"/>
              </w:rPr>
              <w:t>N</w:t>
            </w:r>
            <w:r w:rsidR="004D7E0C" w:rsidRPr="004A019F">
              <w:rPr>
                <w:b/>
                <w:lang w:val="sv-SE"/>
              </w:rPr>
              <w:t> </w:t>
            </w:r>
            <w:r w:rsidRPr="004A019F">
              <w:rPr>
                <w:b/>
                <w:lang w:val="sv-SE"/>
              </w:rPr>
              <w:t>=</w:t>
            </w:r>
            <w:r w:rsidR="004D7E0C" w:rsidRPr="004A019F">
              <w:rPr>
                <w:b/>
                <w:lang w:val="sv-SE"/>
              </w:rPr>
              <w:t> </w:t>
            </w:r>
            <w:r w:rsidRPr="004A019F">
              <w:rPr>
                <w:b/>
                <w:lang w:val="sv-SE"/>
              </w:rPr>
              <w:t>32</w:t>
            </w:r>
          </w:p>
        </w:tc>
        <w:tc>
          <w:tcPr>
            <w:tcW w:w="857" w:type="pct"/>
            <w:shd w:val="clear" w:color="auto" w:fill="auto"/>
          </w:tcPr>
          <w:p w14:paraId="09A78D86" w14:textId="25328A7A" w:rsidR="005027AB" w:rsidRPr="004A019F" w:rsidRDefault="004D7E0C" w:rsidP="004A019F">
            <w:pPr>
              <w:keepNext/>
              <w:keepLines/>
              <w:spacing w:after="0" w:line="240" w:lineRule="auto"/>
              <w:ind w:left="0" w:firstLine="0"/>
              <w:contextualSpacing/>
              <w:jc w:val="center"/>
              <w:rPr>
                <w:lang w:val="sv-SE"/>
              </w:rPr>
            </w:pPr>
            <w:r w:rsidRPr="004A019F">
              <w:rPr>
                <w:b/>
                <w:lang w:val="sv-SE"/>
              </w:rPr>
              <w:t>Trastuzumab</w:t>
            </w:r>
            <w:r w:rsidRPr="004A019F">
              <w:rPr>
                <w:lang w:val="sv-SE"/>
              </w:rPr>
              <w:t xml:space="preserve"> </w:t>
            </w:r>
            <w:r w:rsidR="00264096" w:rsidRPr="004A019F">
              <w:rPr>
                <w:b/>
                <w:lang w:val="sv-SE"/>
              </w:rPr>
              <w:t>plus docetaxel</w:t>
            </w:r>
            <w:r w:rsidR="00264096" w:rsidRPr="004A019F">
              <w:rPr>
                <w:b/>
                <w:vertAlign w:val="superscript"/>
                <w:lang w:val="sv-SE"/>
              </w:rPr>
              <w:t>4</w:t>
            </w:r>
          </w:p>
          <w:p w14:paraId="7BECFEFB" w14:textId="0D43FE7C" w:rsidR="005027AB" w:rsidRPr="004A019F" w:rsidRDefault="00264096" w:rsidP="004A019F">
            <w:pPr>
              <w:keepNext/>
              <w:keepLines/>
              <w:spacing w:after="0" w:line="240" w:lineRule="auto"/>
              <w:ind w:left="0" w:firstLine="0"/>
              <w:contextualSpacing/>
              <w:jc w:val="center"/>
              <w:rPr>
                <w:lang w:val="sv-SE"/>
              </w:rPr>
            </w:pPr>
            <w:r w:rsidRPr="004A019F">
              <w:rPr>
                <w:b/>
                <w:lang w:val="sv-SE"/>
              </w:rPr>
              <w:t>N</w:t>
            </w:r>
            <w:r w:rsidR="004D7E0C" w:rsidRPr="004A019F">
              <w:rPr>
                <w:b/>
                <w:lang w:val="sv-SE"/>
              </w:rPr>
              <w:t> </w:t>
            </w:r>
            <w:r w:rsidRPr="004A019F">
              <w:rPr>
                <w:b/>
                <w:lang w:val="sv-SE"/>
              </w:rPr>
              <w:t>=</w:t>
            </w:r>
            <w:r w:rsidR="004D7E0C" w:rsidRPr="004A019F">
              <w:rPr>
                <w:b/>
                <w:lang w:val="sv-SE"/>
              </w:rPr>
              <w:t> </w:t>
            </w:r>
            <w:r w:rsidRPr="004A019F">
              <w:rPr>
                <w:b/>
                <w:lang w:val="sv-SE"/>
              </w:rPr>
              <w:t>110</w:t>
            </w:r>
          </w:p>
        </w:tc>
      </w:tr>
      <w:tr w:rsidR="00AD14F8" w:rsidRPr="00A74CC6" w14:paraId="3C6D9E90" w14:textId="77777777" w:rsidTr="004A019F">
        <w:trPr>
          <w:trHeight w:val="510"/>
        </w:trPr>
        <w:tc>
          <w:tcPr>
            <w:tcW w:w="1560" w:type="pct"/>
            <w:shd w:val="clear" w:color="auto" w:fill="auto"/>
          </w:tcPr>
          <w:p w14:paraId="43A2FE87" w14:textId="77777777" w:rsidR="00BE7A5B" w:rsidRPr="004A019F" w:rsidRDefault="00264096" w:rsidP="004A019F">
            <w:pPr>
              <w:spacing w:after="0" w:line="240" w:lineRule="auto"/>
              <w:ind w:left="0" w:firstLine="0"/>
              <w:contextualSpacing/>
              <w:rPr>
                <w:b/>
                <w:lang w:val="sv-SE"/>
              </w:rPr>
            </w:pPr>
            <w:r w:rsidRPr="004A019F">
              <w:rPr>
                <w:b/>
                <w:lang w:val="sv-SE"/>
              </w:rPr>
              <w:t xml:space="preserve">Respons </w:t>
            </w:r>
          </w:p>
          <w:p w14:paraId="5F0B4B5F" w14:textId="0486A2E8" w:rsidR="005027AB" w:rsidRPr="004A019F" w:rsidRDefault="00264096" w:rsidP="004A019F">
            <w:pPr>
              <w:spacing w:after="0" w:line="240" w:lineRule="auto"/>
              <w:ind w:left="0" w:firstLine="0"/>
              <w:contextualSpacing/>
              <w:rPr>
                <w:lang w:val="sv-SE"/>
              </w:rPr>
            </w:pPr>
            <w:r w:rsidRPr="004A019F">
              <w:rPr>
                <w:b/>
                <w:lang w:val="sv-SE"/>
              </w:rPr>
              <w:t>(95</w:t>
            </w:r>
            <w:r w:rsidR="004D7E0C" w:rsidRPr="004A019F">
              <w:rPr>
                <w:b/>
                <w:lang w:val="sv-SE"/>
              </w:rPr>
              <w:t> </w:t>
            </w:r>
            <w:r w:rsidRPr="004A019F">
              <w:rPr>
                <w:b/>
                <w:lang w:val="sv-SE"/>
              </w:rPr>
              <w:t>% KI)</w:t>
            </w:r>
          </w:p>
        </w:tc>
        <w:tc>
          <w:tcPr>
            <w:tcW w:w="782" w:type="pct"/>
            <w:shd w:val="clear" w:color="auto" w:fill="auto"/>
          </w:tcPr>
          <w:p w14:paraId="4F575C8B" w14:textId="3C24592D" w:rsidR="005027AB" w:rsidRPr="004A019F" w:rsidRDefault="004D7E0C" w:rsidP="004A019F">
            <w:pPr>
              <w:spacing w:after="0" w:line="240" w:lineRule="auto"/>
              <w:ind w:left="0" w:firstLine="0"/>
              <w:contextualSpacing/>
              <w:jc w:val="center"/>
              <w:rPr>
                <w:lang w:val="sv-SE"/>
              </w:rPr>
            </w:pPr>
            <w:r w:rsidRPr="004A019F">
              <w:rPr>
                <w:lang w:val="sv-SE"/>
              </w:rPr>
              <w:t>24 </w:t>
            </w:r>
            <w:r w:rsidR="00264096" w:rsidRPr="004A019F">
              <w:rPr>
                <w:lang w:val="sv-SE"/>
              </w:rPr>
              <w:t>%</w:t>
            </w:r>
          </w:p>
          <w:p w14:paraId="658622F3" w14:textId="597DE458" w:rsidR="005027AB" w:rsidRPr="004A019F" w:rsidRDefault="00F45CC5" w:rsidP="004A019F">
            <w:pPr>
              <w:spacing w:after="0" w:line="240" w:lineRule="auto"/>
              <w:ind w:left="0" w:firstLine="0"/>
              <w:contextualSpacing/>
              <w:jc w:val="center"/>
              <w:rPr>
                <w:lang w:val="sv-SE"/>
              </w:rPr>
            </w:pPr>
            <w:r w:rsidRPr="004A019F">
              <w:rPr>
                <w:lang w:val="sv-SE"/>
              </w:rPr>
              <w:t>(15</w:t>
            </w:r>
            <w:r w:rsidR="0068131D" w:rsidRPr="004A019F">
              <w:rPr>
                <w:lang w:val="sv-SE"/>
              </w:rPr>
              <w:noBreakHyphen/>
            </w:r>
            <w:r w:rsidR="00264096" w:rsidRPr="004A019F">
              <w:rPr>
                <w:lang w:val="sv-SE"/>
              </w:rPr>
              <w:t>35)</w:t>
            </w:r>
          </w:p>
        </w:tc>
        <w:tc>
          <w:tcPr>
            <w:tcW w:w="862" w:type="pct"/>
            <w:shd w:val="clear" w:color="auto" w:fill="auto"/>
          </w:tcPr>
          <w:p w14:paraId="65F7B80A" w14:textId="4DADEB5F" w:rsidR="005027AB" w:rsidRPr="004A019F" w:rsidRDefault="004D7E0C" w:rsidP="004A019F">
            <w:pPr>
              <w:spacing w:after="0" w:line="240" w:lineRule="auto"/>
              <w:ind w:left="0" w:firstLine="0"/>
              <w:contextualSpacing/>
              <w:jc w:val="center"/>
              <w:rPr>
                <w:lang w:val="sv-SE"/>
              </w:rPr>
            </w:pPr>
            <w:r w:rsidRPr="004A019F">
              <w:rPr>
                <w:lang w:val="sv-SE"/>
              </w:rPr>
              <w:t>27 </w:t>
            </w:r>
            <w:r w:rsidR="00264096" w:rsidRPr="004A019F">
              <w:rPr>
                <w:lang w:val="sv-SE"/>
              </w:rPr>
              <w:t>%</w:t>
            </w:r>
          </w:p>
          <w:p w14:paraId="6B5C49D2" w14:textId="242B6877" w:rsidR="005027AB" w:rsidRPr="004A019F" w:rsidRDefault="00264096" w:rsidP="004A019F">
            <w:pPr>
              <w:spacing w:after="0" w:line="240" w:lineRule="auto"/>
              <w:ind w:left="0" w:firstLine="0"/>
              <w:contextualSpacing/>
              <w:jc w:val="center"/>
              <w:rPr>
                <w:lang w:val="sv-SE"/>
              </w:rPr>
            </w:pPr>
            <w:r w:rsidRPr="004A019F">
              <w:rPr>
                <w:lang w:val="sv-SE"/>
              </w:rPr>
              <w:t>(14</w:t>
            </w:r>
            <w:r w:rsidR="0068131D" w:rsidRPr="004A019F">
              <w:rPr>
                <w:lang w:val="sv-SE"/>
              </w:rPr>
              <w:noBreakHyphen/>
            </w:r>
            <w:r w:rsidRPr="004A019F">
              <w:rPr>
                <w:lang w:val="sv-SE"/>
              </w:rPr>
              <w:t>43)</w:t>
            </w:r>
          </w:p>
        </w:tc>
        <w:tc>
          <w:tcPr>
            <w:tcW w:w="940" w:type="pct"/>
            <w:shd w:val="clear" w:color="auto" w:fill="auto"/>
          </w:tcPr>
          <w:p w14:paraId="4E88F699" w14:textId="3053659D" w:rsidR="005027AB" w:rsidRPr="004A019F" w:rsidRDefault="004D7E0C" w:rsidP="004A019F">
            <w:pPr>
              <w:spacing w:after="0" w:line="240" w:lineRule="auto"/>
              <w:ind w:left="0" w:firstLine="0"/>
              <w:contextualSpacing/>
              <w:jc w:val="center"/>
              <w:rPr>
                <w:lang w:val="sv-SE"/>
              </w:rPr>
            </w:pPr>
            <w:r w:rsidRPr="004A019F">
              <w:rPr>
                <w:lang w:val="sv-SE"/>
              </w:rPr>
              <w:t>59 </w:t>
            </w:r>
            <w:r w:rsidR="00264096" w:rsidRPr="004A019F">
              <w:rPr>
                <w:lang w:val="sv-SE"/>
              </w:rPr>
              <w:t>%</w:t>
            </w:r>
          </w:p>
          <w:p w14:paraId="7769286A" w14:textId="78359FB4" w:rsidR="005027AB" w:rsidRPr="004A019F" w:rsidRDefault="00264096" w:rsidP="004A019F">
            <w:pPr>
              <w:spacing w:after="0" w:line="240" w:lineRule="auto"/>
              <w:ind w:left="0" w:firstLine="0"/>
              <w:contextualSpacing/>
              <w:jc w:val="center"/>
              <w:rPr>
                <w:lang w:val="sv-SE"/>
              </w:rPr>
            </w:pPr>
            <w:r w:rsidRPr="004A019F">
              <w:rPr>
                <w:lang w:val="sv-SE"/>
              </w:rPr>
              <w:t>(41</w:t>
            </w:r>
            <w:r w:rsidR="0068131D" w:rsidRPr="004A019F">
              <w:rPr>
                <w:lang w:val="sv-SE"/>
              </w:rPr>
              <w:noBreakHyphen/>
            </w:r>
            <w:r w:rsidRPr="004A019F">
              <w:rPr>
                <w:lang w:val="sv-SE"/>
              </w:rPr>
              <w:t>76)</w:t>
            </w:r>
          </w:p>
        </w:tc>
        <w:tc>
          <w:tcPr>
            <w:tcW w:w="857" w:type="pct"/>
            <w:shd w:val="clear" w:color="auto" w:fill="auto"/>
          </w:tcPr>
          <w:p w14:paraId="18406CBC" w14:textId="3C3CBD6B" w:rsidR="005027AB" w:rsidRPr="004A019F" w:rsidRDefault="004D7E0C" w:rsidP="004A019F">
            <w:pPr>
              <w:spacing w:after="0" w:line="240" w:lineRule="auto"/>
              <w:ind w:left="0" w:firstLine="0"/>
              <w:contextualSpacing/>
              <w:jc w:val="center"/>
              <w:rPr>
                <w:lang w:val="sv-SE"/>
              </w:rPr>
            </w:pPr>
            <w:r w:rsidRPr="004A019F">
              <w:rPr>
                <w:lang w:val="sv-SE"/>
              </w:rPr>
              <w:t>73 </w:t>
            </w:r>
            <w:r w:rsidR="00264096" w:rsidRPr="004A019F">
              <w:rPr>
                <w:lang w:val="sv-SE"/>
              </w:rPr>
              <w:t>%</w:t>
            </w:r>
          </w:p>
          <w:p w14:paraId="7A983672" w14:textId="08CFF096" w:rsidR="005027AB" w:rsidRPr="004A019F" w:rsidRDefault="00264096" w:rsidP="004A019F">
            <w:pPr>
              <w:spacing w:after="0" w:line="240" w:lineRule="auto"/>
              <w:ind w:left="0" w:firstLine="0"/>
              <w:contextualSpacing/>
              <w:jc w:val="center"/>
              <w:rPr>
                <w:lang w:val="sv-SE"/>
              </w:rPr>
            </w:pPr>
            <w:r w:rsidRPr="004A019F">
              <w:rPr>
                <w:lang w:val="sv-SE"/>
              </w:rPr>
              <w:t>(63</w:t>
            </w:r>
            <w:r w:rsidR="0068131D" w:rsidRPr="004A019F">
              <w:rPr>
                <w:lang w:val="sv-SE"/>
              </w:rPr>
              <w:noBreakHyphen/>
            </w:r>
            <w:r w:rsidRPr="004A019F">
              <w:rPr>
                <w:lang w:val="sv-SE"/>
              </w:rPr>
              <w:t>81)</w:t>
            </w:r>
          </w:p>
        </w:tc>
      </w:tr>
      <w:tr w:rsidR="00AD14F8" w:rsidRPr="00A74CC6" w14:paraId="25ECAE3D" w14:textId="77777777" w:rsidTr="004A019F">
        <w:trPr>
          <w:trHeight w:val="737"/>
        </w:trPr>
        <w:tc>
          <w:tcPr>
            <w:tcW w:w="1560" w:type="pct"/>
            <w:shd w:val="clear" w:color="auto" w:fill="auto"/>
          </w:tcPr>
          <w:p w14:paraId="5468CA8F" w14:textId="44BB03DF" w:rsidR="005027AB" w:rsidRPr="004A019F" w:rsidRDefault="00264096" w:rsidP="004A019F">
            <w:pPr>
              <w:spacing w:after="0" w:line="240" w:lineRule="auto"/>
              <w:ind w:left="0" w:firstLine="0"/>
              <w:contextualSpacing/>
              <w:rPr>
                <w:lang w:val="sv-SE"/>
              </w:rPr>
            </w:pPr>
            <w:r w:rsidRPr="004A019F">
              <w:rPr>
                <w:b/>
                <w:lang w:val="sv-SE"/>
              </w:rPr>
              <w:t>Median</w:t>
            </w:r>
            <w:r w:rsidR="00BD206D" w:rsidRPr="004A019F">
              <w:rPr>
                <w:b/>
                <w:lang w:val="sv-SE"/>
              </w:rPr>
              <w:t>duration</w:t>
            </w:r>
            <w:r w:rsidRPr="004A019F">
              <w:rPr>
                <w:b/>
                <w:lang w:val="sv-SE"/>
              </w:rPr>
              <w:t xml:space="preserve"> av respons (månader) (</w:t>
            </w:r>
            <w:r w:rsidR="00E60F29" w:rsidRPr="004A019F">
              <w:rPr>
                <w:b/>
                <w:lang w:val="sv-SE"/>
              </w:rPr>
              <w:t>intervall</w:t>
            </w:r>
            <w:r w:rsidRPr="004A019F">
              <w:rPr>
                <w:b/>
                <w:lang w:val="sv-SE"/>
              </w:rPr>
              <w:t>)</w:t>
            </w:r>
          </w:p>
        </w:tc>
        <w:tc>
          <w:tcPr>
            <w:tcW w:w="782" w:type="pct"/>
            <w:shd w:val="clear" w:color="auto" w:fill="auto"/>
          </w:tcPr>
          <w:p w14:paraId="532FBE65" w14:textId="77777777" w:rsidR="005027AB" w:rsidRPr="004A019F" w:rsidRDefault="00264096" w:rsidP="004A019F">
            <w:pPr>
              <w:spacing w:after="0" w:line="240" w:lineRule="auto"/>
              <w:ind w:left="0" w:firstLine="0"/>
              <w:contextualSpacing/>
              <w:jc w:val="center"/>
              <w:rPr>
                <w:lang w:val="sv-SE"/>
              </w:rPr>
            </w:pPr>
            <w:r w:rsidRPr="004A019F">
              <w:rPr>
                <w:lang w:val="sv-SE"/>
              </w:rPr>
              <w:t>10,1</w:t>
            </w:r>
          </w:p>
          <w:p w14:paraId="69A7F87D" w14:textId="0C923C69" w:rsidR="005027AB" w:rsidRPr="004A019F" w:rsidRDefault="00264096" w:rsidP="004A019F">
            <w:pPr>
              <w:spacing w:after="0" w:line="240" w:lineRule="auto"/>
              <w:ind w:left="0" w:firstLine="0"/>
              <w:contextualSpacing/>
              <w:jc w:val="center"/>
              <w:rPr>
                <w:lang w:val="sv-SE"/>
              </w:rPr>
            </w:pPr>
            <w:r w:rsidRPr="004A019F">
              <w:rPr>
                <w:lang w:val="sv-SE"/>
              </w:rPr>
              <w:t>(2,8</w:t>
            </w:r>
            <w:r w:rsidR="0068131D" w:rsidRPr="004A019F">
              <w:rPr>
                <w:lang w:val="sv-SE"/>
              </w:rPr>
              <w:noBreakHyphen/>
            </w:r>
            <w:r w:rsidRPr="004A019F">
              <w:rPr>
                <w:lang w:val="sv-SE"/>
              </w:rPr>
              <w:t>35,6)</w:t>
            </w:r>
          </w:p>
        </w:tc>
        <w:tc>
          <w:tcPr>
            <w:tcW w:w="862" w:type="pct"/>
            <w:shd w:val="clear" w:color="auto" w:fill="auto"/>
          </w:tcPr>
          <w:p w14:paraId="6BF4BE68" w14:textId="77777777" w:rsidR="005027AB" w:rsidRPr="004A019F" w:rsidRDefault="00264096" w:rsidP="004A019F">
            <w:pPr>
              <w:spacing w:after="0" w:line="240" w:lineRule="auto"/>
              <w:ind w:left="0" w:firstLine="0"/>
              <w:contextualSpacing/>
              <w:jc w:val="center"/>
              <w:rPr>
                <w:lang w:val="sv-SE"/>
              </w:rPr>
            </w:pPr>
            <w:r w:rsidRPr="004A019F">
              <w:rPr>
                <w:lang w:val="sv-SE"/>
              </w:rPr>
              <w:t>7,9</w:t>
            </w:r>
          </w:p>
          <w:p w14:paraId="2739844F" w14:textId="6A512F75" w:rsidR="005027AB" w:rsidRPr="004A019F" w:rsidRDefault="00264096" w:rsidP="004A019F">
            <w:pPr>
              <w:spacing w:after="0" w:line="240" w:lineRule="auto"/>
              <w:ind w:left="0" w:firstLine="0"/>
              <w:contextualSpacing/>
              <w:jc w:val="center"/>
              <w:rPr>
                <w:lang w:val="sv-SE"/>
              </w:rPr>
            </w:pPr>
            <w:r w:rsidRPr="004A019F">
              <w:rPr>
                <w:lang w:val="sv-SE"/>
              </w:rPr>
              <w:t>(2,1</w:t>
            </w:r>
            <w:r w:rsidR="0068131D" w:rsidRPr="004A019F">
              <w:rPr>
                <w:lang w:val="sv-SE"/>
              </w:rPr>
              <w:noBreakHyphen/>
            </w:r>
            <w:r w:rsidRPr="004A019F">
              <w:rPr>
                <w:lang w:val="sv-SE"/>
              </w:rPr>
              <w:t>18,8)</w:t>
            </w:r>
          </w:p>
        </w:tc>
        <w:tc>
          <w:tcPr>
            <w:tcW w:w="940" w:type="pct"/>
            <w:shd w:val="clear" w:color="auto" w:fill="auto"/>
          </w:tcPr>
          <w:p w14:paraId="64958D29" w14:textId="77777777" w:rsidR="005027AB" w:rsidRPr="004A019F" w:rsidRDefault="00264096" w:rsidP="004A019F">
            <w:pPr>
              <w:spacing w:after="0" w:line="240" w:lineRule="auto"/>
              <w:ind w:left="0" w:firstLine="0"/>
              <w:contextualSpacing/>
              <w:jc w:val="center"/>
              <w:rPr>
                <w:lang w:val="sv-SE"/>
              </w:rPr>
            </w:pPr>
            <w:r w:rsidRPr="004A019F">
              <w:rPr>
                <w:lang w:val="sv-SE"/>
              </w:rPr>
              <w:t>10,5</w:t>
            </w:r>
          </w:p>
          <w:p w14:paraId="58553C27" w14:textId="133C48AE" w:rsidR="005027AB" w:rsidRPr="004A019F" w:rsidRDefault="00264096" w:rsidP="004A019F">
            <w:pPr>
              <w:spacing w:after="0" w:line="240" w:lineRule="auto"/>
              <w:ind w:left="0" w:firstLine="0"/>
              <w:contextualSpacing/>
              <w:jc w:val="center"/>
              <w:rPr>
                <w:lang w:val="sv-SE"/>
              </w:rPr>
            </w:pPr>
            <w:r w:rsidRPr="004A019F">
              <w:rPr>
                <w:lang w:val="sv-SE"/>
              </w:rPr>
              <w:t>(1,8</w:t>
            </w:r>
            <w:r w:rsidR="0068131D" w:rsidRPr="004A019F">
              <w:rPr>
                <w:lang w:val="sv-SE"/>
              </w:rPr>
              <w:noBreakHyphen/>
            </w:r>
            <w:r w:rsidRPr="004A019F">
              <w:rPr>
                <w:lang w:val="sv-SE"/>
              </w:rPr>
              <w:t>21)</w:t>
            </w:r>
          </w:p>
        </w:tc>
        <w:tc>
          <w:tcPr>
            <w:tcW w:w="857" w:type="pct"/>
            <w:shd w:val="clear" w:color="auto" w:fill="auto"/>
          </w:tcPr>
          <w:p w14:paraId="58F19156" w14:textId="77777777" w:rsidR="005027AB" w:rsidRPr="004A019F" w:rsidRDefault="00264096" w:rsidP="004A019F">
            <w:pPr>
              <w:spacing w:after="0" w:line="240" w:lineRule="auto"/>
              <w:ind w:left="0" w:firstLine="0"/>
              <w:contextualSpacing/>
              <w:jc w:val="center"/>
              <w:rPr>
                <w:lang w:val="sv-SE"/>
              </w:rPr>
            </w:pPr>
            <w:r w:rsidRPr="004A019F">
              <w:rPr>
                <w:lang w:val="sv-SE"/>
              </w:rPr>
              <w:t>13,4</w:t>
            </w:r>
          </w:p>
          <w:p w14:paraId="46618308" w14:textId="3BB4FC51" w:rsidR="005027AB" w:rsidRPr="004A019F" w:rsidRDefault="00264096" w:rsidP="004A019F">
            <w:pPr>
              <w:spacing w:after="0" w:line="240" w:lineRule="auto"/>
              <w:ind w:left="0" w:firstLine="0"/>
              <w:contextualSpacing/>
              <w:jc w:val="center"/>
              <w:rPr>
                <w:lang w:val="sv-SE"/>
              </w:rPr>
            </w:pPr>
            <w:r w:rsidRPr="004A019F">
              <w:rPr>
                <w:lang w:val="sv-SE"/>
              </w:rPr>
              <w:t>(2,1</w:t>
            </w:r>
            <w:r w:rsidR="0068131D" w:rsidRPr="004A019F">
              <w:rPr>
                <w:lang w:val="sv-SE"/>
              </w:rPr>
              <w:noBreakHyphen/>
            </w:r>
            <w:r w:rsidRPr="004A019F">
              <w:rPr>
                <w:lang w:val="sv-SE"/>
              </w:rPr>
              <w:t>55,1)</w:t>
            </w:r>
          </w:p>
        </w:tc>
      </w:tr>
      <w:tr w:rsidR="00AD14F8" w:rsidRPr="00A74CC6" w14:paraId="6CD99D43" w14:textId="77777777" w:rsidTr="004A019F">
        <w:trPr>
          <w:trHeight w:val="567"/>
        </w:trPr>
        <w:tc>
          <w:tcPr>
            <w:tcW w:w="1560" w:type="pct"/>
            <w:shd w:val="clear" w:color="auto" w:fill="auto"/>
          </w:tcPr>
          <w:p w14:paraId="03E515F5" w14:textId="29407543" w:rsidR="00BE7A5B" w:rsidRPr="004A019F" w:rsidRDefault="00264096" w:rsidP="004A019F">
            <w:pPr>
              <w:spacing w:after="0" w:line="240" w:lineRule="auto"/>
              <w:ind w:left="0" w:firstLine="0"/>
              <w:contextualSpacing/>
              <w:rPr>
                <w:b/>
                <w:lang w:val="sv-SE"/>
              </w:rPr>
            </w:pPr>
            <w:r w:rsidRPr="004A019F">
              <w:rPr>
                <w:b/>
                <w:lang w:val="sv-SE"/>
              </w:rPr>
              <w:t>Median</w:t>
            </w:r>
            <w:r w:rsidR="0068131D" w:rsidRPr="004A019F">
              <w:rPr>
                <w:b/>
                <w:lang w:val="sv-SE"/>
              </w:rPr>
              <w:t>-</w:t>
            </w:r>
            <w:r w:rsidRPr="004A019F">
              <w:rPr>
                <w:b/>
                <w:lang w:val="sv-SE"/>
              </w:rPr>
              <w:t xml:space="preserve">TTP (månader) </w:t>
            </w:r>
          </w:p>
          <w:p w14:paraId="06880989" w14:textId="28DF49E8" w:rsidR="005027AB" w:rsidRPr="004A019F" w:rsidRDefault="00264096" w:rsidP="004A019F">
            <w:pPr>
              <w:spacing w:after="0" w:line="240" w:lineRule="auto"/>
              <w:ind w:left="0" w:firstLine="0"/>
              <w:contextualSpacing/>
              <w:rPr>
                <w:lang w:val="sv-SE"/>
              </w:rPr>
            </w:pPr>
            <w:r w:rsidRPr="004A019F">
              <w:rPr>
                <w:b/>
                <w:lang w:val="sv-SE"/>
              </w:rPr>
              <w:t>(95</w:t>
            </w:r>
            <w:r w:rsidR="004D7E0C" w:rsidRPr="004A019F">
              <w:rPr>
                <w:b/>
                <w:lang w:val="sv-SE"/>
              </w:rPr>
              <w:t> </w:t>
            </w:r>
            <w:r w:rsidRPr="004A019F">
              <w:rPr>
                <w:b/>
                <w:lang w:val="sv-SE"/>
              </w:rPr>
              <w:t>% KI)</w:t>
            </w:r>
          </w:p>
        </w:tc>
        <w:tc>
          <w:tcPr>
            <w:tcW w:w="782" w:type="pct"/>
            <w:shd w:val="clear" w:color="auto" w:fill="auto"/>
          </w:tcPr>
          <w:p w14:paraId="2BE282B8" w14:textId="77777777" w:rsidR="005027AB" w:rsidRPr="004A019F" w:rsidRDefault="00264096" w:rsidP="004A019F">
            <w:pPr>
              <w:spacing w:after="0" w:line="240" w:lineRule="auto"/>
              <w:ind w:left="0" w:firstLine="0"/>
              <w:contextualSpacing/>
              <w:jc w:val="center"/>
              <w:rPr>
                <w:lang w:val="sv-SE"/>
              </w:rPr>
            </w:pPr>
            <w:r w:rsidRPr="004A019F">
              <w:rPr>
                <w:lang w:val="sv-SE"/>
              </w:rPr>
              <w:t>3,4</w:t>
            </w:r>
          </w:p>
          <w:p w14:paraId="2BBD9E4B" w14:textId="05FE1BB2" w:rsidR="005027AB" w:rsidRPr="004A019F" w:rsidRDefault="00264096" w:rsidP="004A019F">
            <w:pPr>
              <w:spacing w:after="0" w:line="240" w:lineRule="auto"/>
              <w:ind w:left="0" w:firstLine="0"/>
              <w:contextualSpacing/>
              <w:jc w:val="center"/>
              <w:rPr>
                <w:lang w:val="sv-SE"/>
              </w:rPr>
            </w:pPr>
            <w:r w:rsidRPr="004A019F">
              <w:rPr>
                <w:lang w:val="sv-SE"/>
              </w:rPr>
              <w:t>(2,8</w:t>
            </w:r>
            <w:r w:rsidR="0068131D" w:rsidRPr="004A019F">
              <w:rPr>
                <w:lang w:val="sv-SE"/>
              </w:rPr>
              <w:noBreakHyphen/>
            </w:r>
            <w:r w:rsidRPr="004A019F">
              <w:rPr>
                <w:lang w:val="sv-SE"/>
              </w:rPr>
              <w:t>4,1)</w:t>
            </w:r>
          </w:p>
        </w:tc>
        <w:tc>
          <w:tcPr>
            <w:tcW w:w="862" w:type="pct"/>
            <w:shd w:val="clear" w:color="auto" w:fill="auto"/>
          </w:tcPr>
          <w:p w14:paraId="246E67BC" w14:textId="77777777" w:rsidR="005027AB" w:rsidRPr="004A019F" w:rsidRDefault="00264096" w:rsidP="004A019F">
            <w:pPr>
              <w:spacing w:after="0" w:line="240" w:lineRule="auto"/>
              <w:ind w:left="0" w:firstLine="0"/>
              <w:contextualSpacing/>
              <w:jc w:val="center"/>
              <w:rPr>
                <w:lang w:val="sv-SE"/>
              </w:rPr>
            </w:pPr>
            <w:r w:rsidRPr="004A019F">
              <w:rPr>
                <w:lang w:val="sv-SE"/>
              </w:rPr>
              <w:t>7,7</w:t>
            </w:r>
          </w:p>
          <w:p w14:paraId="3A8E4B86" w14:textId="633E1184" w:rsidR="005027AB" w:rsidRPr="004A019F" w:rsidRDefault="00264096" w:rsidP="004A019F">
            <w:pPr>
              <w:spacing w:after="0" w:line="240" w:lineRule="auto"/>
              <w:ind w:left="0" w:firstLine="0"/>
              <w:contextualSpacing/>
              <w:jc w:val="center"/>
              <w:rPr>
                <w:lang w:val="sv-SE"/>
              </w:rPr>
            </w:pPr>
            <w:r w:rsidRPr="004A019F">
              <w:rPr>
                <w:lang w:val="sv-SE"/>
              </w:rPr>
              <w:t>(4,2</w:t>
            </w:r>
            <w:r w:rsidR="0068131D" w:rsidRPr="004A019F">
              <w:rPr>
                <w:lang w:val="sv-SE"/>
              </w:rPr>
              <w:noBreakHyphen/>
            </w:r>
            <w:r w:rsidRPr="004A019F">
              <w:rPr>
                <w:lang w:val="sv-SE"/>
              </w:rPr>
              <w:t>8,3)</w:t>
            </w:r>
          </w:p>
        </w:tc>
        <w:tc>
          <w:tcPr>
            <w:tcW w:w="940" w:type="pct"/>
            <w:shd w:val="clear" w:color="auto" w:fill="auto"/>
          </w:tcPr>
          <w:p w14:paraId="7FF41E4E" w14:textId="77777777" w:rsidR="005027AB" w:rsidRPr="004A019F" w:rsidRDefault="00264096" w:rsidP="004A019F">
            <w:pPr>
              <w:spacing w:after="0" w:line="240" w:lineRule="auto"/>
              <w:ind w:left="0" w:firstLine="0"/>
              <w:contextualSpacing/>
              <w:jc w:val="center"/>
              <w:rPr>
                <w:lang w:val="sv-SE"/>
              </w:rPr>
            </w:pPr>
            <w:r w:rsidRPr="004A019F">
              <w:rPr>
                <w:lang w:val="sv-SE"/>
              </w:rPr>
              <w:t>12,2</w:t>
            </w:r>
          </w:p>
          <w:p w14:paraId="533B933E" w14:textId="2C4E985C" w:rsidR="005027AB" w:rsidRPr="004A019F" w:rsidRDefault="00264096" w:rsidP="004A019F">
            <w:pPr>
              <w:spacing w:after="0" w:line="240" w:lineRule="auto"/>
              <w:ind w:left="0" w:firstLine="0"/>
              <w:contextualSpacing/>
              <w:jc w:val="center"/>
              <w:rPr>
                <w:lang w:val="sv-SE"/>
              </w:rPr>
            </w:pPr>
            <w:r w:rsidRPr="004A019F">
              <w:rPr>
                <w:lang w:val="sv-SE"/>
              </w:rPr>
              <w:t>(6,2</w:t>
            </w:r>
            <w:r w:rsidR="0068131D" w:rsidRPr="004A019F">
              <w:rPr>
                <w:lang w:val="sv-SE"/>
              </w:rPr>
              <w:noBreakHyphen/>
            </w:r>
            <w:r w:rsidRPr="004A019F">
              <w:rPr>
                <w:lang w:val="sv-SE"/>
              </w:rPr>
              <w:t>ne)</w:t>
            </w:r>
          </w:p>
        </w:tc>
        <w:tc>
          <w:tcPr>
            <w:tcW w:w="857" w:type="pct"/>
            <w:shd w:val="clear" w:color="auto" w:fill="auto"/>
          </w:tcPr>
          <w:p w14:paraId="2F8C8392" w14:textId="77777777" w:rsidR="005027AB" w:rsidRPr="004A019F" w:rsidRDefault="00264096" w:rsidP="004A019F">
            <w:pPr>
              <w:spacing w:after="0" w:line="240" w:lineRule="auto"/>
              <w:ind w:left="0" w:firstLine="0"/>
              <w:contextualSpacing/>
              <w:jc w:val="center"/>
              <w:rPr>
                <w:lang w:val="sv-SE"/>
              </w:rPr>
            </w:pPr>
            <w:r w:rsidRPr="004A019F">
              <w:rPr>
                <w:lang w:val="sv-SE"/>
              </w:rPr>
              <w:t>13,6</w:t>
            </w:r>
          </w:p>
          <w:p w14:paraId="3CA04DE8" w14:textId="475F51E6" w:rsidR="005027AB" w:rsidRPr="004A019F" w:rsidRDefault="00264096" w:rsidP="004A019F">
            <w:pPr>
              <w:spacing w:after="0" w:line="240" w:lineRule="auto"/>
              <w:ind w:left="0" w:firstLine="0"/>
              <w:contextualSpacing/>
              <w:jc w:val="center"/>
              <w:rPr>
                <w:lang w:val="sv-SE"/>
              </w:rPr>
            </w:pPr>
            <w:r w:rsidRPr="004A019F">
              <w:rPr>
                <w:lang w:val="sv-SE"/>
              </w:rPr>
              <w:t>(11</w:t>
            </w:r>
            <w:r w:rsidR="0068131D" w:rsidRPr="004A019F">
              <w:rPr>
                <w:lang w:val="sv-SE"/>
              </w:rPr>
              <w:noBreakHyphen/>
            </w:r>
            <w:r w:rsidRPr="004A019F">
              <w:rPr>
                <w:lang w:val="sv-SE"/>
              </w:rPr>
              <w:t>16)</w:t>
            </w:r>
          </w:p>
        </w:tc>
      </w:tr>
      <w:tr w:rsidR="00AD14F8" w:rsidRPr="00A74CC6" w14:paraId="05925F04" w14:textId="77777777" w:rsidTr="004A019F">
        <w:trPr>
          <w:trHeight w:val="567"/>
        </w:trPr>
        <w:tc>
          <w:tcPr>
            <w:tcW w:w="1560" w:type="pct"/>
            <w:shd w:val="clear" w:color="auto" w:fill="auto"/>
          </w:tcPr>
          <w:p w14:paraId="73730753" w14:textId="58A57DFC" w:rsidR="005027AB" w:rsidRPr="004A019F" w:rsidRDefault="00264096" w:rsidP="004A019F">
            <w:pPr>
              <w:spacing w:after="0" w:line="240" w:lineRule="auto"/>
              <w:ind w:left="0" w:firstLine="0"/>
              <w:contextualSpacing/>
              <w:rPr>
                <w:lang w:val="sv-SE"/>
              </w:rPr>
            </w:pPr>
            <w:r w:rsidRPr="004A019F">
              <w:rPr>
                <w:b/>
                <w:lang w:val="sv-SE"/>
              </w:rPr>
              <w:t>Medianöverlevnad (månader)</w:t>
            </w:r>
            <w:r w:rsidR="00495A49" w:rsidRPr="004A019F">
              <w:rPr>
                <w:b/>
                <w:lang w:val="sv-SE"/>
              </w:rPr>
              <w:t xml:space="preserve"> </w:t>
            </w:r>
            <w:r w:rsidRPr="004A019F">
              <w:rPr>
                <w:b/>
                <w:lang w:val="sv-SE"/>
              </w:rPr>
              <w:t>(95</w:t>
            </w:r>
            <w:r w:rsidR="004D7E0C" w:rsidRPr="004A019F">
              <w:rPr>
                <w:b/>
                <w:lang w:val="sv-SE"/>
              </w:rPr>
              <w:t> </w:t>
            </w:r>
            <w:r w:rsidRPr="004A019F">
              <w:rPr>
                <w:b/>
                <w:lang w:val="sv-SE"/>
              </w:rPr>
              <w:t>% KI)</w:t>
            </w:r>
          </w:p>
        </w:tc>
        <w:tc>
          <w:tcPr>
            <w:tcW w:w="782" w:type="pct"/>
            <w:shd w:val="clear" w:color="auto" w:fill="auto"/>
          </w:tcPr>
          <w:p w14:paraId="1EED0240" w14:textId="5FDF063C" w:rsidR="005027AB" w:rsidRPr="004A019F" w:rsidRDefault="004D7E0C" w:rsidP="004A019F">
            <w:pPr>
              <w:spacing w:after="0" w:line="240" w:lineRule="auto"/>
              <w:ind w:left="0" w:firstLine="0"/>
              <w:contextualSpacing/>
              <w:jc w:val="center"/>
              <w:rPr>
                <w:lang w:val="sv-SE"/>
              </w:rPr>
            </w:pPr>
            <w:r w:rsidRPr="004A019F">
              <w:rPr>
                <w:lang w:val="sv-SE"/>
              </w:rPr>
              <w:t>ne</w:t>
            </w:r>
          </w:p>
        </w:tc>
        <w:tc>
          <w:tcPr>
            <w:tcW w:w="862" w:type="pct"/>
            <w:shd w:val="clear" w:color="auto" w:fill="auto"/>
          </w:tcPr>
          <w:p w14:paraId="057C17E9" w14:textId="09FF15E6" w:rsidR="005027AB" w:rsidRPr="004A019F" w:rsidRDefault="004D7E0C" w:rsidP="004A019F">
            <w:pPr>
              <w:spacing w:after="0" w:line="240" w:lineRule="auto"/>
              <w:ind w:left="0" w:firstLine="0"/>
              <w:contextualSpacing/>
              <w:jc w:val="center"/>
              <w:rPr>
                <w:lang w:val="sv-SE"/>
              </w:rPr>
            </w:pPr>
            <w:r w:rsidRPr="004A019F">
              <w:rPr>
                <w:lang w:val="sv-SE"/>
              </w:rPr>
              <w:t>ne</w:t>
            </w:r>
          </w:p>
        </w:tc>
        <w:tc>
          <w:tcPr>
            <w:tcW w:w="940" w:type="pct"/>
            <w:shd w:val="clear" w:color="auto" w:fill="auto"/>
          </w:tcPr>
          <w:p w14:paraId="04AE0424" w14:textId="77777777" w:rsidR="005027AB" w:rsidRPr="004A019F" w:rsidRDefault="00264096" w:rsidP="004A019F">
            <w:pPr>
              <w:spacing w:after="0" w:line="240" w:lineRule="auto"/>
              <w:ind w:left="0" w:firstLine="0"/>
              <w:contextualSpacing/>
              <w:jc w:val="center"/>
              <w:rPr>
                <w:lang w:val="sv-SE"/>
              </w:rPr>
            </w:pPr>
            <w:r w:rsidRPr="004A019F">
              <w:rPr>
                <w:lang w:val="sv-SE"/>
              </w:rPr>
              <w:t>ne</w:t>
            </w:r>
          </w:p>
        </w:tc>
        <w:tc>
          <w:tcPr>
            <w:tcW w:w="857" w:type="pct"/>
            <w:shd w:val="clear" w:color="auto" w:fill="auto"/>
          </w:tcPr>
          <w:p w14:paraId="22E178ED" w14:textId="77777777" w:rsidR="005027AB" w:rsidRPr="004A019F" w:rsidRDefault="00264096" w:rsidP="004A019F">
            <w:pPr>
              <w:spacing w:after="0" w:line="240" w:lineRule="auto"/>
              <w:ind w:left="0" w:firstLine="0"/>
              <w:contextualSpacing/>
              <w:jc w:val="center"/>
              <w:rPr>
                <w:lang w:val="sv-SE"/>
              </w:rPr>
            </w:pPr>
            <w:r w:rsidRPr="004A019F">
              <w:rPr>
                <w:lang w:val="sv-SE"/>
              </w:rPr>
              <w:t>47,3</w:t>
            </w:r>
          </w:p>
          <w:p w14:paraId="3EE8D724" w14:textId="19F7D3D3" w:rsidR="005027AB" w:rsidRPr="004A019F" w:rsidRDefault="00264096" w:rsidP="004A019F">
            <w:pPr>
              <w:spacing w:after="0" w:line="240" w:lineRule="auto"/>
              <w:ind w:left="0" w:firstLine="0"/>
              <w:contextualSpacing/>
              <w:jc w:val="center"/>
              <w:rPr>
                <w:lang w:val="sv-SE"/>
              </w:rPr>
            </w:pPr>
            <w:r w:rsidRPr="004A019F">
              <w:rPr>
                <w:lang w:val="sv-SE"/>
              </w:rPr>
              <w:t>(32</w:t>
            </w:r>
            <w:r w:rsidR="0068131D" w:rsidRPr="004A019F">
              <w:rPr>
                <w:lang w:val="sv-SE"/>
              </w:rPr>
              <w:noBreakHyphen/>
            </w:r>
            <w:r w:rsidRPr="004A019F">
              <w:rPr>
                <w:lang w:val="sv-SE"/>
              </w:rPr>
              <w:t>ne)</w:t>
            </w:r>
          </w:p>
        </w:tc>
      </w:tr>
    </w:tbl>
    <w:p w14:paraId="5B53D53F" w14:textId="53861321" w:rsidR="005027AB" w:rsidRPr="00A74CC6" w:rsidRDefault="00264096" w:rsidP="00601C45">
      <w:pPr>
        <w:spacing w:after="0" w:line="240" w:lineRule="auto"/>
        <w:ind w:left="0" w:firstLine="0"/>
        <w:contextualSpacing/>
        <w:rPr>
          <w:lang w:val="sv-SE"/>
        </w:rPr>
      </w:pPr>
      <w:r w:rsidRPr="00A74CC6">
        <w:rPr>
          <w:sz w:val="20"/>
          <w:lang w:val="sv-SE"/>
        </w:rPr>
        <w:t>TT</w:t>
      </w:r>
      <w:r w:rsidR="00342D88" w:rsidRPr="00A74CC6">
        <w:rPr>
          <w:sz w:val="20"/>
          <w:lang w:val="sv-SE"/>
        </w:rPr>
        <w:t>P = </w:t>
      </w:r>
      <w:r w:rsidRPr="00A74CC6">
        <w:rPr>
          <w:sz w:val="20"/>
          <w:lang w:val="sv-SE"/>
        </w:rPr>
        <w:t>tid till progression; "ne" indikerar att ett värde ej kunnat beräknas eller uppnås.</w:t>
      </w:r>
    </w:p>
    <w:p w14:paraId="3A28C5F4" w14:textId="77777777" w:rsidR="005027AB" w:rsidRPr="00A74CC6" w:rsidRDefault="00601C45" w:rsidP="00601C45">
      <w:pPr>
        <w:spacing w:after="0" w:line="240" w:lineRule="auto"/>
        <w:ind w:left="0" w:firstLine="0"/>
        <w:contextualSpacing/>
        <w:rPr>
          <w:lang w:val="sv-SE"/>
        </w:rPr>
      </w:pPr>
      <w:r w:rsidRPr="00A74CC6">
        <w:rPr>
          <w:sz w:val="20"/>
          <w:lang w:val="sv-SE"/>
        </w:rPr>
        <w:t xml:space="preserve">1. </w:t>
      </w:r>
      <w:r w:rsidR="00AB315E" w:rsidRPr="00A74CC6">
        <w:rPr>
          <w:sz w:val="20"/>
          <w:lang w:val="sv-SE"/>
        </w:rPr>
        <w:t>Studie WO16229: startdos 8 mg/kg, följt av 6 </w:t>
      </w:r>
      <w:r w:rsidR="00264096" w:rsidRPr="00A74CC6">
        <w:rPr>
          <w:sz w:val="20"/>
          <w:lang w:val="sv-SE"/>
        </w:rPr>
        <w:t>mg/kg i 3-veckors doseringsschema</w:t>
      </w:r>
    </w:p>
    <w:p w14:paraId="493EE2FA" w14:textId="5998ABC8" w:rsidR="005027AB" w:rsidRPr="00A74CC6" w:rsidRDefault="00601C45" w:rsidP="00601C45">
      <w:pPr>
        <w:spacing w:after="0" w:line="240" w:lineRule="auto"/>
        <w:ind w:left="0" w:firstLine="0"/>
        <w:contextualSpacing/>
        <w:rPr>
          <w:lang w:val="sv-SE"/>
        </w:rPr>
      </w:pPr>
      <w:r w:rsidRPr="00A74CC6">
        <w:rPr>
          <w:sz w:val="20"/>
          <w:lang w:val="sv-SE"/>
        </w:rPr>
        <w:t xml:space="preserve">2. </w:t>
      </w:r>
      <w:r w:rsidR="00AB315E" w:rsidRPr="00A74CC6">
        <w:rPr>
          <w:sz w:val="20"/>
          <w:lang w:val="sv-SE"/>
        </w:rPr>
        <w:t>Studie MO16982: startdos 6 </w:t>
      </w:r>
      <w:r w:rsidR="00264096" w:rsidRPr="00A74CC6">
        <w:rPr>
          <w:sz w:val="20"/>
          <w:lang w:val="sv-SE"/>
        </w:rPr>
        <w:t>mg/kg varje vecka upprepat 3</w:t>
      </w:r>
      <w:r w:rsidR="0068131D" w:rsidRPr="00A74CC6">
        <w:rPr>
          <w:sz w:val="20"/>
          <w:lang w:val="sv-SE"/>
        </w:rPr>
        <w:t> </w:t>
      </w:r>
      <w:r w:rsidR="00264096" w:rsidRPr="00A74CC6">
        <w:rPr>
          <w:sz w:val="20"/>
          <w:lang w:val="sv-SE"/>
        </w:rPr>
        <w:t>gånger; följt av 6</w:t>
      </w:r>
      <w:r w:rsidR="00AB315E" w:rsidRPr="00A74CC6">
        <w:rPr>
          <w:sz w:val="20"/>
          <w:lang w:val="sv-SE"/>
        </w:rPr>
        <w:t> </w:t>
      </w:r>
      <w:r w:rsidR="00264096" w:rsidRPr="00A74CC6">
        <w:rPr>
          <w:sz w:val="20"/>
          <w:lang w:val="sv-SE"/>
        </w:rPr>
        <w:t xml:space="preserve">mg/kg i 3-veckors doseringsschema </w:t>
      </w:r>
    </w:p>
    <w:p w14:paraId="0C9679A6" w14:textId="77777777" w:rsidR="005027AB" w:rsidRPr="00A74CC6" w:rsidRDefault="00601C45" w:rsidP="00601C45">
      <w:pPr>
        <w:spacing w:after="0" w:line="240" w:lineRule="auto"/>
        <w:ind w:left="0" w:firstLine="0"/>
        <w:contextualSpacing/>
        <w:rPr>
          <w:lang w:val="sv-SE"/>
        </w:rPr>
      </w:pPr>
      <w:r w:rsidRPr="00A74CC6">
        <w:rPr>
          <w:sz w:val="20"/>
          <w:lang w:val="sv-SE"/>
        </w:rPr>
        <w:t xml:space="preserve">3. </w:t>
      </w:r>
      <w:r w:rsidR="00264096" w:rsidRPr="00A74CC6">
        <w:rPr>
          <w:sz w:val="20"/>
          <w:lang w:val="sv-SE"/>
        </w:rPr>
        <w:t>Studie BO15935</w:t>
      </w:r>
    </w:p>
    <w:p w14:paraId="03C58D35" w14:textId="77777777" w:rsidR="005027AB" w:rsidRPr="00A74CC6" w:rsidRDefault="00601C45" w:rsidP="00601C45">
      <w:pPr>
        <w:spacing w:after="0" w:line="240" w:lineRule="auto"/>
        <w:ind w:left="0" w:firstLine="0"/>
        <w:contextualSpacing/>
        <w:rPr>
          <w:lang w:val="sv-SE"/>
        </w:rPr>
      </w:pPr>
      <w:r w:rsidRPr="00A74CC6">
        <w:rPr>
          <w:sz w:val="20"/>
          <w:lang w:val="sv-SE"/>
        </w:rPr>
        <w:t xml:space="preserve">4. </w:t>
      </w:r>
      <w:r w:rsidR="00264096" w:rsidRPr="00A74CC6">
        <w:rPr>
          <w:sz w:val="20"/>
          <w:lang w:val="sv-SE"/>
        </w:rPr>
        <w:t>Studie MO16419</w:t>
      </w:r>
    </w:p>
    <w:p w14:paraId="4CC6CAB3" w14:textId="77777777" w:rsidR="003C3414" w:rsidRPr="00A74CC6" w:rsidRDefault="003C3414" w:rsidP="001E7238">
      <w:pPr>
        <w:spacing w:after="0" w:line="240" w:lineRule="auto"/>
        <w:ind w:left="0" w:firstLine="0"/>
        <w:contextualSpacing/>
        <w:rPr>
          <w:lang w:val="sv-SE"/>
        </w:rPr>
      </w:pPr>
    </w:p>
    <w:p w14:paraId="015B0175" w14:textId="77777777" w:rsidR="005027AB" w:rsidRPr="00A74CC6" w:rsidRDefault="00264096" w:rsidP="001E7238">
      <w:pPr>
        <w:pStyle w:val="Heading4"/>
        <w:spacing w:after="0" w:line="240" w:lineRule="auto"/>
        <w:ind w:left="11" w:hanging="11"/>
        <w:contextualSpacing/>
        <w:rPr>
          <w:lang w:val="sv-SE"/>
        </w:rPr>
      </w:pPr>
      <w:r w:rsidRPr="00A74CC6">
        <w:rPr>
          <w:lang w:val="sv-SE"/>
        </w:rPr>
        <w:lastRenderedPageBreak/>
        <w:t>Lokalisationer för progress</w:t>
      </w:r>
    </w:p>
    <w:p w14:paraId="1B53A379" w14:textId="29ADB994" w:rsidR="005027AB" w:rsidRPr="00A74CC6" w:rsidRDefault="00264096" w:rsidP="001E7238">
      <w:pPr>
        <w:spacing w:after="0" w:line="240" w:lineRule="auto"/>
        <w:ind w:left="4" w:right="13"/>
        <w:contextualSpacing/>
        <w:rPr>
          <w:lang w:val="sv-SE"/>
        </w:rPr>
      </w:pPr>
      <w:r w:rsidRPr="00A74CC6">
        <w:rPr>
          <w:lang w:val="sv-SE"/>
        </w:rPr>
        <w:t xml:space="preserve">Frekvensen </w:t>
      </w:r>
      <w:r w:rsidR="00E60F29" w:rsidRPr="00A74CC6">
        <w:rPr>
          <w:lang w:val="sv-SE"/>
        </w:rPr>
        <w:t>av</w:t>
      </w:r>
      <w:r w:rsidRPr="00A74CC6">
        <w:rPr>
          <w:lang w:val="sv-SE"/>
        </w:rPr>
        <w:t xml:space="preserve"> progression i levern var signifikant minskad hos patienter som behandlades med kombinationen </w:t>
      </w:r>
      <w:r w:rsidR="004D7E0C" w:rsidRPr="00A74CC6">
        <w:rPr>
          <w:lang w:val="sv-SE"/>
        </w:rPr>
        <w:t xml:space="preserve">trastuzumab </w:t>
      </w:r>
      <w:r w:rsidRPr="00A74CC6">
        <w:rPr>
          <w:lang w:val="sv-SE"/>
        </w:rPr>
        <w:t>och paklitaxel jämfört med enbart paklitaxel (21,8</w:t>
      </w:r>
      <w:r w:rsidR="00B268E6" w:rsidRPr="00A74CC6">
        <w:rPr>
          <w:lang w:val="sv-SE"/>
        </w:rPr>
        <w:t> %</w:t>
      </w:r>
      <w:r w:rsidRPr="00A74CC6">
        <w:rPr>
          <w:lang w:val="sv-SE"/>
        </w:rPr>
        <w:t xml:space="preserve"> jämfört med 45,7</w:t>
      </w:r>
      <w:r w:rsidR="00B268E6" w:rsidRPr="00A74CC6">
        <w:rPr>
          <w:lang w:val="sv-SE"/>
        </w:rPr>
        <w:t> %</w:t>
      </w:r>
      <w:r w:rsidRPr="00A74CC6">
        <w:rPr>
          <w:lang w:val="sv-SE"/>
        </w:rPr>
        <w:t xml:space="preserve">; </w:t>
      </w:r>
      <w:r w:rsidR="00342D88" w:rsidRPr="00A74CC6">
        <w:rPr>
          <w:lang w:val="sv-SE"/>
        </w:rPr>
        <w:t>p = </w:t>
      </w:r>
      <w:r w:rsidRPr="00A74CC6">
        <w:rPr>
          <w:lang w:val="sv-SE"/>
        </w:rPr>
        <w:t xml:space="preserve">0,004). Fler patienter som behandlades med </w:t>
      </w:r>
      <w:r w:rsidR="004D7E0C" w:rsidRPr="00A74CC6">
        <w:rPr>
          <w:lang w:val="sv-SE"/>
        </w:rPr>
        <w:t xml:space="preserve">trastuzumab </w:t>
      </w:r>
      <w:r w:rsidRPr="00A74CC6">
        <w:rPr>
          <w:lang w:val="sv-SE"/>
        </w:rPr>
        <w:t>och paklitaxel progredierade i centrala nervsystemet jämfört med dem som enbart behandlades med paklitaxel (12,6</w:t>
      </w:r>
      <w:r w:rsidR="00B268E6" w:rsidRPr="00A74CC6">
        <w:rPr>
          <w:lang w:val="sv-SE"/>
        </w:rPr>
        <w:t> %</w:t>
      </w:r>
      <w:r w:rsidRPr="00A74CC6">
        <w:rPr>
          <w:lang w:val="sv-SE"/>
        </w:rPr>
        <w:t xml:space="preserve"> jämfört med 6,5</w:t>
      </w:r>
      <w:r w:rsidR="00B268E6" w:rsidRPr="00A74CC6">
        <w:rPr>
          <w:lang w:val="sv-SE"/>
        </w:rPr>
        <w:t> %</w:t>
      </w:r>
      <w:r w:rsidRPr="00A74CC6">
        <w:rPr>
          <w:lang w:val="sv-SE"/>
        </w:rPr>
        <w:t xml:space="preserve">; </w:t>
      </w:r>
      <w:r w:rsidR="00342D88" w:rsidRPr="00A74CC6">
        <w:rPr>
          <w:lang w:val="sv-SE"/>
        </w:rPr>
        <w:t>p = </w:t>
      </w:r>
      <w:r w:rsidRPr="00A74CC6">
        <w:rPr>
          <w:lang w:val="sv-SE"/>
        </w:rPr>
        <w:t>0,377).</w:t>
      </w:r>
    </w:p>
    <w:p w14:paraId="72B314C0" w14:textId="77777777" w:rsidR="003C3414" w:rsidRPr="00A74CC6" w:rsidRDefault="003C3414" w:rsidP="001E7238">
      <w:pPr>
        <w:spacing w:after="0" w:line="240" w:lineRule="auto"/>
        <w:ind w:left="4" w:right="13"/>
        <w:contextualSpacing/>
        <w:rPr>
          <w:lang w:val="sv-SE"/>
        </w:rPr>
      </w:pPr>
    </w:p>
    <w:p w14:paraId="5B2FED24" w14:textId="77777777" w:rsidR="005027AB" w:rsidRPr="00A74CC6" w:rsidRDefault="00264096" w:rsidP="001E7238">
      <w:pPr>
        <w:pStyle w:val="Heading3"/>
        <w:spacing w:after="0" w:line="240" w:lineRule="auto"/>
        <w:ind w:left="11" w:hanging="11"/>
        <w:contextualSpacing/>
        <w:rPr>
          <w:lang w:val="sv-SE"/>
        </w:rPr>
      </w:pPr>
      <w:r w:rsidRPr="00A74CC6">
        <w:rPr>
          <w:lang w:val="sv-SE"/>
        </w:rPr>
        <w:t>Tidig bröstcancer (adjuvant behandling)</w:t>
      </w:r>
    </w:p>
    <w:p w14:paraId="58A96926" w14:textId="77777777" w:rsidR="003C3414" w:rsidRPr="00A74CC6" w:rsidRDefault="003C3414" w:rsidP="001E7238">
      <w:pPr>
        <w:keepNext/>
        <w:keepLines/>
        <w:spacing w:after="0" w:line="240" w:lineRule="auto"/>
        <w:ind w:left="4" w:right="13"/>
        <w:contextualSpacing/>
        <w:rPr>
          <w:lang w:val="sv-SE"/>
        </w:rPr>
      </w:pPr>
    </w:p>
    <w:p w14:paraId="7633C64C" w14:textId="77777777" w:rsidR="00601C45" w:rsidRPr="00A74CC6" w:rsidRDefault="00264096" w:rsidP="00601C45">
      <w:pPr>
        <w:keepNext/>
        <w:spacing w:after="0" w:line="240" w:lineRule="auto"/>
        <w:ind w:left="6" w:right="11" w:hanging="6"/>
        <w:contextualSpacing/>
        <w:rPr>
          <w:lang w:val="sv-SE"/>
        </w:rPr>
      </w:pPr>
      <w:r w:rsidRPr="00A74CC6">
        <w:rPr>
          <w:lang w:val="sv-SE"/>
        </w:rPr>
        <w:t>Tidig bröstcancer definieras som icke-metastaserad primär invasiv bröstcancer.</w:t>
      </w:r>
    </w:p>
    <w:p w14:paraId="3B4B363D" w14:textId="77777777" w:rsidR="00601C45" w:rsidRPr="00A74CC6" w:rsidRDefault="00601C45" w:rsidP="00601C45">
      <w:pPr>
        <w:keepNext/>
        <w:spacing w:after="0" w:line="240" w:lineRule="auto"/>
        <w:ind w:left="6" w:right="11" w:hanging="6"/>
        <w:contextualSpacing/>
        <w:rPr>
          <w:lang w:val="sv-SE"/>
        </w:rPr>
      </w:pPr>
    </w:p>
    <w:p w14:paraId="4F6C99E7" w14:textId="08B51E1D" w:rsidR="005027AB" w:rsidRPr="00A74CC6" w:rsidRDefault="00493EEC" w:rsidP="00601C45">
      <w:pPr>
        <w:keepNext/>
        <w:spacing w:after="0" w:line="240" w:lineRule="auto"/>
        <w:ind w:left="6" w:right="11" w:hanging="6"/>
        <w:contextualSpacing/>
        <w:rPr>
          <w:lang w:val="sv-SE"/>
        </w:rPr>
      </w:pPr>
      <w:r w:rsidRPr="00A74CC6">
        <w:rPr>
          <w:lang w:val="sv-SE"/>
        </w:rPr>
        <w:t xml:space="preserve">Trastuzumab </w:t>
      </w:r>
      <w:r w:rsidR="00264096" w:rsidRPr="00A74CC6">
        <w:rPr>
          <w:lang w:val="sv-SE"/>
        </w:rPr>
        <w:t>vid adjuvant behandling studerades i fyra stora, r</w:t>
      </w:r>
      <w:r w:rsidR="00CC519F" w:rsidRPr="00A74CC6">
        <w:rPr>
          <w:lang w:val="sv-SE"/>
        </w:rPr>
        <w:t>andomiserade multicenterstudier:</w:t>
      </w:r>
    </w:p>
    <w:p w14:paraId="1459014C" w14:textId="49160F91" w:rsidR="005027AB" w:rsidRPr="00A74CC6" w:rsidRDefault="00264096" w:rsidP="001E7238">
      <w:pPr>
        <w:numPr>
          <w:ilvl w:val="0"/>
          <w:numId w:val="6"/>
        </w:numPr>
        <w:spacing w:after="0" w:line="240" w:lineRule="auto"/>
        <w:ind w:left="567" w:hanging="567"/>
        <w:contextualSpacing/>
        <w:rPr>
          <w:lang w:val="sv-SE"/>
        </w:rPr>
      </w:pPr>
      <w:r w:rsidRPr="00A74CC6">
        <w:rPr>
          <w:lang w:val="sv-SE"/>
        </w:rPr>
        <w:t>Studien BO16348 var utformad för att hos patienter med HER2-positiv tidig bröstcancer efter kirurgi, etablerad kemoterapi eller strålbehandling (om tillämp</w:t>
      </w:r>
      <w:r w:rsidR="0068131D" w:rsidRPr="00A74CC6">
        <w:rPr>
          <w:lang w:val="sv-SE"/>
        </w:rPr>
        <w:t>lig</w:t>
      </w:r>
      <w:r w:rsidR="00E60F29" w:rsidRPr="00A74CC6">
        <w:rPr>
          <w:lang w:val="sv-SE"/>
        </w:rPr>
        <w:t>t</w:t>
      </w:r>
      <w:r w:rsidRPr="00A74CC6">
        <w:rPr>
          <w:lang w:val="sv-SE"/>
        </w:rPr>
        <w:t xml:space="preserve">) jämföra ett och två års behandling med </w:t>
      </w:r>
      <w:r w:rsidR="00493EEC" w:rsidRPr="00A74CC6">
        <w:rPr>
          <w:lang w:val="sv-SE"/>
        </w:rPr>
        <w:t xml:space="preserve">trastuzumab </w:t>
      </w:r>
      <w:r w:rsidRPr="00A74CC6">
        <w:rPr>
          <w:lang w:val="sv-SE"/>
        </w:rPr>
        <w:t xml:space="preserve">var tredje vecka med enbart observation. Dessutom jämfördes två års </w:t>
      </w:r>
      <w:r w:rsidR="00493EEC" w:rsidRPr="00A74CC6">
        <w:rPr>
          <w:lang w:val="sv-SE"/>
        </w:rPr>
        <w:t>trastuzumab</w:t>
      </w:r>
      <w:r w:rsidRPr="00A74CC6">
        <w:rPr>
          <w:lang w:val="sv-SE"/>
        </w:rPr>
        <w:t xml:space="preserve">behandling med ett års </w:t>
      </w:r>
      <w:r w:rsidR="00493EEC" w:rsidRPr="00A74CC6">
        <w:rPr>
          <w:lang w:val="sv-SE"/>
        </w:rPr>
        <w:t>trastuzumab</w:t>
      </w:r>
      <w:r w:rsidRPr="00A74CC6">
        <w:rPr>
          <w:lang w:val="sv-SE"/>
        </w:rPr>
        <w:t xml:space="preserve">behandling. Patienter som randomiserades till behandling med </w:t>
      </w:r>
      <w:r w:rsidR="00493EEC" w:rsidRPr="00A74CC6">
        <w:rPr>
          <w:lang w:val="sv-SE"/>
        </w:rPr>
        <w:t xml:space="preserve">trastuzumab </w:t>
      </w:r>
      <w:r w:rsidRPr="00A74CC6">
        <w:rPr>
          <w:lang w:val="sv-SE"/>
        </w:rPr>
        <w:t>fick en initial startdos av 8</w:t>
      </w:r>
      <w:r w:rsidR="00AB315E" w:rsidRPr="00A74CC6">
        <w:rPr>
          <w:lang w:val="sv-SE"/>
        </w:rPr>
        <w:t> </w:t>
      </w:r>
      <w:r w:rsidRPr="00A74CC6">
        <w:rPr>
          <w:lang w:val="sv-SE"/>
        </w:rPr>
        <w:t>mg/kg, som följdes av 6</w:t>
      </w:r>
      <w:r w:rsidR="00AB315E" w:rsidRPr="00A74CC6">
        <w:rPr>
          <w:lang w:val="sv-SE"/>
        </w:rPr>
        <w:t> </w:t>
      </w:r>
      <w:r w:rsidRPr="00A74CC6">
        <w:rPr>
          <w:lang w:val="sv-SE"/>
        </w:rPr>
        <w:t xml:space="preserve">mg/kg var tredje vecka under antingen ett eller två år. </w:t>
      </w:r>
    </w:p>
    <w:p w14:paraId="359373F0" w14:textId="302AED4F" w:rsidR="005027AB" w:rsidRPr="00A74CC6" w:rsidRDefault="00264096" w:rsidP="001E7238">
      <w:pPr>
        <w:numPr>
          <w:ilvl w:val="0"/>
          <w:numId w:val="6"/>
        </w:numPr>
        <w:spacing w:after="0" w:line="240" w:lineRule="auto"/>
        <w:ind w:left="567" w:hanging="567"/>
        <w:contextualSpacing/>
        <w:rPr>
          <w:lang w:val="sv-SE"/>
        </w:rPr>
      </w:pPr>
      <w:r w:rsidRPr="00A74CC6">
        <w:rPr>
          <w:lang w:val="sv-SE"/>
        </w:rPr>
        <w:t xml:space="preserve">Sammanvägda analyser gjordes av studierna NSABP B-31 och NCCTG N9831 som utformades för att undersöka den kliniska nyttan av att kombinera </w:t>
      </w:r>
      <w:r w:rsidR="00493EEC" w:rsidRPr="00A74CC6">
        <w:rPr>
          <w:lang w:val="sv-SE"/>
        </w:rPr>
        <w:t>trastuzumab</w:t>
      </w:r>
      <w:r w:rsidRPr="00A74CC6">
        <w:rPr>
          <w:lang w:val="sv-SE"/>
        </w:rPr>
        <w:t xml:space="preserve">behandling med paklitaxel efter antracyklinbaserad (AC) kemoterapi. Dessutom undersöktes i studie NCCTG N9831 tillägg av </w:t>
      </w:r>
      <w:r w:rsidR="00493EEC" w:rsidRPr="00A74CC6">
        <w:rPr>
          <w:lang w:val="sv-SE"/>
        </w:rPr>
        <w:t xml:space="preserve">trastuzumab </w:t>
      </w:r>
      <w:r w:rsidRPr="00A74CC6">
        <w:rPr>
          <w:lang w:val="sv-SE"/>
        </w:rPr>
        <w:t>sekventiellt till antracyklinbaserad kemoterapi följt av paklitaxel (AC→P) hos patienter med HER2-positiv tidig bröstcancer efter kirurgi.</w:t>
      </w:r>
    </w:p>
    <w:p w14:paraId="74D381EB" w14:textId="729BC82A" w:rsidR="00493EEC" w:rsidRPr="00A74CC6" w:rsidRDefault="00264096" w:rsidP="001E7238">
      <w:pPr>
        <w:numPr>
          <w:ilvl w:val="0"/>
          <w:numId w:val="6"/>
        </w:numPr>
        <w:spacing w:after="0" w:line="240" w:lineRule="auto"/>
        <w:ind w:left="567" w:hanging="567"/>
        <w:contextualSpacing/>
        <w:rPr>
          <w:lang w:val="sv-SE"/>
        </w:rPr>
      </w:pPr>
      <w:r w:rsidRPr="00A74CC6">
        <w:rPr>
          <w:lang w:val="sv-SE"/>
        </w:rPr>
        <w:t xml:space="preserve">BCIRG 006-studien utformades för att hos patienter med HER2-positiv, tidig bröstcancer efter kirurgi undersöka kombination av </w:t>
      </w:r>
      <w:r w:rsidR="00493EEC" w:rsidRPr="00A74CC6">
        <w:rPr>
          <w:lang w:val="sv-SE"/>
        </w:rPr>
        <w:t>trastuzumab</w:t>
      </w:r>
      <w:r w:rsidRPr="00A74CC6">
        <w:rPr>
          <w:lang w:val="sv-SE"/>
        </w:rPr>
        <w:t>behandling med docetaxel antingen efter antracyklinbaserad kemoterapi eller i kombination med docetaxel o</w:t>
      </w:r>
      <w:r w:rsidR="00031A62" w:rsidRPr="00A74CC6">
        <w:rPr>
          <w:lang w:val="sv-SE"/>
        </w:rPr>
        <w:t>ch karboplatin.</w:t>
      </w:r>
    </w:p>
    <w:p w14:paraId="712C1C5D" w14:textId="77777777" w:rsidR="00493EEC" w:rsidRPr="00A74CC6" w:rsidRDefault="00493EEC" w:rsidP="008763E6">
      <w:pPr>
        <w:spacing w:after="0" w:line="240" w:lineRule="auto"/>
        <w:ind w:left="0" w:firstLine="0"/>
        <w:contextualSpacing/>
        <w:rPr>
          <w:lang w:val="sv-SE"/>
        </w:rPr>
      </w:pPr>
    </w:p>
    <w:p w14:paraId="44490FB3" w14:textId="0BA342F5" w:rsidR="005027AB" w:rsidRPr="00A74CC6" w:rsidRDefault="00264096" w:rsidP="008763E6">
      <w:pPr>
        <w:spacing w:after="0" w:line="240" w:lineRule="auto"/>
        <w:ind w:left="0" w:firstLine="0"/>
        <w:contextualSpacing/>
        <w:rPr>
          <w:lang w:val="sv-SE"/>
        </w:rPr>
      </w:pPr>
      <w:r w:rsidRPr="00A74CC6">
        <w:rPr>
          <w:lang w:val="sv-SE"/>
        </w:rPr>
        <w:t>Tidig bröstcancer i HERA-studien begränsades till operabla, primära, invasiva adenokarcinom i bröstet, med positiva axillärnoder eller negativa axil</w:t>
      </w:r>
      <w:r w:rsidR="00723316" w:rsidRPr="00A74CC6">
        <w:rPr>
          <w:lang w:val="sv-SE"/>
        </w:rPr>
        <w:t>lärnoder om tumörer var minst 1 </w:t>
      </w:r>
      <w:r w:rsidRPr="00A74CC6">
        <w:rPr>
          <w:lang w:val="sv-SE"/>
        </w:rPr>
        <w:t>cm i diameter.</w:t>
      </w:r>
    </w:p>
    <w:p w14:paraId="41EC1FDE" w14:textId="77777777" w:rsidR="00CC519F" w:rsidRPr="00A74CC6" w:rsidRDefault="00CC519F" w:rsidP="00CC519F">
      <w:pPr>
        <w:spacing w:after="0" w:line="240" w:lineRule="auto"/>
        <w:ind w:left="0" w:firstLine="0"/>
        <w:contextualSpacing/>
        <w:rPr>
          <w:lang w:val="sv-SE"/>
        </w:rPr>
      </w:pPr>
    </w:p>
    <w:p w14:paraId="1A8F5953" w14:textId="03F8D61A" w:rsidR="005027AB" w:rsidRPr="00A74CC6" w:rsidRDefault="00264096" w:rsidP="00CC519F">
      <w:pPr>
        <w:spacing w:after="0" w:line="240" w:lineRule="auto"/>
        <w:ind w:left="0" w:firstLine="0"/>
        <w:contextualSpacing/>
        <w:rPr>
          <w:lang w:val="sv-SE"/>
        </w:rPr>
      </w:pPr>
      <w:r w:rsidRPr="00A74CC6">
        <w:rPr>
          <w:lang w:val="sv-SE"/>
        </w:rPr>
        <w:t>I den sammanvägda analysen av studie</w:t>
      </w:r>
      <w:r w:rsidR="007D3C64" w:rsidRPr="00A74CC6">
        <w:rPr>
          <w:lang w:val="sv-SE"/>
        </w:rPr>
        <w:t xml:space="preserve">rna NSABP B-31 och NCCTG N9831 </w:t>
      </w:r>
      <w:r w:rsidRPr="00A74CC6">
        <w:rPr>
          <w:lang w:val="sv-SE"/>
        </w:rPr>
        <w:t>begränsades tidig bröstcancer till kvinnor med operabel bröstcancer med hög risk, definierad som HER2-positiv och axillär lymfkörtelpositiv eller HER2-positiv och lymfkörtelnegativ m</w:t>
      </w:r>
      <w:r w:rsidR="00AD3B60" w:rsidRPr="00A74CC6">
        <w:rPr>
          <w:lang w:val="sv-SE"/>
        </w:rPr>
        <w:t>ed riskfaktorer (tumörstorlek &gt; 1 </w:t>
      </w:r>
      <w:r w:rsidRPr="00A74CC6">
        <w:rPr>
          <w:lang w:val="sv-SE"/>
        </w:rPr>
        <w:t>cm och ER</w:t>
      </w:r>
      <w:r w:rsidR="0068131D" w:rsidRPr="00A74CC6">
        <w:rPr>
          <w:lang w:val="sv-SE"/>
        </w:rPr>
        <w:t>-</w:t>
      </w:r>
      <w:r w:rsidRPr="00A74CC6">
        <w:rPr>
          <w:lang w:val="sv-SE"/>
        </w:rPr>
        <w:t>negativ eller tumörstorlek &gt;</w:t>
      </w:r>
      <w:r w:rsidR="00031A62" w:rsidRPr="00A74CC6">
        <w:rPr>
          <w:lang w:val="sv-SE"/>
        </w:rPr>
        <w:t> 2 </w:t>
      </w:r>
      <w:r w:rsidRPr="00A74CC6">
        <w:rPr>
          <w:lang w:val="sv-SE"/>
        </w:rPr>
        <w:t>cm, oavsett hormonstatus).</w:t>
      </w:r>
    </w:p>
    <w:p w14:paraId="0862782F" w14:textId="77777777" w:rsidR="00031A62" w:rsidRPr="00A74CC6" w:rsidRDefault="00031A62" w:rsidP="00CC519F">
      <w:pPr>
        <w:spacing w:after="0" w:line="240" w:lineRule="auto"/>
        <w:ind w:left="0" w:firstLine="0"/>
        <w:contextualSpacing/>
        <w:rPr>
          <w:lang w:val="sv-SE"/>
        </w:rPr>
      </w:pPr>
    </w:p>
    <w:p w14:paraId="44A94AF0" w14:textId="4637A2FC" w:rsidR="005027AB" w:rsidRPr="00A74CC6" w:rsidRDefault="00264096" w:rsidP="00CC519F">
      <w:pPr>
        <w:spacing w:after="0" w:line="240" w:lineRule="auto"/>
        <w:ind w:left="0" w:firstLine="0"/>
        <w:contextualSpacing/>
        <w:rPr>
          <w:lang w:val="sv-SE"/>
        </w:rPr>
      </w:pPr>
      <w:r w:rsidRPr="00A74CC6">
        <w:rPr>
          <w:lang w:val="sv-SE"/>
        </w:rPr>
        <w:t xml:space="preserve">I studien BCIRG 006 begränsades HER2-positiv, tidig bröstcancer till antingen lymfkörtelpostitiva eller körtelnegativa </w:t>
      </w:r>
      <w:r w:rsidR="0068131D" w:rsidRPr="00A74CC6">
        <w:rPr>
          <w:lang w:val="sv-SE"/>
        </w:rPr>
        <w:t>högrisk</w:t>
      </w:r>
      <w:r w:rsidRPr="00A74CC6">
        <w:rPr>
          <w:lang w:val="sv-SE"/>
        </w:rPr>
        <w:t>patienter (definierat som lymfkörtelnegativ (pN0), och minst 1 av följande faktorer: tumörstorlek större än 2</w:t>
      </w:r>
      <w:r w:rsidR="00031A62" w:rsidRPr="00A74CC6">
        <w:rPr>
          <w:lang w:val="sv-SE"/>
        </w:rPr>
        <w:t> </w:t>
      </w:r>
      <w:r w:rsidRPr="00A74CC6">
        <w:rPr>
          <w:lang w:val="sv-SE"/>
        </w:rPr>
        <w:t>cm, östrogenreceptor- och progesteronreceptornegativa, histologisk och/eller</w:t>
      </w:r>
      <w:r w:rsidR="00031A62" w:rsidRPr="00A74CC6">
        <w:rPr>
          <w:lang w:val="sv-SE"/>
        </w:rPr>
        <w:t xml:space="preserve"> nukleär grad</w:t>
      </w:r>
      <w:r w:rsidR="0068131D" w:rsidRPr="00A74CC6">
        <w:rPr>
          <w:lang w:val="sv-SE"/>
        </w:rPr>
        <w:t> </w:t>
      </w:r>
      <w:r w:rsidR="00031A62" w:rsidRPr="00A74CC6">
        <w:rPr>
          <w:lang w:val="sv-SE"/>
        </w:rPr>
        <w:t>2-3 eller ålder &lt; </w:t>
      </w:r>
      <w:r w:rsidRPr="00A74CC6">
        <w:rPr>
          <w:lang w:val="sv-SE"/>
        </w:rPr>
        <w:t>35</w:t>
      </w:r>
      <w:r w:rsidR="0068131D" w:rsidRPr="00A74CC6">
        <w:rPr>
          <w:lang w:val="sv-SE"/>
        </w:rPr>
        <w:t> </w:t>
      </w:r>
      <w:r w:rsidRPr="00A74CC6">
        <w:rPr>
          <w:lang w:val="sv-SE"/>
        </w:rPr>
        <w:t>år).</w:t>
      </w:r>
    </w:p>
    <w:p w14:paraId="2DACA4F1" w14:textId="77777777" w:rsidR="00031A62" w:rsidRPr="00A74CC6" w:rsidRDefault="00031A62" w:rsidP="00CC519F">
      <w:pPr>
        <w:spacing w:after="0" w:line="240" w:lineRule="auto"/>
        <w:ind w:left="0" w:firstLine="0"/>
        <w:contextualSpacing/>
        <w:rPr>
          <w:lang w:val="sv-SE"/>
        </w:rPr>
      </w:pPr>
    </w:p>
    <w:p w14:paraId="53407D87" w14:textId="5C0CF90E" w:rsidR="005027AB" w:rsidRPr="00A74CC6" w:rsidRDefault="00264096" w:rsidP="00511081">
      <w:pPr>
        <w:keepNext/>
        <w:spacing w:after="0" w:line="240" w:lineRule="auto"/>
        <w:ind w:left="0" w:firstLine="0"/>
        <w:contextualSpacing/>
        <w:rPr>
          <w:lang w:val="sv-SE"/>
        </w:rPr>
      </w:pPr>
      <w:r w:rsidRPr="00A74CC6">
        <w:rPr>
          <w:lang w:val="sv-SE"/>
        </w:rPr>
        <w:lastRenderedPageBreak/>
        <w:t>Effektresultaten från BO16348-studien efter 12</w:t>
      </w:r>
      <w:r w:rsidR="0068131D" w:rsidRPr="00A74CC6">
        <w:rPr>
          <w:lang w:val="sv-SE"/>
        </w:rPr>
        <w:t> </w:t>
      </w:r>
      <w:r w:rsidRPr="00A74CC6">
        <w:rPr>
          <w:lang w:val="sv-SE"/>
        </w:rPr>
        <w:t>månader</w:t>
      </w:r>
      <w:r w:rsidR="0068131D" w:rsidRPr="00A74CC6">
        <w:rPr>
          <w:lang w:val="sv-SE"/>
        </w:rPr>
        <w:t>s</w:t>
      </w:r>
      <w:r w:rsidRPr="00A74CC6">
        <w:rPr>
          <w:lang w:val="sv-SE"/>
        </w:rPr>
        <w:t>* och 8</w:t>
      </w:r>
      <w:r w:rsidR="0068131D" w:rsidRPr="00A74CC6">
        <w:rPr>
          <w:lang w:val="sv-SE"/>
        </w:rPr>
        <w:t> </w:t>
      </w:r>
      <w:r w:rsidRPr="00A74CC6">
        <w:rPr>
          <w:lang w:val="sv-SE"/>
        </w:rPr>
        <w:t>års** medianuppföljning sammanfattas i tabell</w:t>
      </w:r>
      <w:r w:rsidR="0068131D" w:rsidRPr="00A74CC6">
        <w:rPr>
          <w:lang w:val="sv-SE"/>
        </w:rPr>
        <w:t> </w:t>
      </w:r>
      <w:r w:rsidRPr="00A74CC6">
        <w:rPr>
          <w:lang w:val="sv-SE"/>
        </w:rPr>
        <w:t>6:</w:t>
      </w:r>
    </w:p>
    <w:p w14:paraId="6C1C84EC" w14:textId="77777777" w:rsidR="00031A62" w:rsidRPr="00A74CC6" w:rsidRDefault="00031A62" w:rsidP="00511081">
      <w:pPr>
        <w:keepNext/>
        <w:spacing w:after="0" w:line="240" w:lineRule="auto"/>
        <w:ind w:left="0" w:firstLine="0"/>
        <w:contextualSpacing/>
        <w:rPr>
          <w:lang w:val="sv-SE"/>
        </w:rPr>
      </w:pPr>
    </w:p>
    <w:p w14:paraId="1D244C9F" w14:textId="78BB6C91" w:rsidR="005027AB" w:rsidRPr="00A74CC6" w:rsidRDefault="00264096" w:rsidP="00511081">
      <w:pPr>
        <w:keepNext/>
        <w:keepLines/>
        <w:tabs>
          <w:tab w:val="center" w:pos="2764"/>
        </w:tabs>
        <w:spacing w:after="0" w:line="240" w:lineRule="auto"/>
        <w:ind w:left="0" w:firstLine="0"/>
        <w:contextualSpacing/>
        <w:rPr>
          <w:b/>
          <w:lang w:val="sv-SE"/>
        </w:rPr>
      </w:pPr>
      <w:r w:rsidRPr="00A74CC6">
        <w:rPr>
          <w:b/>
          <w:lang w:val="sv-SE"/>
        </w:rPr>
        <w:t>Tabell</w:t>
      </w:r>
      <w:r w:rsidR="0068131D" w:rsidRPr="00A74CC6">
        <w:rPr>
          <w:b/>
          <w:lang w:val="sv-SE"/>
        </w:rPr>
        <w:t> </w:t>
      </w:r>
      <w:r w:rsidRPr="00A74CC6">
        <w:rPr>
          <w:b/>
          <w:lang w:val="sv-SE"/>
        </w:rPr>
        <w:t>6</w:t>
      </w:r>
      <w:r w:rsidR="00E1391C" w:rsidRPr="00A74CC6">
        <w:rPr>
          <w:b/>
          <w:lang w:val="sv-SE"/>
        </w:rPr>
        <w:t>.</w:t>
      </w:r>
      <w:r w:rsidR="00493EEC" w:rsidRPr="00A74CC6">
        <w:rPr>
          <w:b/>
          <w:lang w:val="sv-SE"/>
        </w:rPr>
        <w:t xml:space="preserve"> </w:t>
      </w:r>
      <w:r w:rsidRPr="00A74CC6">
        <w:rPr>
          <w:b/>
          <w:lang w:val="sv-SE"/>
        </w:rPr>
        <w:t>Effektresultat från BO16348-studien</w:t>
      </w:r>
    </w:p>
    <w:p w14:paraId="149C1F0B" w14:textId="77777777" w:rsidR="00031A62" w:rsidRPr="00A74CC6" w:rsidRDefault="00031A62" w:rsidP="00511081">
      <w:pPr>
        <w:keepNext/>
        <w:keepLines/>
        <w:tabs>
          <w:tab w:val="center" w:pos="2764"/>
        </w:tabs>
        <w:spacing w:after="0" w:line="240" w:lineRule="auto"/>
        <w:ind w:left="0" w:firstLine="0"/>
        <w:contextualSpacing/>
        <w:rPr>
          <w:lang w:val="sv-SE"/>
        </w:rPr>
      </w:pPr>
    </w:p>
    <w:tbl>
      <w:tblPr>
        <w:tblW w:w="4992" w:type="pct"/>
        <w:tblInd w:w="106" w:type="dxa"/>
        <w:tblLayout w:type="fixed"/>
        <w:tblCellMar>
          <w:top w:w="26" w:type="dxa"/>
          <w:left w:w="106" w:type="dxa"/>
          <w:bottom w:w="10" w:type="dxa"/>
          <w:right w:w="115" w:type="dxa"/>
        </w:tblCellMar>
        <w:tblLook w:val="04A0" w:firstRow="1" w:lastRow="0" w:firstColumn="1" w:lastColumn="0" w:noHBand="0" w:noVBand="1"/>
      </w:tblPr>
      <w:tblGrid>
        <w:gridCol w:w="2891"/>
        <w:gridCol w:w="1454"/>
        <w:gridCol w:w="1742"/>
        <w:gridCol w:w="1452"/>
        <w:gridCol w:w="1736"/>
      </w:tblGrid>
      <w:tr w:rsidR="00AD14F8" w:rsidRPr="00A74CC6" w14:paraId="09DB008E" w14:textId="77777777" w:rsidTr="004A019F">
        <w:trPr>
          <w:trHeight w:val="516"/>
          <w:tblHeader/>
        </w:trPr>
        <w:tc>
          <w:tcPr>
            <w:tcW w:w="1558" w:type="pct"/>
            <w:tcBorders>
              <w:bottom w:val="single" w:sz="4" w:space="0" w:color="000000"/>
              <w:right w:val="single" w:sz="4" w:space="0" w:color="000000"/>
            </w:tcBorders>
            <w:shd w:val="clear" w:color="auto" w:fill="auto"/>
          </w:tcPr>
          <w:p w14:paraId="445FB413" w14:textId="77777777" w:rsidR="005027AB" w:rsidRPr="004A019F" w:rsidRDefault="005027AB" w:rsidP="004A019F">
            <w:pPr>
              <w:keepNext/>
              <w:keepLines/>
              <w:spacing w:after="0" w:line="240" w:lineRule="auto"/>
              <w:ind w:left="0" w:firstLine="0"/>
              <w:contextualSpacing/>
              <w:rPr>
                <w:sz w:val="20"/>
                <w:szCs w:val="20"/>
                <w:lang w:val="sv-SE"/>
              </w:rPr>
            </w:pPr>
          </w:p>
        </w:tc>
        <w:tc>
          <w:tcPr>
            <w:tcW w:w="1723" w:type="pct"/>
            <w:gridSpan w:val="2"/>
            <w:tcBorders>
              <w:top w:val="single" w:sz="4" w:space="0" w:color="000000"/>
              <w:left w:val="single" w:sz="4" w:space="0" w:color="000000"/>
              <w:bottom w:val="single" w:sz="4" w:space="0" w:color="000000"/>
              <w:right w:val="single" w:sz="4" w:space="0" w:color="000000"/>
            </w:tcBorders>
            <w:shd w:val="clear" w:color="auto" w:fill="auto"/>
          </w:tcPr>
          <w:p w14:paraId="268C16E5" w14:textId="77777777" w:rsidR="00171841" w:rsidRPr="004A019F" w:rsidRDefault="00264096" w:rsidP="004A019F">
            <w:pPr>
              <w:keepNext/>
              <w:keepLines/>
              <w:spacing w:after="0" w:line="240" w:lineRule="auto"/>
              <w:ind w:left="0" w:firstLine="0"/>
              <w:contextualSpacing/>
              <w:jc w:val="center"/>
              <w:rPr>
                <w:b/>
                <w:sz w:val="20"/>
                <w:szCs w:val="20"/>
                <w:lang w:val="sv-SE"/>
              </w:rPr>
            </w:pPr>
            <w:r w:rsidRPr="004A019F">
              <w:rPr>
                <w:b/>
                <w:sz w:val="20"/>
                <w:szCs w:val="20"/>
                <w:lang w:val="sv-SE"/>
              </w:rPr>
              <w:t xml:space="preserve">Medianuppföljningstid </w:t>
            </w:r>
          </w:p>
          <w:p w14:paraId="6757086F" w14:textId="4940F8C0" w:rsidR="005027AB" w:rsidRPr="004A019F" w:rsidRDefault="00264096" w:rsidP="004A019F">
            <w:pPr>
              <w:keepNext/>
              <w:keepLines/>
              <w:spacing w:after="0" w:line="240" w:lineRule="auto"/>
              <w:ind w:left="0" w:firstLine="0"/>
              <w:contextualSpacing/>
              <w:jc w:val="center"/>
              <w:rPr>
                <w:b/>
                <w:sz w:val="20"/>
                <w:szCs w:val="20"/>
                <w:lang w:val="sv-SE"/>
              </w:rPr>
            </w:pPr>
            <w:r w:rsidRPr="004A019F">
              <w:rPr>
                <w:b/>
                <w:sz w:val="20"/>
                <w:szCs w:val="20"/>
                <w:lang w:val="sv-SE"/>
              </w:rPr>
              <w:t>12</w:t>
            </w:r>
            <w:r w:rsidR="0068131D" w:rsidRPr="004A019F">
              <w:rPr>
                <w:b/>
                <w:sz w:val="20"/>
                <w:szCs w:val="20"/>
                <w:lang w:val="sv-SE"/>
              </w:rPr>
              <w:t> </w:t>
            </w:r>
            <w:r w:rsidRPr="004A019F">
              <w:rPr>
                <w:b/>
                <w:sz w:val="20"/>
                <w:szCs w:val="20"/>
                <w:lang w:val="sv-SE"/>
              </w:rPr>
              <w:t>månader*</w:t>
            </w:r>
          </w:p>
        </w:tc>
        <w:tc>
          <w:tcPr>
            <w:tcW w:w="1719" w:type="pct"/>
            <w:gridSpan w:val="2"/>
            <w:tcBorders>
              <w:top w:val="single" w:sz="4" w:space="0" w:color="000000"/>
              <w:left w:val="single" w:sz="4" w:space="0" w:color="000000"/>
              <w:bottom w:val="single" w:sz="4" w:space="0" w:color="000000"/>
              <w:right w:val="single" w:sz="4" w:space="0" w:color="000000"/>
            </w:tcBorders>
            <w:shd w:val="clear" w:color="auto" w:fill="auto"/>
          </w:tcPr>
          <w:p w14:paraId="10EB81D7" w14:textId="77777777" w:rsidR="00424FB2" w:rsidRPr="004A019F" w:rsidRDefault="00264096" w:rsidP="004A019F">
            <w:pPr>
              <w:keepNext/>
              <w:keepLines/>
              <w:spacing w:after="0" w:line="240" w:lineRule="auto"/>
              <w:ind w:left="0" w:firstLine="0"/>
              <w:contextualSpacing/>
              <w:jc w:val="center"/>
              <w:rPr>
                <w:b/>
                <w:sz w:val="20"/>
                <w:szCs w:val="20"/>
                <w:lang w:val="sv-SE"/>
              </w:rPr>
            </w:pPr>
            <w:r w:rsidRPr="004A019F">
              <w:rPr>
                <w:b/>
                <w:sz w:val="20"/>
                <w:szCs w:val="20"/>
                <w:lang w:val="sv-SE"/>
              </w:rPr>
              <w:t xml:space="preserve">Medianuppföljningstid </w:t>
            </w:r>
          </w:p>
          <w:p w14:paraId="35E0BDB8" w14:textId="5C93C42D" w:rsidR="005027AB" w:rsidRPr="004A019F" w:rsidRDefault="00264096" w:rsidP="004A019F">
            <w:pPr>
              <w:keepNext/>
              <w:keepLines/>
              <w:spacing w:after="0" w:line="240" w:lineRule="auto"/>
              <w:ind w:left="0" w:firstLine="0"/>
              <w:contextualSpacing/>
              <w:jc w:val="center"/>
              <w:rPr>
                <w:b/>
                <w:sz w:val="20"/>
                <w:szCs w:val="20"/>
                <w:lang w:val="sv-SE"/>
              </w:rPr>
            </w:pPr>
            <w:r w:rsidRPr="004A019F">
              <w:rPr>
                <w:b/>
                <w:sz w:val="20"/>
                <w:szCs w:val="20"/>
                <w:lang w:val="sv-SE"/>
              </w:rPr>
              <w:t>8</w:t>
            </w:r>
            <w:r w:rsidR="0068131D" w:rsidRPr="004A019F">
              <w:rPr>
                <w:b/>
                <w:sz w:val="20"/>
                <w:szCs w:val="20"/>
                <w:lang w:val="sv-SE"/>
              </w:rPr>
              <w:t> </w:t>
            </w:r>
            <w:r w:rsidRPr="004A019F">
              <w:rPr>
                <w:b/>
                <w:sz w:val="20"/>
                <w:szCs w:val="20"/>
                <w:lang w:val="sv-SE"/>
              </w:rPr>
              <w:t>år**</w:t>
            </w:r>
          </w:p>
        </w:tc>
      </w:tr>
      <w:tr w:rsidR="00AD14F8" w:rsidRPr="00A74CC6" w14:paraId="3270F576" w14:textId="77777777" w:rsidTr="004A019F">
        <w:trPr>
          <w:trHeight w:val="516"/>
          <w:tblHeader/>
        </w:trPr>
        <w:tc>
          <w:tcPr>
            <w:tcW w:w="1558" w:type="pct"/>
            <w:tcBorders>
              <w:top w:val="single" w:sz="4" w:space="0" w:color="000000"/>
              <w:left w:val="single" w:sz="4" w:space="0" w:color="000000"/>
              <w:bottom w:val="single" w:sz="4" w:space="0" w:color="000000"/>
              <w:right w:val="single" w:sz="4" w:space="0" w:color="000000"/>
            </w:tcBorders>
            <w:shd w:val="clear" w:color="auto" w:fill="auto"/>
          </w:tcPr>
          <w:p w14:paraId="31B110B8" w14:textId="77777777" w:rsidR="005027AB" w:rsidRPr="004A019F" w:rsidRDefault="00264096" w:rsidP="004A019F">
            <w:pPr>
              <w:keepNext/>
              <w:keepLines/>
              <w:spacing w:after="0" w:line="240" w:lineRule="auto"/>
              <w:ind w:left="0" w:firstLine="0"/>
              <w:contextualSpacing/>
              <w:rPr>
                <w:b/>
                <w:sz w:val="20"/>
                <w:szCs w:val="20"/>
                <w:lang w:val="sv-SE"/>
              </w:rPr>
            </w:pPr>
            <w:r w:rsidRPr="004A019F">
              <w:rPr>
                <w:b/>
                <w:sz w:val="20"/>
                <w:szCs w:val="20"/>
                <w:lang w:val="sv-SE"/>
              </w:rPr>
              <w:t>Parameter</w:t>
            </w:r>
          </w:p>
        </w:tc>
        <w:tc>
          <w:tcPr>
            <w:tcW w:w="784" w:type="pct"/>
            <w:tcBorders>
              <w:top w:val="single" w:sz="4" w:space="0" w:color="000000"/>
              <w:left w:val="single" w:sz="4" w:space="0" w:color="000000"/>
              <w:bottom w:val="single" w:sz="4" w:space="0" w:color="000000"/>
              <w:right w:val="single" w:sz="4" w:space="0" w:color="000000"/>
            </w:tcBorders>
            <w:shd w:val="clear" w:color="auto" w:fill="auto"/>
          </w:tcPr>
          <w:p w14:paraId="70DB211B" w14:textId="77777777" w:rsidR="00171841" w:rsidRPr="004A019F" w:rsidRDefault="00264096" w:rsidP="004A019F">
            <w:pPr>
              <w:keepNext/>
              <w:keepLines/>
              <w:spacing w:after="0" w:line="240" w:lineRule="auto"/>
              <w:ind w:left="0" w:firstLine="0"/>
              <w:contextualSpacing/>
              <w:jc w:val="center"/>
              <w:rPr>
                <w:b/>
                <w:sz w:val="20"/>
                <w:szCs w:val="20"/>
                <w:lang w:val="sv-SE"/>
              </w:rPr>
            </w:pPr>
            <w:r w:rsidRPr="004A019F">
              <w:rPr>
                <w:b/>
                <w:sz w:val="20"/>
                <w:szCs w:val="20"/>
                <w:lang w:val="sv-SE"/>
              </w:rPr>
              <w:t>Observation</w:t>
            </w:r>
          </w:p>
          <w:p w14:paraId="219206D7" w14:textId="7F609D20" w:rsidR="005027AB" w:rsidRPr="004A019F" w:rsidRDefault="00264096" w:rsidP="004A019F">
            <w:pPr>
              <w:keepNext/>
              <w:keepLines/>
              <w:spacing w:after="0" w:line="240" w:lineRule="auto"/>
              <w:ind w:left="0" w:firstLine="0"/>
              <w:contextualSpacing/>
              <w:jc w:val="center"/>
              <w:rPr>
                <w:b/>
                <w:sz w:val="20"/>
                <w:szCs w:val="20"/>
                <w:lang w:val="sv-SE"/>
              </w:rPr>
            </w:pPr>
            <w:r w:rsidRPr="004A019F">
              <w:rPr>
                <w:b/>
                <w:sz w:val="20"/>
                <w:szCs w:val="20"/>
                <w:lang w:val="sv-SE"/>
              </w:rPr>
              <w:t>n</w:t>
            </w:r>
            <w:r w:rsidR="00493EEC" w:rsidRPr="004A019F">
              <w:rPr>
                <w:b/>
                <w:sz w:val="20"/>
                <w:szCs w:val="20"/>
                <w:lang w:val="sv-SE"/>
              </w:rPr>
              <w:t> </w:t>
            </w:r>
            <w:r w:rsidRPr="004A019F">
              <w:rPr>
                <w:b/>
                <w:sz w:val="20"/>
                <w:szCs w:val="20"/>
                <w:lang w:val="sv-SE"/>
              </w:rPr>
              <w:t>=</w:t>
            </w:r>
            <w:r w:rsidR="00493EEC" w:rsidRPr="004A019F">
              <w:rPr>
                <w:b/>
                <w:sz w:val="20"/>
                <w:szCs w:val="20"/>
                <w:lang w:val="sv-SE"/>
              </w:rPr>
              <w:t> </w:t>
            </w:r>
            <w:r w:rsidRPr="004A019F">
              <w:rPr>
                <w:b/>
                <w:sz w:val="20"/>
                <w:szCs w:val="20"/>
                <w:lang w:val="sv-SE"/>
              </w:rPr>
              <w:t>1</w:t>
            </w:r>
            <w:r w:rsidR="00642123" w:rsidRPr="004A019F">
              <w:rPr>
                <w:b/>
                <w:sz w:val="20"/>
                <w:szCs w:val="20"/>
                <w:lang w:val="sv-SE"/>
              </w:rPr>
              <w:t> </w:t>
            </w:r>
            <w:r w:rsidRPr="004A019F">
              <w:rPr>
                <w:b/>
                <w:sz w:val="20"/>
                <w:szCs w:val="20"/>
                <w:lang w:val="sv-SE"/>
              </w:rPr>
              <w:t>693</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7A1D2DA9" w14:textId="77777777" w:rsidR="00493EEC" w:rsidRPr="004A019F" w:rsidRDefault="00493EEC" w:rsidP="004A019F">
            <w:pPr>
              <w:keepNext/>
              <w:keepLines/>
              <w:spacing w:after="0" w:line="240" w:lineRule="auto"/>
              <w:ind w:left="0" w:firstLine="0"/>
              <w:contextualSpacing/>
              <w:jc w:val="center"/>
              <w:rPr>
                <w:lang w:val="sv-SE"/>
              </w:rPr>
            </w:pPr>
            <w:r w:rsidRPr="004A019F">
              <w:rPr>
                <w:b/>
                <w:sz w:val="20"/>
                <w:szCs w:val="20"/>
                <w:lang w:val="sv-SE"/>
              </w:rPr>
              <w:t>Trastuzumab</w:t>
            </w:r>
          </w:p>
          <w:p w14:paraId="4C6D9824" w14:textId="63B847F7" w:rsidR="00424FB2" w:rsidRPr="004A019F" w:rsidRDefault="00264096" w:rsidP="004A019F">
            <w:pPr>
              <w:keepNext/>
              <w:keepLines/>
              <w:spacing w:after="0" w:line="240" w:lineRule="auto"/>
              <w:ind w:left="0" w:firstLine="0"/>
              <w:contextualSpacing/>
              <w:jc w:val="center"/>
              <w:rPr>
                <w:b/>
                <w:sz w:val="20"/>
                <w:szCs w:val="20"/>
                <w:lang w:val="sv-SE"/>
              </w:rPr>
            </w:pPr>
            <w:r w:rsidRPr="004A019F">
              <w:rPr>
                <w:b/>
                <w:sz w:val="20"/>
                <w:szCs w:val="20"/>
                <w:lang w:val="sv-SE"/>
              </w:rPr>
              <w:t>1</w:t>
            </w:r>
            <w:r w:rsidR="00493EEC" w:rsidRPr="004A019F">
              <w:rPr>
                <w:b/>
                <w:sz w:val="20"/>
                <w:szCs w:val="20"/>
                <w:lang w:val="sv-SE"/>
              </w:rPr>
              <w:t> </w:t>
            </w:r>
            <w:r w:rsidRPr="004A019F">
              <w:rPr>
                <w:b/>
                <w:sz w:val="20"/>
                <w:szCs w:val="20"/>
                <w:lang w:val="sv-SE"/>
              </w:rPr>
              <w:t>år</w:t>
            </w:r>
          </w:p>
          <w:p w14:paraId="23727EB6" w14:textId="38BFAD20" w:rsidR="005027AB" w:rsidRPr="004A019F" w:rsidRDefault="00264096" w:rsidP="004A019F">
            <w:pPr>
              <w:keepNext/>
              <w:keepLines/>
              <w:spacing w:after="0" w:line="240" w:lineRule="auto"/>
              <w:ind w:left="0" w:firstLine="0"/>
              <w:contextualSpacing/>
              <w:jc w:val="center"/>
              <w:rPr>
                <w:b/>
                <w:sz w:val="20"/>
                <w:szCs w:val="20"/>
                <w:lang w:val="sv-SE"/>
              </w:rPr>
            </w:pPr>
            <w:r w:rsidRPr="004A019F">
              <w:rPr>
                <w:b/>
                <w:sz w:val="20"/>
                <w:szCs w:val="20"/>
                <w:lang w:val="sv-SE"/>
              </w:rPr>
              <w:t>n</w:t>
            </w:r>
            <w:r w:rsidR="00493EEC" w:rsidRPr="004A019F">
              <w:rPr>
                <w:b/>
                <w:sz w:val="20"/>
                <w:szCs w:val="20"/>
                <w:lang w:val="sv-SE"/>
              </w:rPr>
              <w:t> </w:t>
            </w:r>
            <w:r w:rsidRPr="004A019F">
              <w:rPr>
                <w:b/>
                <w:sz w:val="20"/>
                <w:szCs w:val="20"/>
                <w:lang w:val="sv-SE"/>
              </w:rPr>
              <w:t>=</w:t>
            </w:r>
            <w:r w:rsidR="00493EEC" w:rsidRPr="004A019F">
              <w:rPr>
                <w:b/>
                <w:sz w:val="20"/>
                <w:szCs w:val="20"/>
                <w:lang w:val="sv-SE"/>
              </w:rPr>
              <w:t> </w:t>
            </w:r>
            <w:r w:rsidRPr="004A019F">
              <w:rPr>
                <w:b/>
                <w:sz w:val="20"/>
                <w:szCs w:val="20"/>
                <w:lang w:val="sv-SE"/>
              </w:rPr>
              <w:t>1</w:t>
            </w:r>
            <w:r w:rsidR="00642123" w:rsidRPr="004A019F">
              <w:rPr>
                <w:b/>
                <w:sz w:val="20"/>
                <w:szCs w:val="20"/>
                <w:lang w:val="sv-SE"/>
              </w:rPr>
              <w:t> </w:t>
            </w:r>
            <w:r w:rsidRPr="004A019F">
              <w:rPr>
                <w:b/>
                <w:sz w:val="20"/>
                <w:szCs w:val="20"/>
                <w:lang w:val="sv-SE"/>
              </w:rPr>
              <w:t>693</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7A73D997" w14:textId="3D9CCAAF" w:rsidR="005027AB" w:rsidRPr="004A019F" w:rsidRDefault="00264096" w:rsidP="004A019F">
            <w:pPr>
              <w:keepNext/>
              <w:keepLines/>
              <w:spacing w:after="0" w:line="240" w:lineRule="auto"/>
              <w:ind w:left="0" w:firstLine="0"/>
              <w:contextualSpacing/>
              <w:jc w:val="center"/>
              <w:rPr>
                <w:b/>
                <w:sz w:val="20"/>
                <w:szCs w:val="20"/>
                <w:lang w:val="sv-SE"/>
              </w:rPr>
            </w:pPr>
            <w:r w:rsidRPr="004A019F">
              <w:rPr>
                <w:b/>
                <w:sz w:val="20"/>
                <w:szCs w:val="20"/>
                <w:lang w:val="sv-SE"/>
              </w:rPr>
              <w:t>Observation n</w:t>
            </w:r>
            <w:r w:rsidR="00493EEC" w:rsidRPr="004A019F">
              <w:rPr>
                <w:b/>
                <w:sz w:val="20"/>
                <w:szCs w:val="20"/>
                <w:lang w:val="sv-SE"/>
              </w:rPr>
              <w:t> </w:t>
            </w:r>
            <w:r w:rsidRPr="004A019F">
              <w:rPr>
                <w:b/>
                <w:sz w:val="20"/>
                <w:szCs w:val="20"/>
                <w:lang w:val="sv-SE"/>
              </w:rPr>
              <w:t>=</w:t>
            </w:r>
            <w:r w:rsidR="00493EEC" w:rsidRPr="004A019F">
              <w:rPr>
                <w:b/>
                <w:sz w:val="20"/>
                <w:szCs w:val="20"/>
                <w:lang w:val="sv-SE"/>
              </w:rPr>
              <w:t> </w:t>
            </w:r>
            <w:r w:rsidRPr="004A019F">
              <w:rPr>
                <w:b/>
                <w:sz w:val="20"/>
                <w:szCs w:val="20"/>
                <w:lang w:val="sv-SE"/>
              </w:rPr>
              <w:t>1</w:t>
            </w:r>
            <w:r w:rsidR="00642123" w:rsidRPr="004A019F">
              <w:rPr>
                <w:b/>
                <w:sz w:val="20"/>
                <w:szCs w:val="20"/>
                <w:lang w:val="sv-SE"/>
              </w:rPr>
              <w:t> </w:t>
            </w:r>
            <w:r w:rsidRPr="004A019F">
              <w:rPr>
                <w:b/>
                <w:sz w:val="20"/>
                <w:szCs w:val="20"/>
                <w:lang w:val="sv-SE"/>
              </w:rPr>
              <w:t>697***</w:t>
            </w:r>
          </w:p>
        </w:tc>
        <w:tc>
          <w:tcPr>
            <w:tcW w:w="935" w:type="pct"/>
            <w:tcBorders>
              <w:top w:val="single" w:sz="4" w:space="0" w:color="000000"/>
              <w:left w:val="single" w:sz="4" w:space="0" w:color="000000"/>
              <w:bottom w:val="single" w:sz="4" w:space="0" w:color="000000"/>
              <w:right w:val="single" w:sz="4" w:space="0" w:color="000000"/>
            </w:tcBorders>
            <w:shd w:val="clear" w:color="auto" w:fill="auto"/>
          </w:tcPr>
          <w:p w14:paraId="5302BB5A" w14:textId="38D855CD" w:rsidR="00493EEC" w:rsidRPr="004A019F" w:rsidRDefault="00493EEC" w:rsidP="004A019F">
            <w:pPr>
              <w:keepNext/>
              <w:keepLines/>
              <w:spacing w:after="0" w:line="240" w:lineRule="auto"/>
              <w:ind w:left="0" w:firstLine="0"/>
              <w:contextualSpacing/>
              <w:jc w:val="center"/>
              <w:rPr>
                <w:b/>
                <w:sz w:val="20"/>
                <w:szCs w:val="20"/>
                <w:lang w:val="sv-SE"/>
              </w:rPr>
            </w:pPr>
            <w:r w:rsidRPr="004A019F">
              <w:rPr>
                <w:b/>
                <w:sz w:val="20"/>
                <w:szCs w:val="20"/>
                <w:lang w:val="sv-SE"/>
              </w:rPr>
              <w:t>Trastuzumab</w:t>
            </w:r>
          </w:p>
          <w:p w14:paraId="2ADA4FCD" w14:textId="5E607E79" w:rsidR="00424FB2" w:rsidRPr="004A019F" w:rsidRDefault="00264096" w:rsidP="004A019F">
            <w:pPr>
              <w:keepNext/>
              <w:keepLines/>
              <w:spacing w:after="0" w:line="240" w:lineRule="auto"/>
              <w:ind w:left="0" w:firstLine="0"/>
              <w:contextualSpacing/>
              <w:jc w:val="center"/>
              <w:rPr>
                <w:b/>
                <w:sz w:val="20"/>
                <w:szCs w:val="20"/>
                <w:lang w:val="sv-SE"/>
              </w:rPr>
            </w:pPr>
            <w:r w:rsidRPr="004A019F">
              <w:rPr>
                <w:b/>
                <w:sz w:val="20"/>
                <w:szCs w:val="20"/>
                <w:lang w:val="sv-SE"/>
              </w:rPr>
              <w:t>1</w:t>
            </w:r>
            <w:r w:rsidR="00493EEC" w:rsidRPr="004A019F">
              <w:rPr>
                <w:b/>
                <w:sz w:val="20"/>
                <w:szCs w:val="20"/>
                <w:lang w:val="sv-SE"/>
              </w:rPr>
              <w:t> </w:t>
            </w:r>
            <w:r w:rsidRPr="004A019F">
              <w:rPr>
                <w:b/>
                <w:sz w:val="20"/>
                <w:szCs w:val="20"/>
                <w:lang w:val="sv-SE"/>
              </w:rPr>
              <w:t>år</w:t>
            </w:r>
          </w:p>
          <w:p w14:paraId="143438BA" w14:textId="0F2B5EA8" w:rsidR="005027AB" w:rsidRPr="004A019F" w:rsidRDefault="00264096" w:rsidP="004A019F">
            <w:pPr>
              <w:keepNext/>
              <w:keepLines/>
              <w:spacing w:after="0" w:line="240" w:lineRule="auto"/>
              <w:ind w:left="0" w:firstLine="0"/>
              <w:contextualSpacing/>
              <w:jc w:val="center"/>
              <w:rPr>
                <w:b/>
                <w:sz w:val="20"/>
                <w:szCs w:val="20"/>
                <w:lang w:val="sv-SE"/>
              </w:rPr>
            </w:pPr>
            <w:r w:rsidRPr="004A019F">
              <w:rPr>
                <w:b/>
                <w:sz w:val="20"/>
                <w:szCs w:val="20"/>
                <w:lang w:val="sv-SE"/>
              </w:rPr>
              <w:t>n</w:t>
            </w:r>
            <w:r w:rsidR="00493EEC" w:rsidRPr="004A019F">
              <w:rPr>
                <w:b/>
                <w:sz w:val="20"/>
                <w:szCs w:val="20"/>
                <w:lang w:val="sv-SE"/>
              </w:rPr>
              <w:t> </w:t>
            </w:r>
            <w:r w:rsidRPr="004A019F">
              <w:rPr>
                <w:b/>
                <w:sz w:val="20"/>
                <w:szCs w:val="20"/>
                <w:lang w:val="sv-SE"/>
              </w:rPr>
              <w:t>=</w:t>
            </w:r>
            <w:r w:rsidR="00493EEC" w:rsidRPr="004A019F">
              <w:rPr>
                <w:lang w:val="sv-SE"/>
              </w:rPr>
              <w:t> </w:t>
            </w:r>
            <w:r w:rsidRPr="004A019F">
              <w:rPr>
                <w:b/>
                <w:sz w:val="20"/>
                <w:szCs w:val="20"/>
                <w:lang w:val="sv-SE"/>
              </w:rPr>
              <w:t>1</w:t>
            </w:r>
            <w:r w:rsidR="00642123" w:rsidRPr="004A019F">
              <w:rPr>
                <w:b/>
                <w:sz w:val="20"/>
                <w:szCs w:val="20"/>
                <w:lang w:val="sv-SE"/>
              </w:rPr>
              <w:t> </w:t>
            </w:r>
            <w:r w:rsidRPr="004A019F">
              <w:rPr>
                <w:b/>
                <w:sz w:val="20"/>
                <w:szCs w:val="20"/>
                <w:lang w:val="sv-SE"/>
              </w:rPr>
              <w:t>702***</w:t>
            </w:r>
          </w:p>
        </w:tc>
      </w:tr>
      <w:tr w:rsidR="00AD14F8" w:rsidRPr="00A74CC6" w14:paraId="70F0B8F9" w14:textId="77777777" w:rsidTr="004A019F">
        <w:trPr>
          <w:trHeight w:val="532"/>
        </w:trPr>
        <w:tc>
          <w:tcPr>
            <w:tcW w:w="1558" w:type="pct"/>
            <w:tcBorders>
              <w:top w:val="single" w:sz="4" w:space="0" w:color="000000"/>
              <w:left w:val="single" w:sz="4" w:space="0" w:color="000000"/>
              <w:bottom w:val="nil"/>
              <w:right w:val="single" w:sz="4" w:space="0" w:color="000000"/>
            </w:tcBorders>
            <w:shd w:val="clear" w:color="auto" w:fill="auto"/>
          </w:tcPr>
          <w:p w14:paraId="32858B0E" w14:textId="40D6E1FE" w:rsidR="00FB7E83" w:rsidRPr="004A019F" w:rsidRDefault="00FB7E83" w:rsidP="004A019F">
            <w:pPr>
              <w:keepNext/>
              <w:spacing w:after="0" w:line="240" w:lineRule="auto"/>
              <w:ind w:left="0" w:firstLine="0"/>
              <w:contextualSpacing/>
              <w:rPr>
                <w:sz w:val="20"/>
                <w:szCs w:val="20"/>
                <w:lang w:val="sv-SE"/>
              </w:rPr>
            </w:pPr>
            <w:r w:rsidRPr="004A019F">
              <w:rPr>
                <w:sz w:val="20"/>
                <w:szCs w:val="20"/>
                <w:lang w:val="sv-SE"/>
              </w:rPr>
              <w:t>Sjukdomsfri överlevnad</w:t>
            </w:r>
            <w:r w:rsidR="003F6264" w:rsidRPr="004A019F">
              <w:rPr>
                <w:sz w:val="20"/>
                <w:szCs w:val="20"/>
                <w:lang w:val="sv-SE"/>
              </w:rPr>
              <w:t xml:space="preserve"> (DFS)</w:t>
            </w:r>
          </w:p>
          <w:p w14:paraId="48347419" w14:textId="77777777" w:rsidR="00FB7E83" w:rsidRPr="004A019F" w:rsidRDefault="00FB7E83" w:rsidP="004A019F">
            <w:pPr>
              <w:keepNext/>
              <w:spacing w:after="0" w:line="240" w:lineRule="auto"/>
              <w:ind w:left="0" w:firstLine="0"/>
              <w:contextualSpacing/>
              <w:rPr>
                <w:sz w:val="20"/>
                <w:szCs w:val="20"/>
                <w:lang w:val="sv-SE"/>
              </w:rPr>
            </w:pPr>
            <w:r w:rsidRPr="004A019F">
              <w:rPr>
                <w:sz w:val="20"/>
                <w:szCs w:val="20"/>
                <w:lang w:val="sv-SE"/>
              </w:rPr>
              <w:t>- antal patienter med händelse</w:t>
            </w:r>
          </w:p>
          <w:p w14:paraId="1F56BF05" w14:textId="77777777" w:rsidR="001E6802" w:rsidRPr="004A019F" w:rsidRDefault="001E6802" w:rsidP="004A019F">
            <w:pPr>
              <w:keepNext/>
              <w:spacing w:after="0" w:line="240" w:lineRule="auto"/>
              <w:ind w:left="0" w:firstLine="0"/>
              <w:contextualSpacing/>
              <w:rPr>
                <w:sz w:val="20"/>
                <w:szCs w:val="20"/>
                <w:lang w:val="sv-SE"/>
              </w:rPr>
            </w:pPr>
            <w:r w:rsidRPr="004A019F">
              <w:rPr>
                <w:sz w:val="20"/>
                <w:szCs w:val="20"/>
                <w:lang w:val="sv-SE"/>
              </w:rPr>
              <w:t>- antal patienter utan händelse</w:t>
            </w:r>
          </w:p>
        </w:tc>
        <w:tc>
          <w:tcPr>
            <w:tcW w:w="784" w:type="pct"/>
            <w:tcBorders>
              <w:top w:val="single" w:sz="4" w:space="0" w:color="000000"/>
              <w:left w:val="single" w:sz="4" w:space="0" w:color="000000"/>
              <w:bottom w:val="nil"/>
            </w:tcBorders>
            <w:shd w:val="clear" w:color="auto" w:fill="auto"/>
          </w:tcPr>
          <w:p w14:paraId="5DEAF7C9" w14:textId="77777777" w:rsidR="001E6802" w:rsidRPr="004A019F" w:rsidRDefault="001E6802" w:rsidP="004A019F">
            <w:pPr>
              <w:keepNext/>
              <w:tabs>
                <w:tab w:val="center" w:pos="2085"/>
              </w:tabs>
              <w:spacing w:after="0" w:line="240" w:lineRule="auto"/>
              <w:ind w:left="0" w:firstLine="0"/>
              <w:contextualSpacing/>
              <w:jc w:val="center"/>
              <w:rPr>
                <w:sz w:val="20"/>
                <w:szCs w:val="20"/>
                <w:lang w:val="sv-SE"/>
              </w:rPr>
            </w:pPr>
          </w:p>
          <w:p w14:paraId="1A30B31D" w14:textId="3E80AA60" w:rsidR="00FB7E83" w:rsidRPr="004A019F" w:rsidRDefault="00FB7E83" w:rsidP="004A019F">
            <w:pPr>
              <w:keepNext/>
              <w:tabs>
                <w:tab w:val="center" w:pos="2085"/>
              </w:tabs>
              <w:spacing w:after="0" w:line="240" w:lineRule="auto"/>
              <w:ind w:left="0" w:firstLine="0"/>
              <w:contextualSpacing/>
              <w:jc w:val="center"/>
              <w:rPr>
                <w:sz w:val="20"/>
                <w:szCs w:val="20"/>
                <w:lang w:val="sv-SE"/>
              </w:rPr>
            </w:pPr>
            <w:r w:rsidRPr="004A019F">
              <w:rPr>
                <w:sz w:val="20"/>
                <w:szCs w:val="20"/>
                <w:lang w:val="sv-SE"/>
              </w:rPr>
              <w:t>219 (12,9</w:t>
            </w:r>
            <w:r w:rsidR="00493EEC" w:rsidRPr="004A019F">
              <w:rPr>
                <w:sz w:val="20"/>
                <w:szCs w:val="20"/>
                <w:lang w:val="sv-SE"/>
              </w:rPr>
              <w:t> %</w:t>
            </w:r>
            <w:r w:rsidRPr="004A019F">
              <w:rPr>
                <w:sz w:val="20"/>
                <w:szCs w:val="20"/>
                <w:lang w:val="sv-SE"/>
              </w:rPr>
              <w:t>)</w:t>
            </w:r>
          </w:p>
          <w:p w14:paraId="595411E3" w14:textId="10815C03" w:rsidR="00FB7E83" w:rsidRPr="004A019F" w:rsidRDefault="00FB7E83" w:rsidP="004A019F">
            <w:pPr>
              <w:keepNext/>
              <w:tabs>
                <w:tab w:val="center" w:pos="2085"/>
              </w:tabs>
              <w:spacing w:after="0" w:line="240" w:lineRule="auto"/>
              <w:ind w:left="0" w:firstLine="0"/>
              <w:contextualSpacing/>
              <w:jc w:val="center"/>
              <w:rPr>
                <w:sz w:val="20"/>
                <w:szCs w:val="20"/>
                <w:lang w:val="sv-SE"/>
              </w:rPr>
            </w:pPr>
            <w:r w:rsidRPr="004A019F">
              <w:rPr>
                <w:sz w:val="20"/>
                <w:szCs w:val="20"/>
                <w:lang w:val="sv-SE"/>
              </w:rPr>
              <w:t>1</w:t>
            </w:r>
            <w:r w:rsidR="00642123" w:rsidRPr="004A019F">
              <w:rPr>
                <w:sz w:val="20"/>
                <w:szCs w:val="20"/>
                <w:lang w:val="sv-SE"/>
              </w:rPr>
              <w:t> </w:t>
            </w:r>
            <w:r w:rsidRPr="004A019F">
              <w:rPr>
                <w:sz w:val="20"/>
                <w:szCs w:val="20"/>
                <w:lang w:val="sv-SE"/>
              </w:rPr>
              <w:t>474 (87,1</w:t>
            </w:r>
            <w:r w:rsidR="00493EEC" w:rsidRPr="004A019F">
              <w:rPr>
                <w:sz w:val="20"/>
                <w:szCs w:val="20"/>
                <w:lang w:val="sv-SE"/>
              </w:rPr>
              <w:t> %</w:t>
            </w:r>
            <w:r w:rsidRPr="004A019F">
              <w:rPr>
                <w:sz w:val="20"/>
                <w:szCs w:val="20"/>
                <w:lang w:val="sv-SE"/>
              </w:rPr>
              <w:t>)</w:t>
            </w:r>
          </w:p>
        </w:tc>
        <w:tc>
          <w:tcPr>
            <w:tcW w:w="939" w:type="pct"/>
            <w:tcBorders>
              <w:top w:val="single" w:sz="4" w:space="0" w:color="000000"/>
              <w:bottom w:val="nil"/>
              <w:right w:val="single" w:sz="4" w:space="0" w:color="000000"/>
            </w:tcBorders>
            <w:shd w:val="clear" w:color="auto" w:fill="auto"/>
          </w:tcPr>
          <w:p w14:paraId="093F0DB5" w14:textId="77777777" w:rsidR="001E6802" w:rsidRPr="004A019F" w:rsidRDefault="001E6802" w:rsidP="004A019F">
            <w:pPr>
              <w:keepNext/>
              <w:tabs>
                <w:tab w:val="center" w:pos="2085"/>
              </w:tabs>
              <w:spacing w:after="0" w:line="240" w:lineRule="auto"/>
              <w:ind w:left="0" w:firstLine="0"/>
              <w:contextualSpacing/>
              <w:jc w:val="center"/>
              <w:rPr>
                <w:sz w:val="20"/>
                <w:szCs w:val="20"/>
                <w:lang w:val="sv-SE"/>
              </w:rPr>
            </w:pPr>
          </w:p>
          <w:p w14:paraId="52FD7CDE" w14:textId="653D46FF" w:rsidR="00FB7E83" w:rsidRPr="004A019F" w:rsidRDefault="00FB7E83" w:rsidP="004A019F">
            <w:pPr>
              <w:keepNext/>
              <w:tabs>
                <w:tab w:val="center" w:pos="2085"/>
              </w:tabs>
              <w:spacing w:after="0" w:line="240" w:lineRule="auto"/>
              <w:ind w:left="0" w:firstLine="0"/>
              <w:contextualSpacing/>
              <w:jc w:val="center"/>
              <w:rPr>
                <w:sz w:val="20"/>
                <w:szCs w:val="20"/>
                <w:lang w:val="sv-SE"/>
              </w:rPr>
            </w:pPr>
            <w:r w:rsidRPr="004A019F">
              <w:rPr>
                <w:sz w:val="20"/>
                <w:szCs w:val="20"/>
                <w:lang w:val="sv-SE"/>
              </w:rPr>
              <w:t>127 (7,5</w:t>
            </w:r>
            <w:r w:rsidR="00493EEC" w:rsidRPr="004A019F">
              <w:rPr>
                <w:sz w:val="20"/>
                <w:szCs w:val="20"/>
                <w:lang w:val="sv-SE"/>
              </w:rPr>
              <w:t> %</w:t>
            </w:r>
            <w:r w:rsidRPr="004A019F">
              <w:rPr>
                <w:sz w:val="20"/>
                <w:szCs w:val="20"/>
                <w:lang w:val="sv-SE"/>
              </w:rPr>
              <w:t>)</w:t>
            </w:r>
          </w:p>
          <w:p w14:paraId="61AC3F9E" w14:textId="648B0657" w:rsidR="00FB7E83" w:rsidRPr="004A019F" w:rsidRDefault="00FB7E83" w:rsidP="004A019F">
            <w:pPr>
              <w:keepNext/>
              <w:tabs>
                <w:tab w:val="center" w:pos="2085"/>
              </w:tabs>
              <w:spacing w:after="0" w:line="240" w:lineRule="auto"/>
              <w:ind w:left="0" w:firstLine="0"/>
              <w:contextualSpacing/>
              <w:jc w:val="center"/>
              <w:rPr>
                <w:sz w:val="20"/>
                <w:szCs w:val="20"/>
                <w:lang w:val="sv-SE"/>
              </w:rPr>
            </w:pPr>
            <w:r w:rsidRPr="004A019F">
              <w:rPr>
                <w:sz w:val="20"/>
                <w:szCs w:val="20"/>
                <w:lang w:val="sv-SE"/>
              </w:rPr>
              <w:t>1</w:t>
            </w:r>
            <w:r w:rsidR="00642123" w:rsidRPr="004A019F">
              <w:rPr>
                <w:sz w:val="20"/>
                <w:szCs w:val="20"/>
                <w:lang w:val="sv-SE"/>
              </w:rPr>
              <w:t> </w:t>
            </w:r>
            <w:r w:rsidRPr="004A019F">
              <w:rPr>
                <w:sz w:val="20"/>
                <w:szCs w:val="20"/>
                <w:lang w:val="sv-SE"/>
              </w:rPr>
              <w:t>566 (92,5</w:t>
            </w:r>
            <w:r w:rsidR="00493EEC" w:rsidRPr="004A019F">
              <w:rPr>
                <w:sz w:val="20"/>
                <w:szCs w:val="20"/>
                <w:lang w:val="sv-SE"/>
              </w:rPr>
              <w:t> %</w:t>
            </w:r>
            <w:r w:rsidRPr="004A019F">
              <w:rPr>
                <w:sz w:val="20"/>
                <w:szCs w:val="20"/>
                <w:lang w:val="sv-SE"/>
              </w:rPr>
              <w:t>)</w:t>
            </w:r>
          </w:p>
        </w:tc>
        <w:tc>
          <w:tcPr>
            <w:tcW w:w="783" w:type="pct"/>
            <w:tcBorders>
              <w:top w:val="single" w:sz="4" w:space="0" w:color="000000"/>
              <w:left w:val="single" w:sz="4" w:space="0" w:color="000000"/>
              <w:bottom w:val="nil"/>
            </w:tcBorders>
            <w:shd w:val="clear" w:color="auto" w:fill="auto"/>
          </w:tcPr>
          <w:p w14:paraId="28116A9D" w14:textId="77777777" w:rsidR="001E6802" w:rsidRPr="004A019F" w:rsidRDefault="001E6802" w:rsidP="004A019F">
            <w:pPr>
              <w:keepNext/>
              <w:tabs>
                <w:tab w:val="center" w:pos="2140"/>
              </w:tabs>
              <w:spacing w:after="0" w:line="240" w:lineRule="auto"/>
              <w:ind w:left="0" w:firstLine="0"/>
              <w:contextualSpacing/>
              <w:jc w:val="center"/>
              <w:rPr>
                <w:sz w:val="20"/>
                <w:szCs w:val="20"/>
                <w:lang w:val="sv-SE"/>
              </w:rPr>
            </w:pPr>
          </w:p>
          <w:p w14:paraId="3F33D730" w14:textId="06DB48B8" w:rsidR="00FB7E83" w:rsidRPr="004A019F" w:rsidRDefault="00FB7E83" w:rsidP="004A019F">
            <w:pPr>
              <w:keepNext/>
              <w:tabs>
                <w:tab w:val="center" w:pos="2140"/>
              </w:tabs>
              <w:spacing w:after="0" w:line="240" w:lineRule="auto"/>
              <w:ind w:left="0" w:firstLine="0"/>
              <w:contextualSpacing/>
              <w:jc w:val="center"/>
              <w:rPr>
                <w:sz w:val="20"/>
                <w:szCs w:val="20"/>
                <w:lang w:val="sv-SE"/>
              </w:rPr>
            </w:pPr>
            <w:r w:rsidRPr="004A019F">
              <w:rPr>
                <w:sz w:val="20"/>
                <w:szCs w:val="20"/>
                <w:lang w:val="sv-SE"/>
              </w:rPr>
              <w:t>570 (33,6</w:t>
            </w:r>
            <w:r w:rsidR="00493EEC" w:rsidRPr="004A019F">
              <w:rPr>
                <w:sz w:val="20"/>
                <w:szCs w:val="20"/>
                <w:lang w:val="sv-SE"/>
              </w:rPr>
              <w:t> %</w:t>
            </w:r>
            <w:r w:rsidRPr="004A019F">
              <w:rPr>
                <w:sz w:val="20"/>
                <w:szCs w:val="20"/>
                <w:lang w:val="sv-SE"/>
              </w:rPr>
              <w:t>)</w:t>
            </w:r>
          </w:p>
          <w:p w14:paraId="42D31139" w14:textId="0910C2A4" w:rsidR="00FB7E83" w:rsidRPr="004A019F" w:rsidRDefault="00FB7E83" w:rsidP="004A019F">
            <w:pPr>
              <w:keepNext/>
              <w:tabs>
                <w:tab w:val="center" w:pos="2140"/>
              </w:tabs>
              <w:spacing w:after="0" w:line="240" w:lineRule="auto"/>
              <w:ind w:left="0" w:firstLine="0"/>
              <w:contextualSpacing/>
              <w:jc w:val="center"/>
              <w:rPr>
                <w:sz w:val="20"/>
                <w:szCs w:val="20"/>
                <w:lang w:val="sv-SE"/>
              </w:rPr>
            </w:pPr>
            <w:r w:rsidRPr="004A019F">
              <w:rPr>
                <w:sz w:val="20"/>
                <w:szCs w:val="20"/>
                <w:lang w:val="sv-SE"/>
              </w:rPr>
              <w:t>1</w:t>
            </w:r>
            <w:r w:rsidR="00066359" w:rsidRPr="004A019F">
              <w:rPr>
                <w:sz w:val="20"/>
                <w:szCs w:val="20"/>
                <w:lang w:val="sv-SE"/>
              </w:rPr>
              <w:t> </w:t>
            </w:r>
            <w:r w:rsidRPr="004A019F">
              <w:rPr>
                <w:sz w:val="20"/>
                <w:szCs w:val="20"/>
                <w:lang w:val="sv-SE"/>
              </w:rPr>
              <w:t>127 (66,4</w:t>
            </w:r>
            <w:r w:rsidR="00493EEC" w:rsidRPr="004A019F">
              <w:rPr>
                <w:sz w:val="20"/>
                <w:szCs w:val="20"/>
                <w:lang w:val="sv-SE"/>
              </w:rPr>
              <w:t> %</w:t>
            </w:r>
            <w:r w:rsidRPr="004A019F">
              <w:rPr>
                <w:sz w:val="20"/>
                <w:szCs w:val="20"/>
                <w:lang w:val="sv-SE"/>
              </w:rPr>
              <w:t>)</w:t>
            </w:r>
          </w:p>
        </w:tc>
        <w:tc>
          <w:tcPr>
            <w:tcW w:w="935" w:type="pct"/>
            <w:tcBorders>
              <w:top w:val="single" w:sz="4" w:space="0" w:color="000000"/>
              <w:bottom w:val="nil"/>
              <w:right w:val="single" w:sz="4" w:space="0" w:color="000000"/>
            </w:tcBorders>
            <w:shd w:val="clear" w:color="auto" w:fill="auto"/>
          </w:tcPr>
          <w:p w14:paraId="364887CE" w14:textId="77777777" w:rsidR="001E6802" w:rsidRPr="004A019F" w:rsidRDefault="001E6802" w:rsidP="004A019F">
            <w:pPr>
              <w:keepNext/>
              <w:tabs>
                <w:tab w:val="center" w:pos="2140"/>
              </w:tabs>
              <w:spacing w:after="0" w:line="240" w:lineRule="auto"/>
              <w:ind w:left="0"/>
              <w:contextualSpacing/>
              <w:jc w:val="center"/>
              <w:rPr>
                <w:sz w:val="20"/>
                <w:szCs w:val="20"/>
                <w:lang w:val="sv-SE"/>
              </w:rPr>
            </w:pPr>
          </w:p>
          <w:p w14:paraId="178ECA59" w14:textId="6F782838" w:rsidR="00FB7E83" w:rsidRPr="004A019F" w:rsidRDefault="00FB7E83" w:rsidP="004A019F">
            <w:pPr>
              <w:keepNext/>
              <w:tabs>
                <w:tab w:val="center" w:pos="2140"/>
              </w:tabs>
              <w:spacing w:after="0" w:line="240" w:lineRule="auto"/>
              <w:ind w:left="0"/>
              <w:contextualSpacing/>
              <w:jc w:val="center"/>
              <w:rPr>
                <w:sz w:val="20"/>
                <w:szCs w:val="20"/>
                <w:lang w:val="sv-SE"/>
              </w:rPr>
            </w:pPr>
            <w:r w:rsidRPr="004A019F">
              <w:rPr>
                <w:sz w:val="20"/>
                <w:szCs w:val="20"/>
                <w:lang w:val="sv-SE"/>
              </w:rPr>
              <w:t>471 (27,7</w:t>
            </w:r>
            <w:r w:rsidR="00493EEC" w:rsidRPr="004A019F">
              <w:rPr>
                <w:sz w:val="20"/>
                <w:szCs w:val="20"/>
                <w:lang w:val="sv-SE"/>
              </w:rPr>
              <w:t> %</w:t>
            </w:r>
            <w:r w:rsidRPr="004A019F">
              <w:rPr>
                <w:sz w:val="20"/>
                <w:szCs w:val="20"/>
                <w:lang w:val="sv-SE"/>
              </w:rPr>
              <w:t>)</w:t>
            </w:r>
          </w:p>
          <w:p w14:paraId="5BF56A02" w14:textId="07132303" w:rsidR="00FB7E83" w:rsidRPr="004A019F" w:rsidRDefault="00FB7E83" w:rsidP="004A019F">
            <w:pPr>
              <w:keepNext/>
              <w:tabs>
                <w:tab w:val="center" w:pos="2140"/>
              </w:tabs>
              <w:spacing w:after="0" w:line="240" w:lineRule="auto"/>
              <w:ind w:left="0"/>
              <w:contextualSpacing/>
              <w:jc w:val="center"/>
              <w:rPr>
                <w:sz w:val="20"/>
                <w:szCs w:val="20"/>
                <w:lang w:val="sv-SE"/>
              </w:rPr>
            </w:pPr>
            <w:r w:rsidRPr="004A019F">
              <w:rPr>
                <w:sz w:val="20"/>
                <w:szCs w:val="20"/>
                <w:lang w:val="sv-SE"/>
              </w:rPr>
              <w:t>1</w:t>
            </w:r>
            <w:r w:rsidR="00066359" w:rsidRPr="004A019F">
              <w:rPr>
                <w:sz w:val="20"/>
                <w:szCs w:val="20"/>
                <w:lang w:val="sv-SE"/>
              </w:rPr>
              <w:t> </w:t>
            </w:r>
            <w:r w:rsidRPr="004A019F">
              <w:rPr>
                <w:sz w:val="20"/>
                <w:szCs w:val="20"/>
                <w:lang w:val="sv-SE"/>
              </w:rPr>
              <w:t>231 (72,3</w:t>
            </w:r>
            <w:r w:rsidR="00493EEC" w:rsidRPr="004A019F">
              <w:rPr>
                <w:sz w:val="20"/>
                <w:szCs w:val="20"/>
                <w:lang w:val="sv-SE"/>
              </w:rPr>
              <w:t> %</w:t>
            </w:r>
            <w:r w:rsidRPr="004A019F">
              <w:rPr>
                <w:sz w:val="20"/>
                <w:szCs w:val="20"/>
                <w:lang w:val="sv-SE"/>
              </w:rPr>
              <w:t>)</w:t>
            </w:r>
          </w:p>
        </w:tc>
      </w:tr>
      <w:tr w:rsidR="00AD14F8" w:rsidRPr="00A74CC6" w14:paraId="6201F171" w14:textId="77777777" w:rsidTr="004A019F">
        <w:trPr>
          <w:trHeight w:val="563"/>
        </w:trPr>
        <w:tc>
          <w:tcPr>
            <w:tcW w:w="1558" w:type="pct"/>
            <w:tcBorders>
              <w:top w:val="nil"/>
              <w:left w:val="single" w:sz="4" w:space="0" w:color="000000"/>
              <w:bottom w:val="nil"/>
              <w:right w:val="single" w:sz="4" w:space="0" w:color="000000"/>
            </w:tcBorders>
            <w:shd w:val="clear" w:color="auto" w:fill="auto"/>
          </w:tcPr>
          <w:p w14:paraId="5DF51806" w14:textId="77777777" w:rsidR="001E6802" w:rsidRPr="004A019F" w:rsidRDefault="001E6802" w:rsidP="004A019F">
            <w:pPr>
              <w:keepNext/>
              <w:spacing w:after="0" w:line="240" w:lineRule="auto"/>
              <w:ind w:left="0" w:firstLine="0"/>
              <w:contextualSpacing/>
              <w:rPr>
                <w:sz w:val="20"/>
                <w:szCs w:val="20"/>
                <w:lang w:val="fr-FR"/>
              </w:rPr>
            </w:pPr>
            <w:r w:rsidRPr="004A019F">
              <w:rPr>
                <w:sz w:val="20"/>
                <w:szCs w:val="20"/>
                <w:lang w:val="fr-FR"/>
              </w:rPr>
              <w:t>P-</w:t>
            </w:r>
            <w:proofErr w:type="spellStart"/>
            <w:r w:rsidRPr="004A019F">
              <w:rPr>
                <w:sz w:val="20"/>
                <w:szCs w:val="20"/>
                <w:lang w:val="fr-FR"/>
              </w:rPr>
              <w:t>värde</w:t>
            </w:r>
            <w:proofErr w:type="spellEnd"/>
            <w:r w:rsidRPr="004A019F">
              <w:rPr>
                <w:sz w:val="20"/>
                <w:szCs w:val="20"/>
                <w:lang w:val="fr-FR"/>
              </w:rPr>
              <w:t xml:space="preserve"> versus observation</w:t>
            </w:r>
          </w:p>
          <w:p w14:paraId="1EA789DB" w14:textId="5EF07573" w:rsidR="001E6802" w:rsidRPr="004A019F" w:rsidRDefault="001E6802" w:rsidP="004A019F">
            <w:pPr>
              <w:keepNext/>
              <w:spacing w:after="0" w:line="240" w:lineRule="auto"/>
              <w:ind w:left="0" w:firstLine="0"/>
              <w:contextualSpacing/>
              <w:rPr>
                <w:sz w:val="20"/>
                <w:szCs w:val="20"/>
                <w:lang w:val="fr-FR"/>
              </w:rPr>
            </w:pPr>
            <w:r w:rsidRPr="004A019F">
              <w:rPr>
                <w:sz w:val="20"/>
                <w:szCs w:val="20"/>
                <w:lang w:val="fr-FR"/>
              </w:rPr>
              <w:t xml:space="preserve">Hazard ratio </w:t>
            </w:r>
            <w:r w:rsidR="003F6264" w:rsidRPr="004A019F">
              <w:rPr>
                <w:sz w:val="20"/>
                <w:szCs w:val="20"/>
                <w:lang w:val="fr-FR"/>
              </w:rPr>
              <w:t xml:space="preserve">(HR) </w:t>
            </w:r>
            <w:r w:rsidRPr="004A019F">
              <w:rPr>
                <w:sz w:val="20"/>
                <w:szCs w:val="20"/>
                <w:lang w:val="fr-FR"/>
              </w:rPr>
              <w:t>versus observation</w:t>
            </w:r>
          </w:p>
        </w:tc>
        <w:tc>
          <w:tcPr>
            <w:tcW w:w="1723" w:type="pct"/>
            <w:gridSpan w:val="2"/>
            <w:tcBorders>
              <w:top w:val="nil"/>
              <w:left w:val="single" w:sz="4" w:space="0" w:color="000000"/>
              <w:bottom w:val="nil"/>
              <w:right w:val="single" w:sz="4" w:space="0" w:color="000000"/>
            </w:tcBorders>
            <w:shd w:val="clear" w:color="auto" w:fill="auto"/>
          </w:tcPr>
          <w:p w14:paraId="1C604AB6" w14:textId="31034F97" w:rsidR="001E6802" w:rsidRPr="004A019F" w:rsidRDefault="001E6802" w:rsidP="004A019F">
            <w:pPr>
              <w:keepNext/>
              <w:tabs>
                <w:tab w:val="right" w:pos="2904"/>
              </w:tabs>
              <w:spacing w:after="0" w:line="240" w:lineRule="auto"/>
              <w:ind w:left="0" w:firstLine="0"/>
              <w:contextualSpacing/>
              <w:jc w:val="center"/>
              <w:rPr>
                <w:sz w:val="20"/>
                <w:szCs w:val="20"/>
                <w:lang w:val="sv-SE"/>
              </w:rPr>
            </w:pPr>
            <w:r w:rsidRPr="004A019F">
              <w:rPr>
                <w:sz w:val="20"/>
                <w:szCs w:val="20"/>
                <w:lang w:val="sv-SE"/>
              </w:rPr>
              <w:t>&lt;</w:t>
            </w:r>
            <w:r w:rsidR="00493EEC" w:rsidRPr="004A019F">
              <w:rPr>
                <w:sz w:val="20"/>
                <w:szCs w:val="20"/>
                <w:lang w:val="sv-SE"/>
              </w:rPr>
              <w:t> </w:t>
            </w:r>
            <w:r w:rsidRPr="004A019F">
              <w:rPr>
                <w:sz w:val="20"/>
                <w:szCs w:val="20"/>
                <w:lang w:val="sv-SE"/>
              </w:rPr>
              <w:t>0,0001</w:t>
            </w:r>
          </w:p>
          <w:p w14:paraId="351EEBC7" w14:textId="77777777" w:rsidR="001E6802" w:rsidRPr="004A019F" w:rsidRDefault="001E6802" w:rsidP="004A019F">
            <w:pPr>
              <w:keepNext/>
              <w:tabs>
                <w:tab w:val="right" w:pos="2904"/>
              </w:tabs>
              <w:spacing w:after="0" w:line="240" w:lineRule="auto"/>
              <w:ind w:left="0" w:firstLine="0"/>
              <w:contextualSpacing/>
              <w:jc w:val="center"/>
              <w:rPr>
                <w:sz w:val="20"/>
                <w:szCs w:val="20"/>
                <w:lang w:val="sv-SE"/>
              </w:rPr>
            </w:pPr>
            <w:r w:rsidRPr="004A019F">
              <w:rPr>
                <w:sz w:val="20"/>
                <w:szCs w:val="20"/>
                <w:lang w:val="sv-SE"/>
              </w:rPr>
              <w:t>0,54</w:t>
            </w:r>
          </w:p>
        </w:tc>
        <w:tc>
          <w:tcPr>
            <w:tcW w:w="1719" w:type="pct"/>
            <w:gridSpan w:val="2"/>
            <w:tcBorders>
              <w:top w:val="nil"/>
              <w:left w:val="single" w:sz="4" w:space="0" w:color="000000"/>
              <w:bottom w:val="nil"/>
              <w:right w:val="single" w:sz="4" w:space="0" w:color="000000"/>
            </w:tcBorders>
            <w:shd w:val="clear" w:color="auto" w:fill="auto"/>
          </w:tcPr>
          <w:p w14:paraId="7E480BF4" w14:textId="67112CA5" w:rsidR="001E6802" w:rsidRPr="004A019F" w:rsidRDefault="001E6802" w:rsidP="004A019F">
            <w:pPr>
              <w:keepNext/>
              <w:tabs>
                <w:tab w:val="right" w:pos="3000"/>
              </w:tabs>
              <w:spacing w:after="0" w:line="240" w:lineRule="auto"/>
              <w:ind w:left="0" w:firstLine="0"/>
              <w:contextualSpacing/>
              <w:jc w:val="center"/>
              <w:rPr>
                <w:sz w:val="20"/>
                <w:szCs w:val="20"/>
                <w:lang w:val="sv-SE"/>
              </w:rPr>
            </w:pPr>
            <w:r w:rsidRPr="004A019F">
              <w:rPr>
                <w:sz w:val="20"/>
                <w:szCs w:val="20"/>
                <w:lang w:val="sv-SE"/>
              </w:rPr>
              <w:t>&lt;</w:t>
            </w:r>
            <w:r w:rsidR="00493EEC" w:rsidRPr="004A019F">
              <w:rPr>
                <w:sz w:val="20"/>
                <w:szCs w:val="20"/>
                <w:lang w:val="sv-SE"/>
              </w:rPr>
              <w:t> </w:t>
            </w:r>
            <w:r w:rsidRPr="004A019F">
              <w:rPr>
                <w:sz w:val="20"/>
                <w:szCs w:val="20"/>
                <w:lang w:val="sv-SE"/>
              </w:rPr>
              <w:t>0,0001</w:t>
            </w:r>
          </w:p>
          <w:p w14:paraId="2CFF879A" w14:textId="77777777" w:rsidR="001E6802" w:rsidRPr="004A019F" w:rsidRDefault="001E6802" w:rsidP="004A019F">
            <w:pPr>
              <w:keepNext/>
              <w:tabs>
                <w:tab w:val="right" w:pos="3000"/>
              </w:tabs>
              <w:spacing w:after="0" w:line="240" w:lineRule="auto"/>
              <w:ind w:left="0" w:firstLine="0"/>
              <w:contextualSpacing/>
              <w:jc w:val="center"/>
              <w:rPr>
                <w:sz w:val="20"/>
                <w:szCs w:val="20"/>
                <w:lang w:val="sv-SE"/>
              </w:rPr>
            </w:pPr>
            <w:r w:rsidRPr="004A019F">
              <w:rPr>
                <w:sz w:val="20"/>
                <w:szCs w:val="20"/>
                <w:lang w:val="sv-SE"/>
              </w:rPr>
              <w:t>0,76</w:t>
            </w:r>
          </w:p>
        </w:tc>
      </w:tr>
      <w:tr w:rsidR="00AD14F8" w:rsidRPr="00A74CC6" w14:paraId="05AC3CCF" w14:textId="77777777" w:rsidTr="004A019F">
        <w:trPr>
          <w:trHeight w:val="531"/>
        </w:trPr>
        <w:tc>
          <w:tcPr>
            <w:tcW w:w="1558" w:type="pct"/>
            <w:tcBorders>
              <w:top w:val="single" w:sz="4" w:space="0" w:color="000000"/>
              <w:left w:val="single" w:sz="4" w:space="0" w:color="000000"/>
              <w:right w:val="single" w:sz="4" w:space="0" w:color="000000"/>
            </w:tcBorders>
            <w:shd w:val="clear" w:color="auto" w:fill="auto"/>
          </w:tcPr>
          <w:p w14:paraId="7F98555D" w14:textId="77777777" w:rsidR="00EF42A1" w:rsidRPr="004A019F" w:rsidRDefault="00EF42A1" w:rsidP="004A019F">
            <w:pPr>
              <w:keepNext/>
              <w:spacing w:after="0" w:line="240" w:lineRule="auto"/>
              <w:ind w:left="0" w:firstLine="0"/>
              <w:contextualSpacing/>
              <w:rPr>
                <w:sz w:val="20"/>
                <w:szCs w:val="20"/>
                <w:lang w:val="sv-SE"/>
              </w:rPr>
            </w:pPr>
            <w:r w:rsidRPr="004A019F">
              <w:rPr>
                <w:sz w:val="20"/>
                <w:szCs w:val="20"/>
                <w:lang w:val="sv-SE"/>
              </w:rPr>
              <w:t>Återfallsfri överlevnad</w:t>
            </w:r>
          </w:p>
          <w:p w14:paraId="120FBE69" w14:textId="77777777" w:rsidR="00EF42A1" w:rsidRPr="004A019F" w:rsidRDefault="00EF42A1" w:rsidP="004A019F">
            <w:pPr>
              <w:keepNext/>
              <w:spacing w:after="0" w:line="240" w:lineRule="auto"/>
              <w:ind w:left="0" w:firstLine="0"/>
              <w:contextualSpacing/>
              <w:rPr>
                <w:sz w:val="20"/>
                <w:szCs w:val="20"/>
                <w:lang w:val="sv-SE"/>
              </w:rPr>
            </w:pPr>
            <w:r w:rsidRPr="004A019F">
              <w:rPr>
                <w:sz w:val="20"/>
                <w:szCs w:val="20"/>
                <w:lang w:val="sv-SE"/>
              </w:rPr>
              <w:t>- antal patienter med händelse</w:t>
            </w:r>
          </w:p>
          <w:p w14:paraId="01086BBC" w14:textId="77777777" w:rsidR="00EF42A1" w:rsidRPr="004A019F" w:rsidRDefault="00EF42A1" w:rsidP="004A019F">
            <w:pPr>
              <w:keepNext/>
              <w:spacing w:after="0" w:line="240" w:lineRule="auto"/>
              <w:ind w:left="0" w:firstLine="0"/>
              <w:contextualSpacing/>
              <w:rPr>
                <w:sz w:val="20"/>
                <w:szCs w:val="20"/>
                <w:lang w:val="sv-SE"/>
              </w:rPr>
            </w:pPr>
            <w:r w:rsidRPr="004A019F">
              <w:rPr>
                <w:sz w:val="20"/>
                <w:szCs w:val="20"/>
                <w:lang w:val="sv-SE"/>
              </w:rPr>
              <w:t>- antal patienter utan händelse</w:t>
            </w:r>
          </w:p>
        </w:tc>
        <w:tc>
          <w:tcPr>
            <w:tcW w:w="784" w:type="pct"/>
            <w:tcBorders>
              <w:top w:val="single" w:sz="4" w:space="0" w:color="000000"/>
              <w:left w:val="single" w:sz="4" w:space="0" w:color="000000"/>
            </w:tcBorders>
            <w:shd w:val="clear" w:color="auto" w:fill="auto"/>
          </w:tcPr>
          <w:p w14:paraId="3B19B781" w14:textId="77777777" w:rsidR="00EF42A1" w:rsidRPr="004A019F" w:rsidRDefault="00EF42A1" w:rsidP="004A019F">
            <w:pPr>
              <w:keepNext/>
              <w:tabs>
                <w:tab w:val="right" w:pos="2904"/>
              </w:tabs>
              <w:spacing w:after="0" w:line="240" w:lineRule="auto"/>
              <w:ind w:left="0" w:firstLine="0"/>
              <w:contextualSpacing/>
              <w:jc w:val="center"/>
              <w:rPr>
                <w:sz w:val="20"/>
                <w:szCs w:val="20"/>
                <w:lang w:val="sv-SE"/>
              </w:rPr>
            </w:pPr>
          </w:p>
          <w:p w14:paraId="64A1B025" w14:textId="18EA9926" w:rsidR="00EF42A1" w:rsidRPr="004A019F" w:rsidRDefault="00EF42A1" w:rsidP="004A019F">
            <w:pPr>
              <w:keepNext/>
              <w:tabs>
                <w:tab w:val="right" w:pos="2904"/>
              </w:tabs>
              <w:spacing w:after="0" w:line="240" w:lineRule="auto"/>
              <w:ind w:left="0" w:firstLine="0"/>
              <w:contextualSpacing/>
              <w:jc w:val="center"/>
              <w:rPr>
                <w:sz w:val="20"/>
                <w:szCs w:val="20"/>
                <w:lang w:val="sv-SE"/>
              </w:rPr>
            </w:pPr>
            <w:r w:rsidRPr="004A019F">
              <w:rPr>
                <w:sz w:val="20"/>
                <w:szCs w:val="20"/>
                <w:lang w:val="sv-SE"/>
              </w:rPr>
              <w:t>208 (12,3</w:t>
            </w:r>
            <w:r w:rsidR="00493EEC" w:rsidRPr="004A019F">
              <w:rPr>
                <w:sz w:val="20"/>
                <w:szCs w:val="20"/>
                <w:lang w:val="sv-SE"/>
              </w:rPr>
              <w:t> %</w:t>
            </w:r>
            <w:r w:rsidRPr="004A019F">
              <w:rPr>
                <w:sz w:val="20"/>
                <w:szCs w:val="20"/>
                <w:lang w:val="sv-SE"/>
              </w:rPr>
              <w:t>)</w:t>
            </w:r>
          </w:p>
          <w:p w14:paraId="29EF7068" w14:textId="076594D8" w:rsidR="00EF42A1" w:rsidRPr="004A019F" w:rsidRDefault="00EF42A1" w:rsidP="004A019F">
            <w:pPr>
              <w:keepNext/>
              <w:tabs>
                <w:tab w:val="right" w:pos="2904"/>
              </w:tabs>
              <w:spacing w:after="0" w:line="240" w:lineRule="auto"/>
              <w:ind w:left="0" w:firstLine="0"/>
              <w:contextualSpacing/>
              <w:jc w:val="center"/>
              <w:rPr>
                <w:sz w:val="20"/>
                <w:szCs w:val="20"/>
                <w:lang w:val="sv-SE"/>
              </w:rPr>
            </w:pPr>
            <w:r w:rsidRPr="004A019F">
              <w:rPr>
                <w:sz w:val="20"/>
                <w:szCs w:val="20"/>
                <w:lang w:val="sv-SE"/>
              </w:rPr>
              <w:t>1</w:t>
            </w:r>
            <w:r w:rsidR="00066359" w:rsidRPr="004A019F">
              <w:rPr>
                <w:sz w:val="20"/>
                <w:szCs w:val="20"/>
                <w:lang w:val="sv-SE"/>
              </w:rPr>
              <w:t> </w:t>
            </w:r>
            <w:r w:rsidRPr="004A019F">
              <w:rPr>
                <w:sz w:val="20"/>
                <w:szCs w:val="20"/>
                <w:lang w:val="sv-SE"/>
              </w:rPr>
              <w:t>485 (87,7</w:t>
            </w:r>
            <w:r w:rsidR="00493EEC" w:rsidRPr="004A019F">
              <w:rPr>
                <w:sz w:val="20"/>
                <w:szCs w:val="20"/>
                <w:lang w:val="sv-SE"/>
              </w:rPr>
              <w:t> %</w:t>
            </w:r>
            <w:r w:rsidRPr="004A019F">
              <w:rPr>
                <w:sz w:val="20"/>
                <w:szCs w:val="20"/>
                <w:lang w:val="sv-SE"/>
              </w:rPr>
              <w:t>)</w:t>
            </w:r>
          </w:p>
        </w:tc>
        <w:tc>
          <w:tcPr>
            <w:tcW w:w="939" w:type="pct"/>
            <w:tcBorders>
              <w:top w:val="single" w:sz="4" w:space="0" w:color="000000"/>
              <w:right w:val="single" w:sz="4" w:space="0" w:color="000000"/>
            </w:tcBorders>
            <w:shd w:val="clear" w:color="auto" w:fill="auto"/>
          </w:tcPr>
          <w:p w14:paraId="61B80E03" w14:textId="77777777" w:rsidR="00EF42A1" w:rsidRPr="004A019F" w:rsidRDefault="00EF42A1" w:rsidP="004A019F">
            <w:pPr>
              <w:keepNext/>
              <w:tabs>
                <w:tab w:val="right" w:pos="2904"/>
              </w:tabs>
              <w:spacing w:after="0" w:line="240" w:lineRule="auto"/>
              <w:ind w:left="0" w:firstLine="0"/>
              <w:contextualSpacing/>
              <w:jc w:val="center"/>
              <w:rPr>
                <w:sz w:val="20"/>
                <w:szCs w:val="20"/>
                <w:lang w:val="sv-SE"/>
              </w:rPr>
            </w:pPr>
          </w:p>
          <w:p w14:paraId="6CFE66D3" w14:textId="18BFCD3E" w:rsidR="00EF42A1" w:rsidRPr="004A019F" w:rsidRDefault="00EF42A1" w:rsidP="004A019F">
            <w:pPr>
              <w:keepNext/>
              <w:tabs>
                <w:tab w:val="right" w:pos="2904"/>
              </w:tabs>
              <w:spacing w:after="0" w:line="240" w:lineRule="auto"/>
              <w:ind w:left="0" w:firstLine="0"/>
              <w:contextualSpacing/>
              <w:jc w:val="center"/>
              <w:rPr>
                <w:sz w:val="20"/>
                <w:szCs w:val="20"/>
                <w:lang w:val="sv-SE"/>
              </w:rPr>
            </w:pPr>
            <w:r w:rsidRPr="004A019F">
              <w:rPr>
                <w:sz w:val="20"/>
                <w:szCs w:val="20"/>
                <w:lang w:val="sv-SE"/>
              </w:rPr>
              <w:t>113 (6,7</w:t>
            </w:r>
            <w:r w:rsidR="00493EEC" w:rsidRPr="004A019F">
              <w:rPr>
                <w:sz w:val="20"/>
                <w:szCs w:val="20"/>
                <w:lang w:val="sv-SE"/>
              </w:rPr>
              <w:t> %</w:t>
            </w:r>
            <w:r w:rsidRPr="004A019F">
              <w:rPr>
                <w:sz w:val="20"/>
                <w:szCs w:val="20"/>
                <w:lang w:val="sv-SE"/>
              </w:rPr>
              <w:t>)</w:t>
            </w:r>
          </w:p>
          <w:p w14:paraId="76BB8F68" w14:textId="4F9F04AE" w:rsidR="00EF42A1" w:rsidRPr="004A019F" w:rsidRDefault="00EF42A1" w:rsidP="004A019F">
            <w:pPr>
              <w:keepNext/>
              <w:tabs>
                <w:tab w:val="right" w:pos="2904"/>
              </w:tabs>
              <w:spacing w:after="0" w:line="240" w:lineRule="auto"/>
              <w:ind w:left="0" w:firstLine="0"/>
              <w:contextualSpacing/>
              <w:jc w:val="center"/>
              <w:rPr>
                <w:sz w:val="20"/>
                <w:szCs w:val="20"/>
                <w:lang w:val="sv-SE"/>
              </w:rPr>
            </w:pPr>
            <w:r w:rsidRPr="004A019F">
              <w:rPr>
                <w:sz w:val="20"/>
                <w:szCs w:val="20"/>
                <w:lang w:val="sv-SE"/>
              </w:rPr>
              <w:t>1</w:t>
            </w:r>
            <w:r w:rsidR="00066359" w:rsidRPr="004A019F">
              <w:rPr>
                <w:sz w:val="20"/>
                <w:szCs w:val="20"/>
                <w:lang w:val="sv-SE"/>
              </w:rPr>
              <w:t> </w:t>
            </w:r>
            <w:r w:rsidRPr="004A019F">
              <w:rPr>
                <w:sz w:val="20"/>
                <w:szCs w:val="20"/>
                <w:lang w:val="sv-SE"/>
              </w:rPr>
              <w:t>580 (93,3</w:t>
            </w:r>
            <w:r w:rsidR="00493EEC" w:rsidRPr="004A019F">
              <w:rPr>
                <w:sz w:val="20"/>
                <w:szCs w:val="20"/>
                <w:lang w:val="sv-SE"/>
              </w:rPr>
              <w:t> %</w:t>
            </w:r>
            <w:r w:rsidRPr="004A019F">
              <w:rPr>
                <w:sz w:val="20"/>
                <w:szCs w:val="20"/>
                <w:lang w:val="sv-SE"/>
              </w:rPr>
              <w:t>)</w:t>
            </w:r>
          </w:p>
        </w:tc>
        <w:tc>
          <w:tcPr>
            <w:tcW w:w="783" w:type="pct"/>
            <w:tcBorders>
              <w:top w:val="single" w:sz="4" w:space="0" w:color="000000"/>
              <w:left w:val="single" w:sz="4" w:space="0" w:color="000000"/>
            </w:tcBorders>
            <w:shd w:val="clear" w:color="auto" w:fill="auto"/>
          </w:tcPr>
          <w:p w14:paraId="14797235" w14:textId="77777777" w:rsidR="00EF42A1" w:rsidRPr="004A019F" w:rsidRDefault="00EF42A1" w:rsidP="004A019F">
            <w:pPr>
              <w:keepNext/>
              <w:tabs>
                <w:tab w:val="right" w:pos="3000"/>
              </w:tabs>
              <w:spacing w:after="0" w:line="240" w:lineRule="auto"/>
              <w:ind w:left="0" w:firstLine="0"/>
              <w:contextualSpacing/>
              <w:jc w:val="center"/>
              <w:rPr>
                <w:sz w:val="20"/>
                <w:szCs w:val="20"/>
                <w:lang w:val="sv-SE"/>
              </w:rPr>
            </w:pPr>
          </w:p>
          <w:p w14:paraId="121F249D" w14:textId="313C11D9" w:rsidR="00EF42A1" w:rsidRPr="004A019F" w:rsidRDefault="00EF42A1" w:rsidP="004A019F">
            <w:pPr>
              <w:keepNext/>
              <w:tabs>
                <w:tab w:val="right" w:pos="3000"/>
              </w:tabs>
              <w:spacing w:after="0" w:line="240" w:lineRule="auto"/>
              <w:ind w:left="0" w:firstLine="0"/>
              <w:contextualSpacing/>
              <w:jc w:val="center"/>
              <w:rPr>
                <w:sz w:val="20"/>
                <w:szCs w:val="20"/>
                <w:lang w:val="sv-SE"/>
              </w:rPr>
            </w:pPr>
            <w:r w:rsidRPr="004A019F">
              <w:rPr>
                <w:sz w:val="20"/>
                <w:szCs w:val="20"/>
                <w:lang w:val="sv-SE"/>
              </w:rPr>
              <w:t>506 (29,8</w:t>
            </w:r>
            <w:r w:rsidR="00493EEC" w:rsidRPr="004A019F">
              <w:rPr>
                <w:sz w:val="20"/>
                <w:szCs w:val="20"/>
                <w:lang w:val="sv-SE"/>
              </w:rPr>
              <w:t> %</w:t>
            </w:r>
            <w:r w:rsidRPr="004A019F">
              <w:rPr>
                <w:sz w:val="20"/>
                <w:szCs w:val="20"/>
                <w:lang w:val="sv-SE"/>
              </w:rPr>
              <w:t>)</w:t>
            </w:r>
          </w:p>
          <w:p w14:paraId="4FCC47D7" w14:textId="6E067BA5" w:rsidR="00EF42A1" w:rsidRPr="004A019F" w:rsidRDefault="00EF42A1" w:rsidP="004A019F">
            <w:pPr>
              <w:keepNext/>
              <w:tabs>
                <w:tab w:val="right" w:pos="3000"/>
              </w:tabs>
              <w:spacing w:after="0" w:line="240" w:lineRule="auto"/>
              <w:ind w:left="0" w:firstLine="0"/>
              <w:contextualSpacing/>
              <w:jc w:val="center"/>
              <w:rPr>
                <w:sz w:val="20"/>
                <w:szCs w:val="20"/>
                <w:lang w:val="sv-SE"/>
              </w:rPr>
            </w:pPr>
            <w:r w:rsidRPr="004A019F">
              <w:rPr>
                <w:sz w:val="20"/>
                <w:szCs w:val="20"/>
                <w:lang w:val="sv-SE"/>
              </w:rPr>
              <w:t>1</w:t>
            </w:r>
            <w:r w:rsidR="00066359" w:rsidRPr="004A019F">
              <w:rPr>
                <w:sz w:val="20"/>
                <w:szCs w:val="20"/>
                <w:lang w:val="sv-SE"/>
              </w:rPr>
              <w:t> </w:t>
            </w:r>
            <w:r w:rsidRPr="004A019F">
              <w:rPr>
                <w:sz w:val="20"/>
                <w:szCs w:val="20"/>
                <w:lang w:val="sv-SE"/>
              </w:rPr>
              <w:t>191 (70,2</w:t>
            </w:r>
            <w:r w:rsidR="00493EEC" w:rsidRPr="004A019F">
              <w:rPr>
                <w:sz w:val="20"/>
                <w:szCs w:val="20"/>
                <w:lang w:val="sv-SE"/>
              </w:rPr>
              <w:t> %</w:t>
            </w:r>
            <w:r w:rsidRPr="004A019F">
              <w:rPr>
                <w:sz w:val="20"/>
                <w:szCs w:val="20"/>
                <w:lang w:val="sv-SE"/>
              </w:rPr>
              <w:t>)</w:t>
            </w:r>
          </w:p>
        </w:tc>
        <w:tc>
          <w:tcPr>
            <w:tcW w:w="935" w:type="pct"/>
            <w:tcBorders>
              <w:top w:val="single" w:sz="4" w:space="0" w:color="000000"/>
              <w:right w:val="single" w:sz="4" w:space="0" w:color="000000"/>
            </w:tcBorders>
            <w:shd w:val="clear" w:color="auto" w:fill="auto"/>
          </w:tcPr>
          <w:p w14:paraId="6AECF4C5" w14:textId="77777777" w:rsidR="00EF42A1" w:rsidRPr="004A019F" w:rsidRDefault="00EF42A1" w:rsidP="004A019F">
            <w:pPr>
              <w:keepNext/>
              <w:tabs>
                <w:tab w:val="right" w:pos="3000"/>
              </w:tabs>
              <w:spacing w:after="0" w:line="240" w:lineRule="auto"/>
              <w:ind w:left="0" w:firstLine="0"/>
              <w:contextualSpacing/>
              <w:jc w:val="center"/>
              <w:rPr>
                <w:sz w:val="20"/>
                <w:szCs w:val="20"/>
                <w:lang w:val="sv-SE"/>
              </w:rPr>
            </w:pPr>
          </w:p>
          <w:p w14:paraId="1F771876" w14:textId="6230067D" w:rsidR="00EF42A1" w:rsidRPr="004A019F" w:rsidRDefault="00EF42A1" w:rsidP="004A019F">
            <w:pPr>
              <w:keepNext/>
              <w:tabs>
                <w:tab w:val="right" w:pos="3000"/>
              </w:tabs>
              <w:spacing w:after="0" w:line="240" w:lineRule="auto"/>
              <w:ind w:left="0" w:firstLine="0"/>
              <w:contextualSpacing/>
              <w:jc w:val="center"/>
              <w:rPr>
                <w:sz w:val="20"/>
                <w:szCs w:val="20"/>
                <w:lang w:val="sv-SE"/>
              </w:rPr>
            </w:pPr>
            <w:r w:rsidRPr="004A019F">
              <w:rPr>
                <w:sz w:val="20"/>
                <w:szCs w:val="20"/>
                <w:lang w:val="sv-SE"/>
              </w:rPr>
              <w:t>399 (23,4</w:t>
            </w:r>
            <w:r w:rsidR="00493EEC" w:rsidRPr="004A019F">
              <w:rPr>
                <w:sz w:val="20"/>
                <w:szCs w:val="20"/>
                <w:lang w:val="sv-SE"/>
              </w:rPr>
              <w:t> %</w:t>
            </w:r>
            <w:r w:rsidRPr="004A019F">
              <w:rPr>
                <w:sz w:val="20"/>
                <w:szCs w:val="20"/>
                <w:lang w:val="sv-SE"/>
              </w:rPr>
              <w:t>)</w:t>
            </w:r>
          </w:p>
          <w:p w14:paraId="36F23A1D" w14:textId="3BF86C34" w:rsidR="00EF42A1" w:rsidRPr="004A019F" w:rsidRDefault="00EF42A1" w:rsidP="004A019F">
            <w:pPr>
              <w:keepNext/>
              <w:tabs>
                <w:tab w:val="right" w:pos="3000"/>
              </w:tabs>
              <w:spacing w:after="0" w:line="240" w:lineRule="auto"/>
              <w:ind w:left="0" w:firstLine="0"/>
              <w:contextualSpacing/>
              <w:jc w:val="center"/>
              <w:rPr>
                <w:sz w:val="20"/>
                <w:szCs w:val="20"/>
                <w:lang w:val="sv-SE"/>
              </w:rPr>
            </w:pPr>
            <w:r w:rsidRPr="004A019F">
              <w:rPr>
                <w:sz w:val="20"/>
                <w:szCs w:val="20"/>
                <w:lang w:val="sv-SE"/>
              </w:rPr>
              <w:t>1</w:t>
            </w:r>
            <w:r w:rsidR="00066359" w:rsidRPr="004A019F">
              <w:rPr>
                <w:sz w:val="20"/>
                <w:szCs w:val="20"/>
                <w:lang w:val="sv-SE"/>
              </w:rPr>
              <w:t> </w:t>
            </w:r>
            <w:r w:rsidRPr="004A019F">
              <w:rPr>
                <w:sz w:val="20"/>
                <w:szCs w:val="20"/>
                <w:lang w:val="sv-SE"/>
              </w:rPr>
              <w:t>303 (76,6</w:t>
            </w:r>
            <w:r w:rsidR="00493EEC" w:rsidRPr="004A019F">
              <w:rPr>
                <w:sz w:val="20"/>
                <w:szCs w:val="20"/>
                <w:lang w:val="sv-SE"/>
              </w:rPr>
              <w:t> %</w:t>
            </w:r>
            <w:r w:rsidRPr="004A019F">
              <w:rPr>
                <w:sz w:val="20"/>
                <w:szCs w:val="20"/>
                <w:lang w:val="sv-SE"/>
              </w:rPr>
              <w:t>)</w:t>
            </w:r>
          </w:p>
        </w:tc>
      </w:tr>
      <w:tr w:rsidR="00AD14F8" w:rsidRPr="00A74CC6" w14:paraId="6CFC300C" w14:textId="77777777" w:rsidTr="004A019F">
        <w:trPr>
          <w:trHeight w:val="253"/>
        </w:trPr>
        <w:tc>
          <w:tcPr>
            <w:tcW w:w="1558" w:type="pct"/>
            <w:tcBorders>
              <w:top w:val="nil"/>
              <w:left w:val="single" w:sz="4" w:space="0" w:color="000000"/>
              <w:bottom w:val="single" w:sz="4" w:space="0" w:color="auto"/>
              <w:right w:val="single" w:sz="4" w:space="0" w:color="000000"/>
            </w:tcBorders>
            <w:shd w:val="clear" w:color="auto" w:fill="auto"/>
          </w:tcPr>
          <w:p w14:paraId="3BA5959C" w14:textId="77777777" w:rsidR="001E6802" w:rsidRPr="004A019F" w:rsidRDefault="00EF42A1" w:rsidP="004A019F">
            <w:pPr>
              <w:spacing w:after="0" w:line="240" w:lineRule="auto"/>
              <w:ind w:left="0" w:firstLine="0"/>
              <w:contextualSpacing/>
              <w:rPr>
                <w:sz w:val="20"/>
                <w:szCs w:val="20"/>
                <w:lang w:val="fr-FR"/>
              </w:rPr>
            </w:pPr>
            <w:r w:rsidRPr="004A019F">
              <w:rPr>
                <w:sz w:val="20"/>
                <w:szCs w:val="20"/>
                <w:lang w:val="fr-FR"/>
              </w:rPr>
              <w:t>P-</w:t>
            </w:r>
            <w:proofErr w:type="spellStart"/>
            <w:r w:rsidRPr="004A019F">
              <w:rPr>
                <w:sz w:val="20"/>
                <w:szCs w:val="20"/>
                <w:lang w:val="fr-FR"/>
              </w:rPr>
              <w:t>värde</w:t>
            </w:r>
            <w:proofErr w:type="spellEnd"/>
            <w:r w:rsidRPr="004A019F">
              <w:rPr>
                <w:sz w:val="20"/>
                <w:szCs w:val="20"/>
                <w:lang w:val="fr-FR"/>
              </w:rPr>
              <w:t xml:space="preserve"> versus observation</w:t>
            </w:r>
          </w:p>
          <w:p w14:paraId="5A69554A" w14:textId="77777777" w:rsidR="00EF42A1" w:rsidRPr="004A019F" w:rsidRDefault="00EF42A1" w:rsidP="004A019F">
            <w:pPr>
              <w:spacing w:after="0" w:line="240" w:lineRule="auto"/>
              <w:ind w:left="0" w:firstLine="0"/>
              <w:contextualSpacing/>
              <w:rPr>
                <w:sz w:val="20"/>
                <w:szCs w:val="20"/>
                <w:lang w:val="fr-FR"/>
              </w:rPr>
            </w:pPr>
            <w:r w:rsidRPr="004A019F">
              <w:rPr>
                <w:sz w:val="20"/>
                <w:szCs w:val="20"/>
                <w:lang w:val="fr-FR"/>
              </w:rPr>
              <w:t>Hazard ratio versus observation</w:t>
            </w:r>
          </w:p>
        </w:tc>
        <w:tc>
          <w:tcPr>
            <w:tcW w:w="1723" w:type="pct"/>
            <w:gridSpan w:val="2"/>
            <w:tcBorders>
              <w:top w:val="nil"/>
              <w:left w:val="single" w:sz="4" w:space="0" w:color="000000"/>
              <w:bottom w:val="single" w:sz="4" w:space="0" w:color="auto"/>
              <w:right w:val="single" w:sz="4" w:space="0" w:color="000000"/>
            </w:tcBorders>
            <w:shd w:val="clear" w:color="auto" w:fill="auto"/>
          </w:tcPr>
          <w:p w14:paraId="15F9ED00" w14:textId="2D90ABC0" w:rsidR="001E6802" w:rsidRPr="004A019F" w:rsidRDefault="00EF42A1" w:rsidP="004A019F">
            <w:pPr>
              <w:tabs>
                <w:tab w:val="right" w:pos="2904"/>
              </w:tabs>
              <w:spacing w:after="0" w:line="240" w:lineRule="auto"/>
              <w:ind w:left="0" w:firstLine="0"/>
              <w:contextualSpacing/>
              <w:jc w:val="center"/>
              <w:rPr>
                <w:sz w:val="20"/>
                <w:szCs w:val="20"/>
                <w:lang w:val="sv-SE"/>
              </w:rPr>
            </w:pPr>
            <w:r w:rsidRPr="004A019F">
              <w:rPr>
                <w:sz w:val="20"/>
                <w:szCs w:val="20"/>
                <w:lang w:val="sv-SE"/>
              </w:rPr>
              <w:t>&lt;</w:t>
            </w:r>
            <w:r w:rsidR="00493EEC" w:rsidRPr="004A019F">
              <w:rPr>
                <w:sz w:val="20"/>
                <w:szCs w:val="20"/>
                <w:lang w:val="sv-SE"/>
              </w:rPr>
              <w:t> </w:t>
            </w:r>
            <w:r w:rsidRPr="004A019F">
              <w:rPr>
                <w:sz w:val="20"/>
                <w:szCs w:val="20"/>
                <w:lang w:val="sv-SE"/>
              </w:rPr>
              <w:t>0,0001</w:t>
            </w:r>
          </w:p>
          <w:p w14:paraId="3005C8CE" w14:textId="77777777" w:rsidR="007D71E7" w:rsidRPr="004A019F" w:rsidRDefault="007D71E7" w:rsidP="004A019F">
            <w:pPr>
              <w:tabs>
                <w:tab w:val="right" w:pos="2904"/>
              </w:tabs>
              <w:spacing w:after="0" w:line="240" w:lineRule="auto"/>
              <w:ind w:left="0" w:firstLine="0"/>
              <w:contextualSpacing/>
              <w:jc w:val="center"/>
              <w:rPr>
                <w:sz w:val="20"/>
                <w:szCs w:val="20"/>
                <w:lang w:val="sv-SE"/>
              </w:rPr>
            </w:pPr>
            <w:r w:rsidRPr="004A019F">
              <w:rPr>
                <w:sz w:val="20"/>
                <w:szCs w:val="20"/>
                <w:lang w:val="sv-SE"/>
              </w:rPr>
              <w:t>0,51</w:t>
            </w:r>
          </w:p>
        </w:tc>
        <w:tc>
          <w:tcPr>
            <w:tcW w:w="1719" w:type="pct"/>
            <w:gridSpan w:val="2"/>
            <w:tcBorders>
              <w:top w:val="nil"/>
              <w:left w:val="single" w:sz="4" w:space="0" w:color="000000"/>
              <w:bottom w:val="single" w:sz="4" w:space="0" w:color="auto"/>
              <w:right w:val="single" w:sz="4" w:space="0" w:color="000000"/>
            </w:tcBorders>
            <w:shd w:val="clear" w:color="auto" w:fill="auto"/>
          </w:tcPr>
          <w:p w14:paraId="68F55C54" w14:textId="2219A112" w:rsidR="001E6802" w:rsidRPr="004A019F" w:rsidRDefault="00EF42A1" w:rsidP="004A019F">
            <w:pPr>
              <w:tabs>
                <w:tab w:val="right" w:pos="3000"/>
              </w:tabs>
              <w:spacing w:after="0" w:line="240" w:lineRule="auto"/>
              <w:ind w:left="0" w:firstLine="0"/>
              <w:contextualSpacing/>
              <w:jc w:val="center"/>
              <w:rPr>
                <w:sz w:val="20"/>
                <w:szCs w:val="20"/>
                <w:lang w:val="sv-SE"/>
              </w:rPr>
            </w:pPr>
            <w:r w:rsidRPr="004A019F">
              <w:rPr>
                <w:sz w:val="20"/>
                <w:szCs w:val="20"/>
                <w:lang w:val="sv-SE"/>
              </w:rPr>
              <w:t>&lt;</w:t>
            </w:r>
            <w:r w:rsidR="00493EEC" w:rsidRPr="004A019F">
              <w:rPr>
                <w:sz w:val="20"/>
                <w:szCs w:val="20"/>
                <w:lang w:val="sv-SE"/>
              </w:rPr>
              <w:t> </w:t>
            </w:r>
            <w:r w:rsidRPr="004A019F">
              <w:rPr>
                <w:sz w:val="20"/>
                <w:szCs w:val="20"/>
                <w:lang w:val="sv-SE"/>
              </w:rPr>
              <w:t>0,0001</w:t>
            </w:r>
          </w:p>
          <w:p w14:paraId="27E3E606" w14:textId="77777777" w:rsidR="007D71E7" w:rsidRPr="004A019F" w:rsidRDefault="007D71E7" w:rsidP="004A019F">
            <w:pPr>
              <w:tabs>
                <w:tab w:val="right" w:pos="3000"/>
              </w:tabs>
              <w:spacing w:after="0" w:line="240" w:lineRule="auto"/>
              <w:ind w:left="0" w:firstLine="0"/>
              <w:contextualSpacing/>
              <w:jc w:val="center"/>
              <w:rPr>
                <w:sz w:val="20"/>
                <w:szCs w:val="20"/>
                <w:lang w:val="sv-SE"/>
              </w:rPr>
            </w:pPr>
            <w:r w:rsidRPr="004A019F">
              <w:rPr>
                <w:sz w:val="20"/>
                <w:szCs w:val="20"/>
                <w:lang w:val="sv-SE"/>
              </w:rPr>
              <w:t>0,73</w:t>
            </w:r>
          </w:p>
        </w:tc>
      </w:tr>
      <w:tr w:rsidR="00AD14F8" w:rsidRPr="00A74CC6" w14:paraId="31C5C406" w14:textId="77777777" w:rsidTr="004A019F">
        <w:trPr>
          <w:trHeight w:val="283"/>
        </w:trPr>
        <w:tc>
          <w:tcPr>
            <w:tcW w:w="1558" w:type="pct"/>
            <w:tcBorders>
              <w:top w:val="single" w:sz="4" w:space="0" w:color="auto"/>
              <w:left w:val="single" w:sz="4" w:space="0" w:color="000000"/>
              <w:right w:val="single" w:sz="4" w:space="0" w:color="000000"/>
            </w:tcBorders>
            <w:shd w:val="clear" w:color="auto" w:fill="auto"/>
          </w:tcPr>
          <w:p w14:paraId="21CC1B39" w14:textId="77777777" w:rsidR="005F124D" w:rsidRPr="004A019F" w:rsidRDefault="005F124D" w:rsidP="004A019F">
            <w:pPr>
              <w:keepNext/>
              <w:spacing w:after="0" w:line="240" w:lineRule="auto"/>
              <w:ind w:left="0" w:firstLine="0"/>
              <w:contextualSpacing/>
              <w:rPr>
                <w:sz w:val="20"/>
                <w:szCs w:val="20"/>
                <w:lang w:val="sv-SE"/>
              </w:rPr>
            </w:pPr>
            <w:r w:rsidRPr="004A019F">
              <w:rPr>
                <w:sz w:val="20"/>
                <w:szCs w:val="20"/>
                <w:lang w:val="sv-SE"/>
              </w:rPr>
              <w:t>Fjärrmetastasfri överlevnad</w:t>
            </w:r>
          </w:p>
          <w:p w14:paraId="2E3D0BB0" w14:textId="77777777" w:rsidR="005F124D" w:rsidRPr="004A019F" w:rsidRDefault="005F124D" w:rsidP="004A019F">
            <w:pPr>
              <w:keepNext/>
              <w:spacing w:after="0" w:line="240" w:lineRule="auto"/>
              <w:ind w:left="0" w:firstLine="0"/>
              <w:contextualSpacing/>
              <w:rPr>
                <w:sz w:val="20"/>
                <w:szCs w:val="20"/>
                <w:lang w:val="sv-SE"/>
              </w:rPr>
            </w:pPr>
            <w:r w:rsidRPr="004A019F">
              <w:rPr>
                <w:sz w:val="20"/>
                <w:szCs w:val="20"/>
                <w:lang w:val="sv-SE"/>
              </w:rPr>
              <w:t>- antal patienter med händelse</w:t>
            </w:r>
          </w:p>
          <w:p w14:paraId="76F61854" w14:textId="77777777" w:rsidR="005F124D" w:rsidRPr="004A019F" w:rsidRDefault="005F124D" w:rsidP="004A019F">
            <w:pPr>
              <w:keepNext/>
              <w:spacing w:after="0" w:line="240" w:lineRule="auto"/>
              <w:ind w:left="0" w:firstLine="0"/>
              <w:contextualSpacing/>
              <w:rPr>
                <w:sz w:val="20"/>
                <w:szCs w:val="20"/>
                <w:lang w:val="sv-SE"/>
              </w:rPr>
            </w:pPr>
            <w:r w:rsidRPr="004A019F">
              <w:rPr>
                <w:sz w:val="20"/>
                <w:szCs w:val="20"/>
                <w:lang w:val="sv-SE"/>
              </w:rPr>
              <w:t>- antal patienter utan händelse</w:t>
            </w:r>
          </w:p>
        </w:tc>
        <w:tc>
          <w:tcPr>
            <w:tcW w:w="784" w:type="pct"/>
            <w:tcBorders>
              <w:top w:val="single" w:sz="4" w:space="0" w:color="auto"/>
              <w:left w:val="single" w:sz="4" w:space="0" w:color="000000"/>
            </w:tcBorders>
            <w:shd w:val="clear" w:color="auto" w:fill="auto"/>
          </w:tcPr>
          <w:p w14:paraId="5A1053F6" w14:textId="77777777" w:rsidR="005F124D" w:rsidRPr="004A019F" w:rsidRDefault="005F124D" w:rsidP="004A019F">
            <w:pPr>
              <w:keepNext/>
              <w:tabs>
                <w:tab w:val="center" w:pos="2235"/>
              </w:tabs>
              <w:spacing w:after="0" w:line="240" w:lineRule="auto"/>
              <w:ind w:left="0" w:firstLine="0"/>
              <w:contextualSpacing/>
              <w:jc w:val="center"/>
              <w:rPr>
                <w:sz w:val="20"/>
                <w:szCs w:val="20"/>
                <w:lang w:val="sv-SE"/>
              </w:rPr>
            </w:pPr>
          </w:p>
          <w:p w14:paraId="3F71F18A" w14:textId="4C44EB7B" w:rsidR="005F124D" w:rsidRPr="004A019F" w:rsidRDefault="005F124D" w:rsidP="004A019F">
            <w:pPr>
              <w:keepNext/>
              <w:tabs>
                <w:tab w:val="center" w:pos="2235"/>
              </w:tabs>
              <w:spacing w:after="0" w:line="240" w:lineRule="auto"/>
              <w:ind w:left="0" w:firstLine="0"/>
              <w:contextualSpacing/>
              <w:jc w:val="center"/>
              <w:rPr>
                <w:sz w:val="20"/>
                <w:szCs w:val="20"/>
                <w:lang w:val="sv-SE"/>
              </w:rPr>
            </w:pPr>
            <w:r w:rsidRPr="004A019F">
              <w:rPr>
                <w:sz w:val="20"/>
                <w:szCs w:val="20"/>
                <w:lang w:val="sv-SE"/>
              </w:rPr>
              <w:t>184 (10,9</w:t>
            </w:r>
            <w:r w:rsidR="00493EEC" w:rsidRPr="004A019F">
              <w:rPr>
                <w:sz w:val="20"/>
                <w:szCs w:val="20"/>
                <w:lang w:val="sv-SE"/>
              </w:rPr>
              <w:t> %</w:t>
            </w:r>
            <w:r w:rsidRPr="004A019F">
              <w:rPr>
                <w:sz w:val="20"/>
                <w:szCs w:val="20"/>
                <w:lang w:val="sv-SE"/>
              </w:rPr>
              <w:t>)</w:t>
            </w:r>
          </w:p>
          <w:p w14:paraId="114C0790" w14:textId="7A5B1069" w:rsidR="005F124D" w:rsidRPr="004A019F" w:rsidRDefault="005F124D" w:rsidP="004A019F">
            <w:pPr>
              <w:keepNext/>
              <w:tabs>
                <w:tab w:val="center" w:pos="2235"/>
              </w:tabs>
              <w:spacing w:after="0" w:line="240" w:lineRule="auto"/>
              <w:ind w:left="0" w:firstLine="0"/>
              <w:contextualSpacing/>
              <w:jc w:val="center"/>
              <w:rPr>
                <w:sz w:val="20"/>
                <w:szCs w:val="20"/>
                <w:lang w:val="sv-SE"/>
              </w:rPr>
            </w:pPr>
            <w:r w:rsidRPr="004A019F">
              <w:rPr>
                <w:sz w:val="20"/>
                <w:szCs w:val="20"/>
                <w:lang w:val="sv-SE"/>
              </w:rPr>
              <w:t>1</w:t>
            </w:r>
            <w:r w:rsidR="00066359" w:rsidRPr="004A019F">
              <w:rPr>
                <w:sz w:val="20"/>
                <w:szCs w:val="20"/>
                <w:lang w:val="sv-SE"/>
              </w:rPr>
              <w:t> </w:t>
            </w:r>
            <w:r w:rsidRPr="004A019F">
              <w:rPr>
                <w:sz w:val="20"/>
                <w:szCs w:val="20"/>
                <w:lang w:val="sv-SE"/>
              </w:rPr>
              <w:t>508 (89,1</w:t>
            </w:r>
            <w:r w:rsidR="00493EEC" w:rsidRPr="004A019F">
              <w:rPr>
                <w:sz w:val="20"/>
                <w:szCs w:val="20"/>
                <w:lang w:val="sv-SE"/>
              </w:rPr>
              <w:t> %</w:t>
            </w:r>
            <w:r w:rsidRPr="004A019F">
              <w:rPr>
                <w:sz w:val="20"/>
                <w:szCs w:val="20"/>
                <w:lang w:val="sv-SE"/>
              </w:rPr>
              <w:t>)</w:t>
            </w:r>
          </w:p>
        </w:tc>
        <w:tc>
          <w:tcPr>
            <w:tcW w:w="939" w:type="pct"/>
            <w:tcBorders>
              <w:top w:val="single" w:sz="4" w:space="0" w:color="auto"/>
              <w:right w:val="single" w:sz="4" w:space="0" w:color="000000"/>
            </w:tcBorders>
            <w:shd w:val="clear" w:color="auto" w:fill="auto"/>
          </w:tcPr>
          <w:p w14:paraId="2CCADD48" w14:textId="77777777" w:rsidR="005F124D" w:rsidRPr="004A019F" w:rsidRDefault="005F124D" w:rsidP="004A019F">
            <w:pPr>
              <w:keepNext/>
              <w:tabs>
                <w:tab w:val="center" w:pos="2235"/>
              </w:tabs>
              <w:spacing w:after="0" w:line="240" w:lineRule="auto"/>
              <w:ind w:left="264" w:firstLine="0"/>
              <w:contextualSpacing/>
              <w:jc w:val="center"/>
              <w:rPr>
                <w:sz w:val="20"/>
                <w:szCs w:val="20"/>
                <w:lang w:val="sv-SE"/>
              </w:rPr>
            </w:pPr>
          </w:p>
          <w:p w14:paraId="7D97CEF2" w14:textId="34957CA9" w:rsidR="005F124D" w:rsidRPr="004A019F" w:rsidRDefault="005F124D" w:rsidP="004A019F">
            <w:pPr>
              <w:keepNext/>
              <w:tabs>
                <w:tab w:val="center" w:pos="2235"/>
              </w:tabs>
              <w:spacing w:after="0" w:line="240" w:lineRule="auto"/>
              <w:ind w:left="264" w:firstLine="0"/>
              <w:contextualSpacing/>
              <w:jc w:val="center"/>
              <w:rPr>
                <w:sz w:val="20"/>
                <w:szCs w:val="20"/>
                <w:lang w:val="sv-SE"/>
              </w:rPr>
            </w:pPr>
            <w:r w:rsidRPr="004A019F">
              <w:rPr>
                <w:sz w:val="20"/>
                <w:szCs w:val="20"/>
                <w:lang w:val="sv-SE"/>
              </w:rPr>
              <w:t>99 (5,8</w:t>
            </w:r>
            <w:r w:rsidR="00493EEC" w:rsidRPr="004A019F">
              <w:rPr>
                <w:sz w:val="20"/>
                <w:szCs w:val="20"/>
                <w:lang w:val="sv-SE"/>
              </w:rPr>
              <w:t> %</w:t>
            </w:r>
            <w:r w:rsidRPr="004A019F">
              <w:rPr>
                <w:sz w:val="20"/>
                <w:szCs w:val="20"/>
                <w:lang w:val="sv-SE"/>
              </w:rPr>
              <w:t>)</w:t>
            </w:r>
          </w:p>
          <w:p w14:paraId="43EB182B" w14:textId="67F6D79C" w:rsidR="005F124D" w:rsidRPr="004A019F" w:rsidRDefault="005F124D" w:rsidP="004A019F">
            <w:pPr>
              <w:keepNext/>
              <w:tabs>
                <w:tab w:val="center" w:pos="2235"/>
              </w:tabs>
              <w:spacing w:after="0" w:line="240" w:lineRule="auto"/>
              <w:ind w:left="264" w:firstLine="0"/>
              <w:contextualSpacing/>
              <w:jc w:val="center"/>
              <w:rPr>
                <w:sz w:val="20"/>
                <w:szCs w:val="20"/>
                <w:lang w:val="sv-SE"/>
              </w:rPr>
            </w:pPr>
            <w:r w:rsidRPr="004A019F">
              <w:rPr>
                <w:sz w:val="20"/>
                <w:szCs w:val="20"/>
                <w:lang w:val="sv-SE"/>
              </w:rPr>
              <w:t>1</w:t>
            </w:r>
            <w:r w:rsidR="00066359" w:rsidRPr="004A019F">
              <w:rPr>
                <w:sz w:val="20"/>
                <w:szCs w:val="20"/>
                <w:lang w:val="sv-SE"/>
              </w:rPr>
              <w:t> </w:t>
            </w:r>
            <w:r w:rsidRPr="004A019F">
              <w:rPr>
                <w:sz w:val="20"/>
                <w:szCs w:val="20"/>
                <w:lang w:val="sv-SE"/>
              </w:rPr>
              <w:t>594 (94,6</w:t>
            </w:r>
            <w:r w:rsidR="00493EEC" w:rsidRPr="004A019F">
              <w:rPr>
                <w:sz w:val="20"/>
                <w:szCs w:val="20"/>
                <w:lang w:val="sv-SE"/>
              </w:rPr>
              <w:t> %</w:t>
            </w:r>
            <w:r w:rsidRPr="004A019F">
              <w:rPr>
                <w:sz w:val="20"/>
                <w:szCs w:val="20"/>
                <w:lang w:val="sv-SE"/>
              </w:rPr>
              <w:t>)</w:t>
            </w:r>
          </w:p>
        </w:tc>
        <w:tc>
          <w:tcPr>
            <w:tcW w:w="783" w:type="pct"/>
            <w:tcBorders>
              <w:top w:val="single" w:sz="4" w:space="0" w:color="auto"/>
              <w:left w:val="single" w:sz="4" w:space="0" w:color="000000"/>
            </w:tcBorders>
            <w:shd w:val="clear" w:color="auto" w:fill="auto"/>
          </w:tcPr>
          <w:p w14:paraId="2D0B0602" w14:textId="77777777" w:rsidR="005F124D" w:rsidRPr="004A019F" w:rsidRDefault="005F124D" w:rsidP="004A019F">
            <w:pPr>
              <w:keepNext/>
              <w:tabs>
                <w:tab w:val="right" w:pos="3000"/>
              </w:tabs>
              <w:spacing w:after="0" w:line="240" w:lineRule="auto"/>
              <w:ind w:left="0" w:firstLine="0"/>
              <w:contextualSpacing/>
              <w:jc w:val="center"/>
              <w:rPr>
                <w:sz w:val="20"/>
                <w:szCs w:val="20"/>
                <w:lang w:val="sv-SE"/>
              </w:rPr>
            </w:pPr>
          </w:p>
          <w:p w14:paraId="1AF25325" w14:textId="4B6751A9" w:rsidR="005F124D" w:rsidRPr="004A019F" w:rsidRDefault="005F124D" w:rsidP="004A019F">
            <w:pPr>
              <w:keepNext/>
              <w:tabs>
                <w:tab w:val="right" w:pos="3000"/>
              </w:tabs>
              <w:spacing w:after="0" w:line="240" w:lineRule="auto"/>
              <w:ind w:left="0" w:firstLine="0"/>
              <w:contextualSpacing/>
              <w:jc w:val="center"/>
              <w:rPr>
                <w:sz w:val="20"/>
                <w:szCs w:val="20"/>
                <w:lang w:val="sv-SE"/>
              </w:rPr>
            </w:pPr>
            <w:r w:rsidRPr="004A019F">
              <w:rPr>
                <w:sz w:val="20"/>
                <w:szCs w:val="20"/>
                <w:lang w:val="sv-SE"/>
              </w:rPr>
              <w:t>488 (28,8</w:t>
            </w:r>
            <w:r w:rsidR="00493EEC" w:rsidRPr="004A019F">
              <w:rPr>
                <w:sz w:val="20"/>
                <w:szCs w:val="20"/>
                <w:lang w:val="sv-SE"/>
              </w:rPr>
              <w:t> %</w:t>
            </w:r>
            <w:r w:rsidRPr="004A019F">
              <w:rPr>
                <w:sz w:val="20"/>
                <w:szCs w:val="20"/>
                <w:lang w:val="sv-SE"/>
              </w:rPr>
              <w:t>)</w:t>
            </w:r>
          </w:p>
          <w:p w14:paraId="5D6C72CE" w14:textId="0DF72DCD" w:rsidR="005F124D" w:rsidRPr="004A019F" w:rsidRDefault="005F124D" w:rsidP="004A019F">
            <w:pPr>
              <w:keepNext/>
              <w:tabs>
                <w:tab w:val="right" w:pos="3000"/>
              </w:tabs>
              <w:spacing w:after="0" w:line="240" w:lineRule="auto"/>
              <w:ind w:left="0" w:firstLine="0"/>
              <w:contextualSpacing/>
              <w:jc w:val="center"/>
              <w:rPr>
                <w:sz w:val="20"/>
                <w:szCs w:val="20"/>
                <w:lang w:val="sv-SE"/>
              </w:rPr>
            </w:pPr>
            <w:r w:rsidRPr="004A019F">
              <w:rPr>
                <w:sz w:val="20"/>
                <w:szCs w:val="20"/>
                <w:lang w:val="sv-SE"/>
              </w:rPr>
              <w:t>1</w:t>
            </w:r>
            <w:r w:rsidR="00066359" w:rsidRPr="004A019F">
              <w:rPr>
                <w:sz w:val="20"/>
                <w:szCs w:val="20"/>
                <w:lang w:val="sv-SE"/>
              </w:rPr>
              <w:t> </w:t>
            </w:r>
            <w:r w:rsidRPr="004A019F">
              <w:rPr>
                <w:sz w:val="20"/>
                <w:szCs w:val="20"/>
                <w:lang w:val="sv-SE"/>
              </w:rPr>
              <w:t>209 (71,2</w:t>
            </w:r>
            <w:r w:rsidR="00493EEC" w:rsidRPr="004A019F">
              <w:rPr>
                <w:sz w:val="20"/>
                <w:szCs w:val="20"/>
                <w:lang w:val="sv-SE"/>
              </w:rPr>
              <w:t> %</w:t>
            </w:r>
            <w:r w:rsidRPr="004A019F">
              <w:rPr>
                <w:sz w:val="20"/>
                <w:szCs w:val="20"/>
                <w:lang w:val="sv-SE"/>
              </w:rPr>
              <w:t>)</w:t>
            </w:r>
          </w:p>
        </w:tc>
        <w:tc>
          <w:tcPr>
            <w:tcW w:w="935" w:type="pct"/>
            <w:tcBorders>
              <w:top w:val="single" w:sz="4" w:space="0" w:color="auto"/>
              <w:right w:val="single" w:sz="4" w:space="0" w:color="000000"/>
            </w:tcBorders>
            <w:shd w:val="clear" w:color="auto" w:fill="auto"/>
          </w:tcPr>
          <w:p w14:paraId="247D23CD" w14:textId="77777777" w:rsidR="005F124D" w:rsidRPr="004A019F" w:rsidRDefault="005F124D" w:rsidP="004A019F">
            <w:pPr>
              <w:keepNext/>
              <w:tabs>
                <w:tab w:val="right" w:pos="3000"/>
              </w:tabs>
              <w:spacing w:after="0" w:line="240" w:lineRule="auto"/>
              <w:ind w:left="236" w:firstLine="0"/>
              <w:contextualSpacing/>
              <w:jc w:val="center"/>
              <w:rPr>
                <w:sz w:val="20"/>
                <w:szCs w:val="20"/>
                <w:lang w:val="sv-SE"/>
              </w:rPr>
            </w:pPr>
          </w:p>
          <w:p w14:paraId="6FD33694" w14:textId="0C3D4518" w:rsidR="005F124D" w:rsidRPr="004A019F" w:rsidRDefault="005F124D" w:rsidP="004A019F">
            <w:pPr>
              <w:keepNext/>
              <w:tabs>
                <w:tab w:val="right" w:pos="3000"/>
              </w:tabs>
              <w:spacing w:after="0" w:line="240" w:lineRule="auto"/>
              <w:ind w:left="236" w:firstLine="0"/>
              <w:contextualSpacing/>
              <w:jc w:val="center"/>
              <w:rPr>
                <w:sz w:val="20"/>
                <w:szCs w:val="20"/>
                <w:lang w:val="sv-SE"/>
              </w:rPr>
            </w:pPr>
            <w:r w:rsidRPr="004A019F">
              <w:rPr>
                <w:sz w:val="20"/>
                <w:szCs w:val="20"/>
                <w:lang w:val="sv-SE"/>
              </w:rPr>
              <w:t>399 (23,4</w:t>
            </w:r>
            <w:r w:rsidR="00493EEC" w:rsidRPr="004A019F">
              <w:rPr>
                <w:sz w:val="20"/>
                <w:szCs w:val="20"/>
                <w:lang w:val="sv-SE"/>
              </w:rPr>
              <w:t> %</w:t>
            </w:r>
            <w:r w:rsidRPr="004A019F">
              <w:rPr>
                <w:sz w:val="20"/>
                <w:szCs w:val="20"/>
                <w:lang w:val="sv-SE"/>
              </w:rPr>
              <w:t>)</w:t>
            </w:r>
          </w:p>
          <w:p w14:paraId="14E1B412" w14:textId="39240274" w:rsidR="005F124D" w:rsidRPr="004A019F" w:rsidRDefault="005F124D" w:rsidP="004A019F">
            <w:pPr>
              <w:keepNext/>
              <w:tabs>
                <w:tab w:val="right" w:pos="3000"/>
              </w:tabs>
              <w:spacing w:after="0" w:line="240" w:lineRule="auto"/>
              <w:ind w:left="236" w:firstLine="0"/>
              <w:contextualSpacing/>
              <w:jc w:val="center"/>
              <w:rPr>
                <w:sz w:val="20"/>
                <w:szCs w:val="20"/>
                <w:lang w:val="sv-SE"/>
              </w:rPr>
            </w:pPr>
            <w:r w:rsidRPr="004A019F">
              <w:rPr>
                <w:sz w:val="20"/>
                <w:szCs w:val="20"/>
                <w:lang w:val="sv-SE"/>
              </w:rPr>
              <w:t>1</w:t>
            </w:r>
            <w:r w:rsidR="00066359" w:rsidRPr="004A019F">
              <w:rPr>
                <w:sz w:val="20"/>
                <w:szCs w:val="20"/>
                <w:lang w:val="sv-SE"/>
              </w:rPr>
              <w:t> </w:t>
            </w:r>
            <w:r w:rsidRPr="004A019F">
              <w:rPr>
                <w:sz w:val="20"/>
                <w:szCs w:val="20"/>
                <w:lang w:val="sv-SE"/>
              </w:rPr>
              <w:t>303 (76,6</w:t>
            </w:r>
            <w:r w:rsidR="00493EEC" w:rsidRPr="004A019F">
              <w:rPr>
                <w:sz w:val="20"/>
                <w:szCs w:val="20"/>
                <w:lang w:val="sv-SE"/>
              </w:rPr>
              <w:t> %</w:t>
            </w:r>
            <w:r w:rsidRPr="004A019F">
              <w:rPr>
                <w:sz w:val="20"/>
                <w:szCs w:val="20"/>
                <w:lang w:val="sv-SE"/>
              </w:rPr>
              <w:t>)</w:t>
            </w:r>
          </w:p>
        </w:tc>
      </w:tr>
      <w:tr w:rsidR="00AD14F8" w:rsidRPr="00A74CC6" w14:paraId="17E15BC7" w14:textId="77777777" w:rsidTr="004A019F">
        <w:trPr>
          <w:trHeight w:val="253"/>
        </w:trPr>
        <w:tc>
          <w:tcPr>
            <w:tcW w:w="1558" w:type="pct"/>
            <w:tcBorders>
              <w:left w:val="single" w:sz="4" w:space="0" w:color="000000"/>
              <w:bottom w:val="nil"/>
              <w:right w:val="single" w:sz="4" w:space="0" w:color="000000"/>
            </w:tcBorders>
            <w:shd w:val="clear" w:color="auto" w:fill="auto"/>
          </w:tcPr>
          <w:p w14:paraId="0AFDD779" w14:textId="77777777" w:rsidR="001E6802" w:rsidRPr="004A019F" w:rsidRDefault="004A35F0" w:rsidP="004A019F">
            <w:pPr>
              <w:spacing w:after="0" w:line="240" w:lineRule="auto"/>
              <w:ind w:left="0" w:firstLine="0"/>
              <w:contextualSpacing/>
              <w:rPr>
                <w:sz w:val="20"/>
                <w:szCs w:val="20"/>
                <w:lang w:val="fr-FR"/>
              </w:rPr>
            </w:pPr>
            <w:r w:rsidRPr="004A019F">
              <w:rPr>
                <w:sz w:val="20"/>
                <w:szCs w:val="20"/>
                <w:lang w:val="fr-FR"/>
              </w:rPr>
              <w:t>P-</w:t>
            </w:r>
            <w:proofErr w:type="spellStart"/>
            <w:r w:rsidRPr="004A019F">
              <w:rPr>
                <w:sz w:val="20"/>
                <w:szCs w:val="20"/>
                <w:lang w:val="fr-FR"/>
              </w:rPr>
              <w:t>värde</w:t>
            </w:r>
            <w:proofErr w:type="spellEnd"/>
            <w:r w:rsidRPr="004A019F">
              <w:rPr>
                <w:sz w:val="20"/>
                <w:szCs w:val="20"/>
                <w:lang w:val="fr-FR"/>
              </w:rPr>
              <w:t xml:space="preserve"> versus observation</w:t>
            </w:r>
          </w:p>
          <w:p w14:paraId="474006C3" w14:textId="77777777" w:rsidR="004A35F0" w:rsidRPr="004A019F" w:rsidRDefault="004A35F0" w:rsidP="004A019F">
            <w:pPr>
              <w:spacing w:after="0" w:line="240" w:lineRule="auto"/>
              <w:ind w:left="0" w:firstLine="0"/>
              <w:contextualSpacing/>
              <w:rPr>
                <w:sz w:val="20"/>
                <w:szCs w:val="20"/>
                <w:lang w:val="fr-FR"/>
              </w:rPr>
            </w:pPr>
            <w:r w:rsidRPr="004A019F">
              <w:rPr>
                <w:sz w:val="20"/>
                <w:szCs w:val="20"/>
                <w:lang w:val="fr-FR"/>
              </w:rPr>
              <w:t>Hazard ratio versus observation</w:t>
            </w:r>
          </w:p>
        </w:tc>
        <w:tc>
          <w:tcPr>
            <w:tcW w:w="1723" w:type="pct"/>
            <w:gridSpan w:val="2"/>
            <w:tcBorders>
              <w:left w:val="single" w:sz="4" w:space="0" w:color="000000"/>
              <w:bottom w:val="nil"/>
              <w:right w:val="single" w:sz="4" w:space="0" w:color="000000"/>
            </w:tcBorders>
            <w:shd w:val="clear" w:color="auto" w:fill="auto"/>
          </w:tcPr>
          <w:p w14:paraId="7E503D74" w14:textId="2E4E5919" w:rsidR="001E6802" w:rsidRPr="004A019F" w:rsidRDefault="004A35F0" w:rsidP="004A019F">
            <w:pPr>
              <w:tabs>
                <w:tab w:val="right" w:pos="2904"/>
              </w:tabs>
              <w:spacing w:after="0" w:line="240" w:lineRule="auto"/>
              <w:ind w:left="0" w:firstLine="0"/>
              <w:contextualSpacing/>
              <w:jc w:val="center"/>
              <w:rPr>
                <w:sz w:val="20"/>
                <w:szCs w:val="20"/>
                <w:lang w:val="sv-SE"/>
              </w:rPr>
            </w:pPr>
            <w:r w:rsidRPr="004A019F">
              <w:rPr>
                <w:sz w:val="20"/>
                <w:szCs w:val="20"/>
                <w:lang w:val="sv-SE"/>
              </w:rPr>
              <w:t>&lt;</w:t>
            </w:r>
            <w:r w:rsidR="00493EEC" w:rsidRPr="004A019F">
              <w:rPr>
                <w:sz w:val="20"/>
                <w:szCs w:val="20"/>
                <w:lang w:val="sv-SE"/>
              </w:rPr>
              <w:t> </w:t>
            </w:r>
            <w:r w:rsidRPr="004A019F">
              <w:rPr>
                <w:sz w:val="20"/>
                <w:szCs w:val="20"/>
                <w:lang w:val="sv-SE"/>
              </w:rPr>
              <w:t>0,0001</w:t>
            </w:r>
          </w:p>
          <w:p w14:paraId="67528A71" w14:textId="77777777" w:rsidR="004A35F0" w:rsidRPr="004A019F" w:rsidRDefault="004A35F0" w:rsidP="004A019F">
            <w:pPr>
              <w:tabs>
                <w:tab w:val="right" w:pos="2904"/>
              </w:tabs>
              <w:spacing w:after="0" w:line="240" w:lineRule="auto"/>
              <w:ind w:left="0" w:firstLine="0"/>
              <w:contextualSpacing/>
              <w:jc w:val="center"/>
              <w:rPr>
                <w:sz w:val="20"/>
                <w:szCs w:val="20"/>
                <w:lang w:val="sv-SE"/>
              </w:rPr>
            </w:pPr>
            <w:r w:rsidRPr="004A019F">
              <w:rPr>
                <w:sz w:val="20"/>
                <w:szCs w:val="20"/>
                <w:lang w:val="sv-SE"/>
              </w:rPr>
              <w:t>0,50</w:t>
            </w:r>
          </w:p>
        </w:tc>
        <w:tc>
          <w:tcPr>
            <w:tcW w:w="1719" w:type="pct"/>
            <w:gridSpan w:val="2"/>
            <w:tcBorders>
              <w:left w:val="single" w:sz="4" w:space="0" w:color="000000"/>
              <w:bottom w:val="nil"/>
              <w:right w:val="single" w:sz="4" w:space="0" w:color="000000"/>
            </w:tcBorders>
            <w:shd w:val="clear" w:color="auto" w:fill="auto"/>
          </w:tcPr>
          <w:p w14:paraId="64960244" w14:textId="0EBCCF5B" w:rsidR="001E6802" w:rsidRPr="004A019F" w:rsidRDefault="004A35F0" w:rsidP="004A019F">
            <w:pPr>
              <w:tabs>
                <w:tab w:val="right" w:pos="3000"/>
              </w:tabs>
              <w:spacing w:after="0" w:line="240" w:lineRule="auto"/>
              <w:ind w:left="0" w:firstLine="0"/>
              <w:contextualSpacing/>
              <w:jc w:val="center"/>
              <w:rPr>
                <w:sz w:val="20"/>
                <w:szCs w:val="20"/>
                <w:lang w:val="sv-SE"/>
              </w:rPr>
            </w:pPr>
            <w:r w:rsidRPr="004A019F">
              <w:rPr>
                <w:sz w:val="20"/>
                <w:szCs w:val="20"/>
                <w:lang w:val="sv-SE"/>
              </w:rPr>
              <w:t>&lt;</w:t>
            </w:r>
            <w:r w:rsidR="00493EEC" w:rsidRPr="004A019F">
              <w:rPr>
                <w:sz w:val="20"/>
                <w:szCs w:val="20"/>
                <w:lang w:val="sv-SE"/>
              </w:rPr>
              <w:t> </w:t>
            </w:r>
            <w:r w:rsidRPr="004A019F">
              <w:rPr>
                <w:sz w:val="20"/>
                <w:szCs w:val="20"/>
                <w:lang w:val="sv-SE"/>
              </w:rPr>
              <w:t>0,0001</w:t>
            </w:r>
          </w:p>
          <w:p w14:paraId="69E1D626" w14:textId="77777777" w:rsidR="004A35F0" w:rsidRPr="004A019F" w:rsidRDefault="004A35F0" w:rsidP="004A019F">
            <w:pPr>
              <w:tabs>
                <w:tab w:val="right" w:pos="3000"/>
              </w:tabs>
              <w:spacing w:after="0" w:line="240" w:lineRule="auto"/>
              <w:ind w:left="0" w:firstLine="0"/>
              <w:contextualSpacing/>
              <w:jc w:val="center"/>
              <w:rPr>
                <w:sz w:val="20"/>
                <w:szCs w:val="20"/>
                <w:lang w:val="sv-SE"/>
              </w:rPr>
            </w:pPr>
            <w:r w:rsidRPr="004A019F">
              <w:rPr>
                <w:sz w:val="20"/>
                <w:szCs w:val="20"/>
                <w:lang w:val="sv-SE"/>
              </w:rPr>
              <w:t>0,76</w:t>
            </w:r>
          </w:p>
        </w:tc>
      </w:tr>
      <w:tr w:rsidR="00AD14F8" w:rsidRPr="00A74CC6" w14:paraId="5471A8DB" w14:textId="77777777" w:rsidTr="004A019F">
        <w:trPr>
          <w:trHeight w:val="532"/>
        </w:trPr>
        <w:tc>
          <w:tcPr>
            <w:tcW w:w="1558" w:type="pct"/>
            <w:tcBorders>
              <w:top w:val="single" w:sz="4" w:space="0" w:color="000000"/>
              <w:left w:val="single" w:sz="4" w:space="0" w:color="000000"/>
              <w:right w:val="single" w:sz="4" w:space="0" w:color="000000"/>
            </w:tcBorders>
            <w:shd w:val="clear" w:color="auto" w:fill="auto"/>
          </w:tcPr>
          <w:p w14:paraId="3B8AB151" w14:textId="66307113" w:rsidR="005E1A28" w:rsidRPr="004A019F" w:rsidRDefault="005E1A28" w:rsidP="004A019F">
            <w:pPr>
              <w:spacing w:after="0" w:line="240" w:lineRule="auto"/>
              <w:ind w:left="0" w:firstLine="0"/>
              <w:contextualSpacing/>
              <w:rPr>
                <w:sz w:val="20"/>
                <w:szCs w:val="20"/>
                <w:lang w:val="sv-SE"/>
              </w:rPr>
            </w:pPr>
            <w:r w:rsidRPr="004A019F">
              <w:rPr>
                <w:sz w:val="20"/>
                <w:szCs w:val="20"/>
                <w:lang w:val="sv-SE"/>
              </w:rPr>
              <w:t xml:space="preserve">Överlevnad </w:t>
            </w:r>
            <w:r w:rsidR="003F6264" w:rsidRPr="004A019F">
              <w:rPr>
                <w:sz w:val="20"/>
                <w:szCs w:val="20"/>
                <w:lang w:val="sv-SE"/>
              </w:rPr>
              <w:t xml:space="preserve">(OS) </w:t>
            </w:r>
            <w:r w:rsidRPr="004A019F">
              <w:rPr>
                <w:sz w:val="20"/>
                <w:szCs w:val="20"/>
                <w:lang w:val="sv-SE"/>
              </w:rPr>
              <w:t>(död)</w:t>
            </w:r>
          </w:p>
          <w:p w14:paraId="52C149F7" w14:textId="77777777" w:rsidR="005E1A28" w:rsidRPr="004A019F" w:rsidRDefault="005E1A28" w:rsidP="004A019F">
            <w:pPr>
              <w:spacing w:after="0" w:line="240" w:lineRule="auto"/>
              <w:ind w:left="0" w:firstLine="0"/>
              <w:contextualSpacing/>
              <w:rPr>
                <w:sz w:val="20"/>
                <w:szCs w:val="20"/>
                <w:lang w:val="sv-SE"/>
              </w:rPr>
            </w:pPr>
            <w:r w:rsidRPr="004A019F">
              <w:rPr>
                <w:sz w:val="20"/>
                <w:szCs w:val="20"/>
                <w:lang w:val="sv-SE"/>
              </w:rPr>
              <w:t>- antal patienter med händelse</w:t>
            </w:r>
          </w:p>
          <w:p w14:paraId="5C3F64E4" w14:textId="77777777" w:rsidR="005E1A28" w:rsidRPr="004A019F" w:rsidRDefault="005E1A28" w:rsidP="004A019F">
            <w:pPr>
              <w:spacing w:after="0" w:line="240" w:lineRule="auto"/>
              <w:ind w:left="0" w:firstLine="0"/>
              <w:contextualSpacing/>
              <w:rPr>
                <w:sz w:val="20"/>
                <w:szCs w:val="20"/>
                <w:lang w:val="sv-SE"/>
              </w:rPr>
            </w:pPr>
            <w:r w:rsidRPr="004A019F">
              <w:rPr>
                <w:sz w:val="20"/>
                <w:szCs w:val="20"/>
                <w:lang w:val="sv-SE"/>
              </w:rPr>
              <w:t>- antal patienter utan händelse</w:t>
            </w:r>
          </w:p>
        </w:tc>
        <w:tc>
          <w:tcPr>
            <w:tcW w:w="784" w:type="pct"/>
            <w:tcBorders>
              <w:top w:val="single" w:sz="4" w:space="0" w:color="000000"/>
              <w:left w:val="single" w:sz="4" w:space="0" w:color="000000"/>
            </w:tcBorders>
            <w:shd w:val="clear" w:color="auto" w:fill="auto"/>
          </w:tcPr>
          <w:p w14:paraId="070E68B5" w14:textId="77777777" w:rsidR="005E1A28" w:rsidRPr="004A019F" w:rsidRDefault="005E1A28" w:rsidP="004A019F">
            <w:pPr>
              <w:tabs>
                <w:tab w:val="center" w:pos="675"/>
                <w:tab w:val="center" w:pos="2235"/>
              </w:tabs>
              <w:spacing w:after="0" w:line="240" w:lineRule="auto"/>
              <w:ind w:left="0" w:firstLine="0"/>
              <w:contextualSpacing/>
              <w:jc w:val="center"/>
              <w:rPr>
                <w:sz w:val="20"/>
                <w:szCs w:val="20"/>
                <w:lang w:val="sv-SE"/>
              </w:rPr>
            </w:pPr>
          </w:p>
          <w:p w14:paraId="4ED38E1E" w14:textId="7C6B7D2B" w:rsidR="005E1A28" w:rsidRPr="004A019F" w:rsidRDefault="005E1A28" w:rsidP="004A019F">
            <w:pPr>
              <w:tabs>
                <w:tab w:val="center" w:pos="675"/>
                <w:tab w:val="center" w:pos="2235"/>
              </w:tabs>
              <w:spacing w:after="0" w:line="240" w:lineRule="auto"/>
              <w:ind w:left="0" w:firstLine="0"/>
              <w:contextualSpacing/>
              <w:jc w:val="center"/>
              <w:rPr>
                <w:sz w:val="20"/>
                <w:szCs w:val="20"/>
                <w:lang w:val="sv-SE"/>
              </w:rPr>
            </w:pPr>
            <w:r w:rsidRPr="004A019F">
              <w:rPr>
                <w:sz w:val="20"/>
                <w:szCs w:val="20"/>
                <w:lang w:val="sv-SE"/>
              </w:rPr>
              <w:t>40 (2,4</w:t>
            </w:r>
            <w:r w:rsidR="00493EEC" w:rsidRPr="004A019F">
              <w:rPr>
                <w:sz w:val="20"/>
                <w:szCs w:val="20"/>
                <w:lang w:val="sv-SE"/>
              </w:rPr>
              <w:t> %</w:t>
            </w:r>
            <w:r w:rsidRPr="004A019F">
              <w:rPr>
                <w:sz w:val="20"/>
                <w:szCs w:val="20"/>
                <w:lang w:val="sv-SE"/>
              </w:rPr>
              <w:t>)</w:t>
            </w:r>
          </w:p>
          <w:p w14:paraId="24FFEEBD" w14:textId="5F624A7A" w:rsidR="005E1A28" w:rsidRPr="004A019F" w:rsidRDefault="005E1A28" w:rsidP="004A019F">
            <w:pPr>
              <w:tabs>
                <w:tab w:val="center" w:pos="675"/>
                <w:tab w:val="center" w:pos="2235"/>
              </w:tabs>
              <w:spacing w:after="0" w:line="240" w:lineRule="auto"/>
              <w:ind w:left="0" w:firstLine="0"/>
              <w:contextualSpacing/>
              <w:jc w:val="center"/>
              <w:rPr>
                <w:sz w:val="20"/>
                <w:szCs w:val="20"/>
                <w:lang w:val="sv-SE"/>
              </w:rPr>
            </w:pPr>
            <w:r w:rsidRPr="004A019F">
              <w:rPr>
                <w:sz w:val="20"/>
                <w:szCs w:val="20"/>
                <w:lang w:val="sv-SE"/>
              </w:rPr>
              <w:t>1</w:t>
            </w:r>
            <w:r w:rsidR="00066359" w:rsidRPr="004A019F">
              <w:rPr>
                <w:sz w:val="20"/>
                <w:szCs w:val="20"/>
                <w:lang w:val="sv-SE"/>
              </w:rPr>
              <w:t> </w:t>
            </w:r>
            <w:r w:rsidRPr="004A019F">
              <w:rPr>
                <w:sz w:val="20"/>
                <w:szCs w:val="20"/>
                <w:lang w:val="sv-SE"/>
              </w:rPr>
              <w:t>653 (97,6</w:t>
            </w:r>
            <w:r w:rsidR="00493EEC" w:rsidRPr="004A019F">
              <w:rPr>
                <w:sz w:val="20"/>
                <w:szCs w:val="20"/>
                <w:lang w:val="sv-SE"/>
              </w:rPr>
              <w:t> %</w:t>
            </w:r>
            <w:r w:rsidRPr="004A019F">
              <w:rPr>
                <w:sz w:val="20"/>
                <w:szCs w:val="20"/>
                <w:lang w:val="sv-SE"/>
              </w:rPr>
              <w:t>)</w:t>
            </w:r>
          </w:p>
        </w:tc>
        <w:tc>
          <w:tcPr>
            <w:tcW w:w="939" w:type="pct"/>
            <w:tcBorders>
              <w:top w:val="single" w:sz="4" w:space="0" w:color="000000"/>
              <w:right w:val="single" w:sz="4" w:space="0" w:color="000000"/>
            </w:tcBorders>
            <w:shd w:val="clear" w:color="auto" w:fill="auto"/>
          </w:tcPr>
          <w:p w14:paraId="09769A56" w14:textId="77777777" w:rsidR="005E1A28" w:rsidRPr="004A019F" w:rsidRDefault="005E1A28" w:rsidP="004A019F">
            <w:pPr>
              <w:tabs>
                <w:tab w:val="center" w:pos="675"/>
                <w:tab w:val="center" w:pos="2235"/>
              </w:tabs>
              <w:spacing w:after="0" w:line="240" w:lineRule="auto"/>
              <w:ind w:left="0"/>
              <w:contextualSpacing/>
              <w:jc w:val="center"/>
              <w:rPr>
                <w:sz w:val="20"/>
                <w:szCs w:val="20"/>
                <w:lang w:val="sv-SE"/>
              </w:rPr>
            </w:pPr>
          </w:p>
          <w:p w14:paraId="260B8845" w14:textId="21A26E8F" w:rsidR="005E1A28" w:rsidRPr="004A019F" w:rsidRDefault="005E1A28" w:rsidP="004A019F">
            <w:pPr>
              <w:tabs>
                <w:tab w:val="center" w:pos="675"/>
                <w:tab w:val="center" w:pos="2235"/>
              </w:tabs>
              <w:spacing w:after="0" w:line="240" w:lineRule="auto"/>
              <w:ind w:left="0"/>
              <w:contextualSpacing/>
              <w:jc w:val="center"/>
              <w:rPr>
                <w:sz w:val="20"/>
                <w:szCs w:val="20"/>
                <w:lang w:val="sv-SE"/>
              </w:rPr>
            </w:pPr>
            <w:r w:rsidRPr="004A019F">
              <w:rPr>
                <w:sz w:val="20"/>
                <w:szCs w:val="20"/>
                <w:lang w:val="sv-SE"/>
              </w:rPr>
              <w:t>31 (1,8</w:t>
            </w:r>
            <w:r w:rsidR="00493EEC" w:rsidRPr="004A019F">
              <w:rPr>
                <w:sz w:val="20"/>
                <w:szCs w:val="20"/>
                <w:lang w:val="sv-SE"/>
              </w:rPr>
              <w:t> %</w:t>
            </w:r>
            <w:r w:rsidRPr="004A019F">
              <w:rPr>
                <w:sz w:val="20"/>
                <w:szCs w:val="20"/>
                <w:lang w:val="sv-SE"/>
              </w:rPr>
              <w:t>)</w:t>
            </w:r>
          </w:p>
          <w:p w14:paraId="23778D4B" w14:textId="140B5F70" w:rsidR="005E1A28" w:rsidRPr="004A019F" w:rsidRDefault="005E1A28" w:rsidP="004A019F">
            <w:pPr>
              <w:tabs>
                <w:tab w:val="center" w:pos="675"/>
                <w:tab w:val="center" w:pos="2235"/>
              </w:tabs>
              <w:spacing w:after="0" w:line="240" w:lineRule="auto"/>
              <w:ind w:left="0"/>
              <w:contextualSpacing/>
              <w:jc w:val="center"/>
              <w:rPr>
                <w:sz w:val="20"/>
                <w:szCs w:val="20"/>
                <w:lang w:val="sv-SE"/>
              </w:rPr>
            </w:pPr>
            <w:r w:rsidRPr="004A019F">
              <w:rPr>
                <w:sz w:val="20"/>
                <w:szCs w:val="20"/>
                <w:lang w:val="sv-SE"/>
              </w:rPr>
              <w:t>1</w:t>
            </w:r>
            <w:r w:rsidR="00066359" w:rsidRPr="004A019F">
              <w:rPr>
                <w:sz w:val="20"/>
                <w:szCs w:val="20"/>
                <w:lang w:val="sv-SE"/>
              </w:rPr>
              <w:t> </w:t>
            </w:r>
            <w:r w:rsidRPr="004A019F">
              <w:rPr>
                <w:sz w:val="20"/>
                <w:szCs w:val="20"/>
                <w:lang w:val="sv-SE"/>
              </w:rPr>
              <w:t>662 (98,2</w:t>
            </w:r>
            <w:r w:rsidR="00493EEC" w:rsidRPr="004A019F">
              <w:rPr>
                <w:sz w:val="20"/>
                <w:szCs w:val="20"/>
                <w:lang w:val="sv-SE"/>
              </w:rPr>
              <w:t> %</w:t>
            </w:r>
            <w:r w:rsidRPr="004A019F">
              <w:rPr>
                <w:sz w:val="20"/>
                <w:szCs w:val="20"/>
                <w:lang w:val="sv-SE"/>
              </w:rPr>
              <w:t>)</w:t>
            </w:r>
          </w:p>
        </w:tc>
        <w:tc>
          <w:tcPr>
            <w:tcW w:w="783" w:type="pct"/>
            <w:tcBorders>
              <w:top w:val="single" w:sz="4" w:space="0" w:color="000000"/>
              <w:left w:val="single" w:sz="4" w:space="0" w:color="000000"/>
            </w:tcBorders>
            <w:shd w:val="clear" w:color="auto" w:fill="auto"/>
          </w:tcPr>
          <w:p w14:paraId="3C744200" w14:textId="77777777" w:rsidR="005E1A28" w:rsidRPr="004A019F" w:rsidRDefault="005E1A28" w:rsidP="004A019F">
            <w:pPr>
              <w:tabs>
                <w:tab w:val="right" w:pos="3000"/>
              </w:tabs>
              <w:spacing w:after="0" w:line="240" w:lineRule="auto"/>
              <w:ind w:left="0" w:firstLine="0"/>
              <w:contextualSpacing/>
              <w:jc w:val="center"/>
              <w:rPr>
                <w:sz w:val="20"/>
                <w:szCs w:val="20"/>
                <w:lang w:val="sv-SE"/>
              </w:rPr>
            </w:pPr>
          </w:p>
          <w:p w14:paraId="5314C5FA" w14:textId="6EB1508D" w:rsidR="005E1A28" w:rsidRPr="004A019F" w:rsidRDefault="005E1A28" w:rsidP="004A019F">
            <w:pPr>
              <w:tabs>
                <w:tab w:val="right" w:pos="3000"/>
              </w:tabs>
              <w:spacing w:after="0" w:line="240" w:lineRule="auto"/>
              <w:ind w:left="0" w:firstLine="0"/>
              <w:contextualSpacing/>
              <w:jc w:val="center"/>
              <w:rPr>
                <w:sz w:val="20"/>
                <w:szCs w:val="20"/>
                <w:lang w:val="sv-SE"/>
              </w:rPr>
            </w:pPr>
            <w:r w:rsidRPr="004A019F">
              <w:rPr>
                <w:sz w:val="20"/>
                <w:szCs w:val="20"/>
                <w:lang w:val="sv-SE"/>
              </w:rPr>
              <w:t>350 (20,6</w:t>
            </w:r>
            <w:r w:rsidR="00493EEC" w:rsidRPr="004A019F">
              <w:rPr>
                <w:sz w:val="20"/>
                <w:szCs w:val="20"/>
                <w:lang w:val="sv-SE"/>
              </w:rPr>
              <w:t> %</w:t>
            </w:r>
            <w:r w:rsidRPr="004A019F">
              <w:rPr>
                <w:sz w:val="20"/>
                <w:szCs w:val="20"/>
                <w:lang w:val="sv-SE"/>
              </w:rPr>
              <w:t>)</w:t>
            </w:r>
          </w:p>
          <w:p w14:paraId="5EFBE8B3" w14:textId="14C3D90A" w:rsidR="005E1A28" w:rsidRPr="004A019F" w:rsidRDefault="005E1A28" w:rsidP="004A019F">
            <w:pPr>
              <w:tabs>
                <w:tab w:val="right" w:pos="3000"/>
              </w:tabs>
              <w:spacing w:after="0" w:line="240" w:lineRule="auto"/>
              <w:ind w:left="0" w:firstLine="0"/>
              <w:contextualSpacing/>
              <w:jc w:val="center"/>
              <w:rPr>
                <w:sz w:val="20"/>
                <w:szCs w:val="20"/>
                <w:lang w:val="sv-SE"/>
              </w:rPr>
            </w:pPr>
            <w:r w:rsidRPr="004A019F">
              <w:rPr>
                <w:sz w:val="20"/>
                <w:szCs w:val="20"/>
                <w:lang w:val="sv-SE"/>
              </w:rPr>
              <w:t>1</w:t>
            </w:r>
            <w:r w:rsidR="00066359" w:rsidRPr="004A019F">
              <w:rPr>
                <w:sz w:val="20"/>
                <w:szCs w:val="20"/>
                <w:lang w:val="sv-SE"/>
              </w:rPr>
              <w:t> </w:t>
            </w:r>
            <w:r w:rsidRPr="004A019F">
              <w:rPr>
                <w:sz w:val="20"/>
                <w:szCs w:val="20"/>
                <w:lang w:val="sv-SE"/>
              </w:rPr>
              <w:t>347 (79,4</w:t>
            </w:r>
            <w:r w:rsidR="00493EEC" w:rsidRPr="004A019F">
              <w:rPr>
                <w:sz w:val="20"/>
                <w:szCs w:val="20"/>
                <w:lang w:val="sv-SE"/>
              </w:rPr>
              <w:t> %</w:t>
            </w:r>
            <w:r w:rsidRPr="004A019F">
              <w:rPr>
                <w:sz w:val="20"/>
                <w:szCs w:val="20"/>
                <w:lang w:val="sv-SE"/>
              </w:rPr>
              <w:t>)</w:t>
            </w:r>
          </w:p>
        </w:tc>
        <w:tc>
          <w:tcPr>
            <w:tcW w:w="935" w:type="pct"/>
            <w:tcBorders>
              <w:top w:val="single" w:sz="4" w:space="0" w:color="000000"/>
              <w:right w:val="single" w:sz="4" w:space="0" w:color="000000"/>
            </w:tcBorders>
            <w:shd w:val="clear" w:color="auto" w:fill="auto"/>
          </w:tcPr>
          <w:p w14:paraId="011B15EA" w14:textId="77777777" w:rsidR="005E1A28" w:rsidRPr="004A019F" w:rsidRDefault="005E1A28" w:rsidP="004A019F">
            <w:pPr>
              <w:tabs>
                <w:tab w:val="right" w:pos="3000"/>
              </w:tabs>
              <w:spacing w:after="0" w:line="240" w:lineRule="auto"/>
              <w:ind w:left="90" w:firstLine="0"/>
              <w:contextualSpacing/>
              <w:jc w:val="center"/>
              <w:rPr>
                <w:sz w:val="20"/>
                <w:szCs w:val="20"/>
                <w:lang w:val="sv-SE"/>
              </w:rPr>
            </w:pPr>
          </w:p>
          <w:p w14:paraId="0724614B" w14:textId="0483A475" w:rsidR="005E1A28" w:rsidRPr="004A019F" w:rsidRDefault="005E1A28" w:rsidP="004A019F">
            <w:pPr>
              <w:tabs>
                <w:tab w:val="right" w:pos="3000"/>
              </w:tabs>
              <w:spacing w:after="0" w:line="240" w:lineRule="auto"/>
              <w:ind w:left="90" w:firstLine="0"/>
              <w:contextualSpacing/>
              <w:jc w:val="center"/>
              <w:rPr>
                <w:sz w:val="20"/>
                <w:szCs w:val="20"/>
                <w:lang w:val="sv-SE"/>
              </w:rPr>
            </w:pPr>
            <w:r w:rsidRPr="004A019F">
              <w:rPr>
                <w:sz w:val="20"/>
                <w:szCs w:val="20"/>
                <w:lang w:val="sv-SE"/>
              </w:rPr>
              <w:t>278 (16,3</w:t>
            </w:r>
            <w:r w:rsidR="00493EEC" w:rsidRPr="004A019F">
              <w:rPr>
                <w:sz w:val="20"/>
                <w:szCs w:val="20"/>
                <w:lang w:val="sv-SE"/>
              </w:rPr>
              <w:t> %</w:t>
            </w:r>
            <w:r w:rsidRPr="004A019F">
              <w:rPr>
                <w:sz w:val="20"/>
                <w:szCs w:val="20"/>
                <w:lang w:val="sv-SE"/>
              </w:rPr>
              <w:t>)</w:t>
            </w:r>
          </w:p>
          <w:p w14:paraId="19B51EF7" w14:textId="63EE907E" w:rsidR="005E1A28" w:rsidRPr="004A019F" w:rsidRDefault="005E1A28" w:rsidP="004A019F">
            <w:pPr>
              <w:tabs>
                <w:tab w:val="right" w:pos="3000"/>
              </w:tabs>
              <w:spacing w:after="0" w:line="240" w:lineRule="auto"/>
              <w:ind w:left="90" w:firstLine="0"/>
              <w:contextualSpacing/>
              <w:jc w:val="center"/>
              <w:rPr>
                <w:sz w:val="20"/>
                <w:szCs w:val="20"/>
                <w:lang w:val="sv-SE"/>
              </w:rPr>
            </w:pPr>
            <w:r w:rsidRPr="004A019F">
              <w:rPr>
                <w:sz w:val="20"/>
                <w:szCs w:val="20"/>
                <w:lang w:val="sv-SE"/>
              </w:rPr>
              <w:t>1</w:t>
            </w:r>
            <w:r w:rsidR="00066359" w:rsidRPr="004A019F">
              <w:rPr>
                <w:sz w:val="20"/>
                <w:szCs w:val="20"/>
                <w:lang w:val="sv-SE"/>
              </w:rPr>
              <w:t> </w:t>
            </w:r>
            <w:r w:rsidRPr="004A019F">
              <w:rPr>
                <w:sz w:val="20"/>
                <w:szCs w:val="20"/>
                <w:lang w:val="sv-SE"/>
              </w:rPr>
              <w:t>424 (83,7</w:t>
            </w:r>
            <w:r w:rsidR="00493EEC" w:rsidRPr="004A019F">
              <w:rPr>
                <w:sz w:val="20"/>
                <w:szCs w:val="20"/>
                <w:lang w:val="sv-SE"/>
              </w:rPr>
              <w:t> %</w:t>
            </w:r>
            <w:r w:rsidRPr="004A019F">
              <w:rPr>
                <w:sz w:val="20"/>
                <w:szCs w:val="20"/>
                <w:lang w:val="sv-SE"/>
              </w:rPr>
              <w:t>)</w:t>
            </w:r>
          </w:p>
        </w:tc>
      </w:tr>
      <w:tr w:rsidR="00AD14F8" w:rsidRPr="00A74CC6" w14:paraId="2217D5D9" w14:textId="77777777" w:rsidTr="004A019F">
        <w:trPr>
          <w:trHeight w:val="252"/>
        </w:trPr>
        <w:tc>
          <w:tcPr>
            <w:tcW w:w="1558" w:type="pct"/>
            <w:tcBorders>
              <w:left w:val="single" w:sz="4" w:space="0" w:color="000000"/>
              <w:bottom w:val="single" w:sz="4" w:space="0" w:color="auto"/>
              <w:right w:val="single" w:sz="4" w:space="0" w:color="000000"/>
            </w:tcBorders>
            <w:shd w:val="clear" w:color="auto" w:fill="auto"/>
          </w:tcPr>
          <w:p w14:paraId="2767C7D1" w14:textId="77777777" w:rsidR="001E6802" w:rsidRPr="004A019F" w:rsidRDefault="005E1A28" w:rsidP="004A019F">
            <w:pPr>
              <w:spacing w:after="0" w:line="240" w:lineRule="auto"/>
              <w:ind w:left="0" w:firstLine="0"/>
              <w:contextualSpacing/>
              <w:rPr>
                <w:sz w:val="20"/>
                <w:szCs w:val="20"/>
                <w:lang w:val="fr-FR"/>
              </w:rPr>
            </w:pPr>
            <w:r w:rsidRPr="004A019F">
              <w:rPr>
                <w:sz w:val="20"/>
                <w:szCs w:val="20"/>
                <w:lang w:val="fr-FR"/>
              </w:rPr>
              <w:t>P-</w:t>
            </w:r>
            <w:proofErr w:type="spellStart"/>
            <w:r w:rsidRPr="004A019F">
              <w:rPr>
                <w:sz w:val="20"/>
                <w:szCs w:val="20"/>
                <w:lang w:val="fr-FR"/>
              </w:rPr>
              <w:t>värde</w:t>
            </w:r>
            <w:proofErr w:type="spellEnd"/>
            <w:r w:rsidRPr="004A019F">
              <w:rPr>
                <w:sz w:val="20"/>
                <w:szCs w:val="20"/>
                <w:lang w:val="fr-FR"/>
              </w:rPr>
              <w:t xml:space="preserve"> versus observation</w:t>
            </w:r>
          </w:p>
          <w:p w14:paraId="53696E72" w14:textId="77777777" w:rsidR="005E1A28" w:rsidRPr="004A019F" w:rsidRDefault="005E1A28" w:rsidP="004A019F">
            <w:pPr>
              <w:spacing w:after="0" w:line="240" w:lineRule="auto"/>
              <w:ind w:left="0" w:firstLine="0"/>
              <w:contextualSpacing/>
              <w:rPr>
                <w:sz w:val="20"/>
                <w:szCs w:val="20"/>
                <w:lang w:val="fr-FR"/>
              </w:rPr>
            </w:pPr>
            <w:r w:rsidRPr="004A019F">
              <w:rPr>
                <w:sz w:val="20"/>
                <w:szCs w:val="20"/>
                <w:lang w:val="fr-FR"/>
              </w:rPr>
              <w:t>Hazard ratio versus observation</w:t>
            </w:r>
          </w:p>
        </w:tc>
        <w:tc>
          <w:tcPr>
            <w:tcW w:w="1723" w:type="pct"/>
            <w:gridSpan w:val="2"/>
            <w:tcBorders>
              <w:left w:val="single" w:sz="4" w:space="0" w:color="000000"/>
              <w:bottom w:val="single" w:sz="4" w:space="0" w:color="auto"/>
              <w:right w:val="single" w:sz="4" w:space="0" w:color="000000"/>
            </w:tcBorders>
            <w:shd w:val="clear" w:color="auto" w:fill="auto"/>
          </w:tcPr>
          <w:p w14:paraId="0EBEFD3C" w14:textId="77777777" w:rsidR="001E6802" w:rsidRPr="004A019F" w:rsidRDefault="005E1A28" w:rsidP="004A019F">
            <w:pPr>
              <w:tabs>
                <w:tab w:val="right" w:pos="2904"/>
              </w:tabs>
              <w:spacing w:after="0" w:line="240" w:lineRule="auto"/>
              <w:ind w:left="0" w:firstLine="0"/>
              <w:contextualSpacing/>
              <w:jc w:val="center"/>
              <w:rPr>
                <w:sz w:val="20"/>
                <w:szCs w:val="20"/>
                <w:lang w:val="sv-SE"/>
              </w:rPr>
            </w:pPr>
            <w:r w:rsidRPr="004A019F">
              <w:rPr>
                <w:sz w:val="20"/>
                <w:szCs w:val="20"/>
                <w:lang w:val="sv-SE"/>
              </w:rPr>
              <w:t>0,24</w:t>
            </w:r>
          </w:p>
          <w:p w14:paraId="500596E6" w14:textId="77777777" w:rsidR="005E1A28" w:rsidRPr="004A019F" w:rsidRDefault="005E1A28" w:rsidP="004A019F">
            <w:pPr>
              <w:tabs>
                <w:tab w:val="right" w:pos="2904"/>
              </w:tabs>
              <w:spacing w:after="0" w:line="240" w:lineRule="auto"/>
              <w:ind w:left="0" w:firstLine="0"/>
              <w:contextualSpacing/>
              <w:jc w:val="center"/>
              <w:rPr>
                <w:sz w:val="20"/>
                <w:szCs w:val="20"/>
                <w:lang w:val="sv-SE"/>
              </w:rPr>
            </w:pPr>
            <w:r w:rsidRPr="004A019F">
              <w:rPr>
                <w:sz w:val="20"/>
                <w:szCs w:val="20"/>
                <w:lang w:val="sv-SE"/>
              </w:rPr>
              <w:t>0,75</w:t>
            </w:r>
          </w:p>
        </w:tc>
        <w:tc>
          <w:tcPr>
            <w:tcW w:w="1719" w:type="pct"/>
            <w:gridSpan w:val="2"/>
            <w:tcBorders>
              <w:left w:val="single" w:sz="4" w:space="0" w:color="000000"/>
              <w:bottom w:val="single" w:sz="4" w:space="0" w:color="auto"/>
              <w:right w:val="single" w:sz="4" w:space="0" w:color="000000"/>
            </w:tcBorders>
            <w:shd w:val="clear" w:color="auto" w:fill="auto"/>
          </w:tcPr>
          <w:p w14:paraId="017AE6ED" w14:textId="77777777" w:rsidR="001E6802" w:rsidRPr="004A019F" w:rsidRDefault="005E1A28" w:rsidP="004A019F">
            <w:pPr>
              <w:tabs>
                <w:tab w:val="right" w:pos="3000"/>
              </w:tabs>
              <w:spacing w:after="0" w:line="240" w:lineRule="auto"/>
              <w:ind w:left="0" w:firstLine="0"/>
              <w:contextualSpacing/>
              <w:jc w:val="center"/>
              <w:rPr>
                <w:sz w:val="20"/>
                <w:szCs w:val="20"/>
                <w:lang w:val="sv-SE"/>
              </w:rPr>
            </w:pPr>
            <w:r w:rsidRPr="004A019F">
              <w:rPr>
                <w:sz w:val="20"/>
                <w:szCs w:val="20"/>
                <w:lang w:val="sv-SE"/>
              </w:rPr>
              <w:t>0,0005</w:t>
            </w:r>
          </w:p>
          <w:p w14:paraId="62F9BEC1" w14:textId="77777777" w:rsidR="005E1A28" w:rsidRPr="004A019F" w:rsidRDefault="005E1A28" w:rsidP="004A019F">
            <w:pPr>
              <w:tabs>
                <w:tab w:val="right" w:pos="3000"/>
              </w:tabs>
              <w:spacing w:after="0" w:line="240" w:lineRule="auto"/>
              <w:ind w:left="0" w:firstLine="0"/>
              <w:contextualSpacing/>
              <w:jc w:val="center"/>
              <w:rPr>
                <w:sz w:val="20"/>
                <w:szCs w:val="20"/>
                <w:lang w:val="sv-SE"/>
              </w:rPr>
            </w:pPr>
            <w:r w:rsidRPr="004A019F">
              <w:rPr>
                <w:sz w:val="20"/>
                <w:szCs w:val="20"/>
                <w:lang w:val="sv-SE"/>
              </w:rPr>
              <w:t>0,76</w:t>
            </w:r>
          </w:p>
        </w:tc>
      </w:tr>
    </w:tbl>
    <w:p w14:paraId="07739BB6" w14:textId="016C7558" w:rsidR="005027AB" w:rsidRPr="008763E6" w:rsidRDefault="00264096" w:rsidP="002314CE">
      <w:pPr>
        <w:spacing w:after="0" w:line="240" w:lineRule="auto"/>
        <w:ind w:left="0" w:firstLine="0"/>
        <w:contextualSpacing/>
        <w:rPr>
          <w:sz w:val="18"/>
          <w:szCs w:val="18"/>
          <w:lang w:val="sv-SE"/>
        </w:rPr>
      </w:pPr>
      <w:r w:rsidRPr="008763E6">
        <w:rPr>
          <w:sz w:val="18"/>
          <w:szCs w:val="18"/>
          <w:lang w:val="sv-SE"/>
        </w:rPr>
        <w:t xml:space="preserve">* </w:t>
      </w:r>
      <w:r w:rsidR="00D633C3" w:rsidRPr="008763E6">
        <w:rPr>
          <w:sz w:val="18"/>
          <w:szCs w:val="18"/>
          <w:lang w:val="sv-SE"/>
        </w:rPr>
        <w:t>De</w:t>
      </w:r>
      <w:r w:rsidR="008A0BDE" w:rsidRPr="008763E6">
        <w:rPr>
          <w:sz w:val="18"/>
          <w:szCs w:val="18"/>
          <w:lang w:val="sv-SE"/>
        </w:rPr>
        <w:t>n</w:t>
      </w:r>
      <w:r w:rsidR="00D633C3" w:rsidRPr="008763E6">
        <w:rPr>
          <w:sz w:val="18"/>
          <w:szCs w:val="18"/>
          <w:lang w:val="sv-SE"/>
        </w:rPr>
        <w:t xml:space="preserve"> c</w:t>
      </w:r>
      <w:r w:rsidRPr="008763E6">
        <w:rPr>
          <w:sz w:val="18"/>
          <w:szCs w:val="18"/>
          <w:lang w:val="sv-SE"/>
        </w:rPr>
        <w:t>o-primär</w:t>
      </w:r>
      <w:r w:rsidR="00D633C3" w:rsidRPr="008763E6">
        <w:rPr>
          <w:sz w:val="18"/>
          <w:szCs w:val="18"/>
          <w:lang w:val="sv-SE"/>
        </w:rPr>
        <w:t>a</w:t>
      </w:r>
      <w:r w:rsidRPr="008763E6">
        <w:rPr>
          <w:sz w:val="18"/>
          <w:szCs w:val="18"/>
          <w:lang w:val="sv-SE"/>
        </w:rPr>
        <w:t xml:space="preserve"> effekt</w:t>
      </w:r>
      <w:r w:rsidR="008A0BDE" w:rsidRPr="008763E6">
        <w:rPr>
          <w:sz w:val="18"/>
          <w:szCs w:val="18"/>
          <w:lang w:val="sv-SE"/>
        </w:rPr>
        <w:t>variabeln</w:t>
      </w:r>
      <w:r w:rsidRPr="008763E6">
        <w:rPr>
          <w:sz w:val="18"/>
          <w:szCs w:val="18"/>
          <w:lang w:val="sv-SE"/>
        </w:rPr>
        <w:t xml:space="preserve"> sjukdomsfri överlevnad </w:t>
      </w:r>
      <w:r w:rsidR="00D633C3" w:rsidRPr="008763E6">
        <w:rPr>
          <w:sz w:val="18"/>
          <w:szCs w:val="18"/>
          <w:lang w:val="sv-SE"/>
        </w:rPr>
        <w:t>i</w:t>
      </w:r>
      <w:r w:rsidRPr="008763E6">
        <w:rPr>
          <w:sz w:val="18"/>
          <w:szCs w:val="18"/>
          <w:lang w:val="sv-SE"/>
        </w:rPr>
        <w:t xml:space="preserve"> 1</w:t>
      </w:r>
      <w:r w:rsidR="00D633C3" w:rsidRPr="008763E6">
        <w:rPr>
          <w:sz w:val="18"/>
          <w:szCs w:val="18"/>
          <w:lang w:val="sv-SE"/>
        </w:rPr>
        <w:t> </w:t>
      </w:r>
      <w:r w:rsidRPr="008763E6">
        <w:rPr>
          <w:sz w:val="18"/>
          <w:szCs w:val="18"/>
          <w:lang w:val="sv-SE"/>
        </w:rPr>
        <w:t>år versus observation uppnådde den fördefinierade statistiska gränsen</w:t>
      </w:r>
    </w:p>
    <w:p w14:paraId="7929393B" w14:textId="38DE571C" w:rsidR="005027AB" w:rsidRPr="008763E6" w:rsidRDefault="00264096" w:rsidP="002314CE">
      <w:pPr>
        <w:spacing w:after="0" w:line="240" w:lineRule="auto"/>
        <w:ind w:left="0" w:firstLine="0"/>
        <w:contextualSpacing/>
        <w:rPr>
          <w:sz w:val="18"/>
          <w:szCs w:val="18"/>
          <w:lang w:val="sv-SE"/>
        </w:rPr>
      </w:pPr>
      <w:r w:rsidRPr="008763E6">
        <w:rPr>
          <w:sz w:val="18"/>
          <w:szCs w:val="18"/>
          <w:lang w:val="sv-SE"/>
        </w:rPr>
        <w:t>**Final analys (inkluderande crossover av 52</w:t>
      </w:r>
      <w:r w:rsidR="00B268E6" w:rsidRPr="008763E6">
        <w:rPr>
          <w:sz w:val="18"/>
          <w:szCs w:val="18"/>
          <w:lang w:val="sv-SE"/>
        </w:rPr>
        <w:t> %</w:t>
      </w:r>
      <w:r w:rsidRPr="008763E6">
        <w:rPr>
          <w:sz w:val="18"/>
          <w:szCs w:val="18"/>
          <w:lang w:val="sv-SE"/>
        </w:rPr>
        <w:t xml:space="preserve"> av patienterna från observationsarmen till </w:t>
      </w:r>
      <w:r w:rsidR="00493EEC" w:rsidRPr="008763E6">
        <w:rPr>
          <w:sz w:val="18"/>
          <w:szCs w:val="18"/>
          <w:lang w:val="sv-SE"/>
        </w:rPr>
        <w:t>trastuzumab</w:t>
      </w:r>
      <w:r w:rsidRPr="008763E6">
        <w:rPr>
          <w:sz w:val="18"/>
          <w:szCs w:val="18"/>
          <w:lang w:val="sv-SE"/>
        </w:rPr>
        <w:t>)</w:t>
      </w:r>
    </w:p>
    <w:p w14:paraId="3D857B67" w14:textId="099C49F3" w:rsidR="005027AB" w:rsidRPr="00A74CC6" w:rsidRDefault="00264096" w:rsidP="002314CE">
      <w:pPr>
        <w:spacing w:after="0" w:line="240" w:lineRule="auto"/>
        <w:ind w:left="0" w:firstLine="0"/>
        <w:contextualSpacing/>
        <w:rPr>
          <w:sz w:val="20"/>
          <w:lang w:val="sv-SE"/>
        </w:rPr>
      </w:pPr>
      <w:r w:rsidRPr="008763E6">
        <w:rPr>
          <w:sz w:val="18"/>
          <w:szCs w:val="18"/>
          <w:lang w:val="sv-SE"/>
        </w:rPr>
        <w:t xml:space="preserve">*** Det finns en diskrepans i den totala </w:t>
      </w:r>
      <w:r w:rsidR="00D633C3" w:rsidRPr="008763E6">
        <w:rPr>
          <w:sz w:val="18"/>
          <w:szCs w:val="18"/>
          <w:lang w:val="sv-SE"/>
        </w:rPr>
        <w:t>sampel</w:t>
      </w:r>
      <w:r w:rsidRPr="008763E6">
        <w:rPr>
          <w:sz w:val="18"/>
          <w:szCs w:val="18"/>
          <w:lang w:val="sv-SE"/>
        </w:rPr>
        <w:t xml:space="preserve">sstorleken på grund av ett litet antal patienter som randomiserades efter brytpunkten för analysen </w:t>
      </w:r>
      <w:r w:rsidR="00D633C3" w:rsidRPr="008763E6">
        <w:rPr>
          <w:sz w:val="18"/>
          <w:szCs w:val="18"/>
          <w:lang w:val="sv-SE"/>
        </w:rPr>
        <w:t>vid</w:t>
      </w:r>
      <w:r w:rsidRPr="008763E6">
        <w:rPr>
          <w:sz w:val="18"/>
          <w:szCs w:val="18"/>
          <w:lang w:val="sv-SE"/>
        </w:rPr>
        <w:t xml:space="preserve"> 12</w:t>
      </w:r>
      <w:r w:rsidR="00E60F29" w:rsidRPr="008763E6">
        <w:rPr>
          <w:sz w:val="18"/>
          <w:szCs w:val="18"/>
          <w:lang w:val="sv-SE"/>
        </w:rPr>
        <w:t> </w:t>
      </w:r>
      <w:r w:rsidRPr="008763E6">
        <w:rPr>
          <w:sz w:val="18"/>
          <w:szCs w:val="18"/>
          <w:lang w:val="sv-SE"/>
        </w:rPr>
        <w:t>månaders medianuppföljning</w:t>
      </w:r>
    </w:p>
    <w:p w14:paraId="44DBF8B5" w14:textId="77777777" w:rsidR="00031A62" w:rsidRPr="00A74CC6" w:rsidRDefault="00031A62" w:rsidP="001E7238">
      <w:pPr>
        <w:spacing w:after="0" w:line="240" w:lineRule="auto"/>
        <w:ind w:left="9" w:hanging="10"/>
        <w:contextualSpacing/>
        <w:rPr>
          <w:lang w:val="sv-SE"/>
        </w:rPr>
      </w:pPr>
    </w:p>
    <w:p w14:paraId="45E10CDF" w14:textId="55BC3392" w:rsidR="005027AB" w:rsidRPr="00A74CC6" w:rsidRDefault="00264096" w:rsidP="001E7238">
      <w:pPr>
        <w:spacing w:after="0" w:line="240" w:lineRule="auto"/>
        <w:ind w:left="4" w:right="13"/>
        <w:contextualSpacing/>
        <w:rPr>
          <w:lang w:val="sv-SE"/>
        </w:rPr>
      </w:pPr>
      <w:r w:rsidRPr="00A74CC6">
        <w:rPr>
          <w:lang w:val="sv-SE"/>
        </w:rPr>
        <w:t>Effektresultaten från interimsanalysen korsade den i protokollet fördefinierade statistiska gränsen för jämförelsen av 1</w:t>
      </w:r>
      <w:r w:rsidR="00D633C3" w:rsidRPr="00A74CC6">
        <w:rPr>
          <w:lang w:val="sv-SE"/>
        </w:rPr>
        <w:t> </w:t>
      </w:r>
      <w:r w:rsidRPr="00A74CC6">
        <w:rPr>
          <w:lang w:val="sv-SE"/>
        </w:rPr>
        <w:t xml:space="preserve">års </w:t>
      </w:r>
      <w:r w:rsidR="00493EEC" w:rsidRPr="00A74CC6">
        <w:rPr>
          <w:lang w:val="sv-SE"/>
        </w:rPr>
        <w:t xml:space="preserve">trastuzumabbehandling </w:t>
      </w:r>
      <w:r w:rsidRPr="00A74CC6">
        <w:rPr>
          <w:lang w:val="sv-SE"/>
        </w:rPr>
        <w:t>med observationsarmen. Efter en medianuppföljningstid på 12</w:t>
      </w:r>
      <w:r w:rsidR="00D633C3" w:rsidRPr="00A74CC6">
        <w:rPr>
          <w:lang w:val="sv-SE"/>
        </w:rPr>
        <w:t> </w:t>
      </w:r>
      <w:r w:rsidRPr="00A74CC6">
        <w:rPr>
          <w:lang w:val="sv-SE"/>
        </w:rPr>
        <w:t xml:space="preserve">månader var HR för </w:t>
      </w:r>
      <w:r w:rsidR="00A744E1">
        <w:rPr>
          <w:lang w:val="sv-SE"/>
        </w:rPr>
        <w:t>DFS</w:t>
      </w:r>
      <w:r w:rsidRPr="00A74CC6">
        <w:rPr>
          <w:lang w:val="sv-SE"/>
        </w:rPr>
        <w:t xml:space="preserve"> 0,54 (95</w:t>
      </w:r>
      <w:r w:rsidR="00B268E6" w:rsidRPr="00A74CC6">
        <w:rPr>
          <w:lang w:val="sv-SE"/>
        </w:rPr>
        <w:t> %</w:t>
      </w:r>
      <w:r w:rsidRPr="00A74CC6">
        <w:rPr>
          <w:lang w:val="sv-SE"/>
        </w:rPr>
        <w:t xml:space="preserve"> KI</w:t>
      </w:r>
      <w:r w:rsidR="00940BDC">
        <w:rPr>
          <w:lang w:val="sv-SE"/>
        </w:rPr>
        <w:t>:</w:t>
      </w:r>
      <w:r w:rsidRPr="00A74CC6">
        <w:rPr>
          <w:lang w:val="sv-SE"/>
        </w:rPr>
        <w:t xml:space="preserve"> 0,44, 0,67), vilket </w:t>
      </w:r>
      <w:r w:rsidR="000C79D8" w:rsidRPr="00A74CC6">
        <w:rPr>
          <w:lang w:val="sv-SE"/>
        </w:rPr>
        <w:t>ger en</w:t>
      </w:r>
      <w:r w:rsidRPr="00A74CC6">
        <w:rPr>
          <w:lang w:val="sv-SE"/>
        </w:rPr>
        <w:t xml:space="preserve"> absolut</w:t>
      </w:r>
      <w:r w:rsidR="000C79D8" w:rsidRPr="00A74CC6">
        <w:rPr>
          <w:lang w:val="sv-SE"/>
        </w:rPr>
        <w:t xml:space="preserve"> </w:t>
      </w:r>
      <w:r w:rsidR="005668D1" w:rsidRPr="00A74CC6">
        <w:rPr>
          <w:lang w:val="sv-SE"/>
        </w:rPr>
        <w:t xml:space="preserve">behandlingsvinst på </w:t>
      </w:r>
      <w:r w:rsidR="000C79D8" w:rsidRPr="00A74CC6">
        <w:rPr>
          <w:lang w:val="sv-SE"/>
        </w:rPr>
        <w:t>7,6 </w:t>
      </w:r>
      <w:r w:rsidR="005668D1" w:rsidRPr="00A74CC6">
        <w:rPr>
          <w:lang w:val="sv-SE"/>
        </w:rPr>
        <w:t>procentenheter</w:t>
      </w:r>
      <w:r w:rsidR="009A1CAD" w:rsidRPr="00A74CC6">
        <w:rPr>
          <w:lang w:val="sv-SE"/>
        </w:rPr>
        <w:t xml:space="preserve"> för </w:t>
      </w:r>
      <w:r w:rsidRPr="00A74CC6">
        <w:rPr>
          <w:lang w:val="sv-SE"/>
        </w:rPr>
        <w:t xml:space="preserve">sjukdomsfri överlevnad </w:t>
      </w:r>
      <w:r w:rsidR="009A1CAD" w:rsidRPr="00A74CC6">
        <w:rPr>
          <w:lang w:val="sv-SE"/>
        </w:rPr>
        <w:t xml:space="preserve">vid 2 år </w:t>
      </w:r>
      <w:r w:rsidRPr="00A74CC6">
        <w:rPr>
          <w:lang w:val="sv-SE"/>
        </w:rPr>
        <w:t>(85,8</w:t>
      </w:r>
      <w:r w:rsidR="00B268E6" w:rsidRPr="00A74CC6">
        <w:rPr>
          <w:lang w:val="sv-SE"/>
        </w:rPr>
        <w:t> %</w:t>
      </w:r>
      <w:r w:rsidRPr="00A74CC6">
        <w:rPr>
          <w:lang w:val="sv-SE"/>
        </w:rPr>
        <w:t xml:space="preserve"> jämfört med 78,2</w:t>
      </w:r>
      <w:r w:rsidR="00B268E6" w:rsidRPr="00A74CC6">
        <w:rPr>
          <w:lang w:val="sv-SE"/>
        </w:rPr>
        <w:t> </w:t>
      </w:r>
      <w:r w:rsidR="009A1CAD" w:rsidRPr="00A74CC6">
        <w:rPr>
          <w:lang w:val="sv-SE"/>
        </w:rPr>
        <w:t>%) till fördel för gruppen som behandlats med trastuzumab</w:t>
      </w:r>
      <w:r w:rsidRPr="00A74CC6">
        <w:rPr>
          <w:lang w:val="sv-SE"/>
        </w:rPr>
        <w:t>.</w:t>
      </w:r>
    </w:p>
    <w:p w14:paraId="65B7AE09" w14:textId="77777777" w:rsidR="00031A62" w:rsidRPr="00A74CC6" w:rsidRDefault="00031A62" w:rsidP="001E7238">
      <w:pPr>
        <w:spacing w:after="0" w:line="240" w:lineRule="auto"/>
        <w:ind w:left="4" w:right="13"/>
        <w:contextualSpacing/>
        <w:rPr>
          <w:lang w:val="sv-SE"/>
        </w:rPr>
      </w:pPr>
    </w:p>
    <w:p w14:paraId="529C861B" w14:textId="114C66A8" w:rsidR="005027AB" w:rsidRPr="00A74CC6" w:rsidRDefault="00264096" w:rsidP="001E7238">
      <w:pPr>
        <w:spacing w:after="0" w:line="240" w:lineRule="auto"/>
        <w:ind w:left="4" w:right="13"/>
        <w:contextualSpacing/>
        <w:rPr>
          <w:lang w:val="sv-SE"/>
        </w:rPr>
      </w:pPr>
      <w:r w:rsidRPr="00A74CC6">
        <w:rPr>
          <w:lang w:val="sv-SE"/>
        </w:rPr>
        <w:t>En final analys genomfördes efter en medianuppföljningstid på 8</w:t>
      </w:r>
      <w:r w:rsidR="00D633C3" w:rsidRPr="00A74CC6">
        <w:rPr>
          <w:lang w:val="sv-SE"/>
        </w:rPr>
        <w:t> </w:t>
      </w:r>
      <w:r w:rsidRPr="00A74CC6">
        <w:rPr>
          <w:lang w:val="sv-SE"/>
        </w:rPr>
        <w:t>år, vilket visade att 1</w:t>
      </w:r>
      <w:r w:rsidR="00D633C3" w:rsidRPr="00A74CC6">
        <w:rPr>
          <w:lang w:val="sv-SE"/>
        </w:rPr>
        <w:t> </w:t>
      </w:r>
      <w:r w:rsidRPr="00A74CC6">
        <w:rPr>
          <w:lang w:val="sv-SE"/>
        </w:rPr>
        <w:t xml:space="preserve">års behandling med </w:t>
      </w:r>
      <w:r w:rsidR="00493EEC" w:rsidRPr="00A74CC6">
        <w:rPr>
          <w:lang w:val="sv-SE"/>
        </w:rPr>
        <w:t xml:space="preserve">trastuzumab </w:t>
      </w:r>
      <w:r w:rsidRPr="00A74CC6">
        <w:rPr>
          <w:lang w:val="sv-SE"/>
        </w:rPr>
        <w:t>är associerat med en 24</w:t>
      </w:r>
      <w:r w:rsidR="00B268E6" w:rsidRPr="00A74CC6">
        <w:rPr>
          <w:lang w:val="sv-SE"/>
        </w:rPr>
        <w:t> %</w:t>
      </w:r>
      <w:r w:rsidRPr="00A74CC6">
        <w:rPr>
          <w:lang w:val="sv-SE"/>
        </w:rPr>
        <w:t>-ig riskreduktion jämfört med enbart observation (HR</w:t>
      </w:r>
      <w:r w:rsidR="00E36A8F" w:rsidRPr="00A74CC6">
        <w:rPr>
          <w:lang w:val="sv-SE"/>
        </w:rPr>
        <w:t> </w:t>
      </w:r>
      <w:r w:rsidRPr="00A74CC6">
        <w:rPr>
          <w:lang w:val="sv-SE"/>
        </w:rPr>
        <w:t>=</w:t>
      </w:r>
      <w:r w:rsidR="00E36A8F" w:rsidRPr="00A74CC6">
        <w:rPr>
          <w:lang w:val="sv-SE"/>
        </w:rPr>
        <w:t> </w:t>
      </w:r>
      <w:r w:rsidRPr="00A74CC6">
        <w:rPr>
          <w:lang w:val="sv-SE"/>
        </w:rPr>
        <w:t>0,76, 95</w:t>
      </w:r>
      <w:r w:rsidR="00B268E6" w:rsidRPr="00A74CC6">
        <w:rPr>
          <w:lang w:val="sv-SE"/>
        </w:rPr>
        <w:t> %</w:t>
      </w:r>
      <w:r w:rsidRPr="00A74CC6">
        <w:rPr>
          <w:lang w:val="sv-SE"/>
        </w:rPr>
        <w:t xml:space="preserve"> KI</w:t>
      </w:r>
      <w:r w:rsidR="00940BDC">
        <w:rPr>
          <w:lang w:val="sv-SE"/>
        </w:rPr>
        <w:t>:</w:t>
      </w:r>
      <w:r w:rsidRPr="00A74CC6">
        <w:rPr>
          <w:lang w:val="sv-SE"/>
        </w:rPr>
        <w:t xml:space="preserve"> 0,67, 0,86). Detta </w:t>
      </w:r>
      <w:r w:rsidR="000C79D8" w:rsidRPr="00A74CC6">
        <w:rPr>
          <w:lang w:val="sv-SE"/>
        </w:rPr>
        <w:t xml:space="preserve">ger en </w:t>
      </w:r>
      <w:r w:rsidRPr="00A74CC6">
        <w:rPr>
          <w:lang w:val="sv-SE"/>
        </w:rPr>
        <w:t>absolut</w:t>
      </w:r>
      <w:r w:rsidR="000C79D8" w:rsidRPr="00A74CC6">
        <w:rPr>
          <w:lang w:val="sv-SE"/>
        </w:rPr>
        <w:t xml:space="preserve"> </w:t>
      </w:r>
      <w:r w:rsidR="009A1CAD" w:rsidRPr="00A74CC6">
        <w:rPr>
          <w:lang w:val="sv-SE"/>
        </w:rPr>
        <w:t xml:space="preserve">behandlingsvinst på </w:t>
      </w:r>
      <w:r w:rsidR="000C79D8" w:rsidRPr="00A74CC6">
        <w:rPr>
          <w:lang w:val="sv-SE"/>
        </w:rPr>
        <w:t>6,4 </w:t>
      </w:r>
      <w:r w:rsidR="009A1CAD" w:rsidRPr="00A74CC6">
        <w:rPr>
          <w:lang w:val="sv-SE"/>
        </w:rPr>
        <w:t xml:space="preserve">procentenheter för </w:t>
      </w:r>
      <w:r w:rsidRPr="00A74CC6">
        <w:rPr>
          <w:lang w:val="sv-SE"/>
        </w:rPr>
        <w:t xml:space="preserve">sjukdomsfri överlevnad </w:t>
      </w:r>
      <w:r w:rsidR="009A1CAD" w:rsidRPr="00A74CC6">
        <w:rPr>
          <w:lang w:val="sv-SE"/>
        </w:rPr>
        <w:t xml:space="preserve">vid 8 år </w:t>
      </w:r>
      <w:r w:rsidRPr="00A74CC6">
        <w:rPr>
          <w:lang w:val="sv-SE"/>
        </w:rPr>
        <w:t xml:space="preserve">till fördel för gruppen som behandlats med </w:t>
      </w:r>
      <w:r w:rsidR="00493EEC" w:rsidRPr="00A74CC6">
        <w:rPr>
          <w:lang w:val="sv-SE"/>
        </w:rPr>
        <w:t xml:space="preserve">trastuzumab </w:t>
      </w:r>
      <w:r w:rsidRPr="00A74CC6">
        <w:rPr>
          <w:lang w:val="sv-SE"/>
        </w:rPr>
        <w:t>i 1</w:t>
      </w:r>
      <w:r w:rsidR="008A0BDE" w:rsidRPr="00A74CC6">
        <w:rPr>
          <w:lang w:val="sv-SE"/>
        </w:rPr>
        <w:t> </w:t>
      </w:r>
      <w:r w:rsidRPr="00A74CC6">
        <w:rPr>
          <w:lang w:val="sv-SE"/>
        </w:rPr>
        <w:t>år.</w:t>
      </w:r>
    </w:p>
    <w:p w14:paraId="59D196CB" w14:textId="77777777" w:rsidR="00031A62" w:rsidRPr="00A74CC6" w:rsidRDefault="00031A62" w:rsidP="001E7238">
      <w:pPr>
        <w:spacing w:after="0" w:line="240" w:lineRule="auto"/>
        <w:ind w:left="4" w:right="13"/>
        <w:contextualSpacing/>
        <w:rPr>
          <w:lang w:val="sv-SE"/>
        </w:rPr>
      </w:pPr>
    </w:p>
    <w:p w14:paraId="5892D38B" w14:textId="6A350C5D" w:rsidR="005027AB" w:rsidRPr="00A74CC6" w:rsidRDefault="00264096" w:rsidP="00171841">
      <w:pPr>
        <w:spacing w:after="0" w:line="240" w:lineRule="auto"/>
        <w:ind w:left="5" w:right="13"/>
        <w:contextualSpacing/>
        <w:rPr>
          <w:lang w:val="sv-SE"/>
        </w:rPr>
      </w:pPr>
      <w:r w:rsidRPr="00A74CC6">
        <w:rPr>
          <w:lang w:val="sv-SE"/>
        </w:rPr>
        <w:t xml:space="preserve">I denna finala analys visade </w:t>
      </w:r>
      <w:r w:rsidR="00493EEC" w:rsidRPr="00A74CC6">
        <w:rPr>
          <w:lang w:val="sv-SE"/>
        </w:rPr>
        <w:t>trastuzumab</w:t>
      </w:r>
      <w:r w:rsidRPr="00A74CC6">
        <w:rPr>
          <w:lang w:val="sv-SE"/>
        </w:rPr>
        <w:t>behandling förlängd till 2</w:t>
      </w:r>
      <w:r w:rsidR="008A0BDE" w:rsidRPr="00A74CC6">
        <w:rPr>
          <w:lang w:val="sv-SE"/>
        </w:rPr>
        <w:t> </w:t>
      </w:r>
      <w:r w:rsidRPr="00A74CC6">
        <w:rPr>
          <w:lang w:val="sv-SE"/>
        </w:rPr>
        <w:t>år ingen ytterligare fördel gentemot behandling i 1</w:t>
      </w:r>
      <w:r w:rsidR="008A0BDE" w:rsidRPr="00A74CC6">
        <w:rPr>
          <w:lang w:val="sv-SE"/>
        </w:rPr>
        <w:t> </w:t>
      </w:r>
      <w:r w:rsidRPr="00A74CC6">
        <w:rPr>
          <w:lang w:val="sv-SE"/>
        </w:rPr>
        <w:t>år [sjukdomsfri överlevnad HR i intent-to-treat-populat</w:t>
      </w:r>
      <w:r w:rsidR="00184B7E" w:rsidRPr="00A74CC6">
        <w:rPr>
          <w:lang w:val="sv-SE"/>
        </w:rPr>
        <w:t>ionen (ITT) för 2</w:t>
      </w:r>
      <w:r w:rsidR="008A0BDE" w:rsidRPr="00A74CC6">
        <w:rPr>
          <w:lang w:val="sv-SE"/>
        </w:rPr>
        <w:t> </w:t>
      </w:r>
      <w:r w:rsidR="00184B7E" w:rsidRPr="00A74CC6">
        <w:rPr>
          <w:lang w:val="sv-SE"/>
        </w:rPr>
        <w:t>år mot 1</w:t>
      </w:r>
      <w:r w:rsidR="008A0BDE" w:rsidRPr="00A74CC6">
        <w:rPr>
          <w:lang w:val="sv-SE"/>
        </w:rPr>
        <w:t> </w:t>
      </w:r>
      <w:r w:rsidR="00184B7E" w:rsidRPr="00A74CC6">
        <w:rPr>
          <w:lang w:val="sv-SE"/>
        </w:rPr>
        <w:t>år </w:t>
      </w:r>
      <w:r w:rsidRPr="00A74CC6">
        <w:rPr>
          <w:lang w:val="sv-SE"/>
        </w:rPr>
        <w:t>=</w:t>
      </w:r>
      <w:r w:rsidR="00184B7E" w:rsidRPr="00A74CC6">
        <w:rPr>
          <w:lang w:val="sv-SE"/>
        </w:rPr>
        <w:t> </w:t>
      </w:r>
      <w:r w:rsidRPr="00A74CC6">
        <w:rPr>
          <w:lang w:val="sv-SE"/>
        </w:rPr>
        <w:t>0,99</w:t>
      </w:r>
      <w:r w:rsidR="00184B7E" w:rsidRPr="00A74CC6">
        <w:rPr>
          <w:lang w:val="sv-SE"/>
        </w:rPr>
        <w:t xml:space="preserve"> (95</w:t>
      </w:r>
      <w:r w:rsidR="00B268E6" w:rsidRPr="00A74CC6">
        <w:rPr>
          <w:lang w:val="sv-SE"/>
        </w:rPr>
        <w:t> %</w:t>
      </w:r>
      <w:r w:rsidR="00184B7E" w:rsidRPr="00A74CC6">
        <w:rPr>
          <w:lang w:val="sv-SE"/>
        </w:rPr>
        <w:t xml:space="preserve"> KI: 0,87, 1,13), p-värde </w:t>
      </w:r>
      <w:r w:rsidRPr="00A74CC6">
        <w:rPr>
          <w:lang w:val="sv-SE"/>
        </w:rPr>
        <w:t>=</w:t>
      </w:r>
      <w:r w:rsidR="00184B7E" w:rsidRPr="00A74CC6">
        <w:rPr>
          <w:lang w:val="sv-SE"/>
        </w:rPr>
        <w:t> </w:t>
      </w:r>
      <w:r w:rsidRPr="00A74CC6">
        <w:rPr>
          <w:lang w:val="sv-SE"/>
        </w:rPr>
        <w:t>0,90 och HR för överlevn</w:t>
      </w:r>
      <w:r w:rsidR="00184B7E" w:rsidRPr="00A74CC6">
        <w:rPr>
          <w:lang w:val="sv-SE"/>
        </w:rPr>
        <w:t>ad</w:t>
      </w:r>
      <w:r w:rsidR="00E36A8F" w:rsidRPr="00A74CC6">
        <w:rPr>
          <w:lang w:val="sv-SE"/>
        </w:rPr>
        <w:t> </w:t>
      </w:r>
      <w:r w:rsidR="00184B7E" w:rsidRPr="00A74CC6">
        <w:rPr>
          <w:lang w:val="sv-SE"/>
        </w:rPr>
        <w:t>=</w:t>
      </w:r>
      <w:r w:rsidR="00E36A8F" w:rsidRPr="00A74CC6">
        <w:rPr>
          <w:lang w:val="sv-SE"/>
        </w:rPr>
        <w:t> 0,98 (0,83, 1,15), p</w:t>
      </w:r>
      <w:r w:rsidR="00E36A8F" w:rsidRPr="00A74CC6">
        <w:rPr>
          <w:lang w:val="sv-SE"/>
        </w:rPr>
        <w:noBreakHyphen/>
      </w:r>
      <w:r w:rsidR="00184B7E" w:rsidRPr="00A74CC6">
        <w:rPr>
          <w:lang w:val="sv-SE"/>
        </w:rPr>
        <w:t>värde = </w:t>
      </w:r>
      <w:r w:rsidRPr="00A74CC6">
        <w:rPr>
          <w:lang w:val="sv-SE"/>
        </w:rPr>
        <w:t>0,78]. Frekvensen av asymtomatisk hjärtdysfunktion ökade i den 2-åriga behandlingsarmen (8,1</w:t>
      </w:r>
      <w:r w:rsidR="00B268E6" w:rsidRPr="00A74CC6">
        <w:rPr>
          <w:lang w:val="sv-SE"/>
        </w:rPr>
        <w:t> %</w:t>
      </w:r>
      <w:r w:rsidRPr="00A74CC6">
        <w:rPr>
          <w:lang w:val="sv-SE"/>
        </w:rPr>
        <w:t xml:space="preserve"> mot 4,6</w:t>
      </w:r>
      <w:r w:rsidR="00B268E6" w:rsidRPr="00A74CC6">
        <w:rPr>
          <w:lang w:val="sv-SE"/>
        </w:rPr>
        <w:t> %</w:t>
      </w:r>
      <w:r w:rsidRPr="00A74CC6">
        <w:rPr>
          <w:lang w:val="sv-SE"/>
        </w:rPr>
        <w:t xml:space="preserve"> i den 1-åriga behandlingsarmen). Fler patienter upplevde åtminstone en </w:t>
      </w:r>
      <w:r w:rsidR="00B84530" w:rsidRPr="00A74CC6">
        <w:rPr>
          <w:lang w:val="sv-SE"/>
        </w:rPr>
        <w:t>biverk</w:t>
      </w:r>
      <w:r w:rsidR="00B84530">
        <w:rPr>
          <w:lang w:val="sv-SE"/>
        </w:rPr>
        <w:t>ning</w:t>
      </w:r>
      <w:r w:rsidR="00B84530" w:rsidRPr="00A74CC6">
        <w:rPr>
          <w:lang w:val="sv-SE"/>
        </w:rPr>
        <w:t xml:space="preserve"> </w:t>
      </w:r>
      <w:r w:rsidRPr="00A74CC6">
        <w:rPr>
          <w:lang w:val="sv-SE"/>
        </w:rPr>
        <w:t>av grad</w:t>
      </w:r>
      <w:r w:rsidR="008A0BDE" w:rsidRPr="00A74CC6">
        <w:rPr>
          <w:lang w:val="sv-SE"/>
        </w:rPr>
        <w:t> </w:t>
      </w:r>
      <w:r w:rsidRPr="00A74CC6">
        <w:rPr>
          <w:lang w:val="sv-SE"/>
        </w:rPr>
        <w:t>3 eller 4 i den 2-åriga behandlingsarmen (20,4</w:t>
      </w:r>
      <w:r w:rsidR="00B268E6" w:rsidRPr="00A74CC6">
        <w:rPr>
          <w:lang w:val="sv-SE"/>
        </w:rPr>
        <w:t> %</w:t>
      </w:r>
      <w:r w:rsidRPr="00A74CC6">
        <w:rPr>
          <w:lang w:val="sv-SE"/>
        </w:rPr>
        <w:t>) jämfört med den 1-åriga armen (16,3</w:t>
      </w:r>
      <w:r w:rsidR="00B268E6" w:rsidRPr="00A74CC6">
        <w:rPr>
          <w:lang w:val="sv-SE"/>
        </w:rPr>
        <w:t> %</w:t>
      </w:r>
      <w:r w:rsidRPr="00A74CC6">
        <w:rPr>
          <w:lang w:val="sv-SE"/>
        </w:rPr>
        <w:t>).</w:t>
      </w:r>
    </w:p>
    <w:p w14:paraId="13CA679F" w14:textId="77777777" w:rsidR="00031A62" w:rsidRPr="00A74CC6" w:rsidRDefault="00031A62" w:rsidP="001E7238">
      <w:pPr>
        <w:spacing w:after="0" w:line="240" w:lineRule="auto"/>
        <w:ind w:left="4" w:right="226"/>
        <w:contextualSpacing/>
        <w:rPr>
          <w:lang w:val="sv-SE"/>
        </w:rPr>
      </w:pPr>
    </w:p>
    <w:p w14:paraId="56F5F65C" w14:textId="3B0AF09B" w:rsidR="005027AB" w:rsidRPr="00A74CC6" w:rsidRDefault="00264096" w:rsidP="001E7238">
      <w:pPr>
        <w:spacing w:after="0" w:line="240" w:lineRule="auto"/>
        <w:ind w:left="4" w:right="13"/>
        <w:contextualSpacing/>
        <w:rPr>
          <w:lang w:val="sv-SE"/>
        </w:rPr>
      </w:pPr>
      <w:r w:rsidRPr="00A74CC6">
        <w:rPr>
          <w:lang w:val="sv-SE"/>
        </w:rPr>
        <w:t xml:space="preserve">I studierna NSABP B-31 och NCCTG N9831 gavs </w:t>
      </w:r>
      <w:r w:rsidR="00493EEC" w:rsidRPr="00A74CC6">
        <w:rPr>
          <w:lang w:val="sv-SE"/>
        </w:rPr>
        <w:t xml:space="preserve">trastuzumab </w:t>
      </w:r>
      <w:r w:rsidRPr="00A74CC6">
        <w:rPr>
          <w:lang w:val="sv-SE"/>
        </w:rPr>
        <w:t>i kombination med paklitaxel, efter antracyklinbaserad kemoterapi.</w:t>
      </w:r>
    </w:p>
    <w:p w14:paraId="34F8F8B8" w14:textId="77777777" w:rsidR="00031A62" w:rsidRPr="00A74CC6" w:rsidRDefault="00031A62" w:rsidP="001E7238">
      <w:pPr>
        <w:spacing w:after="0" w:line="240" w:lineRule="auto"/>
        <w:ind w:left="4" w:right="13"/>
        <w:contextualSpacing/>
        <w:rPr>
          <w:lang w:val="sv-SE"/>
        </w:rPr>
      </w:pPr>
    </w:p>
    <w:p w14:paraId="4E6A87C1" w14:textId="77777777" w:rsidR="005027AB" w:rsidRPr="00A74CC6" w:rsidRDefault="00264096" w:rsidP="00171841">
      <w:pPr>
        <w:keepNext/>
        <w:tabs>
          <w:tab w:val="left" w:pos="581"/>
        </w:tabs>
        <w:spacing w:after="0" w:line="240" w:lineRule="auto"/>
        <w:ind w:left="0" w:right="11" w:firstLine="0"/>
        <w:contextualSpacing/>
        <w:rPr>
          <w:lang w:val="sv-SE"/>
        </w:rPr>
      </w:pPr>
      <w:r w:rsidRPr="00A74CC6">
        <w:rPr>
          <w:lang w:val="sv-SE"/>
        </w:rPr>
        <w:lastRenderedPageBreak/>
        <w:t>Doxorubicin och cyklofosfamid administrerades samtidigt på följande sätt:</w:t>
      </w:r>
    </w:p>
    <w:p w14:paraId="67E6D9F1" w14:textId="77777777" w:rsidR="00410CA8" w:rsidRPr="00A74CC6" w:rsidRDefault="00410CA8" w:rsidP="00171841">
      <w:pPr>
        <w:keepNext/>
        <w:spacing w:after="0" w:line="240" w:lineRule="auto"/>
        <w:ind w:left="0" w:right="11" w:firstLine="0"/>
        <w:contextualSpacing/>
        <w:rPr>
          <w:lang w:val="sv-SE"/>
        </w:rPr>
      </w:pPr>
    </w:p>
    <w:p w14:paraId="1E43E2CC" w14:textId="754B56D4" w:rsidR="005027AB" w:rsidRPr="00A74CC6" w:rsidRDefault="00264096" w:rsidP="00171841">
      <w:pPr>
        <w:keepNext/>
        <w:numPr>
          <w:ilvl w:val="1"/>
          <w:numId w:val="7"/>
        </w:numPr>
        <w:spacing w:after="0" w:line="240" w:lineRule="auto"/>
        <w:ind w:left="567" w:hanging="567"/>
        <w:contextualSpacing/>
        <w:rPr>
          <w:lang w:val="sv-SE"/>
        </w:rPr>
      </w:pPr>
      <w:r w:rsidRPr="00A74CC6">
        <w:rPr>
          <w:lang w:val="sv-SE"/>
        </w:rPr>
        <w:t>intravenös bolusd</w:t>
      </w:r>
      <w:r w:rsidR="00AB315E" w:rsidRPr="00A74CC6">
        <w:rPr>
          <w:lang w:val="sv-SE"/>
        </w:rPr>
        <w:t xml:space="preserve">os av doxorubicin, </w:t>
      </w:r>
      <w:r w:rsidR="000C79D8" w:rsidRPr="00A74CC6">
        <w:rPr>
          <w:lang w:val="sv-SE"/>
        </w:rPr>
        <w:t>i</w:t>
      </w:r>
      <w:r w:rsidR="00AB315E" w:rsidRPr="00A74CC6">
        <w:rPr>
          <w:lang w:val="sv-SE"/>
        </w:rPr>
        <w:t xml:space="preserve"> dosen 60 mg/</w:t>
      </w:r>
      <w:r w:rsidRPr="00A74CC6">
        <w:rPr>
          <w:lang w:val="sv-SE"/>
        </w:rPr>
        <w:t>m</w:t>
      </w:r>
      <w:r w:rsidRPr="00A74CC6">
        <w:rPr>
          <w:vertAlign w:val="superscript"/>
          <w:lang w:val="sv-SE"/>
        </w:rPr>
        <w:t>2</w:t>
      </w:r>
      <w:r w:rsidR="00171841" w:rsidRPr="00A74CC6">
        <w:rPr>
          <w:lang w:val="sv-SE"/>
        </w:rPr>
        <w:t>, givet var tredje vecka i 4 </w:t>
      </w:r>
      <w:r w:rsidRPr="00A74CC6">
        <w:rPr>
          <w:lang w:val="sv-SE"/>
        </w:rPr>
        <w:t>behandlingscykler.</w:t>
      </w:r>
    </w:p>
    <w:p w14:paraId="2D606355" w14:textId="77777777" w:rsidR="00410CA8" w:rsidRPr="00A74CC6" w:rsidRDefault="00410CA8" w:rsidP="00171841">
      <w:pPr>
        <w:keepNext/>
        <w:spacing w:after="0" w:line="240" w:lineRule="auto"/>
        <w:ind w:left="567" w:hanging="567"/>
        <w:contextualSpacing/>
        <w:rPr>
          <w:lang w:val="sv-SE"/>
        </w:rPr>
      </w:pPr>
    </w:p>
    <w:p w14:paraId="65CF88B2" w14:textId="664EFE58" w:rsidR="005027AB" w:rsidRPr="00A74CC6" w:rsidRDefault="00264096" w:rsidP="001E7238">
      <w:pPr>
        <w:numPr>
          <w:ilvl w:val="1"/>
          <w:numId w:val="7"/>
        </w:numPr>
        <w:spacing w:after="0" w:line="240" w:lineRule="auto"/>
        <w:ind w:left="567" w:hanging="567"/>
        <w:contextualSpacing/>
        <w:rPr>
          <w:lang w:val="sv-SE"/>
        </w:rPr>
      </w:pPr>
      <w:r w:rsidRPr="00A74CC6">
        <w:rPr>
          <w:lang w:val="sv-SE"/>
        </w:rPr>
        <w:t>intravenö</w:t>
      </w:r>
      <w:r w:rsidR="00AB315E" w:rsidRPr="00A74CC6">
        <w:rPr>
          <w:lang w:val="sv-SE"/>
        </w:rPr>
        <w:t xml:space="preserve">st cyklofosfamid, </w:t>
      </w:r>
      <w:r w:rsidR="008A0BDE" w:rsidRPr="00A74CC6">
        <w:rPr>
          <w:lang w:val="sv-SE"/>
        </w:rPr>
        <w:t>i</w:t>
      </w:r>
      <w:r w:rsidR="00AB315E" w:rsidRPr="00A74CC6">
        <w:rPr>
          <w:lang w:val="sv-SE"/>
        </w:rPr>
        <w:t xml:space="preserve"> dosen 600 </w:t>
      </w:r>
      <w:r w:rsidRPr="00A74CC6">
        <w:rPr>
          <w:lang w:val="sv-SE"/>
        </w:rPr>
        <w:t>mg/m</w:t>
      </w:r>
      <w:r w:rsidRPr="00A74CC6">
        <w:rPr>
          <w:vertAlign w:val="superscript"/>
          <w:lang w:val="sv-SE"/>
        </w:rPr>
        <w:t>2</w:t>
      </w:r>
      <w:r w:rsidRPr="00A74CC6">
        <w:rPr>
          <w:lang w:val="sv-SE"/>
        </w:rPr>
        <w:t xml:space="preserve"> under 30 minu</w:t>
      </w:r>
      <w:r w:rsidR="00171841" w:rsidRPr="00A74CC6">
        <w:rPr>
          <w:lang w:val="sv-SE"/>
        </w:rPr>
        <w:t>ter, givet var tredje vecka i 4 </w:t>
      </w:r>
      <w:r w:rsidRPr="00A74CC6">
        <w:rPr>
          <w:lang w:val="sv-SE"/>
        </w:rPr>
        <w:t>behandlingscykler.</w:t>
      </w:r>
    </w:p>
    <w:p w14:paraId="65BC062E" w14:textId="77777777" w:rsidR="00410CA8" w:rsidRPr="00A74CC6" w:rsidRDefault="00410CA8" w:rsidP="001E7238">
      <w:pPr>
        <w:spacing w:after="0" w:line="240" w:lineRule="auto"/>
        <w:ind w:left="0" w:right="13" w:firstLine="0"/>
        <w:contextualSpacing/>
        <w:rPr>
          <w:lang w:val="sv-SE"/>
        </w:rPr>
      </w:pPr>
    </w:p>
    <w:p w14:paraId="7945F3AA" w14:textId="7F807591" w:rsidR="005027AB" w:rsidRPr="00A74CC6" w:rsidRDefault="00264096" w:rsidP="00171841">
      <w:pPr>
        <w:keepNext/>
        <w:spacing w:after="0" w:line="240" w:lineRule="auto"/>
        <w:ind w:right="13"/>
        <w:contextualSpacing/>
        <w:rPr>
          <w:lang w:val="sv-SE"/>
        </w:rPr>
      </w:pPr>
      <w:r w:rsidRPr="00A74CC6">
        <w:rPr>
          <w:lang w:val="sv-SE"/>
        </w:rPr>
        <w:t xml:space="preserve">Paklitaxel, i kombination med </w:t>
      </w:r>
      <w:r w:rsidR="004C7B19" w:rsidRPr="00A74CC6">
        <w:rPr>
          <w:lang w:val="sv-SE"/>
        </w:rPr>
        <w:t>trastuzumab</w:t>
      </w:r>
      <w:r w:rsidRPr="00A74CC6">
        <w:rPr>
          <w:lang w:val="sv-SE"/>
        </w:rPr>
        <w:t>, administrerades på följande sätt:</w:t>
      </w:r>
    </w:p>
    <w:p w14:paraId="0BA1C29D" w14:textId="77777777" w:rsidR="00410CA8" w:rsidRPr="00A74CC6" w:rsidRDefault="00410CA8" w:rsidP="00171841">
      <w:pPr>
        <w:keepNext/>
        <w:spacing w:after="0" w:line="240" w:lineRule="auto"/>
        <w:ind w:right="13"/>
        <w:contextualSpacing/>
        <w:rPr>
          <w:lang w:val="sv-SE"/>
        </w:rPr>
      </w:pPr>
    </w:p>
    <w:p w14:paraId="57B3AC45" w14:textId="6155695D" w:rsidR="005027AB" w:rsidRPr="00A74CC6" w:rsidRDefault="00264096" w:rsidP="00171841">
      <w:pPr>
        <w:keepNext/>
        <w:numPr>
          <w:ilvl w:val="1"/>
          <w:numId w:val="7"/>
        </w:numPr>
        <w:spacing w:after="0" w:line="240" w:lineRule="auto"/>
        <w:ind w:left="567" w:hanging="567"/>
        <w:contextualSpacing/>
        <w:rPr>
          <w:lang w:val="sv-SE"/>
        </w:rPr>
      </w:pPr>
      <w:r w:rsidRPr="00A74CC6">
        <w:rPr>
          <w:lang w:val="sv-SE"/>
        </w:rPr>
        <w:t xml:space="preserve">intravenöst paklitaxel </w:t>
      </w:r>
      <w:r w:rsidR="00A635E5" w:rsidRPr="00A74CC6">
        <w:rPr>
          <w:lang w:val="sv-SE"/>
        </w:rPr>
        <w:t>–</w:t>
      </w:r>
      <w:r w:rsidRPr="00A74CC6">
        <w:rPr>
          <w:lang w:val="sv-SE"/>
        </w:rPr>
        <w:t xml:space="preserve"> 80</w:t>
      </w:r>
      <w:r w:rsidR="00AB315E" w:rsidRPr="00A74CC6">
        <w:rPr>
          <w:lang w:val="sv-SE"/>
        </w:rPr>
        <w:t> </w:t>
      </w:r>
      <w:r w:rsidRPr="00A74CC6">
        <w:rPr>
          <w:lang w:val="sv-SE"/>
        </w:rPr>
        <w:t>mg/m</w:t>
      </w:r>
      <w:r w:rsidRPr="00A74CC6">
        <w:rPr>
          <w:vertAlign w:val="superscript"/>
          <w:lang w:val="sv-SE"/>
        </w:rPr>
        <w:t>2</w:t>
      </w:r>
      <w:r w:rsidRPr="00A74CC6">
        <w:rPr>
          <w:lang w:val="sv-SE"/>
        </w:rPr>
        <w:t xml:space="preserve"> som en kontinuerlig intravenös </w:t>
      </w:r>
      <w:r w:rsidR="00171841" w:rsidRPr="00A74CC6">
        <w:rPr>
          <w:lang w:val="sv-SE"/>
        </w:rPr>
        <w:t>infusion givet varje vecka i 12 </w:t>
      </w:r>
      <w:r w:rsidR="007D3C64" w:rsidRPr="00A74CC6">
        <w:rPr>
          <w:lang w:val="sv-SE"/>
        </w:rPr>
        <w:t>veckor</w:t>
      </w:r>
      <w:r w:rsidR="00B90864">
        <w:rPr>
          <w:lang w:val="sv-SE"/>
        </w:rPr>
        <w:t>.</w:t>
      </w:r>
    </w:p>
    <w:p w14:paraId="22E4A57D" w14:textId="77777777" w:rsidR="005027AB" w:rsidRPr="00A74CC6" w:rsidRDefault="00264096" w:rsidP="00171841">
      <w:pPr>
        <w:keepNext/>
        <w:spacing w:after="0" w:line="240" w:lineRule="auto"/>
        <w:ind w:left="0" w:firstLine="0"/>
        <w:contextualSpacing/>
        <w:rPr>
          <w:lang w:val="sv-SE"/>
        </w:rPr>
      </w:pPr>
      <w:r w:rsidRPr="00A74CC6">
        <w:rPr>
          <w:lang w:val="sv-SE"/>
        </w:rPr>
        <w:t xml:space="preserve">eller </w:t>
      </w:r>
    </w:p>
    <w:p w14:paraId="38AD7EC2" w14:textId="2DBD3F47" w:rsidR="005027AB" w:rsidRPr="00A74CC6" w:rsidRDefault="00AB315E" w:rsidP="001E7238">
      <w:pPr>
        <w:numPr>
          <w:ilvl w:val="1"/>
          <w:numId w:val="7"/>
        </w:numPr>
        <w:spacing w:after="0" w:line="240" w:lineRule="auto"/>
        <w:ind w:left="567" w:hanging="567"/>
        <w:contextualSpacing/>
        <w:rPr>
          <w:lang w:val="sv-SE"/>
        </w:rPr>
      </w:pPr>
      <w:r w:rsidRPr="00A74CC6">
        <w:rPr>
          <w:lang w:val="sv-SE"/>
        </w:rPr>
        <w:t>intravenöst paklitaxel – 175 </w:t>
      </w:r>
      <w:r w:rsidR="00264096" w:rsidRPr="00A74CC6">
        <w:rPr>
          <w:lang w:val="sv-SE"/>
        </w:rPr>
        <w:t>mg/m</w:t>
      </w:r>
      <w:r w:rsidR="00264096" w:rsidRPr="00A74CC6">
        <w:rPr>
          <w:vertAlign w:val="superscript"/>
          <w:lang w:val="sv-SE"/>
        </w:rPr>
        <w:t>2</w:t>
      </w:r>
      <w:r w:rsidR="00264096" w:rsidRPr="00A74CC6">
        <w:rPr>
          <w:lang w:val="sv-SE"/>
        </w:rPr>
        <w:t xml:space="preserve"> som en kontinuerlig intravenös infusion givet var tredje vecka i 4</w:t>
      </w:r>
      <w:r w:rsidR="00352E52" w:rsidRPr="00A74CC6">
        <w:rPr>
          <w:lang w:val="sv-SE"/>
        </w:rPr>
        <w:t> </w:t>
      </w:r>
      <w:r w:rsidR="00264096" w:rsidRPr="00A74CC6">
        <w:rPr>
          <w:lang w:val="sv-SE"/>
        </w:rPr>
        <w:t>behandlingscykler (dag</w:t>
      </w:r>
      <w:r w:rsidR="008A0BDE" w:rsidRPr="00A74CC6">
        <w:rPr>
          <w:lang w:val="sv-SE"/>
        </w:rPr>
        <w:t> </w:t>
      </w:r>
      <w:r w:rsidR="00264096" w:rsidRPr="00A74CC6">
        <w:rPr>
          <w:lang w:val="sv-SE"/>
        </w:rPr>
        <w:t>1 i varje cykel)</w:t>
      </w:r>
      <w:r w:rsidR="00B90864">
        <w:rPr>
          <w:lang w:val="sv-SE"/>
        </w:rPr>
        <w:t>.</w:t>
      </w:r>
    </w:p>
    <w:p w14:paraId="72E4A3DA" w14:textId="77777777" w:rsidR="00410CA8" w:rsidRPr="00A74CC6" w:rsidRDefault="00410CA8" w:rsidP="001E7238">
      <w:pPr>
        <w:spacing w:after="0" w:line="240" w:lineRule="auto"/>
        <w:ind w:right="13"/>
        <w:contextualSpacing/>
        <w:rPr>
          <w:lang w:val="sv-SE"/>
        </w:rPr>
      </w:pPr>
    </w:p>
    <w:p w14:paraId="486ED80F" w14:textId="6DA69EC8" w:rsidR="005027AB" w:rsidRPr="00A74CC6" w:rsidRDefault="00264096" w:rsidP="001E7238">
      <w:pPr>
        <w:spacing w:after="0" w:line="240" w:lineRule="auto"/>
        <w:ind w:left="4" w:right="13"/>
        <w:contextualSpacing/>
        <w:rPr>
          <w:lang w:val="sv-SE"/>
        </w:rPr>
      </w:pPr>
      <w:r w:rsidRPr="00A74CC6">
        <w:rPr>
          <w:lang w:val="sv-SE"/>
        </w:rPr>
        <w:t>Effektresultaten från den sammanvägda analysen av studierna NSABP B-31 och NCCTG N9831 vid tiden för definitiv analys av sjukdomsfri överlevnad (DFS)* sammanfattas i tabell</w:t>
      </w:r>
      <w:r w:rsidR="008A0BDE" w:rsidRPr="00A74CC6">
        <w:rPr>
          <w:lang w:val="sv-SE"/>
        </w:rPr>
        <w:t> </w:t>
      </w:r>
      <w:r w:rsidRPr="00A74CC6">
        <w:rPr>
          <w:lang w:val="sv-SE"/>
        </w:rPr>
        <w:t>7. Medianduration för uppföljning var 1,8</w:t>
      </w:r>
      <w:r w:rsidR="008A0BDE" w:rsidRPr="00A74CC6">
        <w:rPr>
          <w:lang w:val="sv-SE"/>
        </w:rPr>
        <w:t> </w:t>
      </w:r>
      <w:r w:rsidRPr="00A74CC6">
        <w:rPr>
          <w:lang w:val="sv-SE"/>
        </w:rPr>
        <w:t>år för patienterna i AC→P-gruppen och 2,0</w:t>
      </w:r>
      <w:r w:rsidR="008A0BDE" w:rsidRPr="00A74CC6">
        <w:rPr>
          <w:lang w:val="sv-SE"/>
        </w:rPr>
        <w:t> </w:t>
      </w:r>
      <w:r w:rsidRPr="00A74CC6">
        <w:rPr>
          <w:lang w:val="sv-SE"/>
        </w:rPr>
        <w:t>år för patienterna i AC→PH</w:t>
      </w:r>
      <w:r w:rsidR="00D474A0">
        <w:rPr>
          <w:lang w:val="sv-SE"/>
        </w:rPr>
        <w:t>-</w:t>
      </w:r>
      <w:r w:rsidRPr="00A74CC6">
        <w:rPr>
          <w:lang w:val="sv-SE"/>
        </w:rPr>
        <w:t>gruppen.</w:t>
      </w:r>
    </w:p>
    <w:p w14:paraId="5F6386A6" w14:textId="77777777" w:rsidR="00410CA8" w:rsidRPr="00A74CC6" w:rsidRDefault="00410CA8" w:rsidP="00171841">
      <w:pPr>
        <w:spacing w:after="0" w:line="240" w:lineRule="auto"/>
        <w:ind w:left="0" w:firstLine="0"/>
        <w:contextualSpacing/>
        <w:rPr>
          <w:lang w:val="sv-SE"/>
        </w:rPr>
      </w:pPr>
    </w:p>
    <w:p w14:paraId="083167EC" w14:textId="2C265040" w:rsidR="005027AB" w:rsidRPr="00A74CC6" w:rsidRDefault="00264096" w:rsidP="00171841">
      <w:pPr>
        <w:keepNext/>
        <w:keepLines/>
        <w:tabs>
          <w:tab w:val="right" w:pos="9090"/>
        </w:tabs>
        <w:spacing w:after="0" w:line="240" w:lineRule="auto"/>
        <w:ind w:left="0" w:firstLine="0"/>
        <w:contextualSpacing/>
        <w:rPr>
          <w:b/>
          <w:lang w:val="sv-SE"/>
        </w:rPr>
      </w:pPr>
      <w:r w:rsidRPr="00A74CC6">
        <w:rPr>
          <w:b/>
          <w:lang w:val="sv-SE"/>
        </w:rPr>
        <w:t>Tabell</w:t>
      </w:r>
      <w:r w:rsidR="008A0BDE" w:rsidRPr="00A74CC6">
        <w:rPr>
          <w:b/>
          <w:lang w:val="sv-SE"/>
        </w:rPr>
        <w:t> </w:t>
      </w:r>
      <w:r w:rsidRPr="00A74CC6">
        <w:rPr>
          <w:b/>
          <w:lang w:val="sv-SE"/>
        </w:rPr>
        <w:t>7</w:t>
      </w:r>
      <w:r w:rsidR="00E1391C" w:rsidRPr="00A74CC6">
        <w:rPr>
          <w:b/>
          <w:lang w:val="sv-SE"/>
        </w:rPr>
        <w:t>.</w:t>
      </w:r>
      <w:r w:rsidR="00493EEC" w:rsidRPr="00A74CC6">
        <w:rPr>
          <w:b/>
          <w:lang w:val="sv-SE"/>
        </w:rPr>
        <w:t xml:space="preserve"> </w:t>
      </w:r>
      <w:r w:rsidRPr="00A74CC6">
        <w:rPr>
          <w:b/>
          <w:lang w:val="sv-SE"/>
        </w:rPr>
        <w:t>Sammanfattning av effektresultaten från den sammanvä</w:t>
      </w:r>
      <w:r w:rsidR="00410CA8" w:rsidRPr="00A74CC6">
        <w:rPr>
          <w:b/>
          <w:lang w:val="sv-SE"/>
        </w:rPr>
        <w:t xml:space="preserve">gda analysen av studierna NSABP </w:t>
      </w:r>
      <w:r w:rsidRPr="00A74CC6">
        <w:rPr>
          <w:b/>
          <w:lang w:val="sv-SE"/>
        </w:rPr>
        <w:t xml:space="preserve">B-31 och NCCTG N9831 vid tiden för definitiv analys av sjukdomsfri överlevnad (DFS)* </w:t>
      </w:r>
    </w:p>
    <w:p w14:paraId="6A6C8580" w14:textId="77777777" w:rsidR="00410CA8" w:rsidRPr="00A74CC6" w:rsidRDefault="00410CA8" w:rsidP="00171841">
      <w:pPr>
        <w:keepNext/>
        <w:keepLines/>
        <w:tabs>
          <w:tab w:val="right" w:pos="9090"/>
        </w:tabs>
        <w:spacing w:after="0" w:line="240" w:lineRule="auto"/>
        <w:ind w:left="0" w:firstLine="0"/>
        <w:contextualSpacing/>
        <w:rPr>
          <w:b/>
          <w:lang w:val="sv-SE"/>
        </w:rPr>
      </w:pPr>
    </w:p>
    <w:tbl>
      <w:tblPr>
        <w:tblW w:w="4999" w:type="pct"/>
        <w:tblInd w:w="67" w:type="dxa"/>
        <w:tblCellMar>
          <w:top w:w="51" w:type="dxa"/>
          <w:left w:w="67" w:type="dxa"/>
          <w:bottom w:w="10" w:type="dxa"/>
          <w:right w:w="115" w:type="dxa"/>
        </w:tblCellMar>
        <w:tblLook w:val="04A0" w:firstRow="1" w:lastRow="0" w:firstColumn="1" w:lastColumn="0" w:noHBand="0" w:noVBand="1"/>
      </w:tblPr>
      <w:tblGrid>
        <w:gridCol w:w="3627"/>
        <w:gridCol w:w="1471"/>
        <w:gridCol w:w="2005"/>
        <w:gridCol w:w="2146"/>
      </w:tblGrid>
      <w:tr w:rsidR="00AD14F8" w:rsidRPr="00A74CC6" w14:paraId="722015FE" w14:textId="77777777" w:rsidTr="004A019F">
        <w:trPr>
          <w:trHeight w:val="794"/>
          <w:tblHeader/>
        </w:trPr>
        <w:tc>
          <w:tcPr>
            <w:tcW w:w="1961" w:type="pct"/>
            <w:tcBorders>
              <w:top w:val="single" w:sz="4" w:space="0" w:color="000000"/>
              <w:left w:val="single" w:sz="4" w:space="0" w:color="000000"/>
              <w:bottom w:val="single" w:sz="4" w:space="0" w:color="auto"/>
              <w:right w:val="single" w:sz="4" w:space="0" w:color="000000"/>
            </w:tcBorders>
            <w:shd w:val="clear" w:color="auto" w:fill="auto"/>
          </w:tcPr>
          <w:p w14:paraId="604A6540"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Parameter</w:t>
            </w:r>
          </w:p>
        </w:tc>
        <w:tc>
          <w:tcPr>
            <w:tcW w:w="795" w:type="pct"/>
            <w:tcBorders>
              <w:top w:val="single" w:sz="4" w:space="0" w:color="000000"/>
              <w:left w:val="single" w:sz="4" w:space="0" w:color="000000"/>
              <w:bottom w:val="single" w:sz="4" w:space="0" w:color="000000"/>
              <w:right w:val="single" w:sz="4" w:space="0" w:color="000000"/>
            </w:tcBorders>
            <w:shd w:val="clear" w:color="auto" w:fill="auto"/>
          </w:tcPr>
          <w:p w14:paraId="211B3BB7"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AC→P</w:t>
            </w:r>
          </w:p>
          <w:p w14:paraId="2CCEB1CD" w14:textId="4A239323" w:rsidR="005027AB" w:rsidRPr="004A019F" w:rsidRDefault="00264096" w:rsidP="004A019F">
            <w:pPr>
              <w:keepNext/>
              <w:keepLines/>
              <w:spacing w:after="0" w:line="240" w:lineRule="auto"/>
              <w:ind w:left="55" w:firstLine="0"/>
              <w:contextualSpacing/>
              <w:jc w:val="center"/>
              <w:rPr>
                <w:b/>
                <w:lang w:val="sv-SE"/>
              </w:rPr>
            </w:pPr>
            <w:r w:rsidRPr="004A019F">
              <w:rPr>
                <w:b/>
                <w:lang w:val="sv-SE"/>
              </w:rPr>
              <w:t>(</w:t>
            </w:r>
            <w:r w:rsidR="00493EEC" w:rsidRPr="004A019F">
              <w:rPr>
                <w:b/>
                <w:lang w:val="sv-SE"/>
              </w:rPr>
              <w:t>n </w:t>
            </w:r>
            <w:r w:rsidRPr="004A019F">
              <w:rPr>
                <w:b/>
                <w:lang w:val="sv-SE"/>
              </w:rPr>
              <w:t>=</w:t>
            </w:r>
            <w:r w:rsidR="0020661E" w:rsidRPr="004A019F">
              <w:rPr>
                <w:b/>
                <w:lang w:val="sv-SE"/>
              </w:rPr>
              <w:t> </w:t>
            </w:r>
            <w:r w:rsidRPr="004A019F">
              <w:rPr>
                <w:b/>
                <w:lang w:val="sv-SE"/>
              </w:rPr>
              <w:t>1</w:t>
            </w:r>
            <w:r w:rsidR="00E516D0" w:rsidRPr="004A019F">
              <w:rPr>
                <w:b/>
                <w:lang w:val="sv-SE"/>
              </w:rPr>
              <w:t> </w:t>
            </w:r>
            <w:r w:rsidRPr="004A019F">
              <w:rPr>
                <w:b/>
                <w:lang w:val="sv-SE"/>
              </w:rPr>
              <w:t>679)</w:t>
            </w: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14:paraId="1087C28B"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AC→PH</w:t>
            </w:r>
          </w:p>
          <w:p w14:paraId="433F0365" w14:textId="5A7FFC2D" w:rsidR="005027AB" w:rsidRPr="004A019F" w:rsidRDefault="00264096" w:rsidP="004A019F">
            <w:pPr>
              <w:keepNext/>
              <w:keepLines/>
              <w:spacing w:after="0" w:line="240" w:lineRule="auto"/>
              <w:ind w:left="0" w:firstLine="0"/>
              <w:contextualSpacing/>
              <w:jc w:val="center"/>
              <w:rPr>
                <w:b/>
                <w:lang w:val="sv-SE"/>
              </w:rPr>
            </w:pPr>
            <w:r w:rsidRPr="004A019F">
              <w:rPr>
                <w:b/>
                <w:lang w:val="sv-SE"/>
              </w:rPr>
              <w:t>(n</w:t>
            </w:r>
            <w:r w:rsidR="0020661E" w:rsidRPr="004A019F">
              <w:rPr>
                <w:b/>
                <w:lang w:val="sv-SE"/>
              </w:rPr>
              <w:t> </w:t>
            </w:r>
            <w:r w:rsidRPr="004A019F">
              <w:rPr>
                <w:b/>
                <w:lang w:val="sv-SE"/>
              </w:rPr>
              <w:t>=</w:t>
            </w:r>
            <w:r w:rsidR="0020661E" w:rsidRPr="004A019F">
              <w:rPr>
                <w:b/>
                <w:lang w:val="sv-SE"/>
              </w:rPr>
              <w:t> </w:t>
            </w:r>
            <w:r w:rsidRPr="004A019F">
              <w:rPr>
                <w:b/>
                <w:lang w:val="sv-SE"/>
              </w:rPr>
              <w:t>1</w:t>
            </w:r>
            <w:r w:rsidR="00E516D0" w:rsidRPr="004A019F">
              <w:rPr>
                <w:b/>
                <w:lang w:val="sv-SE"/>
              </w:rPr>
              <w:t> </w:t>
            </w:r>
            <w:r w:rsidRPr="004A019F">
              <w:rPr>
                <w:b/>
                <w:lang w:val="sv-SE"/>
              </w:rPr>
              <w:t>672)</w:t>
            </w:r>
          </w:p>
        </w:tc>
        <w:tc>
          <w:tcPr>
            <w:tcW w:w="1160" w:type="pct"/>
            <w:tcBorders>
              <w:top w:val="single" w:sz="4" w:space="0" w:color="000000"/>
              <w:left w:val="single" w:sz="4" w:space="0" w:color="000000"/>
              <w:bottom w:val="single" w:sz="4" w:space="0" w:color="000000"/>
              <w:right w:val="single" w:sz="4" w:space="0" w:color="000000"/>
            </w:tcBorders>
            <w:shd w:val="clear" w:color="auto" w:fill="auto"/>
          </w:tcPr>
          <w:p w14:paraId="63721CAB" w14:textId="301341E1" w:rsidR="005027AB" w:rsidRPr="004A019F" w:rsidRDefault="00264096" w:rsidP="004A019F">
            <w:pPr>
              <w:keepNext/>
              <w:keepLines/>
              <w:spacing w:after="0" w:line="240" w:lineRule="auto"/>
              <w:ind w:left="195" w:right="144" w:firstLine="0"/>
              <w:contextualSpacing/>
              <w:jc w:val="center"/>
              <w:rPr>
                <w:b/>
                <w:lang w:val="en-GB"/>
              </w:rPr>
            </w:pPr>
            <w:r w:rsidRPr="004A019F">
              <w:rPr>
                <w:b/>
                <w:lang w:val="en-GB"/>
              </w:rPr>
              <w:t xml:space="preserve">Hazard </w:t>
            </w:r>
            <w:r w:rsidR="00E516D0" w:rsidRPr="004A019F">
              <w:rPr>
                <w:b/>
                <w:lang w:val="en-GB"/>
              </w:rPr>
              <w:t xml:space="preserve">ratio </w:t>
            </w:r>
            <w:r w:rsidRPr="004A019F">
              <w:rPr>
                <w:b/>
                <w:lang w:val="en-GB"/>
              </w:rPr>
              <w:t>vs AC→P</w:t>
            </w:r>
          </w:p>
          <w:p w14:paraId="2BC2CA4D" w14:textId="0022ADB1" w:rsidR="00EF53D2" w:rsidRPr="004A019F" w:rsidRDefault="00264096" w:rsidP="004A019F">
            <w:pPr>
              <w:keepNext/>
              <w:keepLines/>
              <w:spacing w:after="0" w:line="240" w:lineRule="auto"/>
              <w:ind w:left="120" w:right="75" w:firstLine="0"/>
              <w:contextualSpacing/>
              <w:jc w:val="center"/>
              <w:rPr>
                <w:b/>
                <w:lang w:val="en-GB"/>
              </w:rPr>
            </w:pPr>
            <w:r w:rsidRPr="004A019F">
              <w:rPr>
                <w:b/>
                <w:lang w:val="en-GB"/>
              </w:rPr>
              <w:t>(95</w:t>
            </w:r>
            <w:r w:rsidR="0020661E" w:rsidRPr="004A019F">
              <w:rPr>
                <w:b/>
                <w:lang w:val="en-GB"/>
              </w:rPr>
              <w:t> </w:t>
            </w:r>
            <w:r w:rsidRPr="004A019F">
              <w:rPr>
                <w:b/>
                <w:lang w:val="en-GB"/>
              </w:rPr>
              <w:t xml:space="preserve">% KI) </w:t>
            </w:r>
          </w:p>
          <w:p w14:paraId="6AD7C150" w14:textId="77777777" w:rsidR="005027AB" w:rsidRPr="004A019F" w:rsidRDefault="00264096" w:rsidP="004A019F">
            <w:pPr>
              <w:keepNext/>
              <w:keepLines/>
              <w:spacing w:after="0" w:line="240" w:lineRule="auto"/>
              <w:ind w:left="120" w:right="75" w:firstLine="0"/>
              <w:contextualSpacing/>
              <w:jc w:val="center"/>
              <w:rPr>
                <w:b/>
                <w:lang w:val="sv-SE"/>
              </w:rPr>
            </w:pPr>
            <w:r w:rsidRPr="004A019F">
              <w:rPr>
                <w:b/>
                <w:lang w:val="sv-SE"/>
              </w:rPr>
              <w:t>p-värde</w:t>
            </w:r>
          </w:p>
        </w:tc>
      </w:tr>
      <w:tr w:rsidR="00AD14F8" w:rsidRPr="00A74CC6" w14:paraId="5B4F1DE8" w14:textId="77777777" w:rsidTr="004A019F">
        <w:trPr>
          <w:trHeight w:val="768"/>
        </w:trPr>
        <w:tc>
          <w:tcPr>
            <w:tcW w:w="1961" w:type="pct"/>
            <w:tcBorders>
              <w:top w:val="single" w:sz="4" w:space="0" w:color="auto"/>
              <w:left w:val="single" w:sz="4" w:space="0" w:color="000000"/>
              <w:bottom w:val="single" w:sz="4" w:space="0" w:color="auto"/>
              <w:right w:val="single" w:sz="4" w:space="0" w:color="000000"/>
            </w:tcBorders>
            <w:shd w:val="clear" w:color="auto" w:fill="auto"/>
          </w:tcPr>
          <w:p w14:paraId="53F89BE5" w14:textId="77777777" w:rsidR="005027AB" w:rsidRPr="004A019F" w:rsidRDefault="00264096" w:rsidP="004A019F">
            <w:pPr>
              <w:spacing w:after="0" w:line="240" w:lineRule="auto"/>
              <w:ind w:left="0" w:firstLine="0"/>
              <w:contextualSpacing/>
              <w:rPr>
                <w:lang w:val="sv-SE"/>
              </w:rPr>
            </w:pPr>
            <w:r w:rsidRPr="004A019F">
              <w:rPr>
                <w:lang w:val="sv-SE"/>
              </w:rPr>
              <w:t>Sjukdomsfri överlevnad</w:t>
            </w:r>
          </w:p>
          <w:p w14:paraId="03818C51" w14:textId="77777777" w:rsidR="005027AB" w:rsidRPr="004A019F" w:rsidRDefault="00264096" w:rsidP="004A019F">
            <w:pPr>
              <w:spacing w:after="0" w:line="240" w:lineRule="auto"/>
              <w:ind w:left="0" w:firstLine="0"/>
              <w:contextualSpacing/>
              <w:rPr>
                <w:lang w:val="sv-SE"/>
              </w:rPr>
            </w:pPr>
            <w:r w:rsidRPr="004A019F">
              <w:rPr>
                <w:lang w:val="sv-SE"/>
              </w:rPr>
              <w:t>Antal patienter med händelse (%)</w:t>
            </w:r>
          </w:p>
        </w:tc>
        <w:tc>
          <w:tcPr>
            <w:tcW w:w="795" w:type="pct"/>
            <w:tcBorders>
              <w:top w:val="single" w:sz="4" w:space="0" w:color="000000"/>
              <w:left w:val="single" w:sz="4" w:space="0" w:color="000000"/>
              <w:bottom w:val="single" w:sz="4" w:space="0" w:color="auto"/>
              <w:right w:val="single" w:sz="4" w:space="0" w:color="000000"/>
            </w:tcBorders>
            <w:shd w:val="clear" w:color="auto" w:fill="auto"/>
          </w:tcPr>
          <w:p w14:paraId="1BF0B706" w14:textId="77777777" w:rsidR="00826304" w:rsidRPr="004A019F" w:rsidRDefault="00826304" w:rsidP="004A019F">
            <w:pPr>
              <w:spacing w:after="0" w:line="240" w:lineRule="auto"/>
              <w:ind w:left="0" w:firstLine="0"/>
              <w:contextualSpacing/>
              <w:jc w:val="center"/>
              <w:rPr>
                <w:lang w:val="sv-SE"/>
              </w:rPr>
            </w:pPr>
          </w:p>
          <w:p w14:paraId="7CAA3279" w14:textId="77777777" w:rsidR="005027AB" w:rsidRPr="004A019F" w:rsidRDefault="00264096" w:rsidP="004A019F">
            <w:pPr>
              <w:spacing w:after="0" w:line="240" w:lineRule="auto"/>
              <w:ind w:left="0" w:firstLine="0"/>
              <w:contextualSpacing/>
              <w:jc w:val="center"/>
              <w:rPr>
                <w:lang w:val="sv-SE"/>
              </w:rPr>
            </w:pPr>
            <w:r w:rsidRPr="004A019F">
              <w:rPr>
                <w:lang w:val="sv-SE"/>
              </w:rPr>
              <w:t>261 (15,5)</w:t>
            </w:r>
          </w:p>
        </w:tc>
        <w:tc>
          <w:tcPr>
            <w:tcW w:w="1084" w:type="pct"/>
            <w:tcBorders>
              <w:top w:val="single" w:sz="4" w:space="0" w:color="000000"/>
              <w:left w:val="single" w:sz="4" w:space="0" w:color="000000"/>
              <w:bottom w:val="single" w:sz="4" w:space="0" w:color="auto"/>
              <w:right w:val="single" w:sz="4" w:space="0" w:color="000000"/>
            </w:tcBorders>
            <w:shd w:val="clear" w:color="auto" w:fill="auto"/>
          </w:tcPr>
          <w:p w14:paraId="285F4F3C" w14:textId="77777777" w:rsidR="00826304" w:rsidRPr="004A019F" w:rsidRDefault="00826304" w:rsidP="004A019F">
            <w:pPr>
              <w:spacing w:after="0" w:line="240" w:lineRule="auto"/>
              <w:ind w:left="0" w:firstLine="0"/>
              <w:contextualSpacing/>
              <w:jc w:val="center"/>
              <w:rPr>
                <w:lang w:val="sv-SE"/>
              </w:rPr>
            </w:pPr>
          </w:p>
          <w:p w14:paraId="6B6F6D43" w14:textId="77777777" w:rsidR="005027AB" w:rsidRPr="004A019F" w:rsidRDefault="00264096" w:rsidP="004A019F">
            <w:pPr>
              <w:spacing w:after="0" w:line="240" w:lineRule="auto"/>
              <w:ind w:left="0" w:firstLine="0"/>
              <w:contextualSpacing/>
              <w:jc w:val="center"/>
              <w:rPr>
                <w:lang w:val="sv-SE"/>
              </w:rPr>
            </w:pPr>
            <w:r w:rsidRPr="004A019F">
              <w:rPr>
                <w:lang w:val="sv-SE"/>
              </w:rPr>
              <w:t>133 (8,0)</w:t>
            </w:r>
          </w:p>
        </w:tc>
        <w:tc>
          <w:tcPr>
            <w:tcW w:w="1160" w:type="pct"/>
            <w:tcBorders>
              <w:top w:val="single" w:sz="4" w:space="0" w:color="000000"/>
              <w:left w:val="single" w:sz="4" w:space="0" w:color="000000"/>
              <w:bottom w:val="single" w:sz="4" w:space="0" w:color="auto"/>
              <w:right w:val="single" w:sz="4" w:space="0" w:color="000000"/>
            </w:tcBorders>
            <w:shd w:val="clear" w:color="auto" w:fill="auto"/>
          </w:tcPr>
          <w:p w14:paraId="2CBF9395" w14:textId="77777777" w:rsidR="00826304" w:rsidRPr="004A019F" w:rsidRDefault="00826304" w:rsidP="004A019F">
            <w:pPr>
              <w:spacing w:after="0" w:line="240" w:lineRule="auto"/>
              <w:ind w:left="0" w:firstLine="0"/>
              <w:contextualSpacing/>
              <w:jc w:val="center"/>
              <w:rPr>
                <w:lang w:val="sv-SE"/>
              </w:rPr>
            </w:pPr>
          </w:p>
          <w:p w14:paraId="4C8D98DD" w14:textId="77777777" w:rsidR="00171841" w:rsidRPr="004A019F" w:rsidRDefault="00264096" w:rsidP="004A019F">
            <w:pPr>
              <w:spacing w:after="0" w:line="240" w:lineRule="auto"/>
              <w:ind w:left="0" w:firstLine="0"/>
              <w:contextualSpacing/>
              <w:jc w:val="center"/>
              <w:rPr>
                <w:lang w:val="sv-SE"/>
              </w:rPr>
            </w:pPr>
            <w:r w:rsidRPr="004A019F">
              <w:rPr>
                <w:lang w:val="sv-SE"/>
              </w:rPr>
              <w:t>0,48 (0,39, 0,59)</w:t>
            </w:r>
          </w:p>
          <w:p w14:paraId="6F2E390A" w14:textId="10356C1A" w:rsidR="005027AB" w:rsidRPr="004A019F" w:rsidRDefault="00264096" w:rsidP="004A019F">
            <w:pPr>
              <w:spacing w:after="0" w:line="240" w:lineRule="auto"/>
              <w:ind w:left="0" w:firstLine="0"/>
              <w:contextualSpacing/>
              <w:jc w:val="center"/>
              <w:rPr>
                <w:lang w:val="sv-SE"/>
              </w:rPr>
            </w:pPr>
            <w:r w:rsidRPr="004A019F">
              <w:rPr>
                <w:lang w:val="sv-SE"/>
              </w:rPr>
              <w:t>p</w:t>
            </w:r>
            <w:r w:rsidR="0020661E" w:rsidRPr="004A019F">
              <w:rPr>
                <w:lang w:val="sv-SE"/>
              </w:rPr>
              <w:t> </w:t>
            </w:r>
            <w:r w:rsidRPr="004A019F">
              <w:rPr>
                <w:lang w:val="sv-SE"/>
              </w:rPr>
              <w:t>&lt;</w:t>
            </w:r>
            <w:r w:rsidR="0020661E" w:rsidRPr="004A019F">
              <w:rPr>
                <w:lang w:val="sv-SE"/>
              </w:rPr>
              <w:t> </w:t>
            </w:r>
            <w:r w:rsidRPr="004A019F">
              <w:rPr>
                <w:lang w:val="sv-SE"/>
              </w:rPr>
              <w:t>0,0001</w:t>
            </w:r>
          </w:p>
        </w:tc>
      </w:tr>
      <w:tr w:rsidR="00AD14F8" w:rsidRPr="00A74CC6" w14:paraId="20D28135" w14:textId="77777777" w:rsidTr="004A019F">
        <w:trPr>
          <w:trHeight w:val="768"/>
        </w:trPr>
        <w:tc>
          <w:tcPr>
            <w:tcW w:w="1961" w:type="pct"/>
            <w:tcBorders>
              <w:top w:val="single" w:sz="4" w:space="0" w:color="auto"/>
              <w:left w:val="single" w:sz="4" w:space="0" w:color="000000"/>
              <w:bottom w:val="single" w:sz="4" w:space="0" w:color="auto"/>
              <w:right w:val="single" w:sz="4" w:space="0" w:color="000000"/>
            </w:tcBorders>
            <w:shd w:val="clear" w:color="auto" w:fill="auto"/>
          </w:tcPr>
          <w:p w14:paraId="053B2F11" w14:textId="77777777" w:rsidR="005027AB" w:rsidRPr="004A019F" w:rsidRDefault="00264096" w:rsidP="004A019F">
            <w:pPr>
              <w:spacing w:after="0" w:line="240" w:lineRule="auto"/>
              <w:ind w:left="0" w:firstLine="0"/>
              <w:contextualSpacing/>
              <w:rPr>
                <w:lang w:val="sv-SE"/>
              </w:rPr>
            </w:pPr>
            <w:r w:rsidRPr="004A019F">
              <w:rPr>
                <w:lang w:val="sv-SE"/>
              </w:rPr>
              <w:t>Fjärrecidiv</w:t>
            </w:r>
          </w:p>
          <w:p w14:paraId="4A89543A" w14:textId="77777777" w:rsidR="005027AB" w:rsidRPr="004A019F" w:rsidRDefault="00264096" w:rsidP="004A019F">
            <w:pPr>
              <w:spacing w:after="0" w:line="240" w:lineRule="auto"/>
              <w:ind w:left="0" w:firstLine="0"/>
              <w:contextualSpacing/>
              <w:rPr>
                <w:lang w:val="sv-SE"/>
              </w:rPr>
            </w:pPr>
            <w:r w:rsidRPr="004A019F">
              <w:rPr>
                <w:lang w:val="sv-SE"/>
              </w:rPr>
              <w:t>Antal patienter med händelse</w:t>
            </w:r>
          </w:p>
        </w:tc>
        <w:tc>
          <w:tcPr>
            <w:tcW w:w="795" w:type="pct"/>
            <w:tcBorders>
              <w:top w:val="single" w:sz="4" w:space="0" w:color="auto"/>
              <w:left w:val="single" w:sz="4" w:space="0" w:color="000000"/>
              <w:bottom w:val="single" w:sz="4" w:space="0" w:color="auto"/>
              <w:right w:val="single" w:sz="4" w:space="0" w:color="000000"/>
            </w:tcBorders>
            <w:shd w:val="clear" w:color="auto" w:fill="auto"/>
          </w:tcPr>
          <w:p w14:paraId="1170FFA1" w14:textId="77777777" w:rsidR="00826304" w:rsidRPr="004A019F" w:rsidRDefault="00826304" w:rsidP="004A019F">
            <w:pPr>
              <w:spacing w:after="0" w:line="240" w:lineRule="auto"/>
              <w:ind w:left="45" w:firstLine="0"/>
              <w:contextualSpacing/>
              <w:jc w:val="center"/>
              <w:rPr>
                <w:lang w:val="sv-SE"/>
              </w:rPr>
            </w:pPr>
          </w:p>
          <w:p w14:paraId="370B6CB3" w14:textId="77777777" w:rsidR="005027AB" w:rsidRPr="004A019F" w:rsidRDefault="00264096" w:rsidP="004A019F">
            <w:pPr>
              <w:spacing w:after="0" w:line="240" w:lineRule="auto"/>
              <w:ind w:left="45" w:firstLine="0"/>
              <w:contextualSpacing/>
              <w:jc w:val="center"/>
              <w:rPr>
                <w:lang w:val="sv-SE"/>
              </w:rPr>
            </w:pPr>
            <w:r w:rsidRPr="004A019F">
              <w:rPr>
                <w:lang w:val="sv-SE"/>
              </w:rPr>
              <w:t>193 (11,5)</w:t>
            </w:r>
          </w:p>
        </w:tc>
        <w:tc>
          <w:tcPr>
            <w:tcW w:w="1084" w:type="pct"/>
            <w:tcBorders>
              <w:top w:val="single" w:sz="4" w:space="0" w:color="auto"/>
              <w:left w:val="single" w:sz="4" w:space="0" w:color="000000"/>
              <w:bottom w:val="single" w:sz="4" w:space="0" w:color="auto"/>
              <w:right w:val="single" w:sz="4" w:space="0" w:color="000000"/>
            </w:tcBorders>
            <w:shd w:val="clear" w:color="auto" w:fill="auto"/>
          </w:tcPr>
          <w:p w14:paraId="4C55E51F" w14:textId="77777777" w:rsidR="00826304" w:rsidRPr="004A019F" w:rsidRDefault="00826304" w:rsidP="004A019F">
            <w:pPr>
              <w:spacing w:after="0" w:line="240" w:lineRule="auto"/>
              <w:ind w:left="50" w:firstLine="0"/>
              <w:contextualSpacing/>
              <w:jc w:val="center"/>
              <w:rPr>
                <w:lang w:val="sv-SE"/>
              </w:rPr>
            </w:pPr>
          </w:p>
          <w:p w14:paraId="1643A4CA" w14:textId="77777777" w:rsidR="005027AB" w:rsidRPr="004A019F" w:rsidRDefault="00264096" w:rsidP="004A019F">
            <w:pPr>
              <w:spacing w:after="0" w:line="240" w:lineRule="auto"/>
              <w:ind w:left="50" w:firstLine="0"/>
              <w:contextualSpacing/>
              <w:jc w:val="center"/>
              <w:rPr>
                <w:lang w:val="sv-SE"/>
              </w:rPr>
            </w:pPr>
            <w:r w:rsidRPr="004A019F">
              <w:rPr>
                <w:lang w:val="sv-SE"/>
              </w:rPr>
              <w:t>96 (5,7)</w:t>
            </w:r>
          </w:p>
        </w:tc>
        <w:tc>
          <w:tcPr>
            <w:tcW w:w="1160" w:type="pct"/>
            <w:tcBorders>
              <w:top w:val="single" w:sz="4" w:space="0" w:color="auto"/>
              <w:left w:val="single" w:sz="4" w:space="0" w:color="000000"/>
              <w:bottom w:val="single" w:sz="4" w:space="0" w:color="auto"/>
              <w:right w:val="single" w:sz="4" w:space="0" w:color="000000"/>
            </w:tcBorders>
            <w:shd w:val="clear" w:color="auto" w:fill="auto"/>
          </w:tcPr>
          <w:p w14:paraId="3C159AA5" w14:textId="77777777" w:rsidR="00826304" w:rsidRPr="004A019F" w:rsidRDefault="00826304" w:rsidP="004A019F">
            <w:pPr>
              <w:spacing w:after="0" w:line="240" w:lineRule="auto"/>
              <w:ind w:left="0" w:firstLine="0"/>
              <w:contextualSpacing/>
              <w:jc w:val="center"/>
              <w:rPr>
                <w:lang w:val="sv-SE"/>
              </w:rPr>
            </w:pPr>
          </w:p>
          <w:p w14:paraId="23DA8DCD" w14:textId="77777777" w:rsidR="00171841" w:rsidRPr="004A019F" w:rsidRDefault="00264096" w:rsidP="004A019F">
            <w:pPr>
              <w:spacing w:after="0" w:line="240" w:lineRule="auto"/>
              <w:ind w:left="0" w:firstLine="0"/>
              <w:contextualSpacing/>
              <w:jc w:val="center"/>
              <w:rPr>
                <w:lang w:val="sv-SE"/>
              </w:rPr>
            </w:pPr>
            <w:r w:rsidRPr="004A019F">
              <w:rPr>
                <w:lang w:val="sv-SE"/>
              </w:rPr>
              <w:t>0,47 (0,37, 0,60)</w:t>
            </w:r>
          </w:p>
          <w:p w14:paraId="127EAD7E" w14:textId="27B6F96A" w:rsidR="005027AB" w:rsidRPr="004A019F" w:rsidRDefault="00264096" w:rsidP="004A019F">
            <w:pPr>
              <w:spacing w:after="0" w:line="240" w:lineRule="auto"/>
              <w:ind w:left="0" w:firstLine="0"/>
              <w:contextualSpacing/>
              <w:jc w:val="center"/>
              <w:rPr>
                <w:lang w:val="sv-SE"/>
              </w:rPr>
            </w:pPr>
            <w:r w:rsidRPr="004A019F">
              <w:rPr>
                <w:lang w:val="sv-SE"/>
              </w:rPr>
              <w:t>p</w:t>
            </w:r>
            <w:r w:rsidR="0020661E" w:rsidRPr="004A019F">
              <w:rPr>
                <w:lang w:val="sv-SE"/>
              </w:rPr>
              <w:t> </w:t>
            </w:r>
            <w:r w:rsidRPr="004A019F">
              <w:rPr>
                <w:lang w:val="sv-SE"/>
              </w:rPr>
              <w:t>&lt;</w:t>
            </w:r>
            <w:r w:rsidR="0020661E" w:rsidRPr="004A019F">
              <w:rPr>
                <w:lang w:val="sv-SE"/>
              </w:rPr>
              <w:t> </w:t>
            </w:r>
            <w:r w:rsidRPr="004A019F">
              <w:rPr>
                <w:lang w:val="sv-SE"/>
              </w:rPr>
              <w:t>0,0001</w:t>
            </w:r>
          </w:p>
        </w:tc>
      </w:tr>
      <w:tr w:rsidR="00AD14F8" w:rsidRPr="00A74CC6" w14:paraId="79DE1CF8" w14:textId="77777777" w:rsidTr="004A019F">
        <w:trPr>
          <w:trHeight w:val="770"/>
        </w:trPr>
        <w:tc>
          <w:tcPr>
            <w:tcW w:w="1961" w:type="pct"/>
            <w:tcBorders>
              <w:top w:val="single" w:sz="4" w:space="0" w:color="auto"/>
              <w:left w:val="single" w:sz="4" w:space="0" w:color="000000"/>
              <w:bottom w:val="single" w:sz="4" w:space="0" w:color="auto"/>
              <w:right w:val="single" w:sz="4" w:space="0" w:color="000000"/>
            </w:tcBorders>
            <w:shd w:val="clear" w:color="auto" w:fill="auto"/>
          </w:tcPr>
          <w:p w14:paraId="46B39E34" w14:textId="77777777" w:rsidR="005027AB" w:rsidRPr="004A019F" w:rsidRDefault="00264096" w:rsidP="004A019F">
            <w:pPr>
              <w:keepNext/>
              <w:spacing w:after="0" w:line="240" w:lineRule="auto"/>
              <w:ind w:left="0" w:firstLine="0"/>
              <w:contextualSpacing/>
              <w:rPr>
                <w:lang w:val="sv-SE"/>
              </w:rPr>
            </w:pPr>
            <w:r w:rsidRPr="004A019F">
              <w:rPr>
                <w:lang w:val="sv-SE"/>
              </w:rPr>
              <w:t>Dödsfall:</w:t>
            </w:r>
          </w:p>
          <w:p w14:paraId="73C90375" w14:textId="77777777" w:rsidR="005027AB" w:rsidRPr="004A019F" w:rsidRDefault="00264096" w:rsidP="004A019F">
            <w:pPr>
              <w:keepNext/>
              <w:spacing w:after="0" w:line="240" w:lineRule="auto"/>
              <w:ind w:left="0" w:firstLine="0"/>
              <w:contextualSpacing/>
              <w:rPr>
                <w:lang w:val="sv-SE"/>
              </w:rPr>
            </w:pPr>
            <w:r w:rsidRPr="004A019F">
              <w:rPr>
                <w:lang w:val="sv-SE"/>
              </w:rPr>
              <w:t xml:space="preserve">Antal patienter med händelse </w:t>
            </w:r>
          </w:p>
        </w:tc>
        <w:tc>
          <w:tcPr>
            <w:tcW w:w="795" w:type="pct"/>
            <w:tcBorders>
              <w:top w:val="single" w:sz="4" w:space="0" w:color="auto"/>
              <w:left w:val="single" w:sz="4" w:space="0" w:color="000000"/>
              <w:bottom w:val="single" w:sz="4" w:space="0" w:color="000000"/>
              <w:right w:val="single" w:sz="4" w:space="0" w:color="000000"/>
            </w:tcBorders>
            <w:shd w:val="clear" w:color="auto" w:fill="auto"/>
          </w:tcPr>
          <w:p w14:paraId="0196A627" w14:textId="77777777" w:rsidR="00826304" w:rsidRPr="004A019F" w:rsidRDefault="00826304" w:rsidP="004A019F">
            <w:pPr>
              <w:keepNext/>
              <w:spacing w:after="0" w:line="240" w:lineRule="auto"/>
              <w:ind w:left="45" w:firstLine="0"/>
              <w:contextualSpacing/>
              <w:jc w:val="center"/>
              <w:rPr>
                <w:lang w:val="sv-SE"/>
              </w:rPr>
            </w:pPr>
          </w:p>
          <w:p w14:paraId="0B70E962" w14:textId="77777777" w:rsidR="005027AB" w:rsidRPr="004A019F" w:rsidRDefault="00264096" w:rsidP="004A019F">
            <w:pPr>
              <w:keepNext/>
              <w:spacing w:after="0" w:line="240" w:lineRule="auto"/>
              <w:ind w:left="45" w:firstLine="0"/>
              <w:contextualSpacing/>
              <w:jc w:val="center"/>
              <w:rPr>
                <w:lang w:val="sv-SE"/>
              </w:rPr>
            </w:pPr>
            <w:r w:rsidRPr="004A019F">
              <w:rPr>
                <w:lang w:val="sv-SE"/>
              </w:rPr>
              <w:t>92 (5,5)</w:t>
            </w:r>
          </w:p>
        </w:tc>
        <w:tc>
          <w:tcPr>
            <w:tcW w:w="1084" w:type="pct"/>
            <w:tcBorders>
              <w:top w:val="single" w:sz="4" w:space="0" w:color="auto"/>
              <w:left w:val="single" w:sz="4" w:space="0" w:color="000000"/>
              <w:bottom w:val="single" w:sz="4" w:space="0" w:color="000000"/>
              <w:right w:val="single" w:sz="4" w:space="0" w:color="000000"/>
            </w:tcBorders>
            <w:shd w:val="clear" w:color="auto" w:fill="auto"/>
          </w:tcPr>
          <w:p w14:paraId="05B60576" w14:textId="77777777" w:rsidR="00826304" w:rsidRPr="004A019F" w:rsidRDefault="00826304" w:rsidP="004A019F">
            <w:pPr>
              <w:keepNext/>
              <w:spacing w:after="0" w:line="240" w:lineRule="auto"/>
              <w:ind w:left="50" w:firstLine="0"/>
              <w:contextualSpacing/>
              <w:jc w:val="center"/>
              <w:rPr>
                <w:lang w:val="sv-SE"/>
              </w:rPr>
            </w:pPr>
          </w:p>
          <w:p w14:paraId="32FC28F7" w14:textId="77777777" w:rsidR="005027AB" w:rsidRPr="004A019F" w:rsidRDefault="00264096" w:rsidP="004A019F">
            <w:pPr>
              <w:keepNext/>
              <w:spacing w:after="0" w:line="240" w:lineRule="auto"/>
              <w:ind w:left="50" w:firstLine="0"/>
              <w:contextualSpacing/>
              <w:jc w:val="center"/>
              <w:rPr>
                <w:lang w:val="sv-SE"/>
              </w:rPr>
            </w:pPr>
            <w:r w:rsidRPr="004A019F">
              <w:rPr>
                <w:lang w:val="sv-SE"/>
              </w:rPr>
              <w:t>62 (3,7)</w:t>
            </w:r>
          </w:p>
        </w:tc>
        <w:tc>
          <w:tcPr>
            <w:tcW w:w="1160" w:type="pct"/>
            <w:tcBorders>
              <w:top w:val="single" w:sz="4" w:space="0" w:color="auto"/>
              <w:left w:val="single" w:sz="4" w:space="0" w:color="000000"/>
              <w:bottom w:val="single" w:sz="4" w:space="0" w:color="000000"/>
              <w:right w:val="single" w:sz="4" w:space="0" w:color="000000"/>
            </w:tcBorders>
            <w:shd w:val="clear" w:color="auto" w:fill="auto"/>
          </w:tcPr>
          <w:p w14:paraId="0EBC6A8E" w14:textId="77777777" w:rsidR="00826304" w:rsidRPr="004A019F" w:rsidRDefault="00826304" w:rsidP="004A019F">
            <w:pPr>
              <w:keepNext/>
              <w:spacing w:after="0" w:line="240" w:lineRule="auto"/>
              <w:ind w:left="0" w:firstLine="0"/>
              <w:contextualSpacing/>
              <w:jc w:val="center"/>
              <w:rPr>
                <w:lang w:val="sv-SE"/>
              </w:rPr>
            </w:pPr>
          </w:p>
          <w:p w14:paraId="6D508B1C" w14:textId="77777777" w:rsidR="00171841" w:rsidRPr="004A019F" w:rsidRDefault="00264096" w:rsidP="004A019F">
            <w:pPr>
              <w:keepNext/>
              <w:spacing w:after="0" w:line="240" w:lineRule="auto"/>
              <w:ind w:left="0" w:firstLine="0"/>
              <w:contextualSpacing/>
              <w:jc w:val="center"/>
              <w:rPr>
                <w:lang w:val="sv-SE"/>
              </w:rPr>
            </w:pPr>
            <w:r w:rsidRPr="004A019F">
              <w:rPr>
                <w:lang w:val="sv-SE"/>
              </w:rPr>
              <w:t>0,67 (0,48, 0,92)</w:t>
            </w:r>
          </w:p>
          <w:p w14:paraId="45F5983C" w14:textId="613C9A6D" w:rsidR="005027AB" w:rsidRPr="004A019F" w:rsidRDefault="00264096" w:rsidP="004A019F">
            <w:pPr>
              <w:keepNext/>
              <w:spacing w:after="0" w:line="240" w:lineRule="auto"/>
              <w:ind w:left="0" w:firstLine="0"/>
              <w:contextualSpacing/>
              <w:jc w:val="center"/>
              <w:rPr>
                <w:lang w:val="sv-SE"/>
              </w:rPr>
            </w:pPr>
            <w:r w:rsidRPr="004A019F">
              <w:rPr>
                <w:lang w:val="sv-SE"/>
              </w:rPr>
              <w:t>p</w:t>
            </w:r>
            <w:r w:rsidR="0020661E" w:rsidRPr="004A019F">
              <w:rPr>
                <w:lang w:val="sv-SE"/>
              </w:rPr>
              <w:t> </w:t>
            </w:r>
            <w:r w:rsidRPr="004A019F">
              <w:rPr>
                <w:lang w:val="sv-SE"/>
              </w:rPr>
              <w:t>=</w:t>
            </w:r>
            <w:r w:rsidR="0020661E" w:rsidRPr="004A019F">
              <w:rPr>
                <w:lang w:val="sv-SE"/>
              </w:rPr>
              <w:t> </w:t>
            </w:r>
            <w:r w:rsidRPr="004A019F">
              <w:rPr>
                <w:lang w:val="sv-SE"/>
              </w:rPr>
              <w:t>0,014</w:t>
            </w:r>
            <w:r w:rsidR="00F37A3A" w:rsidRPr="004A019F">
              <w:rPr>
                <w:rFonts w:eastAsia="Yu Mincho"/>
                <w:vertAlign w:val="superscript"/>
                <w:lang w:eastAsia="en-GB"/>
              </w:rPr>
              <w:t>**</w:t>
            </w:r>
          </w:p>
        </w:tc>
      </w:tr>
    </w:tbl>
    <w:p w14:paraId="590A5ADE" w14:textId="77777777" w:rsidR="005027AB" w:rsidRPr="008763E6" w:rsidRDefault="00264096" w:rsidP="0031506B">
      <w:pPr>
        <w:keepNext/>
        <w:spacing w:after="0" w:line="240" w:lineRule="auto"/>
        <w:ind w:left="0" w:firstLine="0"/>
        <w:contextualSpacing/>
      </w:pPr>
      <w:r w:rsidRPr="008763E6">
        <w:rPr>
          <w:sz w:val="20"/>
        </w:rPr>
        <w:t xml:space="preserve">A: doxorubicin; C: </w:t>
      </w:r>
      <w:proofErr w:type="spellStart"/>
      <w:r w:rsidRPr="008763E6">
        <w:rPr>
          <w:sz w:val="20"/>
        </w:rPr>
        <w:t>cyklofosfamid</w:t>
      </w:r>
      <w:proofErr w:type="spellEnd"/>
      <w:r w:rsidRPr="008763E6">
        <w:rPr>
          <w:sz w:val="20"/>
        </w:rPr>
        <w:t xml:space="preserve">; P: </w:t>
      </w:r>
      <w:proofErr w:type="spellStart"/>
      <w:r w:rsidRPr="008763E6">
        <w:rPr>
          <w:sz w:val="20"/>
        </w:rPr>
        <w:t>paklitaxel</w:t>
      </w:r>
      <w:proofErr w:type="spellEnd"/>
      <w:r w:rsidRPr="008763E6">
        <w:rPr>
          <w:sz w:val="20"/>
        </w:rPr>
        <w:t>; H: trastuzumab</w:t>
      </w:r>
    </w:p>
    <w:p w14:paraId="7D4CCB64" w14:textId="49EF49B5" w:rsidR="005027AB" w:rsidRPr="00A74CC6" w:rsidRDefault="00264096" w:rsidP="00826304">
      <w:pPr>
        <w:spacing w:after="0" w:line="240" w:lineRule="auto"/>
        <w:ind w:left="0" w:firstLine="0"/>
        <w:contextualSpacing/>
        <w:rPr>
          <w:lang w:val="sv-SE"/>
        </w:rPr>
      </w:pPr>
      <w:r w:rsidRPr="00A74CC6">
        <w:rPr>
          <w:sz w:val="20"/>
          <w:lang w:val="sv-SE"/>
        </w:rPr>
        <w:t>* Vid medianduration för uppföljning på 1,8</w:t>
      </w:r>
      <w:r w:rsidR="008A0BDE" w:rsidRPr="00A74CC6">
        <w:rPr>
          <w:sz w:val="20"/>
          <w:lang w:val="sv-SE"/>
        </w:rPr>
        <w:t> </w:t>
      </w:r>
      <w:r w:rsidRPr="00A74CC6">
        <w:rPr>
          <w:sz w:val="20"/>
          <w:lang w:val="sv-SE"/>
        </w:rPr>
        <w:t>år för patienterna i AC→P-gruppen och 2,0</w:t>
      </w:r>
      <w:r w:rsidR="008A0BDE" w:rsidRPr="00A74CC6">
        <w:rPr>
          <w:sz w:val="20"/>
          <w:lang w:val="sv-SE"/>
        </w:rPr>
        <w:t> </w:t>
      </w:r>
      <w:r w:rsidRPr="00A74CC6">
        <w:rPr>
          <w:sz w:val="20"/>
          <w:lang w:val="sv-SE"/>
        </w:rPr>
        <w:t>år för patienterna i AC→PH-gruppen.</w:t>
      </w:r>
    </w:p>
    <w:p w14:paraId="0623A5E1" w14:textId="77777777" w:rsidR="005027AB" w:rsidRPr="00A74CC6" w:rsidRDefault="00264096" w:rsidP="00826304">
      <w:pPr>
        <w:spacing w:after="0" w:line="240" w:lineRule="auto"/>
        <w:ind w:left="0" w:firstLine="0"/>
        <w:contextualSpacing/>
        <w:rPr>
          <w:sz w:val="20"/>
          <w:lang w:val="sv-SE"/>
        </w:rPr>
      </w:pPr>
      <w:r w:rsidRPr="00A74CC6">
        <w:rPr>
          <w:sz w:val="20"/>
          <w:lang w:val="sv-SE"/>
        </w:rPr>
        <w:t>**p-värdet för överlevnad (OS) korsade inte den fördefinierade statistiska gränsen för jämförelsen av AC→PH med AC→P.</w:t>
      </w:r>
    </w:p>
    <w:p w14:paraId="209F679B" w14:textId="77777777" w:rsidR="00410CA8" w:rsidRPr="00A74CC6" w:rsidRDefault="00410CA8" w:rsidP="00DE77C7">
      <w:pPr>
        <w:spacing w:after="0" w:line="240" w:lineRule="auto"/>
        <w:ind w:left="0" w:firstLine="0"/>
        <w:contextualSpacing/>
        <w:rPr>
          <w:lang w:val="sv-SE"/>
        </w:rPr>
      </w:pPr>
    </w:p>
    <w:p w14:paraId="1E5667FF" w14:textId="25BE9FA1" w:rsidR="005027AB" w:rsidRPr="00A74CC6" w:rsidRDefault="00264096" w:rsidP="00DE77C7">
      <w:pPr>
        <w:spacing w:after="0" w:line="240" w:lineRule="auto"/>
        <w:ind w:left="0" w:firstLine="0"/>
        <w:contextualSpacing/>
        <w:rPr>
          <w:lang w:val="sv-SE"/>
        </w:rPr>
      </w:pPr>
      <w:r w:rsidRPr="00A74CC6">
        <w:rPr>
          <w:lang w:val="sv-SE"/>
        </w:rPr>
        <w:t xml:space="preserve">För den primära effektvariabeln sjukdomsfri överlevnad (DFS) resulterade tillägg av </w:t>
      </w:r>
      <w:r w:rsidR="0020661E" w:rsidRPr="00A74CC6">
        <w:rPr>
          <w:lang w:val="sv-SE"/>
        </w:rPr>
        <w:t xml:space="preserve">trastuzumab </w:t>
      </w:r>
      <w:r w:rsidR="00410CA8" w:rsidRPr="00A74CC6">
        <w:rPr>
          <w:lang w:val="sv-SE"/>
        </w:rPr>
        <w:t>till paklitaxel i en 52</w:t>
      </w:r>
      <w:r w:rsidR="00EF53D2" w:rsidRPr="00A74CC6">
        <w:rPr>
          <w:lang w:val="sv-SE"/>
        </w:rPr>
        <w:t> </w:t>
      </w:r>
      <w:r w:rsidRPr="00A74CC6">
        <w:rPr>
          <w:lang w:val="sv-SE"/>
        </w:rPr>
        <w:t>%-ig minskning av sjukdomsåterfall. Hazard ratio</w:t>
      </w:r>
      <w:r w:rsidR="009A1CAD" w:rsidRPr="00A74CC6">
        <w:rPr>
          <w:lang w:val="sv-SE"/>
        </w:rPr>
        <w:t>n</w:t>
      </w:r>
      <w:r w:rsidRPr="00A74CC6">
        <w:rPr>
          <w:lang w:val="sv-SE"/>
        </w:rPr>
        <w:t xml:space="preserve"> </w:t>
      </w:r>
      <w:r w:rsidR="00352E52" w:rsidRPr="00A74CC6">
        <w:rPr>
          <w:lang w:val="sv-SE"/>
        </w:rPr>
        <w:t xml:space="preserve">ger en </w:t>
      </w:r>
      <w:r w:rsidRPr="00A74CC6">
        <w:rPr>
          <w:lang w:val="sv-SE"/>
        </w:rPr>
        <w:t>absolut</w:t>
      </w:r>
      <w:r w:rsidR="00352E52" w:rsidRPr="00A74CC6">
        <w:rPr>
          <w:lang w:val="sv-SE"/>
        </w:rPr>
        <w:t xml:space="preserve"> </w:t>
      </w:r>
      <w:r w:rsidR="005668D1" w:rsidRPr="00A74CC6">
        <w:rPr>
          <w:lang w:val="sv-SE"/>
        </w:rPr>
        <w:t xml:space="preserve">behandlingsvinst </w:t>
      </w:r>
      <w:r w:rsidR="009A1CAD" w:rsidRPr="00A74CC6">
        <w:rPr>
          <w:lang w:val="sv-SE"/>
        </w:rPr>
        <w:t>på</w:t>
      </w:r>
      <w:r w:rsidR="00352E52" w:rsidRPr="00A74CC6">
        <w:rPr>
          <w:lang w:val="sv-SE"/>
        </w:rPr>
        <w:t xml:space="preserve"> 11,8 </w:t>
      </w:r>
      <w:r w:rsidR="009A1CAD" w:rsidRPr="00A74CC6">
        <w:rPr>
          <w:lang w:val="sv-SE"/>
        </w:rPr>
        <w:t>procentenheter för</w:t>
      </w:r>
      <w:r w:rsidR="00352E52" w:rsidRPr="00A74CC6">
        <w:rPr>
          <w:lang w:val="sv-SE"/>
        </w:rPr>
        <w:t xml:space="preserve"> </w:t>
      </w:r>
      <w:r w:rsidRPr="00A74CC6">
        <w:rPr>
          <w:lang w:val="sv-SE"/>
        </w:rPr>
        <w:t>sjukdomsfri överlevnad</w:t>
      </w:r>
      <w:r w:rsidR="009A1CAD" w:rsidRPr="00A74CC6">
        <w:rPr>
          <w:lang w:val="sv-SE"/>
        </w:rPr>
        <w:t xml:space="preserve"> vid 3 år</w:t>
      </w:r>
      <w:r w:rsidRPr="00A74CC6">
        <w:rPr>
          <w:lang w:val="sv-SE"/>
        </w:rPr>
        <w:t xml:space="preserve"> (87,2</w:t>
      </w:r>
      <w:r w:rsidR="00EF53D2" w:rsidRPr="00A74CC6">
        <w:rPr>
          <w:lang w:val="sv-SE"/>
        </w:rPr>
        <w:t> </w:t>
      </w:r>
      <w:r w:rsidRPr="00A74CC6">
        <w:rPr>
          <w:lang w:val="sv-SE"/>
        </w:rPr>
        <w:t>% jämfört med 7</w:t>
      </w:r>
      <w:r w:rsidR="00410CA8" w:rsidRPr="00A74CC6">
        <w:rPr>
          <w:lang w:val="sv-SE"/>
        </w:rPr>
        <w:t>5,4</w:t>
      </w:r>
      <w:r w:rsidR="00EF53D2" w:rsidRPr="00A74CC6">
        <w:rPr>
          <w:lang w:val="sv-SE"/>
        </w:rPr>
        <w:t> </w:t>
      </w:r>
      <w:r w:rsidRPr="00A74CC6">
        <w:rPr>
          <w:lang w:val="sv-SE"/>
        </w:rPr>
        <w:t>%) till fördel för behandlingsgruppen med AC→PH (</w:t>
      </w:r>
      <w:r w:rsidR="0020661E" w:rsidRPr="00A74CC6">
        <w:rPr>
          <w:lang w:val="sv-SE"/>
        </w:rPr>
        <w:t>trastuzumab</w:t>
      </w:r>
      <w:r w:rsidRPr="00A74CC6">
        <w:rPr>
          <w:lang w:val="sv-SE"/>
        </w:rPr>
        <w:t>).</w:t>
      </w:r>
    </w:p>
    <w:p w14:paraId="73E06E6F" w14:textId="77777777" w:rsidR="00826304" w:rsidRPr="00A74CC6" w:rsidRDefault="00826304" w:rsidP="00DE77C7">
      <w:pPr>
        <w:spacing w:after="0" w:line="240" w:lineRule="auto"/>
        <w:ind w:left="0" w:firstLine="0"/>
        <w:contextualSpacing/>
        <w:rPr>
          <w:lang w:val="sv-SE"/>
        </w:rPr>
      </w:pPr>
    </w:p>
    <w:p w14:paraId="03F99F80" w14:textId="5AE6BE26" w:rsidR="005027AB" w:rsidRPr="00A74CC6" w:rsidRDefault="00264096" w:rsidP="00DE77C7">
      <w:pPr>
        <w:spacing w:after="0" w:line="240" w:lineRule="auto"/>
        <w:ind w:left="0" w:firstLine="0"/>
        <w:contextualSpacing/>
        <w:rPr>
          <w:lang w:val="sv-SE"/>
        </w:rPr>
      </w:pPr>
      <w:r w:rsidRPr="00A74CC6">
        <w:rPr>
          <w:lang w:val="sv-SE"/>
        </w:rPr>
        <w:t>Vid säkerhetsuppdateringen efter en mediantid av 3,5 till 3,8</w:t>
      </w:r>
      <w:r w:rsidR="008A0BDE" w:rsidRPr="00A74CC6">
        <w:rPr>
          <w:lang w:val="sv-SE"/>
        </w:rPr>
        <w:t> </w:t>
      </w:r>
      <w:r w:rsidRPr="00A74CC6">
        <w:rPr>
          <w:lang w:val="sv-SE"/>
        </w:rPr>
        <w:t xml:space="preserve">års uppföljning bekräftade analysen av sjukdomsfri överlevnad magnituden av nyttan visad i den definitiva analysen av sjukdomsfri överlevnad. Trots övergång (cross-over) till </w:t>
      </w:r>
      <w:r w:rsidR="0020661E" w:rsidRPr="00A74CC6">
        <w:rPr>
          <w:lang w:val="sv-SE"/>
        </w:rPr>
        <w:t xml:space="preserve">trastuzumab </w:t>
      </w:r>
      <w:r w:rsidRPr="00A74CC6">
        <w:rPr>
          <w:lang w:val="sv-SE"/>
        </w:rPr>
        <w:t xml:space="preserve">i kontrollgruppen, resulterade tillägg av </w:t>
      </w:r>
      <w:r w:rsidR="0020661E" w:rsidRPr="00A74CC6">
        <w:rPr>
          <w:lang w:val="sv-SE"/>
        </w:rPr>
        <w:t xml:space="preserve">trastuzumab </w:t>
      </w:r>
      <w:r w:rsidRPr="00A74CC6">
        <w:rPr>
          <w:lang w:val="sv-SE"/>
        </w:rPr>
        <w:t>till kemoterapi med paklitaxel i en 52</w:t>
      </w:r>
      <w:r w:rsidR="00EF53D2" w:rsidRPr="00A74CC6">
        <w:rPr>
          <w:lang w:val="sv-SE"/>
        </w:rPr>
        <w:t> </w:t>
      </w:r>
      <w:r w:rsidRPr="00A74CC6">
        <w:rPr>
          <w:lang w:val="sv-SE"/>
        </w:rPr>
        <w:t xml:space="preserve">%-ig minskning i risken för sjukdomsåterfall. Tillägg av </w:t>
      </w:r>
      <w:r w:rsidR="0020661E" w:rsidRPr="00A74CC6">
        <w:rPr>
          <w:lang w:val="sv-SE"/>
        </w:rPr>
        <w:t xml:space="preserve">trastuzumab </w:t>
      </w:r>
      <w:r w:rsidRPr="00A74CC6">
        <w:rPr>
          <w:lang w:val="sv-SE"/>
        </w:rPr>
        <w:t>till kemoterapi med paklitaxel resulterade också i en 37</w:t>
      </w:r>
      <w:r w:rsidR="00B268E6" w:rsidRPr="00A74CC6">
        <w:rPr>
          <w:lang w:val="sv-SE"/>
        </w:rPr>
        <w:t> %</w:t>
      </w:r>
      <w:r w:rsidRPr="00A74CC6">
        <w:rPr>
          <w:lang w:val="sv-SE"/>
        </w:rPr>
        <w:t>-ig minskad risk för dödsfall.</w:t>
      </w:r>
    </w:p>
    <w:p w14:paraId="1A6898B1" w14:textId="77777777" w:rsidR="00410CA8" w:rsidRPr="00A74CC6" w:rsidRDefault="00410CA8" w:rsidP="00DE77C7">
      <w:pPr>
        <w:spacing w:after="0" w:line="240" w:lineRule="auto"/>
        <w:ind w:left="0" w:firstLine="0"/>
        <w:contextualSpacing/>
        <w:rPr>
          <w:lang w:val="sv-SE"/>
        </w:rPr>
      </w:pPr>
    </w:p>
    <w:p w14:paraId="39B671B4" w14:textId="66DD2FF3" w:rsidR="005027AB" w:rsidRPr="00A74CC6" w:rsidRDefault="00264096" w:rsidP="00DE77C7">
      <w:pPr>
        <w:spacing w:after="0" w:line="240" w:lineRule="auto"/>
        <w:ind w:left="0" w:firstLine="0"/>
        <w:contextualSpacing/>
        <w:rPr>
          <w:lang w:val="sv-SE"/>
        </w:rPr>
      </w:pPr>
      <w:r w:rsidRPr="00A74CC6">
        <w:rPr>
          <w:lang w:val="sv-SE"/>
        </w:rPr>
        <w:lastRenderedPageBreak/>
        <w:t>Den förplanerade finala överlevnadsanalysen från den sammanvägda analysen av studierna NSABP B-31 och NCCTG N9831 genomfördes då 707</w:t>
      </w:r>
      <w:r w:rsidR="008A0BDE" w:rsidRPr="00A74CC6">
        <w:rPr>
          <w:lang w:val="sv-SE"/>
        </w:rPr>
        <w:t> </w:t>
      </w:r>
      <w:r w:rsidRPr="00A74CC6">
        <w:rPr>
          <w:lang w:val="sv-SE"/>
        </w:rPr>
        <w:t>dödsfall hade inträffat (medianuppföljning 8,3</w:t>
      </w:r>
      <w:r w:rsidR="008A0BDE" w:rsidRPr="00A74CC6">
        <w:rPr>
          <w:lang w:val="sv-SE"/>
        </w:rPr>
        <w:t> </w:t>
      </w:r>
      <w:r w:rsidRPr="00A74CC6">
        <w:rPr>
          <w:lang w:val="sv-SE"/>
        </w:rPr>
        <w:t>år i AC→PH-gruppen). Behandling med AC→PH resulterade i en statistiskt signifikant förbättrad överlevnad jämfört med AC→P (stratifierad HR</w:t>
      </w:r>
      <w:r w:rsidR="00E36A8F" w:rsidRPr="00A74CC6">
        <w:rPr>
          <w:lang w:val="sv-SE"/>
        </w:rPr>
        <w:t> </w:t>
      </w:r>
      <w:r w:rsidRPr="00A74CC6">
        <w:rPr>
          <w:lang w:val="sv-SE"/>
        </w:rPr>
        <w:t>=</w:t>
      </w:r>
      <w:r w:rsidR="00E36A8F" w:rsidRPr="00A74CC6">
        <w:rPr>
          <w:lang w:val="sv-SE"/>
        </w:rPr>
        <w:t> </w:t>
      </w:r>
      <w:r w:rsidRPr="00A74CC6">
        <w:rPr>
          <w:lang w:val="sv-SE"/>
        </w:rPr>
        <w:t>0,64; 95</w:t>
      </w:r>
      <w:r w:rsidR="00EF53D2" w:rsidRPr="00A74CC6">
        <w:rPr>
          <w:lang w:val="sv-SE"/>
        </w:rPr>
        <w:t> </w:t>
      </w:r>
      <w:r w:rsidRPr="00A74CC6">
        <w:rPr>
          <w:lang w:val="sv-SE"/>
        </w:rPr>
        <w:t>% KI [</w:t>
      </w:r>
      <w:r w:rsidR="00AD3B60" w:rsidRPr="00A74CC6">
        <w:rPr>
          <w:lang w:val="sv-SE"/>
        </w:rPr>
        <w:t>0,55, 0,74]; log-rank p-värde</w:t>
      </w:r>
      <w:r w:rsidR="008A0BDE" w:rsidRPr="00A74CC6">
        <w:rPr>
          <w:lang w:val="sv-SE"/>
        </w:rPr>
        <w:t> </w:t>
      </w:r>
      <w:r w:rsidR="00AD3B60" w:rsidRPr="00A74CC6">
        <w:rPr>
          <w:lang w:val="sv-SE"/>
        </w:rPr>
        <w:t>&lt; </w:t>
      </w:r>
      <w:r w:rsidR="007D3C64" w:rsidRPr="00A74CC6">
        <w:rPr>
          <w:lang w:val="sv-SE"/>
        </w:rPr>
        <w:t xml:space="preserve">0,0001). </w:t>
      </w:r>
      <w:r w:rsidRPr="00A74CC6">
        <w:rPr>
          <w:lang w:val="sv-SE"/>
        </w:rPr>
        <w:t>Vid 8</w:t>
      </w:r>
      <w:r w:rsidR="008A0BDE" w:rsidRPr="00A74CC6">
        <w:rPr>
          <w:lang w:val="sv-SE"/>
        </w:rPr>
        <w:t> </w:t>
      </w:r>
      <w:r w:rsidRPr="00A74CC6">
        <w:rPr>
          <w:lang w:val="sv-SE"/>
        </w:rPr>
        <w:t xml:space="preserve">år var </w:t>
      </w:r>
      <w:r w:rsidR="008A0BDE" w:rsidRPr="00A74CC6">
        <w:rPr>
          <w:lang w:val="sv-SE"/>
        </w:rPr>
        <w:t xml:space="preserve">den beräknade </w:t>
      </w:r>
      <w:r w:rsidRPr="00A74CC6">
        <w:rPr>
          <w:lang w:val="sv-SE"/>
        </w:rPr>
        <w:t>överlevnadsfrekvensen 86,9</w:t>
      </w:r>
      <w:r w:rsidR="00EF53D2" w:rsidRPr="00A74CC6">
        <w:rPr>
          <w:lang w:val="sv-SE"/>
        </w:rPr>
        <w:t> </w:t>
      </w:r>
      <w:r w:rsidRPr="00A74CC6">
        <w:rPr>
          <w:lang w:val="sv-SE"/>
        </w:rPr>
        <w:t>% i AC→PH-gruppen och 79,4</w:t>
      </w:r>
      <w:r w:rsidR="00EF53D2" w:rsidRPr="00A74CC6">
        <w:rPr>
          <w:lang w:val="sv-SE"/>
        </w:rPr>
        <w:t> </w:t>
      </w:r>
      <w:r w:rsidRPr="00A74CC6">
        <w:rPr>
          <w:lang w:val="sv-SE"/>
        </w:rPr>
        <w:t>% i AC→P-gruppen, en absolut nytta på 7,4</w:t>
      </w:r>
      <w:r w:rsidR="00EF53D2" w:rsidRPr="00A74CC6">
        <w:rPr>
          <w:lang w:val="sv-SE"/>
        </w:rPr>
        <w:t> </w:t>
      </w:r>
      <w:r w:rsidRPr="00A74CC6">
        <w:rPr>
          <w:lang w:val="sv-SE"/>
        </w:rPr>
        <w:t>% (95</w:t>
      </w:r>
      <w:r w:rsidR="00F2647C" w:rsidRPr="00A74CC6">
        <w:rPr>
          <w:lang w:val="sv-SE"/>
        </w:rPr>
        <w:t> </w:t>
      </w:r>
      <w:r w:rsidRPr="00A74CC6">
        <w:rPr>
          <w:lang w:val="sv-SE"/>
        </w:rPr>
        <w:t>% KI</w:t>
      </w:r>
      <w:r w:rsidR="00940BDC">
        <w:rPr>
          <w:lang w:val="sv-SE"/>
        </w:rPr>
        <w:t>:</w:t>
      </w:r>
      <w:r w:rsidRPr="00A74CC6">
        <w:rPr>
          <w:lang w:val="sv-SE"/>
        </w:rPr>
        <w:t xml:space="preserve"> 4,9</w:t>
      </w:r>
      <w:r w:rsidR="00EF53D2" w:rsidRPr="00A74CC6">
        <w:rPr>
          <w:lang w:val="sv-SE"/>
        </w:rPr>
        <w:t> </w:t>
      </w:r>
      <w:r w:rsidRPr="00A74CC6">
        <w:rPr>
          <w:lang w:val="sv-SE"/>
        </w:rPr>
        <w:t>%, 10,0</w:t>
      </w:r>
      <w:r w:rsidR="00EF53D2" w:rsidRPr="00A74CC6">
        <w:rPr>
          <w:lang w:val="sv-SE"/>
        </w:rPr>
        <w:t> </w:t>
      </w:r>
      <w:r w:rsidRPr="00A74CC6">
        <w:rPr>
          <w:lang w:val="sv-SE"/>
        </w:rPr>
        <w:t>%).</w:t>
      </w:r>
    </w:p>
    <w:p w14:paraId="2734D119" w14:textId="77777777" w:rsidR="006157E9" w:rsidRPr="00A74CC6" w:rsidRDefault="006157E9" w:rsidP="00DE77C7">
      <w:pPr>
        <w:spacing w:after="0" w:line="240" w:lineRule="auto"/>
        <w:ind w:left="0" w:firstLine="0"/>
        <w:contextualSpacing/>
        <w:rPr>
          <w:lang w:val="sv-SE"/>
        </w:rPr>
      </w:pPr>
    </w:p>
    <w:p w14:paraId="3046633B" w14:textId="41F0C029" w:rsidR="005027AB" w:rsidRPr="00A74CC6" w:rsidRDefault="00264096" w:rsidP="00DE77C7">
      <w:pPr>
        <w:spacing w:after="0" w:line="240" w:lineRule="auto"/>
        <w:ind w:left="0" w:firstLine="0"/>
        <w:contextualSpacing/>
        <w:rPr>
          <w:lang w:val="sv-SE"/>
        </w:rPr>
      </w:pPr>
      <w:r w:rsidRPr="00A74CC6">
        <w:rPr>
          <w:lang w:val="sv-SE"/>
        </w:rPr>
        <w:t>Finala överlevnadsresultat från den sammanvägda analysen av studierna NSABP B-31 och NCCTG N9831 sammanfattas i tabell</w:t>
      </w:r>
      <w:r w:rsidR="008A0BDE" w:rsidRPr="00A74CC6">
        <w:rPr>
          <w:lang w:val="sv-SE"/>
        </w:rPr>
        <w:t> </w:t>
      </w:r>
      <w:r w:rsidRPr="00A74CC6">
        <w:rPr>
          <w:lang w:val="sv-SE"/>
        </w:rPr>
        <w:t>8 nedan:</w:t>
      </w:r>
    </w:p>
    <w:p w14:paraId="17599C49" w14:textId="77777777" w:rsidR="00410CA8" w:rsidRPr="00A74CC6" w:rsidRDefault="00410CA8" w:rsidP="00DE77C7">
      <w:pPr>
        <w:spacing w:after="0" w:line="240" w:lineRule="auto"/>
        <w:ind w:left="0" w:firstLine="0"/>
        <w:contextualSpacing/>
        <w:rPr>
          <w:lang w:val="sv-SE"/>
        </w:rPr>
      </w:pPr>
    </w:p>
    <w:p w14:paraId="63CD6BCB" w14:textId="4C08B6A4" w:rsidR="005027AB" w:rsidRPr="00A74CC6" w:rsidRDefault="00264096" w:rsidP="00613D70">
      <w:pPr>
        <w:keepNext/>
        <w:spacing w:after="0" w:line="240" w:lineRule="auto"/>
        <w:ind w:left="0" w:firstLine="0"/>
        <w:contextualSpacing/>
        <w:rPr>
          <w:b/>
          <w:lang w:val="sv-SE"/>
        </w:rPr>
      </w:pPr>
      <w:r w:rsidRPr="00A74CC6">
        <w:rPr>
          <w:b/>
          <w:lang w:val="sv-SE"/>
        </w:rPr>
        <w:t>Tabell</w:t>
      </w:r>
      <w:r w:rsidR="008A0BDE" w:rsidRPr="00A74CC6">
        <w:rPr>
          <w:b/>
          <w:lang w:val="sv-SE"/>
        </w:rPr>
        <w:t> </w:t>
      </w:r>
      <w:r w:rsidRPr="00A74CC6">
        <w:rPr>
          <w:b/>
          <w:lang w:val="sv-SE"/>
        </w:rPr>
        <w:t>8</w:t>
      </w:r>
      <w:r w:rsidR="00E1391C" w:rsidRPr="00A74CC6">
        <w:rPr>
          <w:b/>
          <w:lang w:val="sv-SE"/>
        </w:rPr>
        <w:t>.</w:t>
      </w:r>
      <w:r w:rsidRPr="00A74CC6">
        <w:rPr>
          <w:b/>
          <w:lang w:val="sv-SE"/>
        </w:rPr>
        <w:t xml:space="preserve"> Finala överlevnadsresultat från den sammanvägda analysen av studierna NSABP B-31 och NCCTG N9831 </w:t>
      </w:r>
    </w:p>
    <w:p w14:paraId="5AAD2B54" w14:textId="77777777" w:rsidR="00410CA8" w:rsidRPr="00A74CC6" w:rsidRDefault="00410CA8" w:rsidP="00613D70">
      <w:pPr>
        <w:keepNext/>
        <w:spacing w:after="0" w:line="240" w:lineRule="auto"/>
        <w:ind w:left="0" w:firstLine="0"/>
        <w:contextualSpacing/>
        <w:rPr>
          <w:b/>
          <w:lang w:val="sv-SE"/>
        </w:rPr>
      </w:pPr>
    </w:p>
    <w:tbl>
      <w:tblPr>
        <w:tblW w:w="5000" w:type="pct"/>
        <w:tblInd w:w="67" w:type="dxa"/>
        <w:tblCellMar>
          <w:top w:w="51" w:type="dxa"/>
          <w:left w:w="67" w:type="dxa"/>
          <w:bottom w:w="10" w:type="dxa"/>
          <w:right w:w="48" w:type="dxa"/>
        </w:tblCellMar>
        <w:tblLook w:val="04A0" w:firstRow="1" w:lastRow="0" w:firstColumn="1" w:lastColumn="0" w:noHBand="0" w:noVBand="1"/>
      </w:tblPr>
      <w:tblGrid>
        <w:gridCol w:w="3213"/>
        <w:gridCol w:w="1548"/>
        <w:gridCol w:w="1442"/>
        <w:gridCol w:w="1618"/>
        <w:gridCol w:w="1363"/>
      </w:tblGrid>
      <w:tr w:rsidR="00AD14F8" w:rsidRPr="00A74CC6" w14:paraId="6A693F58" w14:textId="77777777" w:rsidTr="004A019F">
        <w:trPr>
          <w:trHeight w:val="1022"/>
          <w:tblHeader/>
        </w:trPr>
        <w:tc>
          <w:tcPr>
            <w:tcW w:w="1749" w:type="pct"/>
            <w:tcBorders>
              <w:top w:val="single" w:sz="4" w:space="0" w:color="000000"/>
              <w:left w:val="single" w:sz="4" w:space="0" w:color="000000"/>
              <w:bottom w:val="single" w:sz="4" w:space="0" w:color="000000"/>
              <w:right w:val="single" w:sz="4" w:space="0" w:color="000000"/>
            </w:tcBorders>
            <w:shd w:val="clear" w:color="auto" w:fill="auto"/>
          </w:tcPr>
          <w:p w14:paraId="40641486" w14:textId="77777777" w:rsidR="005027AB" w:rsidRPr="004A019F" w:rsidRDefault="00264096" w:rsidP="004A019F">
            <w:pPr>
              <w:keepNext/>
              <w:spacing w:after="0" w:line="240" w:lineRule="auto"/>
              <w:ind w:left="0" w:firstLine="0"/>
              <w:contextualSpacing/>
              <w:rPr>
                <w:b/>
                <w:lang w:val="sv-SE"/>
              </w:rPr>
            </w:pPr>
            <w:r w:rsidRPr="004A019F">
              <w:rPr>
                <w:b/>
                <w:lang w:val="sv-SE"/>
              </w:rPr>
              <w:t>Parameter</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14:paraId="5A743ECE" w14:textId="77777777" w:rsidR="005027AB" w:rsidRPr="004A019F" w:rsidRDefault="00264096" w:rsidP="004A019F">
            <w:pPr>
              <w:keepNext/>
              <w:spacing w:after="0" w:line="240" w:lineRule="auto"/>
              <w:ind w:left="0" w:firstLine="0"/>
              <w:contextualSpacing/>
              <w:jc w:val="center"/>
              <w:rPr>
                <w:b/>
                <w:lang w:val="sv-SE"/>
              </w:rPr>
            </w:pPr>
            <w:r w:rsidRPr="004A019F">
              <w:rPr>
                <w:b/>
                <w:lang w:val="sv-SE"/>
              </w:rPr>
              <w:t>AC→P</w:t>
            </w:r>
          </w:p>
          <w:p w14:paraId="389A54C8" w14:textId="0D7B34B7" w:rsidR="005027AB" w:rsidRPr="004A019F" w:rsidRDefault="00264096" w:rsidP="004A019F">
            <w:pPr>
              <w:keepNext/>
              <w:spacing w:after="0" w:line="240" w:lineRule="auto"/>
              <w:ind w:left="0" w:firstLine="0"/>
              <w:contextualSpacing/>
              <w:jc w:val="center"/>
              <w:rPr>
                <w:b/>
                <w:lang w:val="sv-SE"/>
              </w:rPr>
            </w:pPr>
            <w:r w:rsidRPr="004A019F">
              <w:rPr>
                <w:b/>
                <w:lang w:val="sv-SE"/>
              </w:rPr>
              <w:t>(</w:t>
            </w:r>
            <w:r w:rsidR="0020661E" w:rsidRPr="004A019F">
              <w:rPr>
                <w:b/>
                <w:lang w:val="sv-SE"/>
              </w:rPr>
              <w:t>n </w:t>
            </w:r>
            <w:r w:rsidRPr="004A019F">
              <w:rPr>
                <w:b/>
                <w:lang w:val="sv-SE"/>
              </w:rPr>
              <w:t>=</w:t>
            </w:r>
            <w:r w:rsidR="0020661E" w:rsidRPr="004A019F">
              <w:rPr>
                <w:b/>
                <w:lang w:val="sv-SE"/>
              </w:rPr>
              <w:t> </w:t>
            </w:r>
            <w:r w:rsidRPr="004A019F">
              <w:rPr>
                <w:b/>
                <w:lang w:val="sv-SE"/>
              </w:rPr>
              <w:t>2</w:t>
            </w:r>
            <w:r w:rsidR="00E516D0" w:rsidRPr="004A019F">
              <w:rPr>
                <w:b/>
                <w:lang w:val="sv-SE"/>
              </w:rPr>
              <w:t> </w:t>
            </w:r>
            <w:r w:rsidRPr="004A019F">
              <w:rPr>
                <w:b/>
                <w:lang w:val="sv-SE"/>
              </w:rPr>
              <w:t>032)</w:t>
            </w:r>
          </w:p>
        </w:tc>
        <w:tc>
          <w:tcPr>
            <w:tcW w:w="785" w:type="pct"/>
            <w:tcBorders>
              <w:top w:val="single" w:sz="4" w:space="0" w:color="000000"/>
              <w:left w:val="single" w:sz="4" w:space="0" w:color="000000"/>
              <w:bottom w:val="single" w:sz="4" w:space="0" w:color="000000"/>
              <w:right w:val="single" w:sz="4" w:space="0" w:color="000000"/>
            </w:tcBorders>
            <w:shd w:val="clear" w:color="auto" w:fill="auto"/>
          </w:tcPr>
          <w:p w14:paraId="13B33E5F" w14:textId="77777777" w:rsidR="005027AB" w:rsidRPr="004A019F" w:rsidRDefault="00264096" w:rsidP="004A019F">
            <w:pPr>
              <w:keepNext/>
              <w:spacing w:after="0" w:line="240" w:lineRule="auto"/>
              <w:ind w:left="0" w:firstLine="0"/>
              <w:contextualSpacing/>
              <w:jc w:val="center"/>
              <w:rPr>
                <w:b/>
                <w:lang w:val="sv-SE"/>
              </w:rPr>
            </w:pPr>
            <w:r w:rsidRPr="004A019F">
              <w:rPr>
                <w:b/>
                <w:lang w:val="sv-SE"/>
              </w:rPr>
              <w:t>AC→PH</w:t>
            </w:r>
          </w:p>
          <w:p w14:paraId="5E6C8173" w14:textId="7A89B98E" w:rsidR="005027AB" w:rsidRPr="004A019F" w:rsidRDefault="00264096" w:rsidP="004A019F">
            <w:pPr>
              <w:keepNext/>
              <w:spacing w:after="0" w:line="240" w:lineRule="auto"/>
              <w:ind w:left="0" w:firstLine="0"/>
              <w:contextualSpacing/>
              <w:jc w:val="center"/>
              <w:rPr>
                <w:b/>
                <w:lang w:val="sv-SE"/>
              </w:rPr>
            </w:pPr>
            <w:r w:rsidRPr="004A019F">
              <w:rPr>
                <w:b/>
                <w:lang w:val="sv-SE"/>
              </w:rPr>
              <w:t>(n</w:t>
            </w:r>
            <w:r w:rsidR="0020661E" w:rsidRPr="004A019F">
              <w:rPr>
                <w:b/>
                <w:lang w:val="sv-SE"/>
              </w:rPr>
              <w:t> </w:t>
            </w:r>
            <w:r w:rsidRPr="004A019F">
              <w:rPr>
                <w:b/>
                <w:lang w:val="sv-SE"/>
              </w:rPr>
              <w:t>=</w:t>
            </w:r>
            <w:r w:rsidR="0020661E" w:rsidRPr="004A019F">
              <w:rPr>
                <w:b/>
                <w:lang w:val="sv-SE"/>
              </w:rPr>
              <w:t> </w:t>
            </w:r>
            <w:r w:rsidRPr="004A019F">
              <w:rPr>
                <w:b/>
                <w:lang w:val="sv-SE"/>
              </w:rPr>
              <w:t>2</w:t>
            </w:r>
            <w:r w:rsidR="00E516D0" w:rsidRPr="004A019F">
              <w:rPr>
                <w:b/>
                <w:lang w:val="sv-SE"/>
              </w:rPr>
              <w:t> </w:t>
            </w:r>
            <w:r w:rsidRPr="004A019F">
              <w:rPr>
                <w:b/>
                <w:lang w:val="sv-SE"/>
              </w:rPr>
              <w:t>031)</w:t>
            </w:r>
          </w:p>
        </w:tc>
        <w:tc>
          <w:tcPr>
            <w:tcW w:w="881" w:type="pct"/>
            <w:tcBorders>
              <w:top w:val="single" w:sz="4" w:space="0" w:color="000000"/>
              <w:left w:val="single" w:sz="4" w:space="0" w:color="000000"/>
              <w:bottom w:val="single" w:sz="4" w:space="0" w:color="000000"/>
              <w:right w:val="single" w:sz="4" w:space="0" w:color="000000"/>
            </w:tcBorders>
            <w:shd w:val="clear" w:color="auto" w:fill="auto"/>
          </w:tcPr>
          <w:p w14:paraId="03AF08CD" w14:textId="77777777" w:rsidR="005027AB" w:rsidRPr="004A019F" w:rsidRDefault="00264096" w:rsidP="004A019F">
            <w:pPr>
              <w:keepNext/>
              <w:spacing w:after="0" w:line="240" w:lineRule="auto"/>
              <w:ind w:left="0" w:firstLine="0"/>
              <w:contextualSpacing/>
              <w:jc w:val="center"/>
              <w:rPr>
                <w:b/>
                <w:lang w:val="sv-SE"/>
              </w:rPr>
            </w:pPr>
            <w:r w:rsidRPr="004A019F">
              <w:rPr>
                <w:b/>
                <w:lang w:val="sv-SE"/>
              </w:rPr>
              <w:t>p-värde versus</w:t>
            </w:r>
          </w:p>
          <w:p w14:paraId="6CF142CA" w14:textId="77777777" w:rsidR="005027AB" w:rsidRPr="004A019F" w:rsidRDefault="00264096" w:rsidP="004A019F">
            <w:pPr>
              <w:keepNext/>
              <w:spacing w:after="0" w:line="240" w:lineRule="auto"/>
              <w:ind w:left="0" w:firstLine="0"/>
              <w:contextualSpacing/>
              <w:jc w:val="center"/>
              <w:rPr>
                <w:b/>
                <w:lang w:val="sv-SE"/>
              </w:rPr>
            </w:pPr>
            <w:r w:rsidRPr="004A019F">
              <w:rPr>
                <w:b/>
                <w:lang w:val="sv-SE"/>
              </w:rPr>
              <w:t>AC→P</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7E9C2090" w14:textId="6DD331DF" w:rsidR="005027AB" w:rsidRPr="004A019F" w:rsidRDefault="00264096" w:rsidP="004A019F">
            <w:pPr>
              <w:keepNext/>
              <w:spacing w:after="0" w:line="240" w:lineRule="auto"/>
              <w:ind w:left="0" w:firstLine="0"/>
              <w:contextualSpacing/>
              <w:jc w:val="center"/>
              <w:rPr>
                <w:b/>
                <w:lang w:val="en-GB"/>
              </w:rPr>
            </w:pPr>
            <w:r w:rsidRPr="004A019F">
              <w:rPr>
                <w:b/>
                <w:lang w:val="en-GB"/>
              </w:rPr>
              <w:t xml:space="preserve">Hazard </w:t>
            </w:r>
            <w:r w:rsidR="00E516D0" w:rsidRPr="004A019F">
              <w:rPr>
                <w:b/>
                <w:lang w:val="en-GB"/>
              </w:rPr>
              <w:t xml:space="preserve">ratio </w:t>
            </w:r>
            <w:r w:rsidRPr="004A019F">
              <w:rPr>
                <w:b/>
                <w:lang w:val="en-GB"/>
              </w:rPr>
              <w:t>versus</w:t>
            </w:r>
          </w:p>
          <w:p w14:paraId="469A24C8" w14:textId="77777777" w:rsidR="005027AB" w:rsidRPr="004A019F" w:rsidRDefault="00264096" w:rsidP="004A019F">
            <w:pPr>
              <w:keepNext/>
              <w:spacing w:after="0" w:line="240" w:lineRule="auto"/>
              <w:ind w:left="0" w:firstLine="0"/>
              <w:contextualSpacing/>
              <w:jc w:val="center"/>
              <w:rPr>
                <w:b/>
                <w:lang w:val="en-GB"/>
              </w:rPr>
            </w:pPr>
            <w:r w:rsidRPr="004A019F">
              <w:rPr>
                <w:b/>
                <w:lang w:val="en-GB"/>
              </w:rPr>
              <w:t>AC→P</w:t>
            </w:r>
          </w:p>
          <w:p w14:paraId="2281D8DC" w14:textId="6CA47D7E" w:rsidR="005027AB" w:rsidRPr="004A019F" w:rsidRDefault="00264096" w:rsidP="004A019F">
            <w:pPr>
              <w:keepNext/>
              <w:spacing w:after="0" w:line="240" w:lineRule="auto"/>
              <w:ind w:left="0" w:firstLine="0"/>
              <w:contextualSpacing/>
              <w:jc w:val="center"/>
              <w:rPr>
                <w:b/>
                <w:lang w:val="en-GB"/>
              </w:rPr>
            </w:pPr>
            <w:r w:rsidRPr="004A019F">
              <w:rPr>
                <w:b/>
                <w:lang w:val="en-GB"/>
              </w:rPr>
              <w:t>(95</w:t>
            </w:r>
            <w:r w:rsidR="0020661E" w:rsidRPr="004A019F">
              <w:rPr>
                <w:b/>
                <w:lang w:val="en-GB"/>
              </w:rPr>
              <w:t> </w:t>
            </w:r>
            <w:r w:rsidRPr="004A019F">
              <w:rPr>
                <w:b/>
                <w:lang w:val="en-GB"/>
              </w:rPr>
              <w:t>% KI)</w:t>
            </w:r>
          </w:p>
        </w:tc>
      </w:tr>
      <w:tr w:rsidR="00AD14F8" w:rsidRPr="00A74CC6" w14:paraId="1D6A4D69" w14:textId="77777777" w:rsidTr="004A019F">
        <w:trPr>
          <w:trHeight w:val="770"/>
        </w:trPr>
        <w:tc>
          <w:tcPr>
            <w:tcW w:w="1749" w:type="pct"/>
            <w:tcBorders>
              <w:top w:val="single" w:sz="4" w:space="0" w:color="000000"/>
              <w:left w:val="single" w:sz="4" w:space="0" w:color="000000"/>
              <w:bottom w:val="single" w:sz="4" w:space="0" w:color="000000"/>
              <w:right w:val="single" w:sz="4" w:space="0" w:color="000000"/>
            </w:tcBorders>
            <w:shd w:val="clear" w:color="auto" w:fill="auto"/>
          </w:tcPr>
          <w:p w14:paraId="62B0017C" w14:textId="77777777" w:rsidR="005027AB" w:rsidRPr="004A019F" w:rsidRDefault="00264096" w:rsidP="004A019F">
            <w:pPr>
              <w:spacing w:after="0" w:line="240" w:lineRule="auto"/>
              <w:ind w:left="0" w:firstLine="0"/>
              <w:contextualSpacing/>
              <w:rPr>
                <w:lang w:val="sv-SE"/>
              </w:rPr>
            </w:pPr>
            <w:r w:rsidRPr="004A019F">
              <w:rPr>
                <w:lang w:val="sv-SE"/>
              </w:rPr>
              <w:t>Dödsfall:</w:t>
            </w:r>
          </w:p>
          <w:p w14:paraId="1535EF2E" w14:textId="77777777" w:rsidR="005027AB" w:rsidRPr="004A019F" w:rsidRDefault="00264096" w:rsidP="004A019F">
            <w:pPr>
              <w:spacing w:after="0" w:line="240" w:lineRule="auto"/>
              <w:ind w:left="0" w:firstLine="0"/>
              <w:contextualSpacing/>
              <w:rPr>
                <w:lang w:val="sv-SE"/>
              </w:rPr>
            </w:pPr>
            <w:r w:rsidRPr="004A019F">
              <w:rPr>
                <w:lang w:val="sv-SE"/>
              </w:rPr>
              <w:t xml:space="preserve">Antal patienter med händelse (%) </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14:paraId="51257839" w14:textId="77777777" w:rsidR="00561B86" w:rsidRPr="004A019F" w:rsidRDefault="00561B86" w:rsidP="004A019F">
            <w:pPr>
              <w:spacing w:after="0" w:line="240" w:lineRule="auto"/>
              <w:ind w:left="0" w:firstLine="0"/>
              <w:contextualSpacing/>
              <w:jc w:val="center"/>
              <w:rPr>
                <w:lang w:val="sv-SE"/>
              </w:rPr>
            </w:pPr>
          </w:p>
          <w:p w14:paraId="25820B9C" w14:textId="7D6F4B6C" w:rsidR="005027AB" w:rsidRPr="004A019F" w:rsidRDefault="00264096" w:rsidP="004A019F">
            <w:pPr>
              <w:spacing w:after="0" w:line="240" w:lineRule="auto"/>
              <w:ind w:left="0" w:firstLine="0"/>
              <w:contextualSpacing/>
              <w:jc w:val="center"/>
              <w:rPr>
                <w:lang w:val="sv-SE"/>
              </w:rPr>
            </w:pPr>
            <w:r w:rsidRPr="004A019F">
              <w:rPr>
                <w:lang w:val="sv-SE"/>
              </w:rPr>
              <w:t>418 (20,6</w:t>
            </w:r>
            <w:r w:rsidR="0020661E" w:rsidRPr="004A019F">
              <w:rPr>
                <w:lang w:val="sv-SE"/>
              </w:rPr>
              <w:t> </w:t>
            </w:r>
            <w:r w:rsidRPr="004A019F">
              <w:rPr>
                <w:lang w:val="sv-SE"/>
              </w:rPr>
              <w:t>%)</w:t>
            </w:r>
          </w:p>
        </w:tc>
        <w:tc>
          <w:tcPr>
            <w:tcW w:w="785" w:type="pct"/>
            <w:tcBorders>
              <w:top w:val="single" w:sz="4" w:space="0" w:color="000000"/>
              <w:left w:val="single" w:sz="4" w:space="0" w:color="000000"/>
              <w:bottom w:val="single" w:sz="4" w:space="0" w:color="000000"/>
              <w:right w:val="single" w:sz="4" w:space="0" w:color="000000"/>
            </w:tcBorders>
            <w:shd w:val="clear" w:color="auto" w:fill="auto"/>
          </w:tcPr>
          <w:p w14:paraId="09041E8A" w14:textId="77777777" w:rsidR="00561B86" w:rsidRPr="004A019F" w:rsidRDefault="00561B86" w:rsidP="004A019F">
            <w:pPr>
              <w:spacing w:after="0" w:line="240" w:lineRule="auto"/>
              <w:ind w:left="0" w:firstLine="0"/>
              <w:contextualSpacing/>
              <w:jc w:val="center"/>
              <w:rPr>
                <w:lang w:val="sv-SE"/>
              </w:rPr>
            </w:pPr>
          </w:p>
          <w:p w14:paraId="7E1456D1" w14:textId="31AD69CB" w:rsidR="005027AB" w:rsidRPr="004A019F" w:rsidRDefault="00264096" w:rsidP="004A019F">
            <w:pPr>
              <w:spacing w:after="0" w:line="240" w:lineRule="auto"/>
              <w:ind w:left="0" w:firstLine="0"/>
              <w:contextualSpacing/>
              <w:jc w:val="center"/>
              <w:rPr>
                <w:lang w:val="sv-SE"/>
              </w:rPr>
            </w:pPr>
            <w:r w:rsidRPr="004A019F">
              <w:rPr>
                <w:lang w:val="sv-SE"/>
              </w:rPr>
              <w:t>289 (14,2</w:t>
            </w:r>
            <w:r w:rsidR="0020661E" w:rsidRPr="004A019F">
              <w:rPr>
                <w:lang w:val="sv-SE"/>
              </w:rPr>
              <w:t> </w:t>
            </w:r>
            <w:r w:rsidRPr="004A019F">
              <w:rPr>
                <w:lang w:val="sv-SE"/>
              </w:rPr>
              <w:t>%)</w:t>
            </w:r>
          </w:p>
        </w:tc>
        <w:tc>
          <w:tcPr>
            <w:tcW w:w="881" w:type="pct"/>
            <w:tcBorders>
              <w:top w:val="single" w:sz="4" w:space="0" w:color="000000"/>
              <w:left w:val="single" w:sz="4" w:space="0" w:color="000000"/>
              <w:bottom w:val="single" w:sz="4" w:space="0" w:color="000000"/>
              <w:right w:val="single" w:sz="4" w:space="0" w:color="000000"/>
            </w:tcBorders>
            <w:shd w:val="clear" w:color="auto" w:fill="auto"/>
          </w:tcPr>
          <w:p w14:paraId="6D538317" w14:textId="77777777" w:rsidR="00561B86" w:rsidRPr="004A019F" w:rsidRDefault="00561B86" w:rsidP="004A019F">
            <w:pPr>
              <w:spacing w:after="0" w:line="240" w:lineRule="auto"/>
              <w:ind w:left="0" w:firstLine="0"/>
              <w:contextualSpacing/>
              <w:jc w:val="center"/>
              <w:rPr>
                <w:lang w:val="sv-SE"/>
              </w:rPr>
            </w:pPr>
          </w:p>
          <w:p w14:paraId="37D8EA3D" w14:textId="64C05873" w:rsidR="005027AB" w:rsidRPr="004A019F" w:rsidRDefault="00264096" w:rsidP="004A019F">
            <w:pPr>
              <w:spacing w:after="0" w:line="240" w:lineRule="auto"/>
              <w:ind w:left="0" w:firstLine="0"/>
              <w:contextualSpacing/>
              <w:jc w:val="center"/>
              <w:rPr>
                <w:lang w:val="sv-SE"/>
              </w:rPr>
            </w:pPr>
            <w:r w:rsidRPr="004A019F">
              <w:rPr>
                <w:lang w:val="sv-SE"/>
              </w:rPr>
              <w:t>&lt;</w:t>
            </w:r>
            <w:r w:rsidR="0020661E" w:rsidRPr="004A019F">
              <w:rPr>
                <w:lang w:val="sv-SE"/>
              </w:rPr>
              <w:t> </w:t>
            </w:r>
            <w:r w:rsidRPr="004A019F">
              <w:rPr>
                <w:lang w:val="sv-SE"/>
              </w:rPr>
              <w:t>0,0001</w:t>
            </w: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179EFAC2" w14:textId="77777777" w:rsidR="00561B86" w:rsidRPr="004A019F" w:rsidRDefault="00561B86" w:rsidP="004A019F">
            <w:pPr>
              <w:spacing w:after="0" w:line="240" w:lineRule="auto"/>
              <w:ind w:left="0" w:firstLine="0"/>
              <w:contextualSpacing/>
              <w:jc w:val="center"/>
              <w:rPr>
                <w:lang w:val="sv-SE"/>
              </w:rPr>
            </w:pPr>
          </w:p>
          <w:p w14:paraId="49069AB9" w14:textId="77777777" w:rsidR="00D90C91" w:rsidRPr="004A019F" w:rsidRDefault="00264096" w:rsidP="004A019F">
            <w:pPr>
              <w:spacing w:after="0" w:line="240" w:lineRule="auto"/>
              <w:ind w:left="0" w:firstLine="0"/>
              <w:contextualSpacing/>
              <w:jc w:val="center"/>
              <w:rPr>
                <w:lang w:val="sv-SE"/>
              </w:rPr>
            </w:pPr>
            <w:r w:rsidRPr="004A019F">
              <w:rPr>
                <w:lang w:val="sv-SE"/>
              </w:rPr>
              <w:t xml:space="preserve">0,64 </w:t>
            </w:r>
          </w:p>
          <w:p w14:paraId="1D6A9888" w14:textId="77777777" w:rsidR="005027AB" w:rsidRPr="004A019F" w:rsidRDefault="00264096" w:rsidP="004A019F">
            <w:pPr>
              <w:spacing w:after="0" w:line="240" w:lineRule="auto"/>
              <w:ind w:left="0" w:firstLine="0"/>
              <w:contextualSpacing/>
              <w:jc w:val="center"/>
              <w:rPr>
                <w:lang w:val="sv-SE"/>
              </w:rPr>
            </w:pPr>
            <w:r w:rsidRPr="004A019F">
              <w:rPr>
                <w:lang w:val="sv-SE"/>
              </w:rPr>
              <w:t>(0,55, 0,74)</w:t>
            </w:r>
          </w:p>
        </w:tc>
      </w:tr>
    </w:tbl>
    <w:p w14:paraId="12286ADF" w14:textId="77777777" w:rsidR="005027AB" w:rsidRPr="008763E6" w:rsidRDefault="00264096" w:rsidP="001E7238">
      <w:pPr>
        <w:spacing w:after="0" w:line="240" w:lineRule="auto"/>
        <w:ind w:left="9" w:hanging="10"/>
        <w:contextualSpacing/>
        <w:rPr>
          <w:sz w:val="20"/>
        </w:rPr>
      </w:pPr>
      <w:r w:rsidRPr="008763E6">
        <w:rPr>
          <w:sz w:val="20"/>
        </w:rPr>
        <w:t xml:space="preserve">A: doxorubicin; C: </w:t>
      </w:r>
      <w:proofErr w:type="spellStart"/>
      <w:r w:rsidRPr="008763E6">
        <w:rPr>
          <w:sz w:val="20"/>
        </w:rPr>
        <w:t>cyklofosfamid</w:t>
      </w:r>
      <w:proofErr w:type="spellEnd"/>
      <w:r w:rsidRPr="008763E6">
        <w:rPr>
          <w:sz w:val="20"/>
        </w:rPr>
        <w:t xml:space="preserve">; P: </w:t>
      </w:r>
      <w:proofErr w:type="spellStart"/>
      <w:r w:rsidRPr="008763E6">
        <w:rPr>
          <w:sz w:val="20"/>
        </w:rPr>
        <w:t>paklitaxel</w:t>
      </w:r>
      <w:proofErr w:type="spellEnd"/>
      <w:r w:rsidRPr="008763E6">
        <w:rPr>
          <w:sz w:val="20"/>
        </w:rPr>
        <w:t>; H: trastuzumab</w:t>
      </w:r>
    </w:p>
    <w:p w14:paraId="3398A98E" w14:textId="77777777" w:rsidR="00410CA8" w:rsidRPr="008763E6" w:rsidRDefault="00410CA8" w:rsidP="001E7238">
      <w:pPr>
        <w:spacing w:after="0" w:line="240" w:lineRule="auto"/>
        <w:ind w:left="9" w:hanging="10"/>
        <w:contextualSpacing/>
      </w:pPr>
    </w:p>
    <w:p w14:paraId="02AD7D70" w14:textId="6787AB83" w:rsidR="005027AB" w:rsidRPr="00A74CC6" w:rsidRDefault="00264096" w:rsidP="00D90C91">
      <w:pPr>
        <w:spacing w:after="0" w:line="240" w:lineRule="auto"/>
        <w:ind w:left="0" w:firstLine="0"/>
        <w:contextualSpacing/>
        <w:rPr>
          <w:lang w:val="sv-SE"/>
        </w:rPr>
      </w:pPr>
      <w:r w:rsidRPr="00A74CC6">
        <w:rPr>
          <w:lang w:val="sv-SE"/>
        </w:rPr>
        <w:t xml:space="preserve">Analys av sjukdomsfri överlevnad gjordes också vid den finala överlevnadsanalysen från den sammanvägda analysen av studierna NSABP B-31 och NCCTG N9831. De uppdaterade resultaten </w:t>
      </w:r>
      <w:r w:rsidR="00E5250D" w:rsidRPr="00A74CC6">
        <w:rPr>
          <w:lang w:val="sv-SE"/>
        </w:rPr>
        <w:t>för</w:t>
      </w:r>
      <w:r w:rsidRPr="00A74CC6">
        <w:rPr>
          <w:lang w:val="sv-SE"/>
        </w:rPr>
        <w:t xml:space="preserve"> sjukdomsfri överlevnad (stratifierad HR</w:t>
      </w:r>
      <w:r w:rsidR="00E36A8F" w:rsidRPr="00A74CC6">
        <w:rPr>
          <w:lang w:val="sv-SE"/>
        </w:rPr>
        <w:t> </w:t>
      </w:r>
      <w:r w:rsidRPr="00A74CC6">
        <w:rPr>
          <w:lang w:val="sv-SE"/>
        </w:rPr>
        <w:t>=</w:t>
      </w:r>
      <w:r w:rsidR="00E36A8F" w:rsidRPr="00A74CC6">
        <w:rPr>
          <w:lang w:val="sv-SE"/>
        </w:rPr>
        <w:t> </w:t>
      </w:r>
      <w:r w:rsidRPr="00A74CC6">
        <w:rPr>
          <w:lang w:val="sv-SE"/>
        </w:rPr>
        <w:t>0,61; 95</w:t>
      </w:r>
      <w:r w:rsidR="00EF53D2" w:rsidRPr="00A74CC6">
        <w:rPr>
          <w:lang w:val="sv-SE"/>
        </w:rPr>
        <w:t> </w:t>
      </w:r>
      <w:r w:rsidRPr="00A74CC6">
        <w:rPr>
          <w:lang w:val="sv-SE"/>
        </w:rPr>
        <w:t xml:space="preserve">% KI [0,54, 0,69] visade en liknande nytta </w:t>
      </w:r>
      <w:r w:rsidR="00352E52" w:rsidRPr="00A74CC6">
        <w:rPr>
          <w:lang w:val="sv-SE"/>
        </w:rPr>
        <w:t>vad avser</w:t>
      </w:r>
      <w:r w:rsidRPr="00A74CC6">
        <w:rPr>
          <w:lang w:val="sv-SE"/>
        </w:rPr>
        <w:t xml:space="preserve"> sjukdomsfri överlevnad jämfört med den definitiva primära analysen av sjukdomsfri överlevnad, trots att 24,8</w:t>
      </w:r>
      <w:r w:rsidR="00EF53D2" w:rsidRPr="00A74CC6">
        <w:rPr>
          <w:lang w:val="sv-SE"/>
        </w:rPr>
        <w:t> </w:t>
      </w:r>
      <w:r w:rsidRPr="00A74CC6">
        <w:rPr>
          <w:lang w:val="sv-SE"/>
        </w:rPr>
        <w:t xml:space="preserve">% av patienterna i AC→P-gruppen bytte behandlingsgrupp för att få </w:t>
      </w:r>
      <w:r w:rsidR="0020661E" w:rsidRPr="00A74CC6">
        <w:rPr>
          <w:lang w:val="sv-SE"/>
        </w:rPr>
        <w:t>trastuzumab</w:t>
      </w:r>
      <w:r w:rsidRPr="00A74CC6">
        <w:rPr>
          <w:lang w:val="sv-SE"/>
        </w:rPr>
        <w:t xml:space="preserve">. Efter åtta år </w:t>
      </w:r>
      <w:r w:rsidR="00E5250D" w:rsidRPr="00A74CC6">
        <w:rPr>
          <w:lang w:val="sv-SE"/>
        </w:rPr>
        <w:t>beräknades</w:t>
      </w:r>
      <w:r w:rsidRPr="00A74CC6">
        <w:rPr>
          <w:lang w:val="sv-SE"/>
        </w:rPr>
        <w:t xml:space="preserve"> frekvensen </w:t>
      </w:r>
      <w:r w:rsidR="00E5250D" w:rsidRPr="00A74CC6">
        <w:rPr>
          <w:lang w:val="sv-SE"/>
        </w:rPr>
        <w:t>av</w:t>
      </w:r>
      <w:r w:rsidRPr="00A74CC6">
        <w:rPr>
          <w:lang w:val="sv-SE"/>
        </w:rPr>
        <w:t xml:space="preserve"> sjukdomsfri överlevnad till 77,2</w:t>
      </w:r>
      <w:r w:rsidR="00EF53D2" w:rsidRPr="00A74CC6">
        <w:rPr>
          <w:lang w:val="sv-SE"/>
        </w:rPr>
        <w:t> </w:t>
      </w:r>
      <w:r w:rsidRPr="00A74CC6">
        <w:rPr>
          <w:lang w:val="sv-SE"/>
        </w:rPr>
        <w:t>% (95</w:t>
      </w:r>
      <w:r w:rsidR="00EF53D2" w:rsidRPr="00A74CC6">
        <w:rPr>
          <w:lang w:val="sv-SE"/>
        </w:rPr>
        <w:t> </w:t>
      </w:r>
      <w:r w:rsidRPr="00A74CC6">
        <w:rPr>
          <w:lang w:val="sv-SE"/>
        </w:rPr>
        <w:t>% KI: 75,4, 79,1) i AC→PH</w:t>
      </w:r>
      <w:r w:rsidR="00D474A0">
        <w:rPr>
          <w:lang w:val="sv-SE"/>
        </w:rPr>
        <w:t>-</w:t>
      </w:r>
      <w:r w:rsidRPr="00A74CC6">
        <w:rPr>
          <w:lang w:val="sv-SE"/>
        </w:rPr>
        <w:t>gruppen, vilket är en absolut nytta på 11,8</w:t>
      </w:r>
      <w:r w:rsidR="00EF53D2" w:rsidRPr="00A74CC6">
        <w:rPr>
          <w:lang w:val="sv-SE"/>
        </w:rPr>
        <w:t> </w:t>
      </w:r>
      <w:r w:rsidRPr="00A74CC6">
        <w:rPr>
          <w:lang w:val="sv-SE"/>
        </w:rPr>
        <w:t>% jämfört med AC→P-gruppen.</w:t>
      </w:r>
    </w:p>
    <w:p w14:paraId="54B1E4CA" w14:textId="77777777" w:rsidR="00410CA8" w:rsidRPr="00A74CC6" w:rsidRDefault="00410CA8" w:rsidP="001E7238">
      <w:pPr>
        <w:spacing w:after="0" w:line="240" w:lineRule="auto"/>
        <w:ind w:left="4" w:right="13"/>
        <w:contextualSpacing/>
        <w:rPr>
          <w:lang w:val="sv-SE"/>
        </w:rPr>
      </w:pPr>
    </w:p>
    <w:p w14:paraId="47A2EE94" w14:textId="50315FE2" w:rsidR="005027AB" w:rsidRPr="00A74CC6" w:rsidRDefault="00264096" w:rsidP="001E7238">
      <w:pPr>
        <w:spacing w:after="0" w:line="240" w:lineRule="auto"/>
        <w:ind w:left="4" w:right="13"/>
        <w:contextualSpacing/>
        <w:rPr>
          <w:lang w:val="sv-SE"/>
        </w:rPr>
      </w:pPr>
      <w:r w:rsidRPr="00A74CC6">
        <w:rPr>
          <w:lang w:val="sv-SE"/>
        </w:rPr>
        <w:t xml:space="preserve">I studien BCIRG 006 administrerades </w:t>
      </w:r>
      <w:r w:rsidR="0020661E" w:rsidRPr="00A74CC6">
        <w:rPr>
          <w:lang w:val="sv-SE"/>
        </w:rPr>
        <w:t xml:space="preserve">trastuzumab </w:t>
      </w:r>
      <w:r w:rsidRPr="00A74CC6">
        <w:rPr>
          <w:lang w:val="sv-SE"/>
        </w:rPr>
        <w:t>antingen i kombination med docetaxel, efter antracyklinbaserad kemoterapi (AC→DH) eller i kombination med docetaxel och karboplatin (DKarbH).</w:t>
      </w:r>
    </w:p>
    <w:p w14:paraId="50A78266" w14:textId="77777777" w:rsidR="00410CA8" w:rsidRPr="00A74CC6" w:rsidRDefault="00410CA8" w:rsidP="001E7238">
      <w:pPr>
        <w:spacing w:after="0" w:line="240" w:lineRule="auto"/>
        <w:ind w:left="4" w:right="13"/>
        <w:contextualSpacing/>
        <w:rPr>
          <w:lang w:val="sv-SE"/>
        </w:rPr>
      </w:pPr>
    </w:p>
    <w:p w14:paraId="45426CB4" w14:textId="77777777" w:rsidR="005027AB" w:rsidRDefault="00264096" w:rsidP="00D90C91">
      <w:pPr>
        <w:keepNext/>
        <w:spacing w:after="0" w:line="240" w:lineRule="auto"/>
        <w:ind w:left="4" w:right="13"/>
        <w:contextualSpacing/>
        <w:rPr>
          <w:lang w:val="sv-SE"/>
        </w:rPr>
      </w:pPr>
      <w:r w:rsidRPr="00A74CC6">
        <w:rPr>
          <w:lang w:val="sv-SE"/>
        </w:rPr>
        <w:t>Docetaxel administrerades enligt följande:</w:t>
      </w:r>
    </w:p>
    <w:p w14:paraId="20511394" w14:textId="77777777" w:rsidR="00F37A3A" w:rsidRPr="00A74CC6" w:rsidRDefault="00F37A3A" w:rsidP="00D90C91">
      <w:pPr>
        <w:keepNext/>
        <w:spacing w:after="0" w:line="240" w:lineRule="auto"/>
        <w:ind w:left="4" w:right="13"/>
        <w:contextualSpacing/>
        <w:rPr>
          <w:lang w:val="sv-SE"/>
        </w:rPr>
      </w:pPr>
    </w:p>
    <w:p w14:paraId="6168D49A" w14:textId="262806F9" w:rsidR="005027AB" w:rsidRPr="00A74CC6" w:rsidRDefault="00410CA8" w:rsidP="00D90C91">
      <w:pPr>
        <w:keepNext/>
        <w:numPr>
          <w:ilvl w:val="1"/>
          <w:numId w:val="8"/>
        </w:numPr>
        <w:spacing w:after="0" w:line="240" w:lineRule="auto"/>
        <w:ind w:left="567" w:hanging="567"/>
        <w:contextualSpacing/>
        <w:rPr>
          <w:lang w:val="sv-SE"/>
        </w:rPr>
      </w:pPr>
      <w:r w:rsidRPr="00A74CC6">
        <w:rPr>
          <w:lang w:val="sv-SE"/>
        </w:rPr>
        <w:t>intravenöst docetaxel – 100 </w:t>
      </w:r>
      <w:r w:rsidR="00264096" w:rsidRPr="00A74CC6">
        <w:rPr>
          <w:lang w:val="sv-SE"/>
        </w:rPr>
        <w:t>mg/m</w:t>
      </w:r>
      <w:r w:rsidR="00264096" w:rsidRPr="00A74CC6">
        <w:rPr>
          <w:vertAlign w:val="superscript"/>
          <w:lang w:val="sv-SE"/>
        </w:rPr>
        <w:t xml:space="preserve">2 </w:t>
      </w:r>
      <w:r w:rsidR="00264096" w:rsidRPr="00A74CC6">
        <w:rPr>
          <w:lang w:val="sv-SE"/>
        </w:rPr>
        <w:t>som en intravenös infusion under 1</w:t>
      </w:r>
      <w:r w:rsidR="00E5250D" w:rsidRPr="00A74CC6">
        <w:rPr>
          <w:lang w:val="sv-SE"/>
        </w:rPr>
        <w:t> </w:t>
      </w:r>
      <w:r w:rsidR="00264096" w:rsidRPr="00A74CC6">
        <w:rPr>
          <w:lang w:val="sv-SE"/>
        </w:rPr>
        <w:t>timme, givet var tredje vecka i 4</w:t>
      </w:r>
      <w:r w:rsidR="00E5250D" w:rsidRPr="00A74CC6">
        <w:rPr>
          <w:lang w:val="sv-SE"/>
        </w:rPr>
        <w:t> </w:t>
      </w:r>
      <w:r w:rsidR="00264096" w:rsidRPr="00A74CC6">
        <w:rPr>
          <w:lang w:val="sv-SE"/>
        </w:rPr>
        <w:t>behandlingscykler (dag</w:t>
      </w:r>
      <w:r w:rsidR="00E5250D" w:rsidRPr="00A74CC6">
        <w:rPr>
          <w:lang w:val="sv-SE"/>
        </w:rPr>
        <w:t> </w:t>
      </w:r>
      <w:r w:rsidR="00264096" w:rsidRPr="00A74CC6">
        <w:rPr>
          <w:lang w:val="sv-SE"/>
        </w:rPr>
        <w:t xml:space="preserve">2 </w:t>
      </w:r>
      <w:r w:rsidR="00E5250D" w:rsidRPr="00A74CC6">
        <w:rPr>
          <w:lang w:val="sv-SE"/>
        </w:rPr>
        <w:t>i</w:t>
      </w:r>
      <w:r w:rsidR="00264096" w:rsidRPr="00A74CC6">
        <w:rPr>
          <w:lang w:val="sv-SE"/>
        </w:rPr>
        <w:t xml:space="preserve"> första docetaxelcykeln, sedan dag</w:t>
      </w:r>
      <w:r w:rsidR="00E5250D" w:rsidRPr="00A74CC6">
        <w:rPr>
          <w:lang w:val="sv-SE"/>
        </w:rPr>
        <w:t> </w:t>
      </w:r>
      <w:r w:rsidR="00264096" w:rsidRPr="00A74CC6">
        <w:rPr>
          <w:lang w:val="sv-SE"/>
        </w:rPr>
        <w:t xml:space="preserve">1 </w:t>
      </w:r>
      <w:r w:rsidR="00E5250D" w:rsidRPr="00A74CC6">
        <w:rPr>
          <w:lang w:val="sv-SE"/>
        </w:rPr>
        <w:t>i</w:t>
      </w:r>
      <w:r w:rsidR="00264096" w:rsidRPr="00A74CC6">
        <w:rPr>
          <w:lang w:val="sv-SE"/>
        </w:rPr>
        <w:t xml:space="preserve"> varje efterföljande cykel)</w:t>
      </w:r>
    </w:p>
    <w:p w14:paraId="0DB10EDC" w14:textId="77777777" w:rsidR="005027AB" w:rsidRPr="00A74CC6" w:rsidRDefault="00264096" w:rsidP="00D90C91">
      <w:pPr>
        <w:keepNext/>
        <w:spacing w:after="0" w:line="240" w:lineRule="auto"/>
        <w:ind w:left="4" w:right="13"/>
        <w:contextualSpacing/>
        <w:rPr>
          <w:lang w:val="sv-SE"/>
        </w:rPr>
      </w:pPr>
      <w:r w:rsidRPr="00A74CC6">
        <w:rPr>
          <w:lang w:val="sv-SE"/>
        </w:rPr>
        <w:t xml:space="preserve">eller </w:t>
      </w:r>
    </w:p>
    <w:p w14:paraId="5C93CB83" w14:textId="07086870" w:rsidR="005027AB" w:rsidRPr="00A74CC6" w:rsidRDefault="00264096" w:rsidP="001E7238">
      <w:pPr>
        <w:numPr>
          <w:ilvl w:val="1"/>
          <w:numId w:val="8"/>
        </w:numPr>
        <w:spacing w:after="0" w:line="240" w:lineRule="auto"/>
        <w:ind w:left="567" w:hanging="567"/>
        <w:contextualSpacing/>
        <w:rPr>
          <w:lang w:val="sv-SE"/>
        </w:rPr>
      </w:pPr>
      <w:r w:rsidRPr="00A74CC6">
        <w:rPr>
          <w:lang w:val="sv-SE"/>
        </w:rPr>
        <w:t xml:space="preserve">intravenöst </w:t>
      </w:r>
      <w:r w:rsidR="00410CA8" w:rsidRPr="00A74CC6">
        <w:rPr>
          <w:lang w:val="sv-SE"/>
        </w:rPr>
        <w:t>–</w:t>
      </w:r>
      <w:r w:rsidRPr="00A74CC6">
        <w:rPr>
          <w:lang w:val="sv-SE"/>
        </w:rPr>
        <w:t xml:space="preserve"> 75</w:t>
      </w:r>
      <w:r w:rsidR="00410CA8" w:rsidRPr="00A74CC6">
        <w:rPr>
          <w:lang w:val="sv-SE"/>
        </w:rPr>
        <w:t> </w:t>
      </w:r>
      <w:r w:rsidRPr="00A74CC6">
        <w:rPr>
          <w:lang w:val="sv-SE"/>
        </w:rPr>
        <w:t>mg/m</w:t>
      </w:r>
      <w:r w:rsidRPr="00A74CC6">
        <w:rPr>
          <w:vertAlign w:val="superscript"/>
          <w:lang w:val="sv-SE"/>
        </w:rPr>
        <w:t>2</w:t>
      </w:r>
      <w:r w:rsidRPr="00A74CC6">
        <w:rPr>
          <w:lang w:val="sv-SE"/>
        </w:rPr>
        <w:t xml:space="preserve"> som en intravenös infusion under 1</w:t>
      </w:r>
      <w:r w:rsidR="00E5250D" w:rsidRPr="00A74CC6">
        <w:rPr>
          <w:lang w:val="sv-SE"/>
        </w:rPr>
        <w:t> </w:t>
      </w:r>
      <w:r w:rsidRPr="00A74CC6">
        <w:rPr>
          <w:lang w:val="sv-SE"/>
        </w:rPr>
        <w:t>timme, givet var tredje vecka i 6</w:t>
      </w:r>
      <w:r w:rsidR="00E5250D" w:rsidRPr="00A74CC6">
        <w:rPr>
          <w:lang w:val="sv-SE"/>
        </w:rPr>
        <w:t> </w:t>
      </w:r>
      <w:r w:rsidRPr="00A74CC6">
        <w:rPr>
          <w:lang w:val="sv-SE"/>
        </w:rPr>
        <w:t>behandlingscykler (dag</w:t>
      </w:r>
      <w:r w:rsidR="00E5250D" w:rsidRPr="00A74CC6">
        <w:rPr>
          <w:lang w:val="sv-SE"/>
        </w:rPr>
        <w:t> </w:t>
      </w:r>
      <w:r w:rsidRPr="00A74CC6">
        <w:rPr>
          <w:lang w:val="sv-SE"/>
        </w:rPr>
        <w:t xml:space="preserve">2 </w:t>
      </w:r>
      <w:r w:rsidR="00E5250D" w:rsidRPr="00A74CC6">
        <w:rPr>
          <w:lang w:val="sv-SE"/>
        </w:rPr>
        <w:t>i</w:t>
      </w:r>
      <w:r w:rsidRPr="00A74CC6">
        <w:rPr>
          <w:lang w:val="sv-SE"/>
        </w:rPr>
        <w:t xml:space="preserve"> första docetaxelcykeln, sedan dag</w:t>
      </w:r>
      <w:r w:rsidR="00E5250D" w:rsidRPr="00A74CC6">
        <w:rPr>
          <w:lang w:val="sv-SE"/>
        </w:rPr>
        <w:t> </w:t>
      </w:r>
      <w:r w:rsidRPr="00A74CC6">
        <w:rPr>
          <w:lang w:val="sv-SE"/>
        </w:rPr>
        <w:t xml:space="preserve">1 </w:t>
      </w:r>
      <w:r w:rsidR="00E5250D" w:rsidRPr="00A74CC6">
        <w:rPr>
          <w:lang w:val="sv-SE"/>
        </w:rPr>
        <w:t>i</w:t>
      </w:r>
      <w:r w:rsidRPr="00A74CC6">
        <w:rPr>
          <w:lang w:val="sv-SE"/>
        </w:rPr>
        <w:t xml:space="preserve"> varje efterföljande cykel) </w:t>
      </w:r>
    </w:p>
    <w:p w14:paraId="2CF34645" w14:textId="77777777" w:rsidR="005027AB" w:rsidRPr="00A74CC6" w:rsidRDefault="00264096" w:rsidP="00D90C91">
      <w:pPr>
        <w:keepNext/>
        <w:spacing w:after="0" w:line="240" w:lineRule="auto"/>
        <w:ind w:left="6" w:right="11" w:hanging="6"/>
        <w:contextualSpacing/>
        <w:rPr>
          <w:lang w:val="sv-SE"/>
        </w:rPr>
      </w:pPr>
      <w:r w:rsidRPr="00A74CC6">
        <w:rPr>
          <w:lang w:val="sv-SE"/>
        </w:rPr>
        <w:t>vilket följdes av:</w:t>
      </w:r>
    </w:p>
    <w:p w14:paraId="0077FDF8" w14:textId="49992D2D" w:rsidR="005027AB" w:rsidRPr="00A74CC6" w:rsidRDefault="00410CA8" w:rsidP="008763E6">
      <w:pPr>
        <w:numPr>
          <w:ilvl w:val="1"/>
          <w:numId w:val="8"/>
        </w:numPr>
        <w:spacing w:after="0" w:line="240" w:lineRule="auto"/>
        <w:ind w:left="567" w:hanging="567"/>
        <w:contextualSpacing/>
        <w:rPr>
          <w:lang w:val="sv-SE"/>
        </w:rPr>
      </w:pPr>
      <w:r w:rsidRPr="00A74CC6">
        <w:rPr>
          <w:lang w:val="sv-SE"/>
        </w:rPr>
        <w:t>karbop</w:t>
      </w:r>
      <w:r w:rsidR="00B22EB2" w:rsidRPr="00A74CC6">
        <w:rPr>
          <w:lang w:val="sv-SE"/>
        </w:rPr>
        <w:t>latin – vid mål-AUC = </w:t>
      </w:r>
      <w:r w:rsidRPr="00A74CC6">
        <w:rPr>
          <w:lang w:val="sv-SE"/>
        </w:rPr>
        <w:t>6 </w:t>
      </w:r>
      <w:r w:rsidR="00264096" w:rsidRPr="00A74CC6">
        <w:rPr>
          <w:lang w:val="sv-SE"/>
        </w:rPr>
        <w:t xml:space="preserve">mg/ml/min administrerat </w:t>
      </w:r>
      <w:r w:rsidR="00E5250D" w:rsidRPr="00A74CC6">
        <w:rPr>
          <w:lang w:val="sv-SE"/>
        </w:rPr>
        <w:t>som en</w:t>
      </w:r>
      <w:r w:rsidR="00264096" w:rsidRPr="00A74CC6">
        <w:rPr>
          <w:lang w:val="sv-SE"/>
        </w:rPr>
        <w:t xml:space="preserve"> intravenös infusion under 30</w:t>
      </w:r>
      <w:r w:rsidR="00E5250D" w:rsidRPr="00A74CC6">
        <w:rPr>
          <w:lang w:val="sv-SE"/>
        </w:rPr>
        <w:noBreakHyphen/>
      </w:r>
      <w:r w:rsidR="00264096" w:rsidRPr="00A74CC6">
        <w:rPr>
          <w:lang w:val="sv-SE"/>
        </w:rPr>
        <w:t>60</w:t>
      </w:r>
      <w:r w:rsidR="00E5250D" w:rsidRPr="00A74CC6">
        <w:rPr>
          <w:lang w:val="sv-SE"/>
        </w:rPr>
        <w:t> </w:t>
      </w:r>
      <w:r w:rsidR="00264096" w:rsidRPr="00A74CC6">
        <w:rPr>
          <w:lang w:val="sv-SE"/>
        </w:rPr>
        <w:t>minuter upprepat var 3:e vecka under totalt sex cykler</w:t>
      </w:r>
      <w:r w:rsidR="00E5250D" w:rsidRPr="00A74CC6">
        <w:rPr>
          <w:lang w:val="sv-SE"/>
        </w:rPr>
        <w:t>.</w:t>
      </w:r>
    </w:p>
    <w:p w14:paraId="1656CFCA" w14:textId="1466EF3E" w:rsidR="00410CA8" w:rsidRPr="00A74CC6" w:rsidRDefault="00410CA8" w:rsidP="001E7238">
      <w:pPr>
        <w:spacing w:after="0" w:line="240" w:lineRule="auto"/>
        <w:ind w:left="4" w:right="13"/>
        <w:contextualSpacing/>
        <w:rPr>
          <w:lang w:val="sv-SE"/>
        </w:rPr>
      </w:pPr>
    </w:p>
    <w:p w14:paraId="1B6E30CF" w14:textId="113839D2" w:rsidR="005027AB" w:rsidRPr="00A74CC6" w:rsidRDefault="0020661E" w:rsidP="001E7238">
      <w:pPr>
        <w:spacing w:after="0" w:line="240" w:lineRule="auto"/>
        <w:ind w:left="4" w:right="13"/>
        <w:contextualSpacing/>
        <w:rPr>
          <w:lang w:val="sv-SE"/>
        </w:rPr>
      </w:pPr>
      <w:r w:rsidRPr="00A74CC6">
        <w:rPr>
          <w:lang w:val="sv-SE"/>
        </w:rPr>
        <w:t xml:space="preserve">Trastuzumab </w:t>
      </w:r>
      <w:r w:rsidR="00264096" w:rsidRPr="00A74CC6">
        <w:rPr>
          <w:lang w:val="sv-SE"/>
        </w:rPr>
        <w:t>administrerades varje vecka med kemoterapi och var tredje vecka därefter i totalt 52</w:t>
      </w:r>
      <w:r w:rsidR="00E5250D" w:rsidRPr="00A74CC6">
        <w:rPr>
          <w:lang w:val="sv-SE"/>
        </w:rPr>
        <w:t> </w:t>
      </w:r>
      <w:r w:rsidR="00264096" w:rsidRPr="00A74CC6">
        <w:rPr>
          <w:lang w:val="sv-SE"/>
        </w:rPr>
        <w:t>veckor.</w:t>
      </w:r>
    </w:p>
    <w:p w14:paraId="6D532B8F" w14:textId="77777777" w:rsidR="00D90C91" w:rsidRPr="00A74CC6" w:rsidRDefault="00D90C91" w:rsidP="001E7238">
      <w:pPr>
        <w:spacing w:after="0" w:line="240" w:lineRule="auto"/>
        <w:ind w:left="4" w:right="13"/>
        <w:contextualSpacing/>
        <w:rPr>
          <w:lang w:val="sv-SE"/>
        </w:rPr>
      </w:pPr>
    </w:p>
    <w:p w14:paraId="2ABAF18B" w14:textId="1E05B2E1" w:rsidR="005027AB" w:rsidRPr="00A74CC6" w:rsidRDefault="00264096" w:rsidP="001E7238">
      <w:pPr>
        <w:spacing w:after="0" w:line="240" w:lineRule="auto"/>
        <w:ind w:left="4" w:right="13"/>
        <w:contextualSpacing/>
        <w:rPr>
          <w:lang w:val="sv-SE"/>
        </w:rPr>
      </w:pPr>
      <w:r w:rsidRPr="00A74CC6">
        <w:rPr>
          <w:lang w:val="sv-SE"/>
        </w:rPr>
        <w:t>Effektresultaten från BCIRG 006 sammanfattas i tabell</w:t>
      </w:r>
      <w:r w:rsidR="00E5250D" w:rsidRPr="00A74CC6">
        <w:rPr>
          <w:lang w:val="sv-SE"/>
        </w:rPr>
        <w:t> </w:t>
      </w:r>
      <w:r w:rsidRPr="00A74CC6">
        <w:rPr>
          <w:lang w:val="sv-SE"/>
        </w:rPr>
        <w:t>9 och 10. Medianduration för uppföljning var 2,9</w:t>
      </w:r>
      <w:r w:rsidR="00E5250D" w:rsidRPr="00A74CC6">
        <w:rPr>
          <w:lang w:val="sv-SE"/>
        </w:rPr>
        <w:t> </w:t>
      </w:r>
      <w:r w:rsidRPr="00A74CC6">
        <w:rPr>
          <w:lang w:val="sv-SE"/>
        </w:rPr>
        <w:t>år för patienterna i AC→D-gruppen och 3,0</w:t>
      </w:r>
      <w:r w:rsidR="00E5250D" w:rsidRPr="00A74CC6">
        <w:rPr>
          <w:lang w:val="sv-SE"/>
        </w:rPr>
        <w:t> </w:t>
      </w:r>
      <w:r w:rsidRPr="00A74CC6">
        <w:rPr>
          <w:lang w:val="sv-SE"/>
        </w:rPr>
        <w:t>år vardera för patienterna i AC→DH-gruppen och DKarbH-gruppen.</w:t>
      </w:r>
    </w:p>
    <w:p w14:paraId="60D1229B" w14:textId="77777777" w:rsidR="00410CA8" w:rsidRPr="00A74CC6" w:rsidRDefault="00410CA8" w:rsidP="00D90C91">
      <w:pPr>
        <w:tabs>
          <w:tab w:val="center" w:pos="3994"/>
        </w:tabs>
        <w:spacing w:after="0" w:line="240" w:lineRule="auto"/>
        <w:ind w:left="0" w:firstLine="0"/>
        <w:contextualSpacing/>
        <w:rPr>
          <w:lang w:val="sv-SE"/>
        </w:rPr>
      </w:pPr>
    </w:p>
    <w:p w14:paraId="52298E97" w14:textId="5BAC11EA" w:rsidR="005027AB" w:rsidRPr="00A74CC6" w:rsidRDefault="00264096" w:rsidP="00D90C91">
      <w:pPr>
        <w:keepNext/>
        <w:keepLines/>
        <w:tabs>
          <w:tab w:val="center" w:pos="3994"/>
        </w:tabs>
        <w:spacing w:after="0" w:line="240" w:lineRule="auto"/>
        <w:ind w:left="0" w:firstLine="0"/>
        <w:contextualSpacing/>
        <w:rPr>
          <w:b/>
          <w:lang w:val="sv-SE"/>
        </w:rPr>
      </w:pPr>
      <w:r w:rsidRPr="00A74CC6">
        <w:rPr>
          <w:b/>
          <w:lang w:val="sv-SE"/>
        </w:rPr>
        <w:lastRenderedPageBreak/>
        <w:t>Tabell</w:t>
      </w:r>
      <w:r w:rsidR="00E5250D" w:rsidRPr="00A74CC6">
        <w:rPr>
          <w:b/>
          <w:lang w:val="sv-SE"/>
        </w:rPr>
        <w:t> </w:t>
      </w:r>
      <w:r w:rsidRPr="00A74CC6">
        <w:rPr>
          <w:b/>
          <w:lang w:val="sv-SE"/>
        </w:rPr>
        <w:t>9</w:t>
      </w:r>
      <w:r w:rsidR="00E1391C" w:rsidRPr="00A74CC6">
        <w:rPr>
          <w:b/>
          <w:lang w:val="sv-SE"/>
        </w:rPr>
        <w:t>.</w:t>
      </w:r>
      <w:r w:rsidR="00F2647C" w:rsidRPr="00A74CC6">
        <w:rPr>
          <w:b/>
          <w:lang w:val="sv-SE"/>
        </w:rPr>
        <w:t xml:space="preserve"> </w:t>
      </w:r>
      <w:r w:rsidRPr="00A74CC6">
        <w:rPr>
          <w:b/>
          <w:lang w:val="sv-SE"/>
        </w:rPr>
        <w:t xml:space="preserve">Översikt av effektanalyser </w:t>
      </w:r>
      <w:r w:rsidR="00E5250D" w:rsidRPr="00A74CC6">
        <w:rPr>
          <w:b/>
          <w:lang w:val="sv-SE"/>
        </w:rPr>
        <w:t xml:space="preserve">i </w:t>
      </w:r>
      <w:r w:rsidRPr="00A74CC6">
        <w:rPr>
          <w:b/>
          <w:lang w:val="sv-SE"/>
        </w:rPr>
        <w:t>BCIRG 006</w:t>
      </w:r>
      <w:r w:rsidR="00E5250D" w:rsidRPr="00A74CC6">
        <w:rPr>
          <w:b/>
          <w:lang w:val="sv-SE"/>
        </w:rPr>
        <w:t xml:space="preserve"> för</w:t>
      </w:r>
      <w:r w:rsidRPr="00A74CC6">
        <w:rPr>
          <w:b/>
          <w:lang w:val="sv-SE"/>
        </w:rPr>
        <w:t xml:space="preserve"> AC→D versus AC→DH</w:t>
      </w:r>
    </w:p>
    <w:p w14:paraId="1F50217B" w14:textId="77777777" w:rsidR="00410CA8" w:rsidRPr="00A74CC6" w:rsidRDefault="00410CA8" w:rsidP="00D90C91">
      <w:pPr>
        <w:keepNext/>
        <w:keepLines/>
        <w:tabs>
          <w:tab w:val="center" w:pos="3994"/>
        </w:tabs>
        <w:spacing w:after="0" w:line="240" w:lineRule="auto"/>
        <w:ind w:left="0" w:firstLine="0"/>
        <w:contextualSpacing/>
        <w:rPr>
          <w:b/>
          <w:lang w:val="sv-SE"/>
        </w:rPr>
      </w:pPr>
    </w:p>
    <w:tbl>
      <w:tblPr>
        <w:tblW w:w="5000"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3" w:type="dxa"/>
          <w:left w:w="67" w:type="dxa"/>
          <w:bottom w:w="12" w:type="dxa"/>
          <w:right w:w="115" w:type="dxa"/>
        </w:tblCellMar>
        <w:tblLook w:val="04A0" w:firstRow="1" w:lastRow="0" w:firstColumn="1" w:lastColumn="0" w:noHBand="0" w:noVBand="1"/>
      </w:tblPr>
      <w:tblGrid>
        <w:gridCol w:w="3275"/>
        <w:gridCol w:w="1828"/>
        <w:gridCol w:w="2159"/>
        <w:gridCol w:w="1989"/>
      </w:tblGrid>
      <w:tr w:rsidR="00AD14F8" w:rsidRPr="00A74CC6" w14:paraId="5F9DA804" w14:textId="77777777" w:rsidTr="004A019F">
        <w:trPr>
          <w:trHeight w:val="794"/>
          <w:tblHeader/>
        </w:trPr>
        <w:tc>
          <w:tcPr>
            <w:tcW w:w="1770" w:type="pct"/>
            <w:shd w:val="clear" w:color="auto" w:fill="auto"/>
          </w:tcPr>
          <w:p w14:paraId="6021315E" w14:textId="77777777" w:rsidR="005027AB" w:rsidRPr="004A019F" w:rsidRDefault="00264096" w:rsidP="004A019F">
            <w:pPr>
              <w:keepNext/>
              <w:spacing w:after="0" w:line="240" w:lineRule="auto"/>
              <w:ind w:left="0" w:firstLine="0"/>
              <w:contextualSpacing/>
              <w:jc w:val="center"/>
              <w:rPr>
                <w:b/>
                <w:lang w:val="sv-SE"/>
              </w:rPr>
            </w:pPr>
            <w:r w:rsidRPr="004A019F">
              <w:rPr>
                <w:b/>
                <w:lang w:val="sv-SE"/>
              </w:rPr>
              <w:t>Parameter</w:t>
            </w:r>
          </w:p>
        </w:tc>
        <w:tc>
          <w:tcPr>
            <w:tcW w:w="988" w:type="pct"/>
            <w:shd w:val="clear" w:color="auto" w:fill="auto"/>
          </w:tcPr>
          <w:p w14:paraId="746FBA23" w14:textId="77777777" w:rsidR="005027AB" w:rsidRPr="004A019F" w:rsidRDefault="00264096" w:rsidP="004A019F">
            <w:pPr>
              <w:keepNext/>
              <w:spacing w:after="0" w:line="240" w:lineRule="auto"/>
              <w:ind w:left="0" w:firstLine="0"/>
              <w:contextualSpacing/>
              <w:jc w:val="center"/>
              <w:rPr>
                <w:b/>
                <w:lang w:val="sv-SE"/>
              </w:rPr>
            </w:pPr>
            <w:r w:rsidRPr="004A019F">
              <w:rPr>
                <w:b/>
                <w:lang w:val="sv-SE"/>
              </w:rPr>
              <w:t>AC→D</w:t>
            </w:r>
          </w:p>
          <w:p w14:paraId="7D44CC7E" w14:textId="3A04935D" w:rsidR="005027AB" w:rsidRPr="004A019F" w:rsidRDefault="00264096" w:rsidP="004A019F">
            <w:pPr>
              <w:keepNext/>
              <w:spacing w:after="0" w:line="240" w:lineRule="auto"/>
              <w:ind w:left="0" w:firstLine="0"/>
              <w:contextualSpacing/>
              <w:jc w:val="center"/>
              <w:rPr>
                <w:b/>
                <w:lang w:val="sv-SE"/>
              </w:rPr>
            </w:pPr>
            <w:r w:rsidRPr="004A019F">
              <w:rPr>
                <w:b/>
                <w:lang w:val="sv-SE"/>
              </w:rPr>
              <w:t>(</w:t>
            </w:r>
            <w:r w:rsidR="0020661E" w:rsidRPr="004A019F">
              <w:rPr>
                <w:b/>
                <w:lang w:val="sv-SE"/>
              </w:rPr>
              <w:t>n </w:t>
            </w:r>
            <w:r w:rsidRPr="004A019F">
              <w:rPr>
                <w:b/>
                <w:lang w:val="sv-SE"/>
              </w:rPr>
              <w:t>=</w:t>
            </w:r>
            <w:r w:rsidR="0020661E" w:rsidRPr="004A019F">
              <w:rPr>
                <w:b/>
                <w:lang w:val="sv-SE"/>
              </w:rPr>
              <w:t> </w:t>
            </w:r>
            <w:r w:rsidRPr="004A019F">
              <w:rPr>
                <w:b/>
                <w:lang w:val="sv-SE"/>
              </w:rPr>
              <w:t>1</w:t>
            </w:r>
            <w:r w:rsidR="00E516D0" w:rsidRPr="004A019F">
              <w:rPr>
                <w:b/>
                <w:lang w:val="sv-SE"/>
              </w:rPr>
              <w:t> </w:t>
            </w:r>
            <w:r w:rsidRPr="004A019F">
              <w:rPr>
                <w:b/>
                <w:lang w:val="sv-SE"/>
              </w:rPr>
              <w:t>073)</w:t>
            </w:r>
          </w:p>
        </w:tc>
        <w:tc>
          <w:tcPr>
            <w:tcW w:w="1167" w:type="pct"/>
            <w:shd w:val="clear" w:color="auto" w:fill="auto"/>
          </w:tcPr>
          <w:p w14:paraId="536600AC" w14:textId="77777777" w:rsidR="005027AB" w:rsidRPr="004A019F" w:rsidRDefault="00264096" w:rsidP="004A019F">
            <w:pPr>
              <w:keepNext/>
              <w:spacing w:after="0" w:line="240" w:lineRule="auto"/>
              <w:ind w:left="0" w:firstLine="0"/>
              <w:contextualSpacing/>
              <w:jc w:val="center"/>
              <w:rPr>
                <w:b/>
                <w:lang w:val="sv-SE"/>
              </w:rPr>
            </w:pPr>
            <w:r w:rsidRPr="004A019F">
              <w:rPr>
                <w:b/>
                <w:lang w:val="sv-SE"/>
              </w:rPr>
              <w:t>AC→DH</w:t>
            </w:r>
          </w:p>
          <w:p w14:paraId="0B34ACEA" w14:textId="23E4E16E" w:rsidR="005027AB" w:rsidRPr="004A019F" w:rsidRDefault="00264096" w:rsidP="004A019F">
            <w:pPr>
              <w:keepNext/>
              <w:spacing w:after="0" w:line="240" w:lineRule="auto"/>
              <w:ind w:left="0" w:firstLine="0"/>
              <w:contextualSpacing/>
              <w:jc w:val="center"/>
              <w:rPr>
                <w:b/>
                <w:lang w:val="sv-SE"/>
              </w:rPr>
            </w:pPr>
            <w:r w:rsidRPr="004A019F">
              <w:rPr>
                <w:b/>
                <w:lang w:val="sv-SE"/>
              </w:rPr>
              <w:t>(n</w:t>
            </w:r>
            <w:r w:rsidR="0020661E" w:rsidRPr="004A019F">
              <w:rPr>
                <w:b/>
                <w:lang w:val="sv-SE"/>
              </w:rPr>
              <w:t> </w:t>
            </w:r>
            <w:r w:rsidRPr="004A019F">
              <w:rPr>
                <w:b/>
                <w:lang w:val="sv-SE"/>
              </w:rPr>
              <w:t>=</w:t>
            </w:r>
            <w:r w:rsidR="0020661E" w:rsidRPr="004A019F">
              <w:rPr>
                <w:b/>
                <w:lang w:val="sv-SE"/>
              </w:rPr>
              <w:t> </w:t>
            </w:r>
            <w:r w:rsidRPr="004A019F">
              <w:rPr>
                <w:b/>
                <w:lang w:val="sv-SE"/>
              </w:rPr>
              <w:t>1</w:t>
            </w:r>
            <w:r w:rsidR="00E516D0" w:rsidRPr="004A019F">
              <w:rPr>
                <w:b/>
                <w:lang w:val="sv-SE"/>
              </w:rPr>
              <w:t> </w:t>
            </w:r>
            <w:r w:rsidRPr="004A019F">
              <w:rPr>
                <w:b/>
                <w:lang w:val="sv-SE"/>
              </w:rPr>
              <w:t>074)</w:t>
            </w:r>
          </w:p>
        </w:tc>
        <w:tc>
          <w:tcPr>
            <w:tcW w:w="1076" w:type="pct"/>
            <w:shd w:val="clear" w:color="auto" w:fill="auto"/>
          </w:tcPr>
          <w:p w14:paraId="7EDA4C18" w14:textId="5A2D2FBF" w:rsidR="005027AB" w:rsidRPr="004A019F" w:rsidRDefault="00264096" w:rsidP="004A019F">
            <w:pPr>
              <w:keepNext/>
              <w:spacing w:after="0" w:line="240" w:lineRule="auto"/>
              <w:ind w:left="0" w:firstLine="0"/>
              <w:contextualSpacing/>
              <w:jc w:val="center"/>
              <w:rPr>
                <w:b/>
                <w:lang w:val="en-GB"/>
              </w:rPr>
            </w:pPr>
            <w:r w:rsidRPr="004A019F">
              <w:rPr>
                <w:b/>
                <w:lang w:val="en-GB"/>
              </w:rPr>
              <w:t xml:space="preserve">Hazard </w:t>
            </w:r>
            <w:r w:rsidR="00E516D0" w:rsidRPr="004A019F">
              <w:rPr>
                <w:b/>
                <w:lang w:val="en-GB"/>
              </w:rPr>
              <w:t xml:space="preserve">ratio </w:t>
            </w:r>
            <w:r w:rsidRPr="004A019F">
              <w:rPr>
                <w:b/>
                <w:lang w:val="en-GB"/>
              </w:rPr>
              <w:t>vs</w:t>
            </w:r>
          </w:p>
          <w:p w14:paraId="17A632AD" w14:textId="77777777" w:rsidR="005027AB" w:rsidRPr="004A019F" w:rsidRDefault="00264096" w:rsidP="004A019F">
            <w:pPr>
              <w:keepNext/>
              <w:spacing w:after="0" w:line="240" w:lineRule="auto"/>
              <w:ind w:left="0" w:firstLine="0"/>
              <w:contextualSpacing/>
              <w:jc w:val="center"/>
              <w:rPr>
                <w:b/>
                <w:lang w:val="en-GB"/>
              </w:rPr>
            </w:pPr>
            <w:r w:rsidRPr="004A019F">
              <w:rPr>
                <w:b/>
                <w:lang w:val="en-GB"/>
              </w:rPr>
              <w:t>AC→D</w:t>
            </w:r>
          </w:p>
          <w:p w14:paraId="5DF2D75C" w14:textId="262C141A" w:rsidR="00952F1D" w:rsidRPr="004A019F" w:rsidRDefault="00264096" w:rsidP="004A019F">
            <w:pPr>
              <w:keepNext/>
              <w:spacing w:after="0" w:line="240" w:lineRule="auto"/>
              <w:ind w:left="0" w:firstLine="0"/>
              <w:contextualSpacing/>
              <w:jc w:val="center"/>
              <w:rPr>
                <w:b/>
                <w:lang w:val="en-GB"/>
              </w:rPr>
            </w:pPr>
            <w:r w:rsidRPr="004A019F">
              <w:rPr>
                <w:b/>
                <w:lang w:val="en-GB"/>
              </w:rPr>
              <w:t>(95</w:t>
            </w:r>
            <w:r w:rsidR="0020661E" w:rsidRPr="004A019F">
              <w:rPr>
                <w:b/>
                <w:lang w:val="en-GB"/>
              </w:rPr>
              <w:t> </w:t>
            </w:r>
            <w:r w:rsidRPr="004A019F">
              <w:rPr>
                <w:b/>
                <w:lang w:val="en-GB"/>
              </w:rPr>
              <w:t>% KI)</w:t>
            </w:r>
          </w:p>
          <w:p w14:paraId="483CCD52" w14:textId="77777777" w:rsidR="005027AB" w:rsidRPr="004A019F" w:rsidRDefault="00264096" w:rsidP="004A019F">
            <w:pPr>
              <w:keepNext/>
              <w:spacing w:after="0" w:line="240" w:lineRule="auto"/>
              <w:ind w:left="0" w:firstLine="0"/>
              <w:contextualSpacing/>
              <w:jc w:val="center"/>
              <w:rPr>
                <w:b/>
                <w:lang w:val="sv-SE"/>
              </w:rPr>
            </w:pPr>
            <w:r w:rsidRPr="004A019F">
              <w:rPr>
                <w:b/>
                <w:lang w:val="en-GB"/>
              </w:rPr>
              <w:t xml:space="preserve"> </w:t>
            </w:r>
            <w:r w:rsidRPr="004A019F">
              <w:rPr>
                <w:b/>
                <w:lang w:val="sv-SE"/>
              </w:rPr>
              <w:t>p-värde</w:t>
            </w:r>
          </w:p>
        </w:tc>
      </w:tr>
      <w:tr w:rsidR="00AD14F8" w:rsidRPr="00A74CC6" w14:paraId="5C0ED7EF" w14:textId="77777777" w:rsidTr="004A019F">
        <w:trPr>
          <w:trHeight w:val="510"/>
        </w:trPr>
        <w:tc>
          <w:tcPr>
            <w:tcW w:w="1770" w:type="pct"/>
            <w:shd w:val="clear" w:color="auto" w:fill="auto"/>
          </w:tcPr>
          <w:p w14:paraId="3E438A81" w14:textId="77777777" w:rsidR="005027AB" w:rsidRPr="004A019F" w:rsidRDefault="00264096" w:rsidP="004A019F">
            <w:pPr>
              <w:keepNext/>
              <w:spacing w:after="0" w:line="240" w:lineRule="auto"/>
              <w:ind w:left="0" w:firstLine="0"/>
              <w:contextualSpacing/>
              <w:rPr>
                <w:lang w:val="sv-SE"/>
              </w:rPr>
            </w:pPr>
            <w:r w:rsidRPr="004A019F">
              <w:rPr>
                <w:lang w:val="sv-SE"/>
              </w:rPr>
              <w:t>Sjukdomsfri överlevnad</w:t>
            </w:r>
          </w:p>
          <w:p w14:paraId="402543AA" w14:textId="77777777" w:rsidR="005027AB" w:rsidRPr="004A019F" w:rsidRDefault="00264096" w:rsidP="004A019F">
            <w:pPr>
              <w:keepNext/>
              <w:spacing w:after="0" w:line="240" w:lineRule="auto"/>
              <w:ind w:left="0" w:firstLine="0"/>
              <w:contextualSpacing/>
              <w:rPr>
                <w:lang w:val="sv-SE"/>
              </w:rPr>
            </w:pPr>
            <w:r w:rsidRPr="004A019F">
              <w:rPr>
                <w:lang w:val="sv-SE"/>
              </w:rPr>
              <w:t>Antal patienter med händelse</w:t>
            </w:r>
          </w:p>
        </w:tc>
        <w:tc>
          <w:tcPr>
            <w:tcW w:w="988" w:type="pct"/>
            <w:shd w:val="clear" w:color="auto" w:fill="auto"/>
          </w:tcPr>
          <w:p w14:paraId="70A1B190" w14:textId="77777777" w:rsidR="00952F1D" w:rsidRPr="004A019F" w:rsidRDefault="00952F1D" w:rsidP="004A019F">
            <w:pPr>
              <w:keepNext/>
              <w:spacing w:after="0" w:line="240" w:lineRule="auto"/>
              <w:ind w:left="0" w:firstLine="0"/>
              <w:contextualSpacing/>
              <w:jc w:val="center"/>
              <w:rPr>
                <w:lang w:val="sv-SE"/>
              </w:rPr>
            </w:pPr>
          </w:p>
          <w:p w14:paraId="0625D53B" w14:textId="77777777" w:rsidR="005027AB" w:rsidRPr="004A019F" w:rsidRDefault="00264096" w:rsidP="004A019F">
            <w:pPr>
              <w:keepNext/>
              <w:spacing w:after="0" w:line="240" w:lineRule="auto"/>
              <w:ind w:left="0" w:firstLine="0"/>
              <w:contextualSpacing/>
              <w:jc w:val="center"/>
              <w:rPr>
                <w:lang w:val="sv-SE"/>
              </w:rPr>
            </w:pPr>
            <w:r w:rsidRPr="004A019F">
              <w:rPr>
                <w:lang w:val="sv-SE"/>
              </w:rPr>
              <w:t>195</w:t>
            </w:r>
          </w:p>
        </w:tc>
        <w:tc>
          <w:tcPr>
            <w:tcW w:w="1167" w:type="pct"/>
            <w:shd w:val="clear" w:color="auto" w:fill="auto"/>
          </w:tcPr>
          <w:p w14:paraId="7471EBE8" w14:textId="77777777" w:rsidR="00952F1D" w:rsidRPr="004A019F" w:rsidRDefault="00952F1D" w:rsidP="004A019F">
            <w:pPr>
              <w:keepNext/>
              <w:spacing w:after="0" w:line="240" w:lineRule="auto"/>
              <w:ind w:left="0" w:firstLine="0"/>
              <w:contextualSpacing/>
              <w:jc w:val="center"/>
              <w:rPr>
                <w:lang w:val="sv-SE"/>
              </w:rPr>
            </w:pPr>
          </w:p>
          <w:p w14:paraId="51741B51" w14:textId="77777777" w:rsidR="005027AB" w:rsidRPr="004A019F" w:rsidRDefault="00264096" w:rsidP="004A019F">
            <w:pPr>
              <w:keepNext/>
              <w:spacing w:after="0" w:line="240" w:lineRule="auto"/>
              <w:ind w:left="0" w:firstLine="0"/>
              <w:contextualSpacing/>
              <w:jc w:val="center"/>
              <w:rPr>
                <w:lang w:val="sv-SE"/>
              </w:rPr>
            </w:pPr>
            <w:r w:rsidRPr="004A019F">
              <w:rPr>
                <w:lang w:val="sv-SE"/>
              </w:rPr>
              <w:t>134</w:t>
            </w:r>
          </w:p>
        </w:tc>
        <w:tc>
          <w:tcPr>
            <w:tcW w:w="1076" w:type="pct"/>
            <w:shd w:val="clear" w:color="auto" w:fill="auto"/>
          </w:tcPr>
          <w:p w14:paraId="6E48CBF6" w14:textId="77777777" w:rsidR="00952F1D" w:rsidRPr="004A019F" w:rsidRDefault="00952F1D" w:rsidP="004A019F">
            <w:pPr>
              <w:keepNext/>
              <w:spacing w:after="0" w:line="240" w:lineRule="auto"/>
              <w:ind w:left="0" w:firstLine="0"/>
              <w:contextualSpacing/>
              <w:jc w:val="center"/>
              <w:rPr>
                <w:lang w:val="sv-SE"/>
              </w:rPr>
            </w:pPr>
          </w:p>
          <w:p w14:paraId="79C59EE4" w14:textId="77777777" w:rsidR="00952F1D" w:rsidRPr="004A019F" w:rsidRDefault="00264096" w:rsidP="004A019F">
            <w:pPr>
              <w:keepNext/>
              <w:spacing w:after="0" w:line="240" w:lineRule="auto"/>
              <w:ind w:left="0" w:firstLine="0"/>
              <w:contextualSpacing/>
              <w:jc w:val="center"/>
              <w:rPr>
                <w:lang w:val="sv-SE"/>
              </w:rPr>
            </w:pPr>
            <w:r w:rsidRPr="004A019F">
              <w:rPr>
                <w:lang w:val="sv-SE"/>
              </w:rPr>
              <w:t xml:space="preserve">0,61 (0,49, 0,77) </w:t>
            </w:r>
          </w:p>
          <w:p w14:paraId="2D6D7ADA" w14:textId="57019194" w:rsidR="005027AB" w:rsidRPr="004A019F" w:rsidRDefault="00264096" w:rsidP="004A019F">
            <w:pPr>
              <w:keepNext/>
              <w:spacing w:after="0" w:line="240" w:lineRule="auto"/>
              <w:ind w:left="0" w:firstLine="0"/>
              <w:contextualSpacing/>
              <w:jc w:val="center"/>
              <w:rPr>
                <w:lang w:val="sv-SE"/>
              </w:rPr>
            </w:pPr>
            <w:r w:rsidRPr="004A019F">
              <w:rPr>
                <w:lang w:val="sv-SE"/>
              </w:rPr>
              <w:t>p</w:t>
            </w:r>
            <w:r w:rsidR="0020661E" w:rsidRPr="004A019F">
              <w:rPr>
                <w:lang w:val="sv-SE"/>
              </w:rPr>
              <w:t> </w:t>
            </w:r>
            <w:r w:rsidRPr="004A019F">
              <w:rPr>
                <w:lang w:val="sv-SE"/>
              </w:rPr>
              <w:t>&lt;</w:t>
            </w:r>
            <w:r w:rsidR="0020661E" w:rsidRPr="004A019F">
              <w:rPr>
                <w:lang w:val="sv-SE"/>
              </w:rPr>
              <w:t> </w:t>
            </w:r>
            <w:r w:rsidRPr="004A019F">
              <w:rPr>
                <w:lang w:val="sv-SE"/>
              </w:rPr>
              <w:t>0,0001</w:t>
            </w:r>
          </w:p>
        </w:tc>
      </w:tr>
      <w:tr w:rsidR="00AD14F8" w:rsidRPr="00A74CC6" w14:paraId="279A1479" w14:textId="77777777" w:rsidTr="004A019F">
        <w:trPr>
          <w:trHeight w:val="510"/>
        </w:trPr>
        <w:tc>
          <w:tcPr>
            <w:tcW w:w="1770" w:type="pct"/>
            <w:shd w:val="clear" w:color="auto" w:fill="auto"/>
          </w:tcPr>
          <w:p w14:paraId="407EC464" w14:textId="77777777" w:rsidR="005027AB" w:rsidRPr="004A019F" w:rsidRDefault="00264096" w:rsidP="004A019F">
            <w:pPr>
              <w:keepNext/>
              <w:spacing w:after="0" w:line="240" w:lineRule="auto"/>
              <w:ind w:left="0" w:firstLine="0"/>
              <w:contextualSpacing/>
              <w:rPr>
                <w:lang w:val="sv-SE"/>
              </w:rPr>
            </w:pPr>
            <w:r w:rsidRPr="004A019F">
              <w:rPr>
                <w:lang w:val="sv-SE"/>
              </w:rPr>
              <w:t>Fjärrecidiv</w:t>
            </w:r>
          </w:p>
          <w:p w14:paraId="5A40FEA0" w14:textId="77777777" w:rsidR="005027AB" w:rsidRPr="004A019F" w:rsidRDefault="00264096" w:rsidP="004A019F">
            <w:pPr>
              <w:keepNext/>
              <w:spacing w:after="0" w:line="240" w:lineRule="auto"/>
              <w:ind w:left="0" w:firstLine="0"/>
              <w:contextualSpacing/>
              <w:rPr>
                <w:lang w:val="sv-SE"/>
              </w:rPr>
            </w:pPr>
            <w:r w:rsidRPr="004A019F">
              <w:rPr>
                <w:lang w:val="sv-SE"/>
              </w:rPr>
              <w:t>Antal patienter med händelse</w:t>
            </w:r>
          </w:p>
        </w:tc>
        <w:tc>
          <w:tcPr>
            <w:tcW w:w="988" w:type="pct"/>
            <w:shd w:val="clear" w:color="auto" w:fill="auto"/>
          </w:tcPr>
          <w:p w14:paraId="0A753936" w14:textId="77777777" w:rsidR="00952F1D" w:rsidRPr="004A019F" w:rsidRDefault="00952F1D" w:rsidP="004A019F">
            <w:pPr>
              <w:keepNext/>
              <w:spacing w:after="0" w:line="240" w:lineRule="auto"/>
              <w:ind w:left="0" w:firstLine="0"/>
              <w:contextualSpacing/>
              <w:jc w:val="center"/>
              <w:rPr>
                <w:lang w:val="sv-SE"/>
              </w:rPr>
            </w:pPr>
          </w:p>
          <w:p w14:paraId="4E209479" w14:textId="77777777" w:rsidR="005027AB" w:rsidRPr="004A019F" w:rsidRDefault="00264096" w:rsidP="004A019F">
            <w:pPr>
              <w:keepNext/>
              <w:spacing w:after="0" w:line="240" w:lineRule="auto"/>
              <w:ind w:left="0" w:firstLine="0"/>
              <w:contextualSpacing/>
              <w:jc w:val="center"/>
              <w:rPr>
                <w:lang w:val="sv-SE"/>
              </w:rPr>
            </w:pPr>
            <w:r w:rsidRPr="004A019F">
              <w:rPr>
                <w:lang w:val="sv-SE"/>
              </w:rPr>
              <w:t>144</w:t>
            </w:r>
          </w:p>
        </w:tc>
        <w:tc>
          <w:tcPr>
            <w:tcW w:w="1167" w:type="pct"/>
            <w:shd w:val="clear" w:color="auto" w:fill="auto"/>
          </w:tcPr>
          <w:p w14:paraId="52ECC737" w14:textId="77777777" w:rsidR="00952F1D" w:rsidRPr="004A019F" w:rsidRDefault="00952F1D" w:rsidP="004A019F">
            <w:pPr>
              <w:keepNext/>
              <w:spacing w:after="0" w:line="240" w:lineRule="auto"/>
              <w:ind w:left="0" w:firstLine="0"/>
              <w:contextualSpacing/>
              <w:jc w:val="center"/>
              <w:rPr>
                <w:lang w:val="sv-SE"/>
              </w:rPr>
            </w:pPr>
          </w:p>
          <w:p w14:paraId="60A359FA" w14:textId="77777777" w:rsidR="005027AB" w:rsidRPr="004A019F" w:rsidRDefault="00264096" w:rsidP="004A019F">
            <w:pPr>
              <w:keepNext/>
              <w:spacing w:after="0" w:line="240" w:lineRule="auto"/>
              <w:ind w:left="0" w:firstLine="0"/>
              <w:contextualSpacing/>
              <w:jc w:val="center"/>
              <w:rPr>
                <w:lang w:val="sv-SE"/>
              </w:rPr>
            </w:pPr>
            <w:r w:rsidRPr="004A019F">
              <w:rPr>
                <w:lang w:val="sv-SE"/>
              </w:rPr>
              <w:t>95</w:t>
            </w:r>
          </w:p>
        </w:tc>
        <w:tc>
          <w:tcPr>
            <w:tcW w:w="1076" w:type="pct"/>
            <w:shd w:val="clear" w:color="auto" w:fill="auto"/>
          </w:tcPr>
          <w:p w14:paraId="75BFB338" w14:textId="77777777" w:rsidR="00952F1D" w:rsidRPr="004A019F" w:rsidRDefault="00952F1D" w:rsidP="004A019F">
            <w:pPr>
              <w:keepNext/>
              <w:spacing w:after="0" w:line="240" w:lineRule="auto"/>
              <w:ind w:left="0" w:firstLine="0"/>
              <w:contextualSpacing/>
              <w:jc w:val="center"/>
              <w:rPr>
                <w:lang w:val="sv-SE"/>
              </w:rPr>
            </w:pPr>
          </w:p>
          <w:p w14:paraId="564B5EA8" w14:textId="77777777" w:rsidR="00952F1D" w:rsidRPr="004A019F" w:rsidRDefault="00264096" w:rsidP="004A019F">
            <w:pPr>
              <w:keepNext/>
              <w:spacing w:after="0" w:line="240" w:lineRule="auto"/>
              <w:ind w:left="0" w:firstLine="0"/>
              <w:contextualSpacing/>
              <w:jc w:val="center"/>
              <w:rPr>
                <w:lang w:val="sv-SE"/>
              </w:rPr>
            </w:pPr>
            <w:r w:rsidRPr="004A019F">
              <w:rPr>
                <w:lang w:val="sv-SE"/>
              </w:rPr>
              <w:t xml:space="preserve">0,59 (0,46, 0,77) </w:t>
            </w:r>
          </w:p>
          <w:p w14:paraId="247B41DA" w14:textId="502CBB9E" w:rsidR="005027AB" w:rsidRPr="004A019F" w:rsidRDefault="00264096" w:rsidP="004A019F">
            <w:pPr>
              <w:keepNext/>
              <w:spacing w:after="0" w:line="240" w:lineRule="auto"/>
              <w:ind w:left="0" w:firstLine="0"/>
              <w:contextualSpacing/>
              <w:jc w:val="center"/>
              <w:rPr>
                <w:lang w:val="sv-SE"/>
              </w:rPr>
            </w:pPr>
            <w:r w:rsidRPr="004A019F">
              <w:rPr>
                <w:lang w:val="sv-SE"/>
              </w:rPr>
              <w:t>p</w:t>
            </w:r>
            <w:r w:rsidR="0020661E" w:rsidRPr="004A019F">
              <w:rPr>
                <w:lang w:val="sv-SE"/>
              </w:rPr>
              <w:t> </w:t>
            </w:r>
            <w:r w:rsidRPr="004A019F">
              <w:rPr>
                <w:lang w:val="sv-SE"/>
              </w:rPr>
              <w:t>&lt;</w:t>
            </w:r>
            <w:r w:rsidR="0020661E" w:rsidRPr="004A019F">
              <w:rPr>
                <w:lang w:val="sv-SE"/>
              </w:rPr>
              <w:t> </w:t>
            </w:r>
            <w:r w:rsidRPr="004A019F">
              <w:rPr>
                <w:lang w:val="sv-SE"/>
              </w:rPr>
              <w:t>0,0001</w:t>
            </w:r>
          </w:p>
        </w:tc>
      </w:tr>
      <w:tr w:rsidR="00AD14F8" w:rsidRPr="00A74CC6" w14:paraId="5633DD6A" w14:textId="77777777" w:rsidTr="004A019F">
        <w:trPr>
          <w:trHeight w:val="510"/>
        </w:trPr>
        <w:tc>
          <w:tcPr>
            <w:tcW w:w="1770" w:type="pct"/>
            <w:shd w:val="clear" w:color="auto" w:fill="auto"/>
          </w:tcPr>
          <w:p w14:paraId="5D103C59" w14:textId="77777777" w:rsidR="005027AB" w:rsidRPr="004A019F" w:rsidRDefault="00952F1D" w:rsidP="004A019F">
            <w:pPr>
              <w:keepNext/>
              <w:spacing w:after="0" w:line="240" w:lineRule="auto"/>
              <w:ind w:left="0" w:firstLine="0"/>
              <w:contextualSpacing/>
              <w:rPr>
                <w:lang w:val="sv-SE"/>
              </w:rPr>
            </w:pPr>
            <w:r w:rsidRPr="004A019F">
              <w:rPr>
                <w:lang w:val="sv-SE"/>
              </w:rPr>
              <w:t>Dödsfall:</w:t>
            </w:r>
          </w:p>
          <w:p w14:paraId="52E80CBB" w14:textId="77777777" w:rsidR="005027AB" w:rsidRPr="004A019F" w:rsidRDefault="00264096" w:rsidP="004A019F">
            <w:pPr>
              <w:keepNext/>
              <w:spacing w:after="0" w:line="240" w:lineRule="auto"/>
              <w:ind w:left="0" w:firstLine="0"/>
              <w:contextualSpacing/>
              <w:rPr>
                <w:lang w:val="sv-SE"/>
              </w:rPr>
            </w:pPr>
            <w:r w:rsidRPr="004A019F">
              <w:rPr>
                <w:lang w:val="sv-SE"/>
              </w:rPr>
              <w:t>Antal patienter med händelse</w:t>
            </w:r>
          </w:p>
        </w:tc>
        <w:tc>
          <w:tcPr>
            <w:tcW w:w="988" w:type="pct"/>
            <w:shd w:val="clear" w:color="auto" w:fill="auto"/>
          </w:tcPr>
          <w:p w14:paraId="2B3D3914" w14:textId="77777777" w:rsidR="00952F1D" w:rsidRPr="004A019F" w:rsidRDefault="00952F1D" w:rsidP="004A019F">
            <w:pPr>
              <w:keepNext/>
              <w:spacing w:after="0" w:line="240" w:lineRule="auto"/>
              <w:ind w:left="0" w:firstLine="0"/>
              <w:contextualSpacing/>
              <w:jc w:val="center"/>
              <w:rPr>
                <w:lang w:val="sv-SE"/>
              </w:rPr>
            </w:pPr>
          </w:p>
          <w:p w14:paraId="66C37141" w14:textId="77777777" w:rsidR="005027AB" w:rsidRPr="004A019F" w:rsidRDefault="00264096" w:rsidP="004A019F">
            <w:pPr>
              <w:keepNext/>
              <w:spacing w:after="0" w:line="240" w:lineRule="auto"/>
              <w:ind w:left="0" w:firstLine="0"/>
              <w:contextualSpacing/>
              <w:jc w:val="center"/>
              <w:rPr>
                <w:lang w:val="sv-SE"/>
              </w:rPr>
            </w:pPr>
            <w:r w:rsidRPr="004A019F">
              <w:rPr>
                <w:lang w:val="sv-SE"/>
              </w:rPr>
              <w:t>80</w:t>
            </w:r>
          </w:p>
        </w:tc>
        <w:tc>
          <w:tcPr>
            <w:tcW w:w="1167" w:type="pct"/>
            <w:shd w:val="clear" w:color="auto" w:fill="auto"/>
          </w:tcPr>
          <w:p w14:paraId="72DCC545" w14:textId="77777777" w:rsidR="00952F1D" w:rsidRPr="004A019F" w:rsidRDefault="00952F1D" w:rsidP="004A019F">
            <w:pPr>
              <w:keepNext/>
              <w:spacing w:after="0" w:line="240" w:lineRule="auto"/>
              <w:ind w:left="0" w:firstLine="0"/>
              <w:contextualSpacing/>
              <w:jc w:val="center"/>
              <w:rPr>
                <w:lang w:val="sv-SE"/>
              </w:rPr>
            </w:pPr>
          </w:p>
          <w:p w14:paraId="1A88CF2C" w14:textId="77777777" w:rsidR="005027AB" w:rsidRPr="004A019F" w:rsidRDefault="00264096" w:rsidP="004A019F">
            <w:pPr>
              <w:keepNext/>
              <w:spacing w:after="0" w:line="240" w:lineRule="auto"/>
              <w:ind w:left="0" w:firstLine="0"/>
              <w:contextualSpacing/>
              <w:jc w:val="center"/>
              <w:rPr>
                <w:lang w:val="sv-SE"/>
              </w:rPr>
            </w:pPr>
            <w:r w:rsidRPr="004A019F">
              <w:rPr>
                <w:lang w:val="sv-SE"/>
              </w:rPr>
              <w:t>49</w:t>
            </w:r>
          </w:p>
        </w:tc>
        <w:tc>
          <w:tcPr>
            <w:tcW w:w="1076" w:type="pct"/>
            <w:shd w:val="clear" w:color="auto" w:fill="auto"/>
          </w:tcPr>
          <w:p w14:paraId="0D807C11" w14:textId="77777777" w:rsidR="00952F1D" w:rsidRPr="004A019F" w:rsidRDefault="00952F1D" w:rsidP="004A019F">
            <w:pPr>
              <w:keepNext/>
              <w:spacing w:after="0" w:line="240" w:lineRule="auto"/>
              <w:ind w:left="0" w:firstLine="0"/>
              <w:contextualSpacing/>
              <w:jc w:val="center"/>
              <w:rPr>
                <w:lang w:val="sv-SE"/>
              </w:rPr>
            </w:pPr>
          </w:p>
          <w:p w14:paraId="15244AAE" w14:textId="77777777" w:rsidR="00952F1D" w:rsidRPr="004A019F" w:rsidRDefault="00264096" w:rsidP="004A019F">
            <w:pPr>
              <w:keepNext/>
              <w:spacing w:after="0" w:line="240" w:lineRule="auto"/>
              <w:ind w:left="0" w:firstLine="0"/>
              <w:contextualSpacing/>
              <w:jc w:val="center"/>
              <w:rPr>
                <w:lang w:val="sv-SE"/>
              </w:rPr>
            </w:pPr>
            <w:r w:rsidRPr="004A019F">
              <w:rPr>
                <w:lang w:val="sv-SE"/>
              </w:rPr>
              <w:t xml:space="preserve">0,58 (0,40, 0,83) </w:t>
            </w:r>
          </w:p>
          <w:p w14:paraId="2C51B906" w14:textId="6558A860" w:rsidR="005027AB" w:rsidRPr="004A019F" w:rsidRDefault="00264096" w:rsidP="004A019F">
            <w:pPr>
              <w:keepNext/>
              <w:spacing w:after="0" w:line="240" w:lineRule="auto"/>
              <w:ind w:left="0" w:firstLine="0"/>
              <w:contextualSpacing/>
              <w:jc w:val="center"/>
              <w:rPr>
                <w:lang w:val="sv-SE"/>
              </w:rPr>
            </w:pPr>
            <w:r w:rsidRPr="004A019F">
              <w:rPr>
                <w:lang w:val="sv-SE"/>
              </w:rPr>
              <w:t>p</w:t>
            </w:r>
            <w:r w:rsidR="0020661E" w:rsidRPr="004A019F">
              <w:rPr>
                <w:lang w:val="sv-SE"/>
              </w:rPr>
              <w:t> </w:t>
            </w:r>
            <w:r w:rsidRPr="004A019F">
              <w:rPr>
                <w:lang w:val="sv-SE"/>
              </w:rPr>
              <w:t>=</w:t>
            </w:r>
            <w:r w:rsidR="0020661E" w:rsidRPr="004A019F">
              <w:rPr>
                <w:lang w:val="sv-SE"/>
              </w:rPr>
              <w:t> </w:t>
            </w:r>
            <w:r w:rsidRPr="004A019F">
              <w:rPr>
                <w:lang w:val="sv-SE"/>
              </w:rPr>
              <w:t>0,0024</w:t>
            </w:r>
          </w:p>
        </w:tc>
      </w:tr>
    </w:tbl>
    <w:p w14:paraId="1EC21B3A" w14:textId="77777777" w:rsidR="005027AB" w:rsidRPr="00472A6C" w:rsidRDefault="00264096" w:rsidP="001E7238">
      <w:pPr>
        <w:spacing w:after="0" w:line="240" w:lineRule="auto"/>
        <w:ind w:left="9" w:hanging="10"/>
        <w:contextualSpacing/>
        <w:rPr>
          <w:sz w:val="20"/>
        </w:rPr>
      </w:pPr>
      <w:r w:rsidRPr="00472A6C">
        <w:rPr>
          <w:sz w:val="20"/>
        </w:rPr>
        <w:t xml:space="preserve">AC→D = doxorubicin plus </w:t>
      </w:r>
      <w:proofErr w:type="spellStart"/>
      <w:r w:rsidRPr="00472A6C">
        <w:rPr>
          <w:sz w:val="20"/>
        </w:rPr>
        <w:t>cyklofosfamid</w:t>
      </w:r>
      <w:proofErr w:type="spellEnd"/>
      <w:r w:rsidRPr="00472A6C">
        <w:rPr>
          <w:sz w:val="20"/>
        </w:rPr>
        <w:t xml:space="preserve">, </w:t>
      </w:r>
      <w:proofErr w:type="spellStart"/>
      <w:r w:rsidRPr="00472A6C">
        <w:rPr>
          <w:sz w:val="20"/>
        </w:rPr>
        <w:t>följt</w:t>
      </w:r>
      <w:proofErr w:type="spellEnd"/>
      <w:r w:rsidRPr="00472A6C">
        <w:rPr>
          <w:sz w:val="20"/>
        </w:rPr>
        <w:t xml:space="preserve"> av docetaxel; AC→DH = doxorubicin plus </w:t>
      </w:r>
      <w:proofErr w:type="spellStart"/>
      <w:r w:rsidRPr="00472A6C">
        <w:rPr>
          <w:sz w:val="20"/>
        </w:rPr>
        <w:t>cyklofosfamid</w:t>
      </w:r>
      <w:proofErr w:type="spellEnd"/>
      <w:r w:rsidRPr="00472A6C">
        <w:rPr>
          <w:sz w:val="20"/>
        </w:rPr>
        <w:t xml:space="preserve">, </w:t>
      </w:r>
      <w:proofErr w:type="spellStart"/>
      <w:r w:rsidRPr="00472A6C">
        <w:rPr>
          <w:sz w:val="20"/>
        </w:rPr>
        <w:t>följt</w:t>
      </w:r>
      <w:proofErr w:type="spellEnd"/>
      <w:r w:rsidRPr="00472A6C">
        <w:rPr>
          <w:sz w:val="20"/>
        </w:rPr>
        <w:t xml:space="preserve"> av docetaxel plus trastuzumab; KI = </w:t>
      </w:r>
      <w:proofErr w:type="spellStart"/>
      <w:r w:rsidRPr="00472A6C">
        <w:rPr>
          <w:sz w:val="20"/>
        </w:rPr>
        <w:t>konfidensintervall</w:t>
      </w:r>
      <w:proofErr w:type="spellEnd"/>
    </w:p>
    <w:p w14:paraId="179B533E" w14:textId="77777777" w:rsidR="00410CA8" w:rsidRPr="00472A6C" w:rsidRDefault="00410CA8" w:rsidP="001E7238">
      <w:pPr>
        <w:spacing w:after="0" w:line="240" w:lineRule="auto"/>
        <w:ind w:left="9" w:hanging="10"/>
        <w:contextualSpacing/>
      </w:pPr>
    </w:p>
    <w:p w14:paraId="3CD53CD4" w14:textId="77777777" w:rsidR="005027AB" w:rsidRPr="00A74CC6" w:rsidRDefault="00264096" w:rsidP="00F37A3A">
      <w:pPr>
        <w:keepNext/>
        <w:keepLines/>
        <w:tabs>
          <w:tab w:val="center" w:pos="3952"/>
        </w:tabs>
        <w:spacing w:after="0" w:line="240" w:lineRule="auto"/>
        <w:ind w:left="0" w:firstLine="0"/>
        <w:contextualSpacing/>
        <w:rPr>
          <w:b/>
          <w:lang w:val="sv-SE"/>
        </w:rPr>
      </w:pPr>
      <w:r w:rsidRPr="00A74CC6">
        <w:rPr>
          <w:b/>
          <w:lang w:val="sv-SE"/>
        </w:rPr>
        <w:t>Tabell 10</w:t>
      </w:r>
      <w:r w:rsidR="00E1391C" w:rsidRPr="00A74CC6">
        <w:rPr>
          <w:b/>
          <w:lang w:val="sv-SE"/>
        </w:rPr>
        <w:t>.</w:t>
      </w:r>
      <w:r w:rsidR="00A312F7" w:rsidRPr="00A74CC6">
        <w:rPr>
          <w:b/>
          <w:lang w:val="sv-SE"/>
        </w:rPr>
        <w:t xml:space="preserve"> </w:t>
      </w:r>
      <w:r w:rsidRPr="00A74CC6">
        <w:rPr>
          <w:b/>
          <w:lang w:val="sv-SE"/>
        </w:rPr>
        <w:t xml:space="preserve">Översikt av effektanalyser </w:t>
      </w:r>
      <w:r w:rsidR="00E5250D" w:rsidRPr="00A74CC6">
        <w:rPr>
          <w:b/>
          <w:lang w:val="sv-SE"/>
        </w:rPr>
        <w:t xml:space="preserve">i </w:t>
      </w:r>
      <w:r w:rsidRPr="00A74CC6">
        <w:rPr>
          <w:b/>
          <w:lang w:val="sv-SE"/>
        </w:rPr>
        <w:t xml:space="preserve">BCIRG 006 </w:t>
      </w:r>
      <w:r w:rsidR="00E5250D" w:rsidRPr="00A74CC6">
        <w:rPr>
          <w:b/>
          <w:lang w:val="sv-SE"/>
        </w:rPr>
        <w:t xml:space="preserve">för </w:t>
      </w:r>
      <w:r w:rsidRPr="00A74CC6">
        <w:rPr>
          <w:b/>
          <w:lang w:val="sv-SE"/>
        </w:rPr>
        <w:t xml:space="preserve">AC→D versus DKarbH </w:t>
      </w:r>
    </w:p>
    <w:p w14:paraId="5B8B598B" w14:textId="77777777" w:rsidR="00410CA8" w:rsidRPr="00A74CC6" w:rsidRDefault="00410CA8" w:rsidP="00F37A3A">
      <w:pPr>
        <w:keepNext/>
        <w:keepLines/>
        <w:tabs>
          <w:tab w:val="center" w:pos="3952"/>
        </w:tabs>
        <w:spacing w:after="0" w:line="240" w:lineRule="auto"/>
        <w:ind w:left="0" w:firstLine="0"/>
        <w:contextualSpacing/>
        <w:rPr>
          <w:b/>
          <w:lang w:val="sv-SE"/>
        </w:rPr>
      </w:pPr>
    </w:p>
    <w:tbl>
      <w:tblPr>
        <w:tblW w:w="5000"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left w:w="67" w:type="dxa"/>
          <w:bottom w:w="12" w:type="dxa"/>
          <w:right w:w="77" w:type="dxa"/>
        </w:tblCellMar>
        <w:tblLook w:val="04A0" w:firstRow="1" w:lastRow="0" w:firstColumn="1" w:lastColumn="0" w:noHBand="0" w:noVBand="1"/>
      </w:tblPr>
      <w:tblGrid>
        <w:gridCol w:w="3157"/>
        <w:gridCol w:w="2073"/>
        <w:gridCol w:w="2080"/>
        <w:gridCol w:w="1903"/>
      </w:tblGrid>
      <w:tr w:rsidR="00AD14F8" w:rsidRPr="00A74CC6" w14:paraId="5EF2AF3E" w14:textId="77777777" w:rsidTr="004A019F">
        <w:trPr>
          <w:cantSplit/>
          <w:trHeight w:val="794"/>
          <w:tblHeader/>
        </w:trPr>
        <w:tc>
          <w:tcPr>
            <w:tcW w:w="1713" w:type="pct"/>
            <w:shd w:val="clear" w:color="auto" w:fill="auto"/>
          </w:tcPr>
          <w:p w14:paraId="0BF7231C"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Parameter</w:t>
            </w:r>
          </w:p>
        </w:tc>
        <w:tc>
          <w:tcPr>
            <w:tcW w:w="1125" w:type="pct"/>
            <w:shd w:val="clear" w:color="auto" w:fill="auto"/>
          </w:tcPr>
          <w:p w14:paraId="230A9515"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AC→D</w:t>
            </w:r>
          </w:p>
          <w:p w14:paraId="68060B09" w14:textId="40C922E7" w:rsidR="005027AB" w:rsidRPr="004A019F" w:rsidRDefault="00264096" w:rsidP="004A019F">
            <w:pPr>
              <w:keepNext/>
              <w:keepLines/>
              <w:spacing w:after="0" w:line="240" w:lineRule="auto"/>
              <w:ind w:left="0" w:firstLine="0"/>
              <w:contextualSpacing/>
              <w:jc w:val="center"/>
              <w:rPr>
                <w:b/>
                <w:lang w:val="sv-SE"/>
              </w:rPr>
            </w:pPr>
            <w:r w:rsidRPr="004A019F">
              <w:rPr>
                <w:b/>
                <w:lang w:val="sv-SE"/>
              </w:rPr>
              <w:t>(n</w:t>
            </w:r>
            <w:r w:rsidR="00A312F7" w:rsidRPr="004A019F">
              <w:rPr>
                <w:b/>
                <w:lang w:val="sv-SE"/>
              </w:rPr>
              <w:t> </w:t>
            </w:r>
            <w:r w:rsidRPr="004A019F">
              <w:rPr>
                <w:b/>
                <w:lang w:val="sv-SE"/>
              </w:rPr>
              <w:t>=</w:t>
            </w:r>
            <w:r w:rsidR="00A312F7" w:rsidRPr="004A019F">
              <w:rPr>
                <w:b/>
                <w:lang w:val="sv-SE"/>
              </w:rPr>
              <w:t> </w:t>
            </w:r>
            <w:r w:rsidRPr="004A019F">
              <w:rPr>
                <w:b/>
                <w:lang w:val="sv-SE"/>
              </w:rPr>
              <w:t>1</w:t>
            </w:r>
            <w:r w:rsidR="00E516D0" w:rsidRPr="004A019F">
              <w:rPr>
                <w:b/>
                <w:lang w:val="sv-SE"/>
              </w:rPr>
              <w:t> </w:t>
            </w:r>
            <w:r w:rsidRPr="004A019F">
              <w:rPr>
                <w:b/>
                <w:lang w:val="sv-SE"/>
              </w:rPr>
              <w:t>073)</w:t>
            </w:r>
          </w:p>
        </w:tc>
        <w:tc>
          <w:tcPr>
            <w:tcW w:w="1129" w:type="pct"/>
            <w:shd w:val="clear" w:color="auto" w:fill="auto"/>
          </w:tcPr>
          <w:p w14:paraId="4AE25241"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DKarbH</w:t>
            </w:r>
          </w:p>
          <w:p w14:paraId="677A565C" w14:textId="5592B950" w:rsidR="005027AB" w:rsidRPr="004A019F" w:rsidRDefault="00264096" w:rsidP="004A019F">
            <w:pPr>
              <w:keepNext/>
              <w:keepLines/>
              <w:spacing w:after="0" w:line="240" w:lineRule="auto"/>
              <w:ind w:left="0" w:firstLine="0"/>
              <w:contextualSpacing/>
              <w:jc w:val="center"/>
              <w:rPr>
                <w:b/>
                <w:lang w:val="sv-SE"/>
              </w:rPr>
            </w:pPr>
            <w:r w:rsidRPr="004A019F">
              <w:rPr>
                <w:b/>
                <w:lang w:val="sv-SE"/>
              </w:rPr>
              <w:t>(n</w:t>
            </w:r>
            <w:r w:rsidR="00A312F7" w:rsidRPr="004A019F">
              <w:rPr>
                <w:b/>
                <w:lang w:val="sv-SE"/>
              </w:rPr>
              <w:t> </w:t>
            </w:r>
            <w:r w:rsidRPr="004A019F">
              <w:rPr>
                <w:b/>
                <w:lang w:val="sv-SE"/>
              </w:rPr>
              <w:t>=</w:t>
            </w:r>
            <w:r w:rsidR="00A312F7" w:rsidRPr="004A019F">
              <w:rPr>
                <w:b/>
                <w:lang w:val="sv-SE"/>
              </w:rPr>
              <w:t> </w:t>
            </w:r>
            <w:r w:rsidRPr="004A019F">
              <w:rPr>
                <w:b/>
                <w:lang w:val="sv-SE"/>
              </w:rPr>
              <w:t>1</w:t>
            </w:r>
            <w:r w:rsidR="00E516D0" w:rsidRPr="004A019F">
              <w:rPr>
                <w:b/>
                <w:lang w:val="sv-SE"/>
              </w:rPr>
              <w:t> </w:t>
            </w:r>
            <w:r w:rsidRPr="004A019F">
              <w:rPr>
                <w:b/>
                <w:lang w:val="sv-SE"/>
              </w:rPr>
              <w:t>074)</w:t>
            </w:r>
          </w:p>
        </w:tc>
        <w:tc>
          <w:tcPr>
            <w:tcW w:w="1033" w:type="pct"/>
            <w:shd w:val="clear" w:color="auto" w:fill="auto"/>
          </w:tcPr>
          <w:p w14:paraId="5B5003F4" w14:textId="128D966B" w:rsidR="005027AB" w:rsidRPr="004A019F" w:rsidRDefault="00264096" w:rsidP="004A019F">
            <w:pPr>
              <w:keepNext/>
              <w:keepLines/>
              <w:spacing w:after="0" w:line="240" w:lineRule="auto"/>
              <w:ind w:left="0" w:firstLine="0"/>
              <w:contextualSpacing/>
              <w:jc w:val="center"/>
              <w:rPr>
                <w:b/>
                <w:lang w:val="en-GB"/>
              </w:rPr>
            </w:pPr>
            <w:r w:rsidRPr="004A019F">
              <w:rPr>
                <w:b/>
                <w:lang w:val="en-GB"/>
              </w:rPr>
              <w:t xml:space="preserve">Hazard </w:t>
            </w:r>
            <w:r w:rsidR="00E516D0" w:rsidRPr="004A019F">
              <w:rPr>
                <w:b/>
                <w:lang w:val="en-GB"/>
              </w:rPr>
              <w:t xml:space="preserve">ratio </w:t>
            </w:r>
            <w:r w:rsidRPr="004A019F">
              <w:rPr>
                <w:b/>
                <w:lang w:val="en-GB"/>
              </w:rPr>
              <w:t>vs</w:t>
            </w:r>
          </w:p>
          <w:p w14:paraId="27B47D23" w14:textId="77777777" w:rsidR="005027AB" w:rsidRPr="004A019F" w:rsidRDefault="00264096" w:rsidP="004A019F">
            <w:pPr>
              <w:keepNext/>
              <w:keepLines/>
              <w:spacing w:after="0" w:line="240" w:lineRule="auto"/>
              <w:ind w:left="0" w:firstLine="0"/>
              <w:contextualSpacing/>
              <w:jc w:val="center"/>
              <w:rPr>
                <w:b/>
                <w:lang w:val="en-GB"/>
              </w:rPr>
            </w:pPr>
            <w:r w:rsidRPr="004A019F">
              <w:rPr>
                <w:b/>
                <w:lang w:val="en-GB"/>
              </w:rPr>
              <w:t>AC→D</w:t>
            </w:r>
          </w:p>
          <w:p w14:paraId="523164DB" w14:textId="312134DC" w:rsidR="007F7881" w:rsidRPr="004A019F" w:rsidRDefault="00264096" w:rsidP="004A019F">
            <w:pPr>
              <w:keepNext/>
              <w:keepLines/>
              <w:spacing w:after="0" w:line="240" w:lineRule="auto"/>
              <w:ind w:left="0" w:firstLine="0"/>
              <w:contextualSpacing/>
              <w:jc w:val="center"/>
              <w:rPr>
                <w:b/>
                <w:lang w:val="en-GB"/>
              </w:rPr>
            </w:pPr>
            <w:r w:rsidRPr="004A019F">
              <w:rPr>
                <w:b/>
                <w:lang w:val="en-GB"/>
              </w:rPr>
              <w:t>(95</w:t>
            </w:r>
            <w:r w:rsidR="00A312F7" w:rsidRPr="004A019F">
              <w:rPr>
                <w:b/>
                <w:lang w:val="en-GB"/>
              </w:rPr>
              <w:t> </w:t>
            </w:r>
            <w:r w:rsidRPr="004A019F">
              <w:rPr>
                <w:b/>
                <w:lang w:val="en-GB"/>
              </w:rPr>
              <w:t xml:space="preserve">% </w:t>
            </w:r>
            <w:proofErr w:type="gramStart"/>
            <w:r w:rsidRPr="004A019F">
              <w:rPr>
                <w:b/>
                <w:lang w:val="en-GB"/>
              </w:rPr>
              <w:t>KI)</w:t>
            </w:r>
            <w:r w:rsidR="007F7881" w:rsidRPr="004A019F">
              <w:rPr>
                <w:b/>
                <w:vertAlign w:val="superscript"/>
                <w:lang w:val="en-GB"/>
              </w:rPr>
              <w:t>a</w:t>
            </w:r>
            <w:proofErr w:type="gramEnd"/>
          </w:p>
          <w:p w14:paraId="4BF707CA"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p-värde</w:t>
            </w:r>
          </w:p>
        </w:tc>
      </w:tr>
      <w:tr w:rsidR="00AD14F8" w:rsidRPr="00A74CC6" w14:paraId="390782A1" w14:textId="77777777" w:rsidTr="004A019F">
        <w:trPr>
          <w:cantSplit/>
          <w:trHeight w:val="510"/>
        </w:trPr>
        <w:tc>
          <w:tcPr>
            <w:tcW w:w="1713" w:type="pct"/>
            <w:shd w:val="clear" w:color="auto" w:fill="auto"/>
          </w:tcPr>
          <w:p w14:paraId="1F39B5B7" w14:textId="77777777" w:rsidR="005027AB" w:rsidRPr="004A019F" w:rsidRDefault="00264096" w:rsidP="004A019F">
            <w:pPr>
              <w:keepNext/>
              <w:spacing w:after="0" w:line="240" w:lineRule="auto"/>
              <w:ind w:left="0" w:firstLine="0"/>
              <w:contextualSpacing/>
              <w:rPr>
                <w:lang w:val="sv-SE"/>
              </w:rPr>
            </w:pPr>
            <w:r w:rsidRPr="004A019F">
              <w:rPr>
                <w:lang w:val="sv-SE"/>
              </w:rPr>
              <w:t xml:space="preserve">Sjukdomsfri överlevnad </w:t>
            </w:r>
          </w:p>
          <w:p w14:paraId="03FCFF4E" w14:textId="77777777" w:rsidR="005027AB" w:rsidRPr="004A019F" w:rsidRDefault="00264096" w:rsidP="004A019F">
            <w:pPr>
              <w:keepNext/>
              <w:spacing w:after="0" w:line="240" w:lineRule="auto"/>
              <w:ind w:left="0" w:firstLine="0"/>
              <w:contextualSpacing/>
              <w:rPr>
                <w:lang w:val="sv-SE"/>
              </w:rPr>
            </w:pPr>
            <w:r w:rsidRPr="004A019F">
              <w:rPr>
                <w:lang w:val="sv-SE"/>
              </w:rPr>
              <w:t>Antal patienter med händelse</w:t>
            </w:r>
          </w:p>
        </w:tc>
        <w:tc>
          <w:tcPr>
            <w:tcW w:w="1125" w:type="pct"/>
            <w:shd w:val="clear" w:color="auto" w:fill="auto"/>
          </w:tcPr>
          <w:p w14:paraId="1BDB144D" w14:textId="77777777" w:rsidR="00F46900" w:rsidRPr="004A019F" w:rsidRDefault="00F46900" w:rsidP="004A019F">
            <w:pPr>
              <w:keepNext/>
              <w:spacing w:after="0" w:line="240" w:lineRule="auto"/>
              <w:ind w:left="0" w:firstLine="0"/>
              <w:contextualSpacing/>
              <w:jc w:val="center"/>
              <w:rPr>
                <w:lang w:val="sv-SE"/>
              </w:rPr>
            </w:pPr>
          </w:p>
          <w:p w14:paraId="3EA693F5" w14:textId="77777777" w:rsidR="005027AB" w:rsidRPr="004A019F" w:rsidRDefault="00264096" w:rsidP="004A019F">
            <w:pPr>
              <w:keepNext/>
              <w:spacing w:after="0" w:line="240" w:lineRule="auto"/>
              <w:ind w:left="0" w:firstLine="0"/>
              <w:contextualSpacing/>
              <w:jc w:val="center"/>
              <w:rPr>
                <w:lang w:val="sv-SE"/>
              </w:rPr>
            </w:pPr>
            <w:r w:rsidRPr="004A019F">
              <w:rPr>
                <w:lang w:val="sv-SE"/>
              </w:rPr>
              <w:t>195</w:t>
            </w:r>
          </w:p>
        </w:tc>
        <w:tc>
          <w:tcPr>
            <w:tcW w:w="1129" w:type="pct"/>
            <w:shd w:val="clear" w:color="auto" w:fill="auto"/>
          </w:tcPr>
          <w:p w14:paraId="1786EA82" w14:textId="77777777" w:rsidR="00F46900" w:rsidRPr="004A019F" w:rsidRDefault="00F46900" w:rsidP="004A019F">
            <w:pPr>
              <w:keepNext/>
              <w:spacing w:after="0" w:line="240" w:lineRule="auto"/>
              <w:ind w:left="0" w:firstLine="0"/>
              <w:contextualSpacing/>
              <w:jc w:val="center"/>
              <w:rPr>
                <w:lang w:val="sv-SE"/>
              </w:rPr>
            </w:pPr>
          </w:p>
          <w:p w14:paraId="2DDF4229" w14:textId="77777777" w:rsidR="005027AB" w:rsidRPr="004A019F" w:rsidRDefault="00264096" w:rsidP="004A019F">
            <w:pPr>
              <w:keepNext/>
              <w:spacing w:after="0" w:line="240" w:lineRule="auto"/>
              <w:ind w:left="0" w:firstLine="0"/>
              <w:contextualSpacing/>
              <w:jc w:val="center"/>
              <w:rPr>
                <w:lang w:val="sv-SE"/>
              </w:rPr>
            </w:pPr>
            <w:r w:rsidRPr="004A019F">
              <w:rPr>
                <w:lang w:val="sv-SE"/>
              </w:rPr>
              <w:t>145</w:t>
            </w:r>
          </w:p>
        </w:tc>
        <w:tc>
          <w:tcPr>
            <w:tcW w:w="1033" w:type="pct"/>
            <w:shd w:val="clear" w:color="auto" w:fill="auto"/>
          </w:tcPr>
          <w:p w14:paraId="68F9FCED" w14:textId="77777777" w:rsidR="00F46900" w:rsidRPr="004A019F" w:rsidRDefault="00F46900" w:rsidP="004A019F">
            <w:pPr>
              <w:keepNext/>
              <w:spacing w:after="0" w:line="240" w:lineRule="auto"/>
              <w:ind w:left="0" w:firstLine="0"/>
              <w:contextualSpacing/>
              <w:jc w:val="center"/>
              <w:rPr>
                <w:lang w:val="sv-SE"/>
              </w:rPr>
            </w:pPr>
          </w:p>
          <w:p w14:paraId="59690EBA" w14:textId="77777777" w:rsidR="00F46900" w:rsidRPr="004A019F" w:rsidRDefault="00264096" w:rsidP="004A019F">
            <w:pPr>
              <w:keepNext/>
              <w:spacing w:after="0" w:line="240" w:lineRule="auto"/>
              <w:ind w:left="0" w:firstLine="0"/>
              <w:contextualSpacing/>
              <w:jc w:val="center"/>
              <w:rPr>
                <w:lang w:val="sv-SE"/>
              </w:rPr>
            </w:pPr>
            <w:r w:rsidRPr="004A019F">
              <w:rPr>
                <w:lang w:val="sv-SE"/>
              </w:rPr>
              <w:t xml:space="preserve">0,67 (0,54, 0,83) </w:t>
            </w:r>
          </w:p>
          <w:p w14:paraId="2E66CE5D" w14:textId="284562CB" w:rsidR="005027AB" w:rsidRPr="004A019F" w:rsidRDefault="00264096" w:rsidP="004A019F">
            <w:pPr>
              <w:keepNext/>
              <w:spacing w:after="0" w:line="240" w:lineRule="auto"/>
              <w:ind w:left="0" w:firstLine="0"/>
              <w:contextualSpacing/>
              <w:jc w:val="center"/>
              <w:rPr>
                <w:lang w:val="sv-SE"/>
              </w:rPr>
            </w:pPr>
            <w:r w:rsidRPr="004A019F">
              <w:rPr>
                <w:lang w:val="sv-SE"/>
              </w:rPr>
              <w:t>p</w:t>
            </w:r>
            <w:r w:rsidR="00A312F7" w:rsidRPr="004A019F">
              <w:rPr>
                <w:lang w:val="sv-SE"/>
              </w:rPr>
              <w:t> </w:t>
            </w:r>
            <w:r w:rsidRPr="004A019F">
              <w:rPr>
                <w:lang w:val="sv-SE"/>
              </w:rPr>
              <w:t>=</w:t>
            </w:r>
            <w:r w:rsidR="00A312F7" w:rsidRPr="004A019F">
              <w:rPr>
                <w:lang w:val="sv-SE"/>
              </w:rPr>
              <w:t> </w:t>
            </w:r>
            <w:r w:rsidRPr="004A019F">
              <w:rPr>
                <w:lang w:val="sv-SE"/>
              </w:rPr>
              <w:t>0,0003</w:t>
            </w:r>
          </w:p>
        </w:tc>
      </w:tr>
      <w:tr w:rsidR="00AD14F8" w:rsidRPr="00A74CC6" w14:paraId="0F35CD1E" w14:textId="77777777" w:rsidTr="004A019F">
        <w:trPr>
          <w:cantSplit/>
          <w:trHeight w:val="510"/>
        </w:trPr>
        <w:tc>
          <w:tcPr>
            <w:tcW w:w="1713" w:type="pct"/>
            <w:shd w:val="clear" w:color="auto" w:fill="auto"/>
          </w:tcPr>
          <w:p w14:paraId="702B20D8" w14:textId="77777777" w:rsidR="005027AB" w:rsidRPr="004A019F" w:rsidRDefault="00264096" w:rsidP="004A019F">
            <w:pPr>
              <w:spacing w:after="0" w:line="240" w:lineRule="auto"/>
              <w:ind w:left="0" w:firstLine="0"/>
              <w:contextualSpacing/>
              <w:rPr>
                <w:lang w:val="sv-SE"/>
              </w:rPr>
            </w:pPr>
            <w:r w:rsidRPr="004A019F">
              <w:rPr>
                <w:lang w:val="sv-SE"/>
              </w:rPr>
              <w:t>Fjärrecidiv</w:t>
            </w:r>
          </w:p>
          <w:p w14:paraId="4197EDD0" w14:textId="77777777" w:rsidR="005027AB" w:rsidRPr="004A019F" w:rsidRDefault="00264096" w:rsidP="004A019F">
            <w:pPr>
              <w:spacing w:after="0" w:line="240" w:lineRule="auto"/>
              <w:ind w:left="0" w:firstLine="0"/>
              <w:contextualSpacing/>
              <w:rPr>
                <w:lang w:val="sv-SE"/>
              </w:rPr>
            </w:pPr>
            <w:r w:rsidRPr="004A019F">
              <w:rPr>
                <w:lang w:val="sv-SE"/>
              </w:rPr>
              <w:t>Antal patienter med händelse</w:t>
            </w:r>
          </w:p>
        </w:tc>
        <w:tc>
          <w:tcPr>
            <w:tcW w:w="1125" w:type="pct"/>
            <w:shd w:val="clear" w:color="auto" w:fill="auto"/>
          </w:tcPr>
          <w:p w14:paraId="7C8B1B67" w14:textId="77777777" w:rsidR="00F46900" w:rsidRPr="004A019F" w:rsidRDefault="00F46900" w:rsidP="004A019F">
            <w:pPr>
              <w:spacing w:after="0" w:line="240" w:lineRule="auto"/>
              <w:ind w:left="0" w:firstLine="0"/>
              <w:contextualSpacing/>
              <w:jc w:val="center"/>
              <w:rPr>
                <w:lang w:val="sv-SE"/>
              </w:rPr>
            </w:pPr>
          </w:p>
          <w:p w14:paraId="7FA72C42" w14:textId="77777777" w:rsidR="005027AB" w:rsidRPr="004A019F" w:rsidRDefault="00264096" w:rsidP="004A019F">
            <w:pPr>
              <w:spacing w:after="0" w:line="240" w:lineRule="auto"/>
              <w:ind w:left="0" w:firstLine="0"/>
              <w:contextualSpacing/>
              <w:jc w:val="center"/>
              <w:rPr>
                <w:lang w:val="sv-SE"/>
              </w:rPr>
            </w:pPr>
            <w:r w:rsidRPr="004A019F">
              <w:rPr>
                <w:lang w:val="sv-SE"/>
              </w:rPr>
              <w:t>144</w:t>
            </w:r>
          </w:p>
        </w:tc>
        <w:tc>
          <w:tcPr>
            <w:tcW w:w="1129" w:type="pct"/>
            <w:shd w:val="clear" w:color="auto" w:fill="auto"/>
          </w:tcPr>
          <w:p w14:paraId="4B59EB45" w14:textId="77777777" w:rsidR="00F46900" w:rsidRPr="004A019F" w:rsidRDefault="00F46900" w:rsidP="004A019F">
            <w:pPr>
              <w:spacing w:after="0" w:line="240" w:lineRule="auto"/>
              <w:ind w:left="0" w:firstLine="0"/>
              <w:contextualSpacing/>
              <w:jc w:val="center"/>
              <w:rPr>
                <w:lang w:val="sv-SE"/>
              </w:rPr>
            </w:pPr>
          </w:p>
          <w:p w14:paraId="53A38351" w14:textId="77777777" w:rsidR="005027AB" w:rsidRPr="004A019F" w:rsidRDefault="00264096" w:rsidP="004A019F">
            <w:pPr>
              <w:spacing w:after="0" w:line="240" w:lineRule="auto"/>
              <w:ind w:left="0" w:firstLine="0"/>
              <w:contextualSpacing/>
              <w:jc w:val="center"/>
              <w:rPr>
                <w:lang w:val="sv-SE"/>
              </w:rPr>
            </w:pPr>
            <w:r w:rsidRPr="004A019F">
              <w:rPr>
                <w:lang w:val="sv-SE"/>
              </w:rPr>
              <w:t>103</w:t>
            </w:r>
          </w:p>
        </w:tc>
        <w:tc>
          <w:tcPr>
            <w:tcW w:w="1033" w:type="pct"/>
            <w:shd w:val="clear" w:color="auto" w:fill="auto"/>
          </w:tcPr>
          <w:p w14:paraId="42F19EAE" w14:textId="77777777" w:rsidR="00F46900" w:rsidRPr="004A019F" w:rsidRDefault="00F46900" w:rsidP="004A019F">
            <w:pPr>
              <w:spacing w:after="0" w:line="240" w:lineRule="auto"/>
              <w:ind w:left="0" w:firstLine="0"/>
              <w:contextualSpacing/>
              <w:jc w:val="center"/>
              <w:rPr>
                <w:lang w:val="sv-SE"/>
              </w:rPr>
            </w:pPr>
          </w:p>
          <w:p w14:paraId="4A615466" w14:textId="77777777" w:rsidR="00F46900" w:rsidRPr="004A019F" w:rsidRDefault="00264096" w:rsidP="004A019F">
            <w:pPr>
              <w:spacing w:after="0" w:line="240" w:lineRule="auto"/>
              <w:ind w:left="0" w:firstLine="0"/>
              <w:contextualSpacing/>
              <w:jc w:val="center"/>
              <w:rPr>
                <w:lang w:val="sv-SE"/>
              </w:rPr>
            </w:pPr>
            <w:r w:rsidRPr="004A019F">
              <w:rPr>
                <w:lang w:val="sv-SE"/>
              </w:rPr>
              <w:t xml:space="preserve">0,65 (0,50, 0,84) </w:t>
            </w:r>
          </w:p>
          <w:p w14:paraId="12EFA912" w14:textId="580ABBE9" w:rsidR="005027AB" w:rsidRPr="004A019F" w:rsidRDefault="00264096" w:rsidP="004A019F">
            <w:pPr>
              <w:spacing w:after="0" w:line="240" w:lineRule="auto"/>
              <w:ind w:left="0" w:firstLine="0"/>
              <w:contextualSpacing/>
              <w:jc w:val="center"/>
              <w:rPr>
                <w:lang w:val="sv-SE"/>
              </w:rPr>
            </w:pPr>
            <w:r w:rsidRPr="004A019F">
              <w:rPr>
                <w:lang w:val="sv-SE"/>
              </w:rPr>
              <w:t>p</w:t>
            </w:r>
            <w:r w:rsidR="00A312F7" w:rsidRPr="004A019F">
              <w:rPr>
                <w:lang w:val="sv-SE"/>
              </w:rPr>
              <w:t> </w:t>
            </w:r>
            <w:r w:rsidRPr="004A019F">
              <w:rPr>
                <w:lang w:val="sv-SE"/>
              </w:rPr>
              <w:t>=</w:t>
            </w:r>
            <w:r w:rsidR="00A312F7" w:rsidRPr="004A019F">
              <w:rPr>
                <w:lang w:val="sv-SE"/>
              </w:rPr>
              <w:t> </w:t>
            </w:r>
            <w:r w:rsidRPr="004A019F">
              <w:rPr>
                <w:lang w:val="sv-SE"/>
              </w:rPr>
              <w:t>0,0008</w:t>
            </w:r>
          </w:p>
        </w:tc>
      </w:tr>
      <w:tr w:rsidR="00AD14F8" w:rsidRPr="00A74CC6" w14:paraId="596617A6" w14:textId="77777777" w:rsidTr="004A019F">
        <w:trPr>
          <w:cantSplit/>
          <w:trHeight w:val="510"/>
        </w:trPr>
        <w:tc>
          <w:tcPr>
            <w:tcW w:w="1713" w:type="pct"/>
            <w:shd w:val="clear" w:color="auto" w:fill="auto"/>
          </w:tcPr>
          <w:p w14:paraId="1E0AA682" w14:textId="2ED7B97B" w:rsidR="005027AB" w:rsidRPr="004A019F" w:rsidRDefault="00264096" w:rsidP="004A019F">
            <w:pPr>
              <w:spacing w:after="0" w:line="240" w:lineRule="auto"/>
              <w:ind w:left="0" w:firstLine="0"/>
              <w:contextualSpacing/>
              <w:rPr>
                <w:lang w:val="sv-SE"/>
              </w:rPr>
            </w:pPr>
            <w:r w:rsidRPr="004A019F">
              <w:rPr>
                <w:lang w:val="sv-SE"/>
              </w:rPr>
              <w:t>Dödsfall</w:t>
            </w:r>
          </w:p>
          <w:p w14:paraId="19A27BF5" w14:textId="77777777" w:rsidR="005027AB" w:rsidRPr="004A019F" w:rsidRDefault="00264096" w:rsidP="004A019F">
            <w:pPr>
              <w:spacing w:after="0" w:line="240" w:lineRule="auto"/>
              <w:ind w:left="0" w:firstLine="0"/>
              <w:contextualSpacing/>
              <w:rPr>
                <w:lang w:val="sv-SE"/>
              </w:rPr>
            </w:pPr>
            <w:r w:rsidRPr="004A019F">
              <w:rPr>
                <w:lang w:val="sv-SE"/>
              </w:rPr>
              <w:t>Antal patienter med händelse</w:t>
            </w:r>
          </w:p>
        </w:tc>
        <w:tc>
          <w:tcPr>
            <w:tcW w:w="1125" w:type="pct"/>
            <w:shd w:val="clear" w:color="auto" w:fill="auto"/>
          </w:tcPr>
          <w:p w14:paraId="097A185C" w14:textId="77777777" w:rsidR="00F46900" w:rsidRPr="004A019F" w:rsidRDefault="00F46900" w:rsidP="004A019F">
            <w:pPr>
              <w:spacing w:after="0" w:line="240" w:lineRule="auto"/>
              <w:ind w:left="0" w:firstLine="0"/>
              <w:contextualSpacing/>
              <w:jc w:val="center"/>
              <w:rPr>
                <w:lang w:val="sv-SE"/>
              </w:rPr>
            </w:pPr>
          </w:p>
          <w:p w14:paraId="2C05374C" w14:textId="77777777" w:rsidR="005027AB" w:rsidRPr="004A019F" w:rsidRDefault="00264096" w:rsidP="004A019F">
            <w:pPr>
              <w:spacing w:after="0" w:line="240" w:lineRule="auto"/>
              <w:ind w:left="0" w:firstLine="0"/>
              <w:contextualSpacing/>
              <w:jc w:val="center"/>
              <w:rPr>
                <w:lang w:val="sv-SE"/>
              </w:rPr>
            </w:pPr>
            <w:r w:rsidRPr="004A019F">
              <w:rPr>
                <w:lang w:val="sv-SE"/>
              </w:rPr>
              <w:t>80</w:t>
            </w:r>
          </w:p>
        </w:tc>
        <w:tc>
          <w:tcPr>
            <w:tcW w:w="1129" w:type="pct"/>
            <w:shd w:val="clear" w:color="auto" w:fill="auto"/>
          </w:tcPr>
          <w:p w14:paraId="5F272916" w14:textId="77777777" w:rsidR="00F46900" w:rsidRPr="004A019F" w:rsidRDefault="00F46900" w:rsidP="004A019F">
            <w:pPr>
              <w:spacing w:after="0" w:line="240" w:lineRule="auto"/>
              <w:ind w:left="0" w:firstLine="0"/>
              <w:contextualSpacing/>
              <w:jc w:val="center"/>
              <w:rPr>
                <w:lang w:val="sv-SE"/>
              </w:rPr>
            </w:pPr>
          </w:p>
          <w:p w14:paraId="7C601FF5" w14:textId="77777777" w:rsidR="005027AB" w:rsidRPr="004A019F" w:rsidRDefault="00264096" w:rsidP="004A019F">
            <w:pPr>
              <w:spacing w:after="0" w:line="240" w:lineRule="auto"/>
              <w:ind w:left="0" w:firstLine="0"/>
              <w:contextualSpacing/>
              <w:jc w:val="center"/>
              <w:rPr>
                <w:lang w:val="sv-SE"/>
              </w:rPr>
            </w:pPr>
            <w:r w:rsidRPr="004A019F">
              <w:rPr>
                <w:lang w:val="sv-SE"/>
              </w:rPr>
              <w:t>56</w:t>
            </w:r>
          </w:p>
        </w:tc>
        <w:tc>
          <w:tcPr>
            <w:tcW w:w="1033" w:type="pct"/>
            <w:shd w:val="clear" w:color="auto" w:fill="auto"/>
          </w:tcPr>
          <w:p w14:paraId="0EB6FA96" w14:textId="77777777" w:rsidR="00F46900" w:rsidRPr="004A019F" w:rsidRDefault="00F46900" w:rsidP="004A019F">
            <w:pPr>
              <w:spacing w:after="0" w:line="240" w:lineRule="auto"/>
              <w:ind w:left="0" w:firstLine="0"/>
              <w:contextualSpacing/>
              <w:jc w:val="center"/>
              <w:rPr>
                <w:lang w:val="sv-SE"/>
              </w:rPr>
            </w:pPr>
          </w:p>
          <w:p w14:paraId="1CB7F448" w14:textId="77777777" w:rsidR="00F46900" w:rsidRPr="004A019F" w:rsidRDefault="00264096" w:rsidP="004A019F">
            <w:pPr>
              <w:spacing w:after="0" w:line="240" w:lineRule="auto"/>
              <w:ind w:left="0" w:firstLine="0"/>
              <w:contextualSpacing/>
              <w:jc w:val="center"/>
              <w:rPr>
                <w:lang w:val="sv-SE"/>
              </w:rPr>
            </w:pPr>
            <w:r w:rsidRPr="004A019F">
              <w:rPr>
                <w:lang w:val="sv-SE"/>
              </w:rPr>
              <w:t xml:space="preserve">0,66 (0,47, 0,93) </w:t>
            </w:r>
          </w:p>
          <w:p w14:paraId="582332F0" w14:textId="28381C7D" w:rsidR="005027AB" w:rsidRPr="004A019F" w:rsidRDefault="00264096" w:rsidP="004A019F">
            <w:pPr>
              <w:spacing w:after="0" w:line="240" w:lineRule="auto"/>
              <w:ind w:left="0" w:firstLine="0"/>
              <w:contextualSpacing/>
              <w:jc w:val="center"/>
              <w:rPr>
                <w:lang w:val="sv-SE"/>
              </w:rPr>
            </w:pPr>
            <w:r w:rsidRPr="004A019F">
              <w:rPr>
                <w:lang w:val="sv-SE"/>
              </w:rPr>
              <w:t>p</w:t>
            </w:r>
            <w:r w:rsidR="00A312F7" w:rsidRPr="004A019F">
              <w:rPr>
                <w:lang w:val="sv-SE"/>
              </w:rPr>
              <w:t> </w:t>
            </w:r>
            <w:r w:rsidRPr="004A019F">
              <w:rPr>
                <w:lang w:val="sv-SE"/>
              </w:rPr>
              <w:t>=</w:t>
            </w:r>
            <w:r w:rsidR="00A312F7" w:rsidRPr="004A019F">
              <w:rPr>
                <w:lang w:val="sv-SE"/>
              </w:rPr>
              <w:t> </w:t>
            </w:r>
            <w:r w:rsidRPr="004A019F">
              <w:rPr>
                <w:lang w:val="sv-SE"/>
              </w:rPr>
              <w:t>0,0182</w:t>
            </w:r>
          </w:p>
        </w:tc>
      </w:tr>
    </w:tbl>
    <w:p w14:paraId="3CA61BD0" w14:textId="77777777" w:rsidR="005027AB" w:rsidRPr="0093020C" w:rsidRDefault="00264096" w:rsidP="007F77B2">
      <w:pPr>
        <w:spacing w:after="0" w:line="240" w:lineRule="auto"/>
        <w:ind w:left="0" w:firstLine="0"/>
        <w:contextualSpacing/>
        <w:rPr>
          <w:sz w:val="20"/>
          <w:szCs w:val="20"/>
          <w:lang w:val="sv-SE"/>
        </w:rPr>
      </w:pPr>
      <w:r w:rsidRPr="0093020C">
        <w:rPr>
          <w:sz w:val="20"/>
          <w:szCs w:val="20"/>
          <w:lang w:val="sv-SE"/>
        </w:rPr>
        <w:t>AC→D = doxorubicin plus cyklofosfamid, följt av docetaxel; DKarbH = docetaxel, karboplatin och trastuzumab; KI = konfidensintervall</w:t>
      </w:r>
    </w:p>
    <w:p w14:paraId="4B85D29A" w14:textId="77777777" w:rsidR="00410CA8" w:rsidRPr="0093020C" w:rsidRDefault="00410CA8" w:rsidP="001E7238">
      <w:pPr>
        <w:spacing w:after="0" w:line="240" w:lineRule="auto"/>
        <w:ind w:left="9" w:hanging="10"/>
        <w:contextualSpacing/>
        <w:rPr>
          <w:lang w:val="sv-SE"/>
        </w:rPr>
      </w:pPr>
    </w:p>
    <w:p w14:paraId="67ED4831" w14:textId="2FB0F1E4" w:rsidR="005027AB" w:rsidRPr="00A74CC6" w:rsidRDefault="00264096" w:rsidP="001E7238">
      <w:pPr>
        <w:spacing w:after="0" w:line="240" w:lineRule="auto"/>
        <w:ind w:left="4" w:right="13"/>
        <w:contextualSpacing/>
        <w:rPr>
          <w:lang w:val="sv-SE"/>
        </w:rPr>
      </w:pPr>
      <w:r w:rsidRPr="00A74CC6">
        <w:rPr>
          <w:lang w:val="sv-SE"/>
        </w:rPr>
        <w:t xml:space="preserve">I studien BCIRG 006 </w:t>
      </w:r>
      <w:r w:rsidR="00352E52" w:rsidRPr="00A74CC6">
        <w:rPr>
          <w:lang w:val="sv-SE"/>
        </w:rPr>
        <w:t>ger</w:t>
      </w:r>
      <w:r w:rsidRPr="00A74CC6">
        <w:rPr>
          <w:lang w:val="sv-SE"/>
        </w:rPr>
        <w:t xml:space="preserve"> hazard ratio för den primära effektvariabeln, sjukdomsfri överlevnad, </w:t>
      </w:r>
      <w:r w:rsidR="00352E52" w:rsidRPr="00A74CC6">
        <w:rPr>
          <w:lang w:val="sv-SE"/>
        </w:rPr>
        <w:t xml:space="preserve">en absolut </w:t>
      </w:r>
      <w:r w:rsidR="009A1CAD" w:rsidRPr="00A74CC6">
        <w:rPr>
          <w:lang w:val="sv-SE"/>
        </w:rPr>
        <w:t>behandlingsvinst på 5</w:t>
      </w:r>
      <w:r w:rsidR="008051BF" w:rsidRPr="00A74CC6">
        <w:rPr>
          <w:lang w:val="sv-SE"/>
        </w:rPr>
        <w:t>,8 </w:t>
      </w:r>
      <w:r w:rsidR="009A1CAD" w:rsidRPr="00A74CC6">
        <w:rPr>
          <w:lang w:val="sv-SE"/>
        </w:rPr>
        <w:t xml:space="preserve">procentenheter för </w:t>
      </w:r>
      <w:r w:rsidRPr="00A74CC6">
        <w:rPr>
          <w:lang w:val="sv-SE"/>
        </w:rPr>
        <w:t xml:space="preserve">sjukdomsfri överlevnad </w:t>
      </w:r>
      <w:r w:rsidR="009A1CAD" w:rsidRPr="00A74CC6">
        <w:rPr>
          <w:lang w:val="sv-SE"/>
        </w:rPr>
        <w:t xml:space="preserve">vid 3 år </w:t>
      </w:r>
      <w:r w:rsidRPr="00A74CC6">
        <w:rPr>
          <w:lang w:val="sv-SE"/>
        </w:rPr>
        <w:t>(86,7</w:t>
      </w:r>
      <w:r w:rsidR="00B268E6" w:rsidRPr="00A74CC6">
        <w:rPr>
          <w:lang w:val="sv-SE"/>
        </w:rPr>
        <w:t> %</w:t>
      </w:r>
      <w:r w:rsidRPr="00A74CC6">
        <w:rPr>
          <w:lang w:val="sv-SE"/>
        </w:rPr>
        <w:t xml:space="preserve"> jämfört med 80,9</w:t>
      </w:r>
      <w:r w:rsidR="00B268E6" w:rsidRPr="00A74CC6">
        <w:rPr>
          <w:lang w:val="sv-SE"/>
        </w:rPr>
        <w:t> %</w:t>
      </w:r>
      <w:r w:rsidRPr="00A74CC6">
        <w:rPr>
          <w:lang w:val="sv-SE"/>
        </w:rPr>
        <w:t>) till fördel för behandlingsgruppen med AC→DH (</w:t>
      </w:r>
      <w:r w:rsidR="00A312F7" w:rsidRPr="00A74CC6">
        <w:rPr>
          <w:lang w:val="sv-SE"/>
        </w:rPr>
        <w:t>trastuzumab</w:t>
      </w:r>
      <w:r w:rsidRPr="00A74CC6">
        <w:rPr>
          <w:lang w:val="sv-SE"/>
        </w:rPr>
        <w:t xml:space="preserve">) och </w:t>
      </w:r>
      <w:r w:rsidR="009A1CAD" w:rsidRPr="00A74CC6">
        <w:rPr>
          <w:lang w:val="sv-SE"/>
        </w:rPr>
        <w:t xml:space="preserve">på </w:t>
      </w:r>
      <w:r w:rsidRPr="00A74CC6">
        <w:rPr>
          <w:lang w:val="sv-SE"/>
        </w:rPr>
        <w:t>4,6</w:t>
      </w:r>
      <w:r w:rsidR="00F017AA" w:rsidRPr="00A74CC6">
        <w:rPr>
          <w:lang w:val="sv-SE"/>
        </w:rPr>
        <w:t> </w:t>
      </w:r>
      <w:r w:rsidR="009A1CAD" w:rsidRPr="00A74CC6">
        <w:rPr>
          <w:lang w:val="sv-SE"/>
        </w:rPr>
        <w:t xml:space="preserve">procentenheter </w:t>
      </w:r>
      <w:r w:rsidR="007D3C64" w:rsidRPr="00A74CC6">
        <w:rPr>
          <w:lang w:val="sv-SE"/>
        </w:rPr>
        <w:t>(85,5</w:t>
      </w:r>
      <w:r w:rsidR="00B268E6" w:rsidRPr="00A74CC6">
        <w:rPr>
          <w:lang w:val="sv-SE"/>
        </w:rPr>
        <w:t> %</w:t>
      </w:r>
      <w:r w:rsidR="007D3C64" w:rsidRPr="00A74CC6">
        <w:rPr>
          <w:lang w:val="sv-SE"/>
        </w:rPr>
        <w:t xml:space="preserve"> jämfört med </w:t>
      </w:r>
      <w:r w:rsidRPr="00A74CC6">
        <w:rPr>
          <w:lang w:val="sv-SE"/>
        </w:rPr>
        <w:t>80,9</w:t>
      </w:r>
      <w:r w:rsidR="00B268E6" w:rsidRPr="00A74CC6">
        <w:rPr>
          <w:lang w:val="sv-SE"/>
        </w:rPr>
        <w:t> %</w:t>
      </w:r>
      <w:r w:rsidRPr="00A74CC6">
        <w:rPr>
          <w:lang w:val="sv-SE"/>
        </w:rPr>
        <w:t>) till fördel för behandlingsgruppen med DKarbH (</w:t>
      </w:r>
      <w:r w:rsidR="00A312F7" w:rsidRPr="00A74CC6">
        <w:rPr>
          <w:lang w:val="sv-SE"/>
        </w:rPr>
        <w:t>trastuzumab</w:t>
      </w:r>
      <w:r w:rsidRPr="00A74CC6">
        <w:rPr>
          <w:lang w:val="sv-SE"/>
        </w:rPr>
        <w:t>) jämfört med AC→D.</w:t>
      </w:r>
    </w:p>
    <w:p w14:paraId="14F76F5F" w14:textId="77777777" w:rsidR="00410CA8" w:rsidRPr="00A74CC6" w:rsidRDefault="00410CA8" w:rsidP="001E7238">
      <w:pPr>
        <w:spacing w:after="0" w:line="240" w:lineRule="auto"/>
        <w:ind w:left="4" w:right="13"/>
        <w:contextualSpacing/>
        <w:rPr>
          <w:lang w:val="sv-SE"/>
        </w:rPr>
      </w:pPr>
    </w:p>
    <w:p w14:paraId="6A57F6EE" w14:textId="15D0F3EC" w:rsidR="005027AB" w:rsidRPr="00A74CC6" w:rsidRDefault="00264096" w:rsidP="001E7238">
      <w:pPr>
        <w:spacing w:after="0" w:line="240" w:lineRule="auto"/>
        <w:ind w:left="4" w:right="13"/>
        <w:contextualSpacing/>
        <w:rPr>
          <w:lang w:val="sv-SE"/>
        </w:rPr>
      </w:pPr>
      <w:r w:rsidRPr="00A74CC6">
        <w:rPr>
          <w:lang w:val="sv-SE"/>
        </w:rPr>
        <w:t>I studie BCIRG 006 hade 213/1</w:t>
      </w:r>
      <w:r w:rsidR="00F017AA" w:rsidRPr="00A74CC6">
        <w:rPr>
          <w:lang w:val="sv-SE"/>
        </w:rPr>
        <w:t> </w:t>
      </w:r>
      <w:r w:rsidRPr="00A74CC6">
        <w:rPr>
          <w:lang w:val="sv-SE"/>
        </w:rPr>
        <w:t>075</w:t>
      </w:r>
      <w:r w:rsidR="00F017AA" w:rsidRPr="00A74CC6">
        <w:rPr>
          <w:lang w:val="sv-SE"/>
        </w:rPr>
        <w:t> </w:t>
      </w:r>
      <w:r w:rsidRPr="00A74CC6">
        <w:rPr>
          <w:lang w:val="sv-SE"/>
        </w:rPr>
        <w:t>patienter i DKarbH</w:t>
      </w:r>
      <w:r w:rsidR="00F017AA" w:rsidRPr="00A74CC6">
        <w:rPr>
          <w:lang w:val="sv-SE"/>
        </w:rPr>
        <w:t>-</w:t>
      </w:r>
      <w:r w:rsidRPr="00A74CC6">
        <w:rPr>
          <w:lang w:val="sv-SE"/>
        </w:rPr>
        <w:t>(TCH)-gruppen, 221/1</w:t>
      </w:r>
      <w:r w:rsidR="00F017AA" w:rsidRPr="00A74CC6">
        <w:rPr>
          <w:lang w:val="sv-SE"/>
        </w:rPr>
        <w:t> </w:t>
      </w:r>
      <w:r w:rsidRPr="00A74CC6">
        <w:rPr>
          <w:lang w:val="sv-SE"/>
        </w:rPr>
        <w:t>074</w:t>
      </w:r>
      <w:r w:rsidR="00F017AA" w:rsidRPr="00A74CC6">
        <w:rPr>
          <w:lang w:val="sv-SE"/>
        </w:rPr>
        <w:t> </w:t>
      </w:r>
      <w:r w:rsidRPr="00A74CC6">
        <w:rPr>
          <w:lang w:val="sv-SE"/>
        </w:rPr>
        <w:t>patienter i AC</w:t>
      </w:r>
      <w:r w:rsidR="000B15E2" w:rsidRPr="008763E6">
        <w:rPr>
          <w:rFonts w:eastAsia="SymbolMT" w:hint="eastAsia"/>
          <w:lang w:val="sv-SE"/>
        </w:rPr>
        <w:t>→</w:t>
      </w:r>
      <w:r w:rsidRPr="00A74CC6">
        <w:rPr>
          <w:lang w:val="sv-SE"/>
        </w:rPr>
        <w:t>DH (AC</w:t>
      </w:r>
      <w:r w:rsidR="00410CA8" w:rsidRPr="00A74CC6">
        <w:rPr>
          <w:lang w:val="sv-SE"/>
        </w:rPr>
        <w:t>→</w:t>
      </w:r>
      <w:r w:rsidRPr="00A74CC6">
        <w:rPr>
          <w:lang w:val="sv-SE"/>
        </w:rPr>
        <w:t>TH) gruppen, och 217/1</w:t>
      </w:r>
      <w:r w:rsidR="00F017AA" w:rsidRPr="00A74CC6">
        <w:rPr>
          <w:lang w:val="sv-SE"/>
        </w:rPr>
        <w:t> </w:t>
      </w:r>
      <w:r w:rsidRPr="00A74CC6">
        <w:rPr>
          <w:lang w:val="sv-SE"/>
        </w:rPr>
        <w:t>073 i AC→D (AC</w:t>
      </w:r>
      <w:r w:rsidR="00410CA8" w:rsidRPr="00A74CC6">
        <w:rPr>
          <w:lang w:val="sv-SE"/>
        </w:rPr>
        <w:t>→</w:t>
      </w:r>
      <w:r w:rsidRPr="00A74CC6">
        <w:rPr>
          <w:lang w:val="sv-SE"/>
        </w:rPr>
        <w:t xml:space="preserve">T) gruppen en </w:t>
      </w:r>
      <w:r w:rsidR="00F017AA" w:rsidRPr="00A74CC6">
        <w:rPr>
          <w:lang w:val="sv-SE"/>
        </w:rPr>
        <w:t xml:space="preserve">funktionsstatus enligt </w:t>
      </w:r>
      <w:r w:rsidRPr="00A74CC6">
        <w:rPr>
          <w:lang w:val="sv-SE"/>
        </w:rPr>
        <w:t>Karnofsky ≤</w:t>
      </w:r>
      <w:r w:rsidR="00410CA8" w:rsidRPr="00A74CC6">
        <w:rPr>
          <w:lang w:val="sv-SE"/>
        </w:rPr>
        <w:t> </w:t>
      </w:r>
      <w:r w:rsidRPr="00A74CC6">
        <w:rPr>
          <w:lang w:val="sv-SE"/>
        </w:rPr>
        <w:t>90 (antingen 80 eller 90). Ingen fördel i sjukdomfri överlevnad (DFS) sågs i denna subg</w:t>
      </w:r>
      <w:r w:rsidR="00410CA8" w:rsidRPr="00A74CC6">
        <w:rPr>
          <w:lang w:val="sv-SE"/>
        </w:rPr>
        <w:t>rupp av patienter (hazard ratio </w:t>
      </w:r>
      <w:r w:rsidRPr="00A74CC6">
        <w:rPr>
          <w:lang w:val="sv-SE"/>
        </w:rPr>
        <w:t>=</w:t>
      </w:r>
      <w:r w:rsidR="00410CA8" w:rsidRPr="00A74CC6">
        <w:rPr>
          <w:lang w:val="sv-SE"/>
        </w:rPr>
        <w:t> </w:t>
      </w:r>
      <w:r w:rsidRPr="00A74CC6">
        <w:rPr>
          <w:lang w:val="sv-SE"/>
        </w:rPr>
        <w:t>1,16, 95</w:t>
      </w:r>
      <w:r w:rsidR="00B268E6" w:rsidRPr="00A74CC6">
        <w:rPr>
          <w:lang w:val="sv-SE"/>
        </w:rPr>
        <w:t> %</w:t>
      </w:r>
      <w:r w:rsidRPr="00A74CC6">
        <w:rPr>
          <w:lang w:val="sv-SE"/>
        </w:rPr>
        <w:t xml:space="preserve"> KI [0,73, 1,83</w:t>
      </w:r>
      <w:r w:rsidR="007D3C64" w:rsidRPr="00A74CC6">
        <w:rPr>
          <w:lang w:val="sv-SE"/>
        </w:rPr>
        <w:t xml:space="preserve">] för DKarbH (TCH) jämfört med </w:t>
      </w:r>
      <w:r w:rsidRPr="00A74CC6">
        <w:rPr>
          <w:lang w:val="sv-SE"/>
        </w:rPr>
        <w:t>AC</w:t>
      </w:r>
      <w:r w:rsidR="00410CA8" w:rsidRPr="00A74CC6">
        <w:rPr>
          <w:lang w:val="sv-SE"/>
        </w:rPr>
        <w:t>→</w:t>
      </w:r>
      <w:r w:rsidRPr="00A74CC6">
        <w:rPr>
          <w:lang w:val="sv-SE"/>
        </w:rPr>
        <w:t>D (AC</w:t>
      </w:r>
      <w:r w:rsidR="00410CA8" w:rsidRPr="00A74CC6">
        <w:rPr>
          <w:lang w:val="sv-SE"/>
        </w:rPr>
        <w:t>→</w:t>
      </w:r>
      <w:r w:rsidRPr="00A74CC6">
        <w:rPr>
          <w:lang w:val="sv-SE"/>
        </w:rPr>
        <w:t>T); hazard ratio 0,97, 95</w:t>
      </w:r>
      <w:r w:rsidR="00B268E6" w:rsidRPr="00A74CC6">
        <w:rPr>
          <w:lang w:val="sv-SE"/>
        </w:rPr>
        <w:t> %</w:t>
      </w:r>
      <w:r w:rsidRPr="00A74CC6">
        <w:rPr>
          <w:lang w:val="sv-SE"/>
        </w:rPr>
        <w:t xml:space="preserve"> KI [0,60, 1,55] för AC</w:t>
      </w:r>
      <w:r w:rsidR="00410CA8" w:rsidRPr="00A74CC6">
        <w:rPr>
          <w:lang w:val="sv-SE"/>
        </w:rPr>
        <w:t>→</w:t>
      </w:r>
      <w:r w:rsidRPr="00A74CC6">
        <w:rPr>
          <w:lang w:val="sv-SE"/>
        </w:rPr>
        <w:t>DH (AC</w:t>
      </w:r>
      <w:r w:rsidR="00410CA8" w:rsidRPr="00A74CC6">
        <w:rPr>
          <w:lang w:val="sv-SE"/>
        </w:rPr>
        <w:t>→</w:t>
      </w:r>
      <w:r w:rsidRPr="00A74CC6">
        <w:rPr>
          <w:lang w:val="sv-SE"/>
        </w:rPr>
        <w:t>TH) jämfört med AC</w:t>
      </w:r>
      <w:r w:rsidR="00410CA8" w:rsidRPr="00A74CC6">
        <w:rPr>
          <w:lang w:val="sv-SE"/>
        </w:rPr>
        <w:t>→</w:t>
      </w:r>
      <w:r w:rsidRPr="00A74CC6">
        <w:rPr>
          <w:lang w:val="sv-SE"/>
        </w:rPr>
        <w:t>D).</w:t>
      </w:r>
    </w:p>
    <w:p w14:paraId="4BA8F6AE" w14:textId="77777777" w:rsidR="00410CA8" w:rsidRPr="00A74CC6" w:rsidRDefault="00410CA8" w:rsidP="001E7238">
      <w:pPr>
        <w:spacing w:after="0" w:line="240" w:lineRule="auto"/>
        <w:ind w:left="4" w:right="13"/>
        <w:contextualSpacing/>
        <w:rPr>
          <w:lang w:val="sv-SE"/>
        </w:rPr>
      </w:pPr>
    </w:p>
    <w:p w14:paraId="2C0C5278" w14:textId="350EE32A" w:rsidR="005027AB" w:rsidRPr="00A74CC6" w:rsidRDefault="00264096" w:rsidP="00BD4615">
      <w:pPr>
        <w:keepNext/>
        <w:keepLines/>
        <w:spacing w:after="0" w:line="240" w:lineRule="auto"/>
        <w:ind w:left="6" w:right="11" w:hanging="6"/>
        <w:contextualSpacing/>
        <w:rPr>
          <w:lang w:val="sv-SE"/>
        </w:rPr>
      </w:pPr>
      <w:r w:rsidRPr="00A74CC6">
        <w:rPr>
          <w:lang w:val="sv-SE"/>
        </w:rPr>
        <w:lastRenderedPageBreak/>
        <w:t>Dessutom gjordes en exploratorisk post</w:t>
      </w:r>
      <w:r w:rsidR="00031568" w:rsidRPr="00A74CC6">
        <w:rPr>
          <w:lang w:val="sv-SE"/>
        </w:rPr>
        <w:t> </w:t>
      </w:r>
      <w:r w:rsidRPr="00A74CC6">
        <w:rPr>
          <w:lang w:val="sv-SE"/>
        </w:rPr>
        <w:t>hoc</w:t>
      </w:r>
      <w:r w:rsidR="00F017AA" w:rsidRPr="00A74CC6">
        <w:rPr>
          <w:lang w:val="sv-SE"/>
        </w:rPr>
        <w:t>-</w:t>
      </w:r>
      <w:r w:rsidRPr="00A74CC6">
        <w:rPr>
          <w:lang w:val="sv-SE"/>
        </w:rPr>
        <w:t xml:space="preserve">analys </w:t>
      </w:r>
      <w:r w:rsidR="00F017AA" w:rsidRPr="00A74CC6">
        <w:rPr>
          <w:lang w:val="sv-SE"/>
        </w:rPr>
        <w:t>av</w:t>
      </w:r>
      <w:r w:rsidRPr="00A74CC6">
        <w:rPr>
          <w:lang w:val="sv-SE"/>
        </w:rPr>
        <w:t xml:space="preserve"> data</w:t>
      </w:r>
      <w:r w:rsidR="00F017AA" w:rsidRPr="00A74CC6">
        <w:rPr>
          <w:lang w:val="sv-SE"/>
        </w:rPr>
        <w:t>set</w:t>
      </w:r>
      <w:r w:rsidRPr="00A74CC6">
        <w:rPr>
          <w:lang w:val="sv-SE"/>
        </w:rPr>
        <w:t xml:space="preserve"> från </w:t>
      </w:r>
      <w:r w:rsidR="00F017AA" w:rsidRPr="00A74CC6">
        <w:rPr>
          <w:lang w:val="sv-SE"/>
        </w:rPr>
        <w:t xml:space="preserve">den </w:t>
      </w:r>
      <w:r w:rsidRPr="00A74CC6">
        <w:rPr>
          <w:lang w:val="sv-SE"/>
        </w:rPr>
        <w:t>sammanvägd</w:t>
      </w:r>
      <w:r w:rsidR="00F017AA" w:rsidRPr="00A74CC6">
        <w:rPr>
          <w:lang w:val="sv-SE"/>
        </w:rPr>
        <w:t>a</w:t>
      </w:r>
      <w:r w:rsidRPr="00A74CC6">
        <w:rPr>
          <w:lang w:val="sv-SE"/>
        </w:rPr>
        <w:t xml:space="preserve"> analys</w:t>
      </w:r>
      <w:r w:rsidR="00F017AA" w:rsidRPr="00A74CC6">
        <w:rPr>
          <w:lang w:val="sv-SE"/>
        </w:rPr>
        <w:t>en</w:t>
      </w:r>
      <w:r w:rsidRPr="00A74CC6">
        <w:rPr>
          <w:lang w:val="sv-SE"/>
        </w:rPr>
        <w:t xml:space="preserve"> (joint analys, JA) </w:t>
      </w:r>
      <w:r w:rsidR="008051BF" w:rsidRPr="00A74CC6">
        <w:rPr>
          <w:lang w:val="sv-SE"/>
        </w:rPr>
        <w:t>av</w:t>
      </w:r>
      <w:r w:rsidRPr="00A74CC6">
        <w:rPr>
          <w:lang w:val="sv-SE"/>
        </w:rPr>
        <w:t xml:space="preserve"> de kliniska studierna NSABP B-31/NCCTG N9831* och BCIRG</w:t>
      </w:r>
      <w:r w:rsidR="00F917AF">
        <w:rPr>
          <w:lang w:val="sv-SE"/>
        </w:rPr>
        <w:t xml:space="preserve"> </w:t>
      </w:r>
      <w:r w:rsidRPr="00A74CC6">
        <w:rPr>
          <w:lang w:val="sv-SE"/>
        </w:rPr>
        <w:t>006 som kombinera</w:t>
      </w:r>
      <w:r w:rsidR="008051BF" w:rsidRPr="00A74CC6">
        <w:rPr>
          <w:lang w:val="sv-SE"/>
        </w:rPr>
        <w:t>r</w:t>
      </w:r>
      <w:r w:rsidRPr="00A74CC6">
        <w:rPr>
          <w:lang w:val="sv-SE"/>
        </w:rPr>
        <w:t xml:space="preserve"> händelser av sjukdomsfri överlevnad (DFS) och symtomatiska hjärthändelser. Resultaten från denna analys sammanfattas i tabell</w:t>
      </w:r>
      <w:r w:rsidR="00F017AA" w:rsidRPr="00A74CC6">
        <w:rPr>
          <w:lang w:val="sv-SE"/>
        </w:rPr>
        <w:t> </w:t>
      </w:r>
      <w:r w:rsidRPr="00A74CC6">
        <w:rPr>
          <w:lang w:val="sv-SE"/>
        </w:rPr>
        <w:t>11:</w:t>
      </w:r>
    </w:p>
    <w:p w14:paraId="6FC49697" w14:textId="77777777" w:rsidR="00410CA8" w:rsidRPr="00A74CC6" w:rsidRDefault="00410CA8" w:rsidP="00BD4615">
      <w:pPr>
        <w:keepNext/>
        <w:keepLines/>
        <w:spacing w:after="0" w:line="240" w:lineRule="auto"/>
        <w:ind w:left="6" w:right="11" w:hanging="6"/>
        <w:contextualSpacing/>
        <w:rPr>
          <w:lang w:val="sv-SE"/>
        </w:rPr>
      </w:pPr>
    </w:p>
    <w:p w14:paraId="63D20641" w14:textId="2C75635B" w:rsidR="005027AB" w:rsidRPr="00A74CC6" w:rsidRDefault="00264096" w:rsidP="00C32E2C">
      <w:pPr>
        <w:keepNext/>
        <w:keepLines/>
        <w:spacing w:after="0" w:line="240" w:lineRule="auto"/>
        <w:ind w:left="0" w:firstLine="0"/>
        <w:contextualSpacing/>
        <w:rPr>
          <w:b/>
          <w:lang w:val="sv-SE"/>
        </w:rPr>
      </w:pPr>
      <w:r w:rsidRPr="00A74CC6">
        <w:rPr>
          <w:b/>
          <w:lang w:val="sv-SE"/>
        </w:rPr>
        <w:t>Tabell</w:t>
      </w:r>
      <w:r w:rsidR="00F017AA" w:rsidRPr="00A74CC6">
        <w:rPr>
          <w:b/>
          <w:lang w:val="sv-SE"/>
        </w:rPr>
        <w:t> </w:t>
      </w:r>
      <w:r w:rsidRPr="00A74CC6">
        <w:rPr>
          <w:b/>
          <w:lang w:val="sv-SE"/>
        </w:rPr>
        <w:t>11</w:t>
      </w:r>
      <w:r w:rsidR="00E1391C" w:rsidRPr="00A74CC6">
        <w:rPr>
          <w:b/>
          <w:lang w:val="sv-SE"/>
        </w:rPr>
        <w:t>.</w:t>
      </w:r>
      <w:r w:rsidR="00A312F7" w:rsidRPr="00A74CC6">
        <w:rPr>
          <w:b/>
          <w:lang w:val="sv-SE"/>
        </w:rPr>
        <w:t xml:space="preserve"> </w:t>
      </w:r>
      <w:r w:rsidRPr="00A74CC6">
        <w:rPr>
          <w:b/>
          <w:lang w:val="sv-SE"/>
        </w:rPr>
        <w:t>Explorativ post</w:t>
      </w:r>
      <w:r w:rsidR="00031568" w:rsidRPr="00A74CC6">
        <w:rPr>
          <w:b/>
          <w:lang w:val="sv-SE"/>
        </w:rPr>
        <w:t> </w:t>
      </w:r>
      <w:r w:rsidRPr="00A74CC6">
        <w:rPr>
          <w:b/>
          <w:lang w:val="sv-SE"/>
        </w:rPr>
        <w:t>hoc</w:t>
      </w:r>
      <w:r w:rsidR="00F017AA" w:rsidRPr="00A74CC6">
        <w:rPr>
          <w:b/>
          <w:lang w:val="sv-SE"/>
        </w:rPr>
        <w:t>-</w:t>
      </w:r>
      <w:r w:rsidRPr="00A74CC6">
        <w:rPr>
          <w:b/>
          <w:lang w:val="sv-SE"/>
        </w:rPr>
        <w:t xml:space="preserve">analys av data från den sammanvägda analysen (joint analysis, JA) </w:t>
      </w:r>
      <w:r w:rsidR="008051BF" w:rsidRPr="00A74CC6">
        <w:rPr>
          <w:b/>
          <w:lang w:val="sv-SE"/>
        </w:rPr>
        <w:t>av</w:t>
      </w:r>
      <w:r w:rsidRPr="00A74CC6">
        <w:rPr>
          <w:b/>
          <w:lang w:val="sv-SE"/>
        </w:rPr>
        <w:t xml:space="preserve"> de kliniska studierna NSABP B-31/NCCTG N9831* och BCIRG</w:t>
      </w:r>
      <w:r w:rsidR="00F917AF">
        <w:rPr>
          <w:b/>
          <w:lang w:val="sv-SE"/>
        </w:rPr>
        <w:t xml:space="preserve"> </w:t>
      </w:r>
      <w:r w:rsidRPr="00A74CC6">
        <w:rPr>
          <w:b/>
          <w:lang w:val="sv-SE"/>
        </w:rPr>
        <w:t>006 som kombinera</w:t>
      </w:r>
      <w:r w:rsidR="008051BF" w:rsidRPr="00A74CC6">
        <w:rPr>
          <w:b/>
          <w:lang w:val="sv-SE"/>
        </w:rPr>
        <w:t>r</w:t>
      </w:r>
      <w:r w:rsidRPr="00A74CC6">
        <w:rPr>
          <w:b/>
          <w:lang w:val="sv-SE"/>
        </w:rPr>
        <w:t xml:space="preserve"> händelser av sjukdomsfri överlevnad (DFS) och symtomatiska hjärthändelser.</w:t>
      </w:r>
    </w:p>
    <w:p w14:paraId="0B46DEEE" w14:textId="77777777" w:rsidR="00410CA8" w:rsidRPr="00A74CC6" w:rsidRDefault="00410CA8" w:rsidP="00C32E2C">
      <w:pPr>
        <w:keepNext/>
        <w:keepLines/>
        <w:spacing w:after="0" w:line="240" w:lineRule="auto"/>
        <w:ind w:left="0" w:firstLine="0"/>
        <w:contextualSpacing/>
        <w:rPr>
          <w:b/>
          <w:lang w:val="sv-SE"/>
        </w:rPr>
      </w:pPr>
    </w:p>
    <w:tbl>
      <w:tblPr>
        <w:tblW w:w="498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left w:w="115" w:type="dxa"/>
          <w:bottom w:w="10" w:type="dxa"/>
          <w:right w:w="115" w:type="dxa"/>
        </w:tblCellMar>
        <w:tblLook w:val="04A0" w:firstRow="1" w:lastRow="0" w:firstColumn="1" w:lastColumn="0" w:noHBand="0" w:noVBand="1"/>
      </w:tblPr>
      <w:tblGrid>
        <w:gridCol w:w="2950"/>
        <w:gridCol w:w="2107"/>
        <w:gridCol w:w="2105"/>
        <w:gridCol w:w="2105"/>
      </w:tblGrid>
      <w:tr w:rsidR="00AD14F8" w:rsidRPr="00472A6C" w14:paraId="73AF948E" w14:textId="77777777" w:rsidTr="004A019F">
        <w:trPr>
          <w:trHeight w:val="1020"/>
          <w:tblHeader/>
        </w:trPr>
        <w:tc>
          <w:tcPr>
            <w:tcW w:w="1591" w:type="pct"/>
            <w:shd w:val="clear" w:color="auto" w:fill="auto"/>
          </w:tcPr>
          <w:p w14:paraId="38E318D8" w14:textId="77777777" w:rsidR="005027AB" w:rsidRPr="004A019F" w:rsidRDefault="005027AB" w:rsidP="004A019F">
            <w:pPr>
              <w:keepNext/>
              <w:keepLines/>
              <w:spacing w:after="0" w:line="240" w:lineRule="auto"/>
              <w:ind w:left="0" w:firstLine="0"/>
              <w:contextualSpacing/>
              <w:rPr>
                <w:b/>
                <w:lang w:val="sv-SE"/>
              </w:rPr>
            </w:pPr>
          </w:p>
        </w:tc>
        <w:tc>
          <w:tcPr>
            <w:tcW w:w="1137" w:type="pct"/>
            <w:shd w:val="clear" w:color="auto" w:fill="auto"/>
          </w:tcPr>
          <w:p w14:paraId="7B3CDBC6"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AC</w:t>
            </w:r>
            <w:r w:rsidR="00410CA8" w:rsidRPr="004A019F">
              <w:rPr>
                <w:b/>
                <w:lang w:val="sv-SE"/>
              </w:rPr>
              <w:t>→</w:t>
            </w:r>
            <w:r w:rsidRPr="004A019F">
              <w:rPr>
                <w:b/>
                <w:lang w:val="sv-SE"/>
              </w:rPr>
              <w:t xml:space="preserve">PH </w:t>
            </w:r>
          </w:p>
          <w:p w14:paraId="68C83BCE" w14:textId="5CD04D27" w:rsidR="005027AB" w:rsidRPr="004A019F" w:rsidRDefault="00264096" w:rsidP="004A019F">
            <w:pPr>
              <w:keepNext/>
              <w:keepLines/>
              <w:spacing w:after="0" w:line="240" w:lineRule="auto"/>
              <w:ind w:left="0" w:firstLine="0"/>
              <w:contextualSpacing/>
              <w:jc w:val="center"/>
              <w:rPr>
                <w:b/>
                <w:lang w:val="sv-SE"/>
              </w:rPr>
            </w:pPr>
            <w:r w:rsidRPr="004A019F">
              <w:rPr>
                <w:b/>
                <w:lang w:val="sv-SE"/>
              </w:rPr>
              <w:t>(vs AC</w:t>
            </w:r>
            <w:r w:rsidR="00410CA8" w:rsidRPr="004A019F">
              <w:rPr>
                <w:b/>
                <w:lang w:val="sv-SE"/>
              </w:rPr>
              <w:t>→</w:t>
            </w:r>
            <w:r w:rsidRPr="004A019F">
              <w:rPr>
                <w:b/>
                <w:lang w:val="sv-SE"/>
              </w:rPr>
              <w:t>P)</w:t>
            </w:r>
          </w:p>
          <w:p w14:paraId="64AB37DC"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 xml:space="preserve">(NSABP B-31 och </w:t>
            </w:r>
          </w:p>
          <w:p w14:paraId="178ACD97"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NCCTG N9831)*</w:t>
            </w:r>
          </w:p>
        </w:tc>
        <w:tc>
          <w:tcPr>
            <w:tcW w:w="1136" w:type="pct"/>
            <w:shd w:val="clear" w:color="auto" w:fill="auto"/>
          </w:tcPr>
          <w:p w14:paraId="42FDC517"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AC</w:t>
            </w:r>
            <w:r w:rsidR="00410CA8" w:rsidRPr="004A019F">
              <w:rPr>
                <w:b/>
                <w:lang w:val="sv-SE"/>
              </w:rPr>
              <w:t>→</w:t>
            </w:r>
            <w:r w:rsidRPr="004A019F">
              <w:rPr>
                <w:b/>
                <w:lang w:val="sv-SE"/>
              </w:rPr>
              <w:t xml:space="preserve">DH </w:t>
            </w:r>
          </w:p>
          <w:p w14:paraId="1C7ED5C7" w14:textId="3E2CB98B" w:rsidR="005027AB" w:rsidRPr="004A019F" w:rsidRDefault="00264096" w:rsidP="004A019F">
            <w:pPr>
              <w:keepNext/>
              <w:keepLines/>
              <w:spacing w:after="0" w:line="240" w:lineRule="auto"/>
              <w:ind w:left="0" w:firstLine="0"/>
              <w:contextualSpacing/>
              <w:jc w:val="center"/>
              <w:rPr>
                <w:b/>
                <w:lang w:val="sv-SE"/>
              </w:rPr>
            </w:pPr>
            <w:r w:rsidRPr="004A019F">
              <w:rPr>
                <w:b/>
                <w:lang w:val="sv-SE"/>
              </w:rPr>
              <w:t>(vs AC</w:t>
            </w:r>
            <w:r w:rsidR="00410CA8" w:rsidRPr="004A019F">
              <w:rPr>
                <w:b/>
                <w:lang w:val="sv-SE"/>
              </w:rPr>
              <w:t>→</w:t>
            </w:r>
            <w:r w:rsidRPr="004A019F">
              <w:rPr>
                <w:b/>
                <w:lang w:val="sv-SE"/>
              </w:rPr>
              <w:t>D)</w:t>
            </w:r>
          </w:p>
          <w:p w14:paraId="48DC05A4"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(BCIRG 006)</w:t>
            </w:r>
          </w:p>
        </w:tc>
        <w:tc>
          <w:tcPr>
            <w:tcW w:w="1137" w:type="pct"/>
            <w:shd w:val="clear" w:color="auto" w:fill="auto"/>
          </w:tcPr>
          <w:p w14:paraId="3BD12FF5"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 xml:space="preserve">DKarbH </w:t>
            </w:r>
          </w:p>
          <w:p w14:paraId="63299980" w14:textId="54D6E44F" w:rsidR="005027AB" w:rsidRPr="004A019F" w:rsidRDefault="00264096" w:rsidP="004A019F">
            <w:pPr>
              <w:keepNext/>
              <w:keepLines/>
              <w:spacing w:after="0" w:line="240" w:lineRule="auto"/>
              <w:ind w:left="0" w:firstLine="0"/>
              <w:contextualSpacing/>
              <w:jc w:val="center"/>
              <w:rPr>
                <w:b/>
                <w:lang w:val="sv-SE"/>
              </w:rPr>
            </w:pPr>
            <w:r w:rsidRPr="004A019F">
              <w:rPr>
                <w:b/>
                <w:lang w:val="sv-SE"/>
              </w:rPr>
              <w:t>(vs AC</w:t>
            </w:r>
            <w:r w:rsidR="00410CA8" w:rsidRPr="004A019F">
              <w:rPr>
                <w:b/>
                <w:lang w:val="sv-SE"/>
              </w:rPr>
              <w:t>→</w:t>
            </w:r>
            <w:r w:rsidRPr="004A019F">
              <w:rPr>
                <w:b/>
                <w:lang w:val="sv-SE"/>
              </w:rPr>
              <w:t>D)</w:t>
            </w:r>
          </w:p>
          <w:p w14:paraId="4DF2B8FD"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(BCIRG 006)</w:t>
            </w:r>
          </w:p>
        </w:tc>
      </w:tr>
      <w:tr w:rsidR="00AD14F8" w:rsidRPr="00A74CC6" w14:paraId="4FFED94D" w14:textId="77777777" w:rsidTr="004A019F">
        <w:trPr>
          <w:trHeight w:val="794"/>
        </w:trPr>
        <w:tc>
          <w:tcPr>
            <w:tcW w:w="1591" w:type="pct"/>
            <w:shd w:val="clear" w:color="auto" w:fill="auto"/>
          </w:tcPr>
          <w:p w14:paraId="31E2F2D7" w14:textId="77777777" w:rsidR="005027AB" w:rsidRPr="004A019F" w:rsidRDefault="00264096" w:rsidP="004A019F">
            <w:pPr>
              <w:spacing w:after="0" w:line="240" w:lineRule="auto"/>
              <w:ind w:left="0" w:firstLine="0"/>
              <w:contextualSpacing/>
              <w:rPr>
                <w:lang w:val="sv-SE"/>
              </w:rPr>
            </w:pPr>
            <w:r w:rsidRPr="004A019F">
              <w:rPr>
                <w:lang w:val="sv-SE"/>
              </w:rPr>
              <w:t>Primär effektanalys</w:t>
            </w:r>
          </w:p>
          <w:p w14:paraId="6A8AE145" w14:textId="77777777" w:rsidR="005027AB" w:rsidRPr="004A019F" w:rsidRDefault="00264096" w:rsidP="004A019F">
            <w:pPr>
              <w:spacing w:after="0" w:line="240" w:lineRule="auto"/>
              <w:ind w:left="0" w:firstLine="0"/>
              <w:contextualSpacing/>
              <w:rPr>
                <w:lang w:val="sv-SE"/>
              </w:rPr>
            </w:pPr>
            <w:r w:rsidRPr="004A019F">
              <w:rPr>
                <w:lang w:val="sv-SE"/>
              </w:rPr>
              <w:t>DFS Hazard ratio</w:t>
            </w:r>
          </w:p>
          <w:p w14:paraId="6CF0F2A0" w14:textId="2E716ECE" w:rsidR="00662317" w:rsidRPr="004A019F" w:rsidRDefault="00264096" w:rsidP="004A019F">
            <w:pPr>
              <w:spacing w:after="0" w:line="240" w:lineRule="auto"/>
              <w:ind w:left="0" w:firstLine="0"/>
              <w:contextualSpacing/>
              <w:rPr>
                <w:lang w:val="sv-SE"/>
              </w:rPr>
            </w:pPr>
            <w:r w:rsidRPr="004A019F">
              <w:rPr>
                <w:lang w:val="sv-SE"/>
              </w:rPr>
              <w:t>(</w:t>
            </w:r>
            <w:r w:rsidR="00342D88" w:rsidRPr="004A019F">
              <w:rPr>
                <w:lang w:val="sv-SE"/>
              </w:rPr>
              <w:t>95 </w:t>
            </w:r>
            <w:r w:rsidRPr="004A019F">
              <w:rPr>
                <w:lang w:val="sv-SE"/>
              </w:rPr>
              <w:t xml:space="preserve">% KI) </w:t>
            </w:r>
          </w:p>
          <w:p w14:paraId="7298C6CE" w14:textId="77777777" w:rsidR="005027AB" w:rsidRPr="004A019F" w:rsidRDefault="00264096" w:rsidP="004A019F">
            <w:pPr>
              <w:spacing w:after="0" w:line="240" w:lineRule="auto"/>
              <w:ind w:left="0" w:firstLine="0"/>
              <w:contextualSpacing/>
              <w:rPr>
                <w:lang w:val="sv-SE"/>
              </w:rPr>
            </w:pPr>
            <w:r w:rsidRPr="004A019F">
              <w:rPr>
                <w:lang w:val="sv-SE"/>
              </w:rPr>
              <w:t>p-värde</w:t>
            </w:r>
          </w:p>
        </w:tc>
        <w:tc>
          <w:tcPr>
            <w:tcW w:w="1137" w:type="pct"/>
            <w:shd w:val="clear" w:color="auto" w:fill="auto"/>
          </w:tcPr>
          <w:p w14:paraId="6A0FAF37" w14:textId="77777777" w:rsidR="00662317" w:rsidRPr="004A019F" w:rsidRDefault="00662317" w:rsidP="004A019F">
            <w:pPr>
              <w:spacing w:after="0" w:line="240" w:lineRule="auto"/>
              <w:ind w:left="0" w:firstLine="0"/>
              <w:contextualSpacing/>
              <w:jc w:val="center"/>
              <w:rPr>
                <w:lang w:val="sv-SE"/>
              </w:rPr>
            </w:pPr>
          </w:p>
          <w:p w14:paraId="76C1BDD9" w14:textId="77777777" w:rsidR="005027AB" w:rsidRPr="004A019F" w:rsidRDefault="00264096" w:rsidP="004A019F">
            <w:pPr>
              <w:spacing w:after="0" w:line="240" w:lineRule="auto"/>
              <w:ind w:left="0" w:firstLine="0"/>
              <w:contextualSpacing/>
              <w:jc w:val="center"/>
              <w:rPr>
                <w:lang w:val="sv-SE"/>
              </w:rPr>
            </w:pPr>
            <w:r w:rsidRPr="004A019F">
              <w:rPr>
                <w:lang w:val="sv-SE"/>
              </w:rPr>
              <w:t>0,48</w:t>
            </w:r>
          </w:p>
          <w:p w14:paraId="019D2B1E" w14:textId="77777777" w:rsidR="00662317" w:rsidRPr="004A019F" w:rsidRDefault="00264096" w:rsidP="004A019F">
            <w:pPr>
              <w:spacing w:after="0" w:line="240" w:lineRule="auto"/>
              <w:ind w:left="0" w:firstLine="0"/>
              <w:contextualSpacing/>
              <w:jc w:val="center"/>
              <w:rPr>
                <w:lang w:val="sv-SE"/>
              </w:rPr>
            </w:pPr>
            <w:r w:rsidRPr="004A019F">
              <w:rPr>
                <w:lang w:val="sv-SE"/>
              </w:rPr>
              <w:t xml:space="preserve">(0,39, 0,59) </w:t>
            </w:r>
          </w:p>
          <w:p w14:paraId="058BC5FD" w14:textId="6D9C4261" w:rsidR="005027AB" w:rsidRPr="004A019F" w:rsidRDefault="00342D88" w:rsidP="004A019F">
            <w:pPr>
              <w:spacing w:after="0" w:line="240" w:lineRule="auto"/>
              <w:ind w:left="0" w:firstLine="0"/>
              <w:contextualSpacing/>
              <w:jc w:val="center"/>
              <w:rPr>
                <w:lang w:val="sv-SE"/>
              </w:rPr>
            </w:pPr>
            <w:r w:rsidRPr="004A019F">
              <w:rPr>
                <w:lang w:val="sv-SE"/>
              </w:rPr>
              <w:t>p &lt; </w:t>
            </w:r>
            <w:r w:rsidR="00264096" w:rsidRPr="004A019F">
              <w:rPr>
                <w:lang w:val="sv-SE"/>
              </w:rPr>
              <w:t>0,0001</w:t>
            </w:r>
          </w:p>
        </w:tc>
        <w:tc>
          <w:tcPr>
            <w:tcW w:w="1136" w:type="pct"/>
            <w:shd w:val="clear" w:color="auto" w:fill="auto"/>
          </w:tcPr>
          <w:p w14:paraId="5E373534" w14:textId="77777777" w:rsidR="00662317" w:rsidRPr="004A019F" w:rsidRDefault="00662317" w:rsidP="004A019F">
            <w:pPr>
              <w:spacing w:after="0" w:line="240" w:lineRule="auto"/>
              <w:ind w:left="0" w:firstLine="0"/>
              <w:contextualSpacing/>
              <w:jc w:val="center"/>
              <w:rPr>
                <w:lang w:val="sv-SE"/>
              </w:rPr>
            </w:pPr>
          </w:p>
          <w:p w14:paraId="0700FD5E" w14:textId="77777777" w:rsidR="005027AB" w:rsidRPr="004A019F" w:rsidRDefault="00264096" w:rsidP="004A019F">
            <w:pPr>
              <w:spacing w:after="0" w:line="240" w:lineRule="auto"/>
              <w:ind w:left="0" w:firstLine="0"/>
              <w:contextualSpacing/>
              <w:jc w:val="center"/>
              <w:rPr>
                <w:lang w:val="sv-SE"/>
              </w:rPr>
            </w:pPr>
            <w:r w:rsidRPr="004A019F">
              <w:rPr>
                <w:lang w:val="sv-SE"/>
              </w:rPr>
              <w:t>0,61</w:t>
            </w:r>
          </w:p>
          <w:p w14:paraId="4C04C1D6" w14:textId="77777777" w:rsidR="00662317" w:rsidRPr="004A019F" w:rsidRDefault="00264096" w:rsidP="004A019F">
            <w:pPr>
              <w:spacing w:after="0" w:line="240" w:lineRule="auto"/>
              <w:ind w:left="0" w:firstLine="0"/>
              <w:contextualSpacing/>
              <w:jc w:val="center"/>
              <w:rPr>
                <w:lang w:val="sv-SE"/>
              </w:rPr>
            </w:pPr>
            <w:r w:rsidRPr="004A019F">
              <w:rPr>
                <w:lang w:val="sv-SE"/>
              </w:rPr>
              <w:t xml:space="preserve">(0,49, 0,77) </w:t>
            </w:r>
          </w:p>
          <w:p w14:paraId="6D8CFB8B" w14:textId="04DE7A3F" w:rsidR="005027AB" w:rsidRPr="004A019F" w:rsidRDefault="00342D88" w:rsidP="004A019F">
            <w:pPr>
              <w:spacing w:after="0" w:line="240" w:lineRule="auto"/>
              <w:ind w:left="0" w:firstLine="0"/>
              <w:contextualSpacing/>
              <w:jc w:val="center"/>
              <w:rPr>
                <w:lang w:val="sv-SE"/>
              </w:rPr>
            </w:pPr>
            <w:r w:rsidRPr="004A019F">
              <w:rPr>
                <w:lang w:val="sv-SE"/>
              </w:rPr>
              <w:t>p &lt; </w:t>
            </w:r>
            <w:r w:rsidR="00264096" w:rsidRPr="004A019F">
              <w:rPr>
                <w:lang w:val="sv-SE"/>
              </w:rPr>
              <w:t>0,0001</w:t>
            </w:r>
          </w:p>
        </w:tc>
        <w:tc>
          <w:tcPr>
            <w:tcW w:w="1137" w:type="pct"/>
            <w:shd w:val="clear" w:color="auto" w:fill="auto"/>
          </w:tcPr>
          <w:p w14:paraId="549AE44D" w14:textId="77777777" w:rsidR="00662317" w:rsidRPr="004A019F" w:rsidRDefault="00662317" w:rsidP="004A019F">
            <w:pPr>
              <w:spacing w:after="0" w:line="240" w:lineRule="auto"/>
              <w:ind w:left="0" w:firstLine="0"/>
              <w:contextualSpacing/>
              <w:jc w:val="center"/>
              <w:rPr>
                <w:lang w:val="sv-SE"/>
              </w:rPr>
            </w:pPr>
          </w:p>
          <w:p w14:paraId="553551E3" w14:textId="77777777" w:rsidR="005027AB" w:rsidRPr="004A019F" w:rsidRDefault="00264096" w:rsidP="004A019F">
            <w:pPr>
              <w:spacing w:after="0" w:line="240" w:lineRule="auto"/>
              <w:ind w:left="0" w:firstLine="0"/>
              <w:contextualSpacing/>
              <w:jc w:val="center"/>
              <w:rPr>
                <w:lang w:val="sv-SE"/>
              </w:rPr>
            </w:pPr>
            <w:r w:rsidRPr="004A019F">
              <w:rPr>
                <w:lang w:val="sv-SE"/>
              </w:rPr>
              <w:t>0,67</w:t>
            </w:r>
          </w:p>
          <w:p w14:paraId="79934B3A" w14:textId="77777777" w:rsidR="00662317" w:rsidRPr="004A019F" w:rsidRDefault="00264096" w:rsidP="004A019F">
            <w:pPr>
              <w:spacing w:after="0" w:line="240" w:lineRule="auto"/>
              <w:ind w:left="0" w:firstLine="0"/>
              <w:contextualSpacing/>
              <w:jc w:val="center"/>
              <w:rPr>
                <w:lang w:val="sv-SE"/>
              </w:rPr>
            </w:pPr>
            <w:r w:rsidRPr="004A019F">
              <w:rPr>
                <w:lang w:val="sv-SE"/>
              </w:rPr>
              <w:t xml:space="preserve">(0,54, 0,83) </w:t>
            </w:r>
          </w:p>
          <w:p w14:paraId="22B9E124" w14:textId="2A1A31D5" w:rsidR="005027AB" w:rsidRPr="004A019F" w:rsidRDefault="00342D88" w:rsidP="004A019F">
            <w:pPr>
              <w:spacing w:after="0" w:line="240" w:lineRule="auto"/>
              <w:ind w:left="0" w:firstLine="0"/>
              <w:contextualSpacing/>
              <w:jc w:val="center"/>
              <w:rPr>
                <w:lang w:val="sv-SE"/>
              </w:rPr>
            </w:pPr>
            <w:r w:rsidRPr="004A019F">
              <w:rPr>
                <w:lang w:val="sv-SE"/>
              </w:rPr>
              <w:t>p = </w:t>
            </w:r>
            <w:r w:rsidR="00264096" w:rsidRPr="004A019F">
              <w:rPr>
                <w:lang w:val="sv-SE"/>
              </w:rPr>
              <w:t>0,0003</w:t>
            </w:r>
          </w:p>
        </w:tc>
      </w:tr>
      <w:tr w:rsidR="00AD14F8" w:rsidRPr="00A74CC6" w14:paraId="4DC332C2" w14:textId="77777777" w:rsidTr="004A019F">
        <w:trPr>
          <w:trHeight w:val="1020"/>
        </w:trPr>
        <w:tc>
          <w:tcPr>
            <w:tcW w:w="1591" w:type="pct"/>
            <w:shd w:val="clear" w:color="auto" w:fill="auto"/>
          </w:tcPr>
          <w:p w14:paraId="7EE333CA" w14:textId="77777777" w:rsidR="005027AB" w:rsidRPr="004A019F" w:rsidRDefault="00264096" w:rsidP="004A019F">
            <w:pPr>
              <w:spacing w:after="0" w:line="240" w:lineRule="auto"/>
              <w:ind w:left="0" w:firstLine="0"/>
              <w:contextualSpacing/>
              <w:rPr>
                <w:lang w:val="sv-SE"/>
              </w:rPr>
            </w:pPr>
            <w:r w:rsidRPr="004A019F">
              <w:rPr>
                <w:lang w:val="sv-SE"/>
              </w:rPr>
              <w:t>Långtidsuppföljande effektanalys**</w:t>
            </w:r>
          </w:p>
          <w:p w14:paraId="6D46BDE6" w14:textId="77777777" w:rsidR="005027AB" w:rsidRPr="004A019F" w:rsidRDefault="00264096" w:rsidP="004A019F">
            <w:pPr>
              <w:spacing w:after="0" w:line="240" w:lineRule="auto"/>
              <w:ind w:left="0" w:firstLine="0"/>
              <w:contextualSpacing/>
              <w:rPr>
                <w:lang w:val="sv-SE"/>
              </w:rPr>
            </w:pPr>
            <w:r w:rsidRPr="004A019F">
              <w:rPr>
                <w:lang w:val="sv-SE"/>
              </w:rPr>
              <w:t>DFS Hazard ratio</w:t>
            </w:r>
          </w:p>
          <w:p w14:paraId="4DF00196" w14:textId="49F68D1F" w:rsidR="00662317" w:rsidRPr="004A019F" w:rsidRDefault="00264096" w:rsidP="004A019F">
            <w:pPr>
              <w:spacing w:after="0" w:line="240" w:lineRule="auto"/>
              <w:ind w:left="0" w:firstLine="0"/>
              <w:contextualSpacing/>
              <w:rPr>
                <w:lang w:val="sv-SE"/>
              </w:rPr>
            </w:pPr>
            <w:r w:rsidRPr="004A019F">
              <w:rPr>
                <w:lang w:val="sv-SE"/>
              </w:rPr>
              <w:t>(95</w:t>
            </w:r>
            <w:r w:rsidR="00342D88" w:rsidRPr="004A019F">
              <w:rPr>
                <w:lang w:val="sv-SE"/>
              </w:rPr>
              <w:t> </w:t>
            </w:r>
            <w:r w:rsidRPr="004A019F">
              <w:rPr>
                <w:lang w:val="sv-SE"/>
              </w:rPr>
              <w:t xml:space="preserve">% KI) </w:t>
            </w:r>
          </w:p>
          <w:p w14:paraId="0B79BA07" w14:textId="77777777" w:rsidR="005027AB" w:rsidRPr="004A019F" w:rsidRDefault="00264096" w:rsidP="004A019F">
            <w:pPr>
              <w:spacing w:after="0" w:line="240" w:lineRule="auto"/>
              <w:ind w:left="0" w:firstLine="0"/>
              <w:contextualSpacing/>
              <w:rPr>
                <w:lang w:val="sv-SE"/>
              </w:rPr>
            </w:pPr>
            <w:r w:rsidRPr="004A019F">
              <w:rPr>
                <w:lang w:val="sv-SE"/>
              </w:rPr>
              <w:t>p-värde</w:t>
            </w:r>
          </w:p>
        </w:tc>
        <w:tc>
          <w:tcPr>
            <w:tcW w:w="1137" w:type="pct"/>
            <w:shd w:val="clear" w:color="auto" w:fill="auto"/>
          </w:tcPr>
          <w:p w14:paraId="57E24C8C" w14:textId="77777777" w:rsidR="00662317" w:rsidRPr="004A019F" w:rsidRDefault="00662317" w:rsidP="004A019F">
            <w:pPr>
              <w:spacing w:after="0" w:line="240" w:lineRule="auto"/>
              <w:ind w:left="0" w:firstLine="0"/>
              <w:contextualSpacing/>
              <w:jc w:val="center"/>
              <w:rPr>
                <w:lang w:val="sv-SE"/>
              </w:rPr>
            </w:pPr>
          </w:p>
          <w:p w14:paraId="1F9F84EE" w14:textId="77777777" w:rsidR="00662317" w:rsidRPr="004A019F" w:rsidRDefault="00662317" w:rsidP="004A019F">
            <w:pPr>
              <w:spacing w:after="0" w:line="240" w:lineRule="auto"/>
              <w:ind w:left="0" w:firstLine="0"/>
              <w:contextualSpacing/>
              <w:jc w:val="center"/>
              <w:rPr>
                <w:lang w:val="sv-SE"/>
              </w:rPr>
            </w:pPr>
          </w:p>
          <w:p w14:paraId="45BB71C8" w14:textId="77777777" w:rsidR="005027AB" w:rsidRPr="004A019F" w:rsidRDefault="00264096" w:rsidP="004A019F">
            <w:pPr>
              <w:spacing w:after="0" w:line="240" w:lineRule="auto"/>
              <w:ind w:left="0" w:firstLine="0"/>
              <w:contextualSpacing/>
              <w:jc w:val="center"/>
              <w:rPr>
                <w:lang w:val="sv-SE"/>
              </w:rPr>
            </w:pPr>
            <w:r w:rsidRPr="004A019F">
              <w:rPr>
                <w:lang w:val="sv-SE"/>
              </w:rPr>
              <w:t>0,61</w:t>
            </w:r>
          </w:p>
          <w:p w14:paraId="4308DEE5" w14:textId="77777777" w:rsidR="00662317" w:rsidRPr="004A019F" w:rsidRDefault="00264096" w:rsidP="004A019F">
            <w:pPr>
              <w:spacing w:after="0" w:line="240" w:lineRule="auto"/>
              <w:ind w:left="0" w:firstLine="0"/>
              <w:contextualSpacing/>
              <w:jc w:val="center"/>
              <w:rPr>
                <w:lang w:val="sv-SE"/>
              </w:rPr>
            </w:pPr>
            <w:r w:rsidRPr="004A019F">
              <w:rPr>
                <w:lang w:val="sv-SE"/>
              </w:rPr>
              <w:t xml:space="preserve">(0,54, 0,69) </w:t>
            </w:r>
          </w:p>
          <w:p w14:paraId="465BDDD8" w14:textId="17BD0154" w:rsidR="005027AB" w:rsidRPr="004A019F" w:rsidRDefault="00342D88" w:rsidP="004A019F">
            <w:pPr>
              <w:spacing w:after="0" w:line="240" w:lineRule="auto"/>
              <w:ind w:left="0" w:firstLine="0"/>
              <w:contextualSpacing/>
              <w:jc w:val="center"/>
              <w:rPr>
                <w:lang w:val="sv-SE"/>
              </w:rPr>
            </w:pPr>
            <w:r w:rsidRPr="004A019F">
              <w:rPr>
                <w:lang w:val="sv-SE"/>
              </w:rPr>
              <w:t>p &lt; </w:t>
            </w:r>
            <w:r w:rsidR="00264096" w:rsidRPr="004A019F">
              <w:rPr>
                <w:lang w:val="sv-SE"/>
              </w:rPr>
              <w:t>0,0001</w:t>
            </w:r>
          </w:p>
        </w:tc>
        <w:tc>
          <w:tcPr>
            <w:tcW w:w="1136" w:type="pct"/>
            <w:shd w:val="clear" w:color="auto" w:fill="auto"/>
          </w:tcPr>
          <w:p w14:paraId="4D5A7B76" w14:textId="77777777" w:rsidR="00662317" w:rsidRPr="004A019F" w:rsidRDefault="00662317" w:rsidP="004A019F">
            <w:pPr>
              <w:spacing w:after="0" w:line="240" w:lineRule="auto"/>
              <w:ind w:left="0" w:firstLine="0"/>
              <w:contextualSpacing/>
              <w:jc w:val="center"/>
              <w:rPr>
                <w:lang w:val="sv-SE"/>
              </w:rPr>
            </w:pPr>
          </w:p>
          <w:p w14:paraId="233F4F76" w14:textId="77777777" w:rsidR="00662317" w:rsidRPr="004A019F" w:rsidRDefault="00662317" w:rsidP="004A019F">
            <w:pPr>
              <w:spacing w:after="0" w:line="240" w:lineRule="auto"/>
              <w:ind w:left="0" w:firstLine="0"/>
              <w:contextualSpacing/>
              <w:jc w:val="center"/>
              <w:rPr>
                <w:lang w:val="sv-SE"/>
              </w:rPr>
            </w:pPr>
          </w:p>
          <w:p w14:paraId="4ED8236E" w14:textId="77777777" w:rsidR="005027AB" w:rsidRPr="004A019F" w:rsidRDefault="00264096" w:rsidP="004A019F">
            <w:pPr>
              <w:spacing w:after="0" w:line="240" w:lineRule="auto"/>
              <w:ind w:left="0" w:firstLine="0"/>
              <w:contextualSpacing/>
              <w:jc w:val="center"/>
              <w:rPr>
                <w:lang w:val="sv-SE"/>
              </w:rPr>
            </w:pPr>
            <w:r w:rsidRPr="004A019F">
              <w:rPr>
                <w:lang w:val="sv-SE"/>
              </w:rPr>
              <w:t>0,72</w:t>
            </w:r>
          </w:p>
          <w:p w14:paraId="54D40A54" w14:textId="77777777" w:rsidR="00662317" w:rsidRPr="004A019F" w:rsidRDefault="00264096" w:rsidP="004A019F">
            <w:pPr>
              <w:spacing w:after="0" w:line="240" w:lineRule="auto"/>
              <w:ind w:left="0" w:firstLine="0"/>
              <w:contextualSpacing/>
              <w:jc w:val="center"/>
              <w:rPr>
                <w:lang w:val="sv-SE"/>
              </w:rPr>
            </w:pPr>
            <w:r w:rsidRPr="004A019F">
              <w:rPr>
                <w:lang w:val="sv-SE"/>
              </w:rPr>
              <w:t xml:space="preserve">(0,61, 0,85) </w:t>
            </w:r>
          </w:p>
          <w:p w14:paraId="659D0A69" w14:textId="2246EF65" w:rsidR="005027AB" w:rsidRPr="004A019F" w:rsidRDefault="00342D88" w:rsidP="004A019F">
            <w:pPr>
              <w:spacing w:after="0" w:line="240" w:lineRule="auto"/>
              <w:ind w:left="0" w:firstLine="0"/>
              <w:contextualSpacing/>
              <w:jc w:val="center"/>
              <w:rPr>
                <w:lang w:val="sv-SE"/>
              </w:rPr>
            </w:pPr>
            <w:r w:rsidRPr="004A019F">
              <w:rPr>
                <w:lang w:val="sv-SE"/>
              </w:rPr>
              <w:t>p &lt; </w:t>
            </w:r>
            <w:r w:rsidR="00264096" w:rsidRPr="004A019F">
              <w:rPr>
                <w:lang w:val="sv-SE"/>
              </w:rPr>
              <w:t>0,0001</w:t>
            </w:r>
          </w:p>
        </w:tc>
        <w:tc>
          <w:tcPr>
            <w:tcW w:w="1137" w:type="pct"/>
            <w:shd w:val="clear" w:color="auto" w:fill="auto"/>
          </w:tcPr>
          <w:p w14:paraId="54A54C70" w14:textId="77777777" w:rsidR="00662317" w:rsidRPr="004A019F" w:rsidRDefault="00662317" w:rsidP="004A019F">
            <w:pPr>
              <w:spacing w:after="0" w:line="240" w:lineRule="auto"/>
              <w:ind w:left="0" w:firstLine="0"/>
              <w:contextualSpacing/>
              <w:jc w:val="center"/>
              <w:rPr>
                <w:lang w:val="sv-SE"/>
              </w:rPr>
            </w:pPr>
          </w:p>
          <w:p w14:paraId="64724CE9" w14:textId="77777777" w:rsidR="00662317" w:rsidRPr="004A019F" w:rsidRDefault="00662317" w:rsidP="004A019F">
            <w:pPr>
              <w:spacing w:after="0" w:line="240" w:lineRule="auto"/>
              <w:ind w:left="0" w:firstLine="0"/>
              <w:contextualSpacing/>
              <w:jc w:val="center"/>
              <w:rPr>
                <w:lang w:val="sv-SE"/>
              </w:rPr>
            </w:pPr>
          </w:p>
          <w:p w14:paraId="0FFD79E3" w14:textId="77777777" w:rsidR="005027AB" w:rsidRPr="004A019F" w:rsidRDefault="00264096" w:rsidP="004A019F">
            <w:pPr>
              <w:spacing w:after="0" w:line="240" w:lineRule="auto"/>
              <w:ind w:left="0" w:firstLine="0"/>
              <w:contextualSpacing/>
              <w:jc w:val="center"/>
              <w:rPr>
                <w:lang w:val="sv-SE"/>
              </w:rPr>
            </w:pPr>
            <w:r w:rsidRPr="004A019F">
              <w:rPr>
                <w:lang w:val="sv-SE"/>
              </w:rPr>
              <w:t>0,77</w:t>
            </w:r>
          </w:p>
          <w:p w14:paraId="0A39BAE1" w14:textId="77777777" w:rsidR="00662317" w:rsidRPr="004A019F" w:rsidRDefault="00264096" w:rsidP="004A019F">
            <w:pPr>
              <w:spacing w:after="0" w:line="240" w:lineRule="auto"/>
              <w:ind w:left="0" w:firstLine="0"/>
              <w:contextualSpacing/>
              <w:jc w:val="center"/>
              <w:rPr>
                <w:lang w:val="sv-SE"/>
              </w:rPr>
            </w:pPr>
            <w:r w:rsidRPr="004A019F">
              <w:rPr>
                <w:lang w:val="sv-SE"/>
              </w:rPr>
              <w:t xml:space="preserve">(0,65, 0,90) </w:t>
            </w:r>
          </w:p>
          <w:p w14:paraId="63C3132B" w14:textId="23A352DD" w:rsidR="005027AB" w:rsidRPr="004A019F" w:rsidRDefault="00342D88" w:rsidP="004A019F">
            <w:pPr>
              <w:spacing w:after="0" w:line="240" w:lineRule="auto"/>
              <w:ind w:left="0" w:firstLine="0"/>
              <w:contextualSpacing/>
              <w:jc w:val="center"/>
              <w:rPr>
                <w:lang w:val="sv-SE"/>
              </w:rPr>
            </w:pPr>
            <w:r w:rsidRPr="004A019F">
              <w:rPr>
                <w:lang w:val="sv-SE"/>
              </w:rPr>
              <w:t>p = </w:t>
            </w:r>
            <w:r w:rsidR="00264096" w:rsidRPr="004A019F">
              <w:rPr>
                <w:lang w:val="sv-SE"/>
              </w:rPr>
              <w:t>0,0011</w:t>
            </w:r>
          </w:p>
        </w:tc>
      </w:tr>
      <w:tr w:rsidR="00AD14F8" w:rsidRPr="00A74CC6" w14:paraId="0506A3C0" w14:textId="77777777" w:rsidTr="004A019F">
        <w:trPr>
          <w:trHeight w:val="1247"/>
        </w:trPr>
        <w:tc>
          <w:tcPr>
            <w:tcW w:w="1591" w:type="pct"/>
            <w:shd w:val="clear" w:color="auto" w:fill="auto"/>
          </w:tcPr>
          <w:p w14:paraId="547F2A05" w14:textId="0908BE88" w:rsidR="005027AB" w:rsidRPr="004A019F" w:rsidRDefault="00264096" w:rsidP="004A019F">
            <w:pPr>
              <w:spacing w:after="0" w:line="240" w:lineRule="auto"/>
              <w:ind w:left="0" w:firstLine="0"/>
              <w:contextualSpacing/>
              <w:rPr>
                <w:lang w:val="sv-SE"/>
              </w:rPr>
            </w:pPr>
            <w:r w:rsidRPr="004A019F">
              <w:rPr>
                <w:lang w:val="sv-SE"/>
              </w:rPr>
              <w:t>Exploratorisk post</w:t>
            </w:r>
            <w:r w:rsidR="00031568" w:rsidRPr="004A019F">
              <w:rPr>
                <w:lang w:val="sv-SE"/>
              </w:rPr>
              <w:t> </w:t>
            </w:r>
            <w:r w:rsidRPr="004A019F">
              <w:rPr>
                <w:lang w:val="sv-SE"/>
              </w:rPr>
              <w:t>hoc</w:t>
            </w:r>
            <w:r w:rsidR="00F017AA" w:rsidRPr="004A019F">
              <w:rPr>
                <w:lang w:val="sv-SE"/>
              </w:rPr>
              <w:t>-</w:t>
            </w:r>
            <w:r w:rsidRPr="004A019F">
              <w:rPr>
                <w:lang w:val="sv-SE"/>
              </w:rPr>
              <w:t>analys med DFS och symtomatiska hjärthändelser</w:t>
            </w:r>
          </w:p>
          <w:p w14:paraId="2D7BF116" w14:textId="2F820D65" w:rsidR="00662317" w:rsidRPr="004A019F" w:rsidRDefault="00264096" w:rsidP="004A019F">
            <w:pPr>
              <w:spacing w:after="0" w:line="240" w:lineRule="auto"/>
              <w:ind w:left="0" w:firstLine="0"/>
              <w:contextualSpacing/>
              <w:rPr>
                <w:lang w:val="sv-SE"/>
              </w:rPr>
            </w:pPr>
            <w:r w:rsidRPr="004A019F">
              <w:rPr>
                <w:lang w:val="sv-SE"/>
              </w:rPr>
              <w:t>Långtidsuppföljning</w:t>
            </w:r>
            <w:r w:rsidR="00F37A3A" w:rsidRPr="004A019F">
              <w:rPr>
                <w:vertAlign w:val="superscript"/>
                <w:lang w:eastAsia="en-GB"/>
              </w:rPr>
              <w:t>**</w:t>
            </w:r>
          </w:p>
          <w:p w14:paraId="06DCA8B8" w14:textId="2B48B90E" w:rsidR="005027AB" w:rsidRPr="004A019F" w:rsidRDefault="00264096" w:rsidP="004A019F">
            <w:pPr>
              <w:spacing w:after="0" w:line="240" w:lineRule="auto"/>
              <w:ind w:left="0" w:firstLine="0"/>
              <w:contextualSpacing/>
              <w:rPr>
                <w:lang w:val="sv-SE"/>
              </w:rPr>
            </w:pPr>
            <w:r w:rsidRPr="004A019F">
              <w:rPr>
                <w:lang w:val="sv-SE"/>
              </w:rPr>
              <w:t>(95</w:t>
            </w:r>
            <w:r w:rsidR="00342D88" w:rsidRPr="004A019F">
              <w:rPr>
                <w:lang w:val="sv-SE"/>
              </w:rPr>
              <w:t> </w:t>
            </w:r>
            <w:r w:rsidRPr="004A019F">
              <w:rPr>
                <w:lang w:val="sv-SE"/>
              </w:rPr>
              <w:t>% KI)</w:t>
            </w:r>
          </w:p>
        </w:tc>
        <w:tc>
          <w:tcPr>
            <w:tcW w:w="1137" w:type="pct"/>
            <w:shd w:val="clear" w:color="auto" w:fill="auto"/>
          </w:tcPr>
          <w:p w14:paraId="5A415882" w14:textId="77777777" w:rsidR="00662317" w:rsidRPr="004A019F" w:rsidRDefault="00662317" w:rsidP="004A019F">
            <w:pPr>
              <w:spacing w:after="0" w:line="240" w:lineRule="auto"/>
              <w:ind w:left="0" w:firstLine="0"/>
              <w:contextualSpacing/>
              <w:jc w:val="center"/>
              <w:rPr>
                <w:lang w:val="sv-SE"/>
              </w:rPr>
            </w:pPr>
          </w:p>
          <w:p w14:paraId="17ED5FE0" w14:textId="77777777" w:rsidR="00662317" w:rsidRPr="004A019F" w:rsidRDefault="00662317" w:rsidP="004A019F">
            <w:pPr>
              <w:spacing w:after="0" w:line="240" w:lineRule="auto"/>
              <w:ind w:left="0" w:firstLine="0"/>
              <w:contextualSpacing/>
              <w:jc w:val="center"/>
              <w:rPr>
                <w:lang w:val="sv-SE"/>
              </w:rPr>
            </w:pPr>
          </w:p>
          <w:p w14:paraId="0883D664" w14:textId="77777777" w:rsidR="00662317" w:rsidRPr="004A019F" w:rsidRDefault="00662317" w:rsidP="004A019F">
            <w:pPr>
              <w:spacing w:after="0" w:line="240" w:lineRule="auto"/>
              <w:ind w:left="0" w:firstLine="0"/>
              <w:contextualSpacing/>
              <w:jc w:val="center"/>
              <w:rPr>
                <w:lang w:val="sv-SE"/>
              </w:rPr>
            </w:pPr>
          </w:p>
          <w:p w14:paraId="44C46EC7" w14:textId="77777777" w:rsidR="00662317" w:rsidRPr="004A019F" w:rsidRDefault="00264096" w:rsidP="004A019F">
            <w:pPr>
              <w:spacing w:after="0" w:line="240" w:lineRule="auto"/>
              <w:ind w:left="0" w:firstLine="0"/>
              <w:contextualSpacing/>
              <w:jc w:val="center"/>
              <w:rPr>
                <w:lang w:val="sv-SE"/>
              </w:rPr>
            </w:pPr>
            <w:r w:rsidRPr="004A019F">
              <w:rPr>
                <w:lang w:val="sv-SE"/>
              </w:rPr>
              <w:t xml:space="preserve">0,67 </w:t>
            </w:r>
          </w:p>
          <w:p w14:paraId="3EDAA7D4" w14:textId="77777777" w:rsidR="005027AB" w:rsidRPr="004A019F" w:rsidRDefault="00264096" w:rsidP="004A019F">
            <w:pPr>
              <w:spacing w:after="0" w:line="240" w:lineRule="auto"/>
              <w:ind w:left="0" w:firstLine="0"/>
              <w:contextualSpacing/>
              <w:jc w:val="center"/>
              <w:rPr>
                <w:lang w:val="sv-SE"/>
              </w:rPr>
            </w:pPr>
            <w:r w:rsidRPr="004A019F">
              <w:rPr>
                <w:lang w:val="sv-SE"/>
              </w:rPr>
              <w:t>(0,60, 0,75)</w:t>
            </w:r>
          </w:p>
        </w:tc>
        <w:tc>
          <w:tcPr>
            <w:tcW w:w="1136" w:type="pct"/>
            <w:shd w:val="clear" w:color="auto" w:fill="auto"/>
          </w:tcPr>
          <w:p w14:paraId="65653A31" w14:textId="77777777" w:rsidR="00662317" w:rsidRPr="004A019F" w:rsidRDefault="00662317" w:rsidP="004A019F">
            <w:pPr>
              <w:spacing w:after="0" w:line="240" w:lineRule="auto"/>
              <w:ind w:left="0" w:firstLine="0"/>
              <w:contextualSpacing/>
              <w:jc w:val="center"/>
              <w:rPr>
                <w:lang w:val="sv-SE"/>
              </w:rPr>
            </w:pPr>
          </w:p>
          <w:p w14:paraId="77766342" w14:textId="77777777" w:rsidR="00662317" w:rsidRPr="004A019F" w:rsidRDefault="00662317" w:rsidP="004A019F">
            <w:pPr>
              <w:spacing w:after="0" w:line="240" w:lineRule="auto"/>
              <w:ind w:left="0" w:firstLine="0"/>
              <w:contextualSpacing/>
              <w:jc w:val="center"/>
              <w:rPr>
                <w:lang w:val="sv-SE"/>
              </w:rPr>
            </w:pPr>
          </w:p>
          <w:p w14:paraId="13CAC5AD" w14:textId="77777777" w:rsidR="00662317" w:rsidRPr="004A019F" w:rsidRDefault="00662317" w:rsidP="004A019F">
            <w:pPr>
              <w:spacing w:after="0" w:line="240" w:lineRule="auto"/>
              <w:ind w:left="0" w:firstLine="0"/>
              <w:contextualSpacing/>
              <w:jc w:val="center"/>
              <w:rPr>
                <w:lang w:val="sv-SE"/>
              </w:rPr>
            </w:pPr>
          </w:p>
          <w:p w14:paraId="650E4A7F" w14:textId="77777777" w:rsidR="00662317" w:rsidRPr="004A019F" w:rsidRDefault="00264096" w:rsidP="004A019F">
            <w:pPr>
              <w:spacing w:after="0" w:line="240" w:lineRule="auto"/>
              <w:ind w:left="0" w:firstLine="0"/>
              <w:contextualSpacing/>
              <w:jc w:val="center"/>
              <w:rPr>
                <w:lang w:val="sv-SE"/>
              </w:rPr>
            </w:pPr>
            <w:r w:rsidRPr="004A019F">
              <w:rPr>
                <w:lang w:val="sv-SE"/>
              </w:rPr>
              <w:t xml:space="preserve">0,77 </w:t>
            </w:r>
          </w:p>
          <w:p w14:paraId="704CE35E" w14:textId="77777777" w:rsidR="005027AB" w:rsidRPr="004A019F" w:rsidRDefault="00264096" w:rsidP="004A019F">
            <w:pPr>
              <w:spacing w:after="0" w:line="240" w:lineRule="auto"/>
              <w:ind w:left="0" w:firstLine="0"/>
              <w:contextualSpacing/>
              <w:jc w:val="center"/>
              <w:rPr>
                <w:lang w:val="sv-SE"/>
              </w:rPr>
            </w:pPr>
            <w:r w:rsidRPr="004A019F">
              <w:rPr>
                <w:lang w:val="sv-SE"/>
              </w:rPr>
              <w:t>(0,66, 0,90)</w:t>
            </w:r>
          </w:p>
        </w:tc>
        <w:tc>
          <w:tcPr>
            <w:tcW w:w="1137" w:type="pct"/>
            <w:shd w:val="clear" w:color="auto" w:fill="auto"/>
          </w:tcPr>
          <w:p w14:paraId="50BB894E" w14:textId="77777777" w:rsidR="00662317" w:rsidRPr="004A019F" w:rsidRDefault="00662317" w:rsidP="004A019F">
            <w:pPr>
              <w:spacing w:after="0" w:line="240" w:lineRule="auto"/>
              <w:ind w:left="0" w:firstLine="0"/>
              <w:contextualSpacing/>
              <w:jc w:val="center"/>
              <w:rPr>
                <w:lang w:val="sv-SE"/>
              </w:rPr>
            </w:pPr>
          </w:p>
          <w:p w14:paraId="458F4E6D" w14:textId="77777777" w:rsidR="00662317" w:rsidRPr="004A019F" w:rsidRDefault="00662317" w:rsidP="004A019F">
            <w:pPr>
              <w:spacing w:after="0" w:line="240" w:lineRule="auto"/>
              <w:ind w:left="0" w:firstLine="0"/>
              <w:contextualSpacing/>
              <w:jc w:val="center"/>
              <w:rPr>
                <w:lang w:val="sv-SE"/>
              </w:rPr>
            </w:pPr>
          </w:p>
          <w:p w14:paraId="25C08451" w14:textId="77777777" w:rsidR="00662317" w:rsidRPr="004A019F" w:rsidRDefault="00662317" w:rsidP="004A019F">
            <w:pPr>
              <w:spacing w:after="0" w:line="240" w:lineRule="auto"/>
              <w:ind w:left="0" w:firstLine="0"/>
              <w:contextualSpacing/>
              <w:jc w:val="center"/>
              <w:rPr>
                <w:lang w:val="sv-SE"/>
              </w:rPr>
            </w:pPr>
          </w:p>
          <w:p w14:paraId="65A0CD4C" w14:textId="77777777" w:rsidR="00662317" w:rsidRPr="004A019F" w:rsidRDefault="00264096" w:rsidP="004A019F">
            <w:pPr>
              <w:spacing w:after="0" w:line="240" w:lineRule="auto"/>
              <w:ind w:left="0" w:firstLine="0"/>
              <w:contextualSpacing/>
              <w:jc w:val="center"/>
              <w:rPr>
                <w:lang w:val="sv-SE"/>
              </w:rPr>
            </w:pPr>
            <w:r w:rsidRPr="004A019F">
              <w:rPr>
                <w:lang w:val="sv-SE"/>
              </w:rPr>
              <w:t xml:space="preserve">0,77 </w:t>
            </w:r>
          </w:p>
          <w:p w14:paraId="64F0CD73" w14:textId="77777777" w:rsidR="005027AB" w:rsidRPr="004A019F" w:rsidRDefault="00264096" w:rsidP="004A019F">
            <w:pPr>
              <w:spacing w:after="0" w:line="240" w:lineRule="auto"/>
              <w:ind w:left="0" w:firstLine="0"/>
              <w:contextualSpacing/>
              <w:jc w:val="center"/>
              <w:rPr>
                <w:lang w:val="sv-SE"/>
              </w:rPr>
            </w:pPr>
            <w:r w:rsidRPr="004A019F">
              <w:rPr>
                <w:lang w:val="sv-SE"/>
              </w:rPr>
              <w:t>(0,66, 0,90)</w:t>
            </w:r>
          </w:p>
        </w:tc>
      </w:tr>
    </w:tbl>
    <w:p w14:paraId="6AC4B099" w14:textId="77777777" w:rsidR="002569ED" w:rsidRPr="00472A6C" w:rsidRDefault="00264096" w:rsidP="00662317">
      <w:pPr>
        <w:spacing w:after="0" w:line="240" w:lineRule="auto"/>
        <w:ind w:left="0" w:firstLine="0"/>
        <w:contextualSpacing/>
        <w:rPr>
          <w:sz w:val="20"/>
        </w:rPr>
      </w:pPr>
      <w:r w:rsidRPr="00472A6C">
        <w:rPr>
          <w:sz w:val="20"/>
        </w:rPr>
        <w:t xml:space="preserve">A: doxorubicin; C: </w:t>
      </w:r>
      <w:proofErr w:type="spellStart"/>
      <w:r w:rsidRPr="00472A6C">
        <w:rPr>
          <w:sz w:val="20"/>
        </w:rPr>
        <w:t>cyklofosfamid</w:t>
      </w:r>
      <w:proofErr w:type="spellEnd"/>
      <w:r w:rsidRPr="00472A6C">
        <w:rPr>
          <w:sz w:val="20"/>
        </w:rPr>
        <w:t xml:space="preserve">; P: </w:t>
      </w:r>
      <w:proofErr w:type="spellStart"/>
      <w:r w:rsidRPr="00472A6C">
        <w:rPr>
          <w:sz w:val="20"/>
        </w:rPr>
        <w:t>paklitaxel</w:t>
      </w:r>
      <w:proofErr w:type="spellEnd"/>
      <w:r w:rsidRPr="00472A6C">
        <w:rPr>
          <w:sz w:val="20"/>
        </w:rPr>
        <w:t xml:space="preserve">; D: docetaxel; Karb: </w:t>
      </w:r>
      <w:proofErr w:type="spellStart"/>
      <w:r w:rsidRPr="00472A6C">
        <w:rPr>
          <w:sz w:val="20"/>
        </w:rPr>
        <w:t>karboplatin</w:t>
      </w:r>
      <w:proofErr w:type="spellEnd"/>
      <w:r w:rsidRPr="00472A6C">
        <w:rPr>
          <w:sz w:val="20"/>
        </w:rPr>
        <w:t xml:space="preserve">; H: trastuzumab KI = </w:t>
      </w:r>
      <w:proofErr w:type="spellStart"/>
      <w:r w:rsidRPr="00472A6C">
        <w:rPr>
          <w:sz w:val="20"/>
        </w:rPr>
        <w:t>konfidensintervall</w:t>
      </w:r>
      <w:proofErr w:type="spellEnd"/>
    </w:p>
    <w:p w14:paraId="16B7D219" w14:textId="5755ED84" w:rsidR="005027AB" w:rsidRPr="00A74CC6" w:rsidRDefault="00264096" w:rsidP="00662317">
      <w:pPr>
        <w:spacing w:after="0" w:line="240" w:lineRule="auto"/>
        <w:ind w:left="0" w:firstLine="0"/>
        <w:contextualSpacing/>
        <w:rPr>
          <w:lang w:val="sv-SE"/>
        </w:rPr>
      </w:pPr>
      <w:r w:rsidRPr="00A74CC6">
        <w:rPr>
          <w:sz w:val="20"/>
          <w:lang w:val="sv-SE"/>
        </w:rPr>
        <w:t>* Vid tiden för definitiv analys av sjukdomsfri öv</w:t>
      </w:r>
      <w:r w:rsidR="007D3C64" w:rsidRPr="00A74CC6">
        <w:rPr>
          <w:sz w:val="20"/>
          <w:lang w:val="sv-SE"/>
        </w:rPr>
        <w:t xml:space="preserve">erlevnad (DFS). </w:t>
      </w:r>
      <w:r w:rsidRPr="00A74CC6">
        <w:rPr>
          <w:sz w:val="20"/>
          <w:lang w:val="sv-SE"/>
        </w:rPr>
        <w:t>Medianduration för uppföljning var 1,8</w:t>
      </w:r>
      <w:r w:rsidR="00F017AA" w:rsidRPr="00A74CC6">
        <w:rPr>
          <w:sz w:val="20"/>
          <w:lang w:val="sv-SE"/>
        </w:rPr>
        <w:t> </w:t>
      </w:r>
      <w:r w:rsidRPr="00A74CC6">
        <w:rPr>
          <w:sz w:val="20"/>
          <w:lang w:val="sv-SE"/>
        </w:rPr>
        <w:t>år för patienterna i AC→P-gruppen och 2,0</w:t>
      </w:r>
      <w:r w:rsidR="00F017AA" w:rsidRPr="00A74CC6">
        <w:rPr>
          <w:sz w:val="20"/>
          <w:lang w:val="sv-SE"/>
        </w:rPr>
        <w:t> </w:t>
      </w:r>
      <w:r w:rsidRPr="00A74CC6">
        <w:rPr>
          <w:sz w:val="20"/>
          <w:lang w:val="sv-SE"/>
        </w:rPr>
        <w:t>år för patienterna i AC→PH-gruppen.</w:t>
      </w:r>
    </w:p>
    <w:p w14:paraId="2503CDF1" w14:textId="172D8CBD" w:rsidR="005027AB" w:rsidRPr="00A74CC6" w:rsidRDefault="00264096" w:rsidP="00662317">
      <w:pPr>
        <w:spacing w:after="0" w:line="240" w:lineRule="auto"/>
        <w:ind w:left="0" w:firstLine="0"/>
        <w:contextualSpacing/>
        <w:rPr>
          <w:sz w:val="20"/>
          <w:lang w:val="sv-SE"/>
        </w:rPr>
      </w:pPr>
      <w:r w:rsidRPr="00A74CC6">
        <w:rPr>
          <w:sz w:val="20"/>
          <w:lang w:val="sv-SE"/>
        </w:rPr>
        <w:t>** Medianduration för långtidsuppföljning i de kliniska studierna med den sammanvägda analysen (joint analysis) var 8,3</w:t>
      </w:r>
      <w:r w:rsidR="00F017AA" w:rsidRPr="00A74CC6">
        <w:rPr>
          <w:sz w:val="20"/>
          <w:lang w:val="sv-SE"/>
        </w:rPr>
        <w:t> </w:t>
      </w:r>
      <w:r w:rsidRPr="00A74CC6">
        <w:rPr>
          <w:sz w:val="20"/>
          <w:lang w:val="sv-SE"/>
        </w:rPr>
        <w:t>år (från 0,1 till 12,1</w:t>
      </w:r>
      <w:r w:rsidR="00F017AA" w:rsidRPr="00A74CC6">
        <w:rPr>
          <w:sz w:val="20"/>
          <w:lang w:val="sv-SE"/>
        </w:rPr>
        <w:t> </w:t>
      </w:r>
      <w:r w:rsidRPr="00A74CC6">
        <w:rPr>
          <w:sz w:val="20"/>
          <w:lang w:val="sv-SE"/>
        </w:rPr>
        <w:t>år) för patienterna i AC→PH-gruppen och 7,9</w:t>
      </w:r>
      <w:r w:rsidR="00F017AA" w:rsidRPr="00A74CC6">
        <w:rPr>
          <w:sz w:val="20"/>
          <w:lang w:val="sv-SE"/>
        </w:rPr>
        <w:t> </w:t>
      </w:r>
      <w:r w:rsidRPr="00A74CC6">
        <w:rPr>
          <w:sz w:val="20"/>
          <w:lang w:val="sv-SE"/>
        </w:rPr>
        <w:t>år (från 0,0 till 12,2</w:t>
      </w:r>
      <w:r w:rsidR="00F017AA" w:rsidRPr="00A74CC6">
        <w:rPr>
          <w:sz w:val="20"/>
          <w:lang w:val="sv-SE"/>
        </w:rPr>
        <w:t> </w:t>
      </w:r>
      <w:r w:rsidRPr="00A74CC6">
        <w:rPr>
          <w:sz w:val="20"/>
          <w:lang w:val="sv-SE"/>
        </w:rPr>
        <w:t>år) för patienterna i AC→P-gruppen. Medianduration för långtidsuppföljning i den kliniska studien BCIRG006 var 10,3</w:t>
      </w:r>
      <w:r w:rsidR="00F017AA" w:rsidRPr="00A74CC6">
        <w:rPr>
          <w:sz w:val="20"/>
          <w:lang w:val="sv-SE"/>
        </w:rPr>
        <w:t> </w:t>
      </w:r>
      <w:r w:rsidRPr="00A74CC6">
        <w:rPr>
          <w:sz w:val="20"/>
          <w:lang w:val="sv-SE"/>
        </w:rPr>
        <w:t>år för patienterna i både AC→D-gruppen (från 0,0 till 12,6</w:t>
      </w:r>
      <w:r w:rsidR="00F017AA" w:rsidRPr="00A74CC6">
        <w:rPr>
          <w:sz w:val="20"/>
          <w:lang w:val="sv-SE"/>
        </w:rPr>
        <w:t> </w:t>
      </w:r>
      <w:r w:rsidRPr="00A74CC6">
        <w:rPr>
          <w:sz w:val="20"/>
          <w:lang w:val="sv-SE"/>
        </w:rPr>
        <w:t>år) och i DKarbH-gruppen (från 0,0 till 13,1</w:t>
      </w:r>
      <w:r w:rsidR="00F017AA" w:rsidRPr="00A74CC6">
        <w:rPr>
          <w:sz w:val="20"/>
          <w:lang w:val="sv-SE"/>
        </w:rPr>
        <w:t> </w:t>
      </w:r>
      <w:r w:rsidRPr="00A74CC6">
        <w:rPr>
          <w:sz w:val="20"/>
          <w:lang w:val="sv-SE"/>
        </w:rPr>
        <w:t>år), och var 10,4</w:t>
      </w:r>
      <w:r w:rsidR="00F017AA" w:rsidRPr="00A74CC6">
        <w:rPr>
          <w:sz w:val="20"/>
          <w:lang w:val="sv-SE"/>
        </w:rPr>
        <w:t> </w:t>
      </w:r>
      <w:r w:rsidRPr="00A74CC6">
        <w:rPr>
          <w:sz w:val="20"/>
          <w:lang w:val="sv-SE"/>
        </w:rPr>
        <w:t>år (från 0,0 till 12,7</w:t>
      </w:r>
      <w:r w:rsidR="00F017AA" w:rsidRPr="00A74CC6">
        <w:rPr>
          <w:sz w:val="20"/>
          <w:lang w:val="sv-SE"/>
        </w:rPr>
        <w:t> </w:t>
      </w:r>
      <w:r w:rsidRPr="00A74CC6">
        <w:rPr>
          <w:sz w:val="20"/>
          <w:lang w:val="sv-SE"/>
        </w:rPr>
        <w:t>år) för patienterna i AC→DH-gruppen.</w:t>
      </w:r>
    </w:p>
    <w:p w14:paraId="1E006D9F" w14:textId="77777777" w:rsidR="007B56CC" w:rsidRPr="00A74CC6" w:rsidRDefault="007B56CC" w:rsidP="001E7238">
      <w:pPr>
        <w:spacing w:after="0" w:line="240" w:lineRule="auto"/>
        <w:ind w:left="9" w:hanging="10"/>
        <w:contextualSpacing/>
        <w:rPr>
          <w:lang w:val="sv-SE"/>
        </w:rPr>
      </w:pPr>
    </w:p>
    <w:p w14:paraId="117A22CA" w14:textId="77777777" w:rsidR="005027AB" w:rsidRPr="00A74CC6" w:rsidRDefault="00264096" w:rsidP="001E7238">
      <w:pPr>
        <w:pStyle w:val="Heading3"/>
        <w:spacing w:after="0" w:line="240" w:lineRule="auto"/>
        <w:ind w:left="9"/>
        <w:contextualSpacing/>
        <w:rPr>
          <w:lang w:val="sv-SE"/>
        </w:rPr>
      </w:pPr>
      <w:r w:rsidRPr="00A74CC6">
        <w:rPr>
          <w:lang w:val="sv-SE"/>
        </w:rPr>
        <w:t>Tidig bröstcancer (neoadjuvant-adjuvant behandling)</w:t>
      </w:r>
    </w:p>
    <w:p w14:paraId="15955170" w14:textId="77777777" w:rsidR="007B56CC" w:rsidRPr="00A74CC6" w:rsidRDefault="007B56CC" w:rsidP="001E7238">
      <w:pPr>
        <w:keepNext/>
        <w:keepLines/>
        <w:spacing w:after="0" w:line="240" w:lineRule="auto"/>
        <w:contextualSpacing/>
        <w:rPr>
          <w:lang w:val="sv-SE"/>
        </w:rPr>
      </w:pPr>
    </w:p>
    <w:p w14:paraId="1C61F60E" w14:textId="1AFBF7D5" w:rsidR="005027AB" w:rsidRPr="00A74CC6" w:rsidRDefault="00264096" w:rsidP="001E7238">
      <w:pPr>
        <w:spacing w:after="0" w:line="240" w:lineRule="auto"/>
        <w:ind w:left="4" w:right="13"/>
        <w:contextualSpacing/>
        <w:rPr>
          <w:lang w:val="sv-SE"/>
        </w:rPr>
      </w:pPr>
      <w:r w:rsidRPr="00A74CC6">
        <w:rPr>
          <w:lang w:val="sv-SE"/>
        </w:rPr>
        <w:t xml:space="preserve">För närvarande finns inga resultat tillgängliga som jämför effekten av </w:t>
      </w:r>
      <w:r w:rsidR="00342D88" w:rsidRPr="00A74CC6">
        <w:rPr>
          <w:lang w:val="sv-SE"/>
        </w:rPr>
        <w:t xml:space="preserve">trastuzumab </w:t>
      </w:r>
      <w:r w:rsidRPr="00A74CC6">
        <w:rPr>
          <w:lang w:val="sv-SE"/>
        </w:rPr>
        <w:t xml:space="preserve">administrerat med kemoterapi vid adjuvant behandling med effekten som erhålls vid neoadjuvant-adjuvant behandling. </w:t>
      </w:r>
    </w:p>
    <w:p w14:paraId="75292BAF" w14:textId="77777777" w:rsidR="004661D0" w:rsidRPr="00A74CC6" w:rsidRDefault="004661D0" w:rsidP="001E7238">
      <w:pPr>
        <w:spacing w:after="0" w:line="240" w:lineRule="auto"/>
        <w:ind w:left="4" w:right="13"/>
        <w:contextualSpacing/>
        <w:rPr>
          <w:lang w:val="sv-SE"/>
        </w:rPr>
      </w:pPr>
    </w:p>
    <w:p w14:paraId="477DC60B" w14:textId="5CD8FB4C" w:rsidR="005027AB" w:rsidRPr="00A74CC6" w:rsidRDefault="00264096" w:rsidP="001E7238">
      <w:pPr>
        <w:spacing w:after="0" w:line="240" w:lineRule="auto"/>
        <w:ind w:left="4" w:right="13"/>
        <w:contextualSpacing/>
        <w:rPr>
          <w:lang w:val="sv-SE"/>
        </w:rPr>
      </w:pPr>
      <w:r w:rsidRPr="00A74CC6">
        <w:rPr>
          <w:lang w:val="sv-SE"/>
        </w:rPr>
        <w:t xml:space="preserve">Den randomiserade multicenterstudien MO16432 (NOAH) utformades för att undersöka den kliniska effekten av samtidig administrering av </w:t>
      </w:r>
      <w:r w:rsidR="00342D88" w:rsidRPr="00A74CC6">
        <w:rPr>
          <w:lang w:val="sv-SE"/>
        </w:rPr>
        <w:t xml:space="preserve">trastuzumab </w:t>
      </w:r>
      <w:r w:rsidRPr="00A74CC6">
        <w:rPr>
          <w:lang w:val="sv-SE"/>
        </w:rPr>
        <w:t xml:space="preserve">med neoadjuvant kemoterapi inkluderande både en antracyklin och en taxan, följt av adjuvant </w:t>
      </w:r>
      <w:r w:rsidR="00342D88" w:rsidRPr="00A74CC6">
        <w:rPr>
          <w:lang w:val="sv-SE"/>
        </w:rPr>
        <w:t>trastuzumab</w:t>
      </w:r>
      <w:r w:rsidRPr="00A74CC6">
        <w:rPr>
          <w:lang w:val="sv-SE"/>
        </w:rPr>
        <w:t>behandling i upp till ett år. Studien rekryterade patienter med nyligen diagnosticerad</w:t>
      </w:r>
      <w:r w:rsidR="00F017AA" w:rsidRPr="00A74CC6">
        <w:rPr>
          <w:lang w:val="sv-SE"/>
        </w:rPr>
        <w:t>,</w:t>
      </w:r>
      <w:r w:rsidRPr="00A74CC6">
        <w:rPr>
          <w:lang w:val="sv-SE"/>
        </w:rPr>
        <w:t xml:space="preserve"> lokalt avancerad (stadium</w:t>
      </w:r>
      <w:r w:rsidR="00F017AA" w:rsidRPr="00A74CC6">
        <w:rPr>
          <w:lang w:val="sv-SE"/>
        </w:rPr>
        <w:t> </w:t>
      </w:r>
      <w:r w:rsidRPr="00A74CC6">
        <w:rPr>
          <w:lang w:val="sv-SE"/>
        </w:rPr>
        <w:t xml:space="preserve">III) eller inflammatorisk tidig bröstcancer. Patienter med HER2-positiva tumörer randomiserades till att </w:t>
      </w:r>
      <w:r w:rsidR="005668D1" w:rsidRPr="00A74CC6">
        <w:rPr>
          <w:lang w:val="sv-SE"/>
        </w:rPr>
        <w:t xml:space="preserve">få </w:t>
      </w:r>
      <w:r w:rsidRPr="00A74CC6">
        <w:rPr>
          <w:lang w:val="sv-SE"/>
        </w:rPr>
        <w:t xml:space="preserve">antingen neoadjuvant kemoterapi tillsammans med neoadjuvant-adjuvant </w:t>
      </w:r>
      <w:r w:rsidR="00342D88" w:rsidRPr="00A74CC6">
        <w:rPr>
          <w:lang w:val="sv-SE"/>
        </w:rPr>
        <w:t xml:space="preserve">trastuzumab </w:t>
      </w:r>
      <w:r w:rsidRPr="00A74CC6">
        <w:rPr>
          <w:lang w:val="sv-SE"/>
        </w:rPr>
        <w:t xml:space="preserve">eller enbart neoadjuvant kemoterapi. </w:t>
      </w:r>
    </w:p>
    <w:p w14:paraId="3F237C5F" w14:textId="77777777" w:rsidR="004661D0" w:rsidRPr="00A74CC6" w:rsidRDefault="004661D0" w:rsidP="001E7238">
      <w:pPr>
        <w:spacing w:after="0" w:line="240" w:lineRule="auto"/>
        <w:ind w:left="4" w:right="13"/>
        <w:contextualSpacing/>
        <w:rPr>
          <w:lang w:val="sv-SE"/>
        </w:rPr>
      </w:pPr>
    </w:p>
    <w:p w14:paraId="4F672353" w14:textId="69446256" w:rsidR="005027AB" w:rsidRPr="00A74CC6" w:rsidRDefault="00264096" w:rsidP="0093020C">
      <w:pPr>
        <w:keepNext/>
        <w:keepLines/>
        <w:spacing w:after="0" w:line="240" w:lineRule="auto"/>
        <w:ind w:left="6" w:right="11" w:hanging="6"/>
        <w:contextualSpacing/>
        <w:rPr>
          <w:lang w:val="sv-SE"/>
        </w:rPr>
      </w:pPr>
      <w:r w:rsidRPr="00A74CC6">
        <w:rPr>
          <w:lang w:val="sv-SE"/>
        </w:rPr>
        <w:t>I studie MO164</w:t>
      </w:r>
      <w:r w:rsidR="004661D0" w:rsidRPr="00A74CC6">
        <w:rPr>
          <w:lang w:val="sv-SE"/>
        </w:rPr>
        <w:t xml:space="preserve">32 administrerades </w:t>
      </w:r>
      <w:r w:rsidR="00342D88" w:rsidRPr="00A74CC6">
        <w:rPr>
          <w:lang w:val="sv-SE"/>
        </w:rPr>
        <w:t xml:space="preserve">trastuzumab </w:t>
      </w:r>
      <w:r w:rsidR="004661D0" w:rsidRPr="00A74CC6">
        <w:rPr>
          <w:lang w:val="sv-SE"/>
        </w:rPr>
        <w:t>(8 </w:t>
      </w:r>
      <w:r w:rsidRPr="00A74CC6">
        <w:rPr>
          <w:lang w:val="sv-SE"/>
        </w:rPr>
        <w:t>mg/kg som startdos, följt av 6</w:t>
      </w:r>
      <w:r w:rsidR="004661D0" w:rsidRPr="00A74CC6">
        <w:rPr>
          <w:lang w:val="sv-SE"/>
        </w:rPr>
        <w:t> </w:t>
      </w:r>
      <w:r w:rsidRPr="00A74CC6">
        <w:rPr>
          <w:lang w:val="sv-SE"/>
        </w:rPr>
        <w:t>mg/kg som underhållsdos var tredje vecka) samtidigt med 10</w:t>
      </w:r>
      <w:r w:rsidR="00A347D0" w:rsidRPr="00A74CC6">
        <w:rPr>
          <w:lang w:val="sv-SE"/>
        </w:rPr>
        <w:t> </w:t>
      </w:r>
      <w:r w:rsidRPr="00A74CC6">
        <w:rPr>
          <w:lang w:val="sv-SE"/>
        </w:rPr>
        <w:t>behandlingscykler med neoadjuvant kemoterapi enligt följande:</w:t>
      </w:r>
    </w:p>
    <w:p w14:paraId="42C306B0" w14:textId="77777777" w:rsidR="004661D0" w:rsidRPr="00A74CC6" w:rsidRDefault="004661D0" w:rsidP="0093020C">
      <w:pPr>
        <w:keepNext/>
        <w:keepLines/>
        <w:spacing w:after="0" w:line="240" w:lineRule="auto"/>
        <w:ind w:left="6" w:right="11" w:hanging="6"/>
        <w:contextualSpacing/>
        <w:rPr>
          <w:lang w:val="sv-SE"/>
        </w:rPr>
      </w:pPr>
    </w:p>
    <w:p w14:paraId="4EE4581E" w14:textId="037A62F5" w:rsidR="005027AB" w:rsidRPr="00A74CC6" w:rsidRDefault="00264096" w:rsidP="0093020C">
      <w:pPr>
        <w:keepNext/>
        <w:keepLines/>
        <w:numPr>
          <w:ilvl w:val="0"/>
          <w:numId w:val="9"/>
        </w:numPr>
        <w:spacing w:after="0" w:line="240" w:lineRule="auto"/>
        <w:ind w:left="567" w:hanging="567"/>
        <w:contextualSpacing/>
        <w:rPr>
          <w:lang w:val="sv-SE"/>
        </w:rPr>
      </w:pPr>
      <w:r w:rsidRPr="00A74CC6">
        <w:rPr>
          <w:lang w:val="sv-SE"/>
        </w:rPr>
        <w:t>Doxorub</w:t>
      </w:r>
      <w:r w:rsidR="00703506">
        <w:rPr>
          <w:lang w:val="sv-SE"/>
        </w:rPr>
        <w:t>i</w:t>
      </w:r>
      <w:r w:rsidRPr="00A74CC6">
        <w:rPr>
          <w:lang w:val="sv-SE"/>
        </w:rPr>
        <w:t>cin 60</w:t>
      </w:r>
      <w:r w:rsidR="004661D0" w:rsidRPr="00A74CC6">
        <w:rPr>
          <w:lang w:val="sv-SE"/>
        </w:rPr>
        <w:t> </w:t>
      </w:r>
      <w:r w:rsidRPr="00A74CC6">
        <w:rPr>
          <w:lang w:val="sv-SE"/>
        </w:rPr>
        <w:t>mg/m</w:t>
      </w:r>
      <w:r w:rsidRPr="00A74CC6">
        <w:rPr>
          <w:vertAlign w:val="superscript"/>
          <w:lang w:val="sv-SE"/>
        </w:rPr>
        <w:t>2</w:t>
      </w:r>
      <w:r w:rsidRPr="00A74CC6">
        <w:rPr>
          <w:lang w:val="sv-SE"/>
        </w:rPr>
        <w:t xml:space="preserve"> </w:t>
      </w:r>
      <w:r w:rsidR="004661D0" w:rsidRPr="00A74CC6">
        <w:rPr>
          <w:lang w:val="sv-SE"/>
        </w:rPr>
        <w:t>och paklitaxel 150 </w:t>
      </w:r>
      <w:r w:rsidRPr="00A74CC6">
        <w:rPr>
          <w:lang w:val="sv-SE"/>
        </w:rPr>
        <w:t>mg/m</w:t>
      </w:r>
      <w:r w:rsidRPr="00A74CC6">
        <w:rPr>
          <w:vertAlign w:val="superscript"/>
          <w:lang w:val="sv-SE"/>
        </w:rPr>
        <w:t>2</w:t>
      </w:r>
      <w:r w:rsidRPr="00A74CC6">
        <w:rPr>
          <w:lang w:val="sv-SE"/>
        </w:rPr>
        <w:t xml:space="preserve"> administrerat var tredje vecka under 3</w:t>
      </w:r>
      <w:r w:rsidR="00A347D0" w:rsidRPr="00A74CC6">
        <w:rPr>
          <w:lang w:val="sv-SE"/>
        </w:rPr>
        <w:t> </w:t>
      </w:r>
      <w:r w:rsidRPr="00A74CC6">
        <w:rPr>
          <w:lang w:val="sv-SE"/>
        </w:rPr>
        <w:t>behandlingscykler</w:t>
      </w:r>
    </w:p>
    <w:p w14:paraId="291549FF" w14:textId="77777777" w:rsidR="004661D0" w:rsidRPr="00A74CC6" w:rsidRDefault="004661D0" w:rsidP="001E7238">
      <w:pPr>
        <w:spacing w:after="0" w:line="240" w:lineRule="auto"/>
        <w:ind w:right="13"/>
        <w:contextualSpacing/>
        <w:rPr>
          <w:lang w:val="sv-SE"/>
        </w:rPr>
      </w:pPr>
    </w:p>
    <w:p w14:paraId="30C47FF9" w14:textId="77777777" w:rsidR="005027AB" w:rsidRPr="00A74CC6" w:rsidRDefault="00264096" w:rsidP="00662317">
      <w:pPr>
        <w:keepNext/>
        <w:spacing w:after="0" w:line="240" w:lineRule="auto"/>
        <w:ind w:left="6" w:right="11" w:hanging="6"/>
        <w:contextualSpacing/>
        <w:rPr>
          <w:lang w:val="sv-SE"/>
        </w:rPr>
      </w:pPr>
      <w:r w:rsidRPr="00A74CC6">
        <w:rPr>
          <w:lang w:val="sv-SE"/>
        </w:rPr>
        <w:lastRenderedPageBreak/>
        <w:t>vilket följdes av</w:t>
      </w:r>
    </w:p>
    <w:p w14:paraId="7D6E401B" w14:textId="06DAC1DE" w:rsidR="005027AB" w:rsidRPr="00A74CC6" w:rsidRDefault="00264096" w:rsidP="001E7238">
      <w:pPr>
        <w:numPr>
          <w:ilvl w:val="0"/>
          <w:numId w:val="9"/>
        </w:numPr>
        <w:spacing w:after="0" w:line="240" w:lineRule="auto"/>
        <w:ind w:left="567" w:hanging="567"/>
        <w:contextualSpacing/>
        <w:rPr>
          <w:lang w:val="sv-SE"/>
        </w:rPr>
      </w:pPr>
      <w:r w:rsidRPr="00A74CC6">
        <w:rPr>
          <w:lang w:val="sv-SE"/>
        </w:rPr>
        <w:t>Paklitaxel 175</w:t>
      </w:r>
      <w:r w:rsidR="004661D0" w:rsidRPr="00A74CC6">
        <w:rPr>
          <w:lang w:val="sv-SE"/>
        </w:rPr>
        <w:t> </w:t>
      </w:r>
      <w:r w:rsidRPr="00A74CC6">
        <w:rPr>
          <w:lang w:val="sv-SE"/>
        </w:rPr>
        <w:t>mg/m</w:t>
      </w:r>
      <w:r w:rsidRPr="00A74CC6">
        <w:rPr>
          <w:vertAlign w:val="superscript"/>
          <w:lang w:val="sv-SE"/>
        </w:rPr>
        <w:t>2</w:t>
      </w:r>
      <w:r w:rsidRPr="00A74CC6">
        <w:rPr>
          <w:lang w:val="sv-SE"/>
        </w:rPr>
        <w:t xml:space="preserve"> administrerat var tredje vecka under 4</w:t>
      </w:r>
      <w:r w:rsidR="00A347D0" w:rsidRPr="00A74CC6">
        <w:rPr>
          <w:lang w:val="sv-SE"/>
        </w:rPr>
        <w:t> </w:t>
      </w:r>
      <w:r w:rsidRPr="00A74CC6">
        <w:rPr>
          <w:lang w:val="sv-SE"/>
        </w:rPr>
        <w:t>behandlingscykler</w:t>
      </w:r>
    </w:p>
    <w:p w14:paraId="099E450C" w14:textId="77777777" w:rsidR="004661D0" w:rsidRPr="00A74CC6" w:rsidRDefault="004661D0" w:rsidP="001E7238">
      <w:pPr>
        <w:spacing w:after="0" w:line="240" w:lineRule="auto"/>
        <w:ind w:left="4" w:right="13"/>
        <w:contextualSpacing/>
        <w:rPr>
          <w:lang w:val="sv-SE"/>
        </w:rPr>
      </w:pPr>
    </w:p>
    <w:p w14:paraId="17CB8CF1" w14:textId="77777777" w:rsidR="005027AB" w:rsidRPr="00A74CC6" w:rsidRDefault="00264096" w:rsidP="00662317">
      <w:pPr>
        <w:keepNext/>
        <w:spacing w:after="0" w:line="240" w:lineRule="auto"/>
        <w:ind w:left="6" w:right="11" w:hanging="6"/>
        <w:contextualSpacing/>
        <w:rPr>
          <w:lang w:val="sv-SE"/>
        </w:rPr>
      </w:pPr>
      <w:r w:rsidRPr="00A74CC6">
        <w:rPr>
          <w:lang w:val="sv-SE"/>
        </w:rPr>
        <w:t>vilket följdes av</w:t>
      </w:r>
    </w:p>
    <w:p w14:paraId="76EABA23" w14:textId="1DF0BE59" w:rsidR="005027AB" w:rsidRPr="00A74CC6" w:rsidRDefault="00264096" w:rsidP="001E7238">
      <w:pPr>
        <w:numPr>
          <w:ilvl w:val="0"/>
          <w:numId w:val="9"/>
        </w:numPr>
        <w:spacing w:after="0" w:line="240" w:lineRule="auto"/>
        <w:ind w:left="567" w:hanging="567"/>
        <w:contextualSpacing/>
        <w:rPr>
          <w:lang w:val="sv-SE"/>
        </w:rPr>
      </w:pPr>
      <w:r w:rsidRPr="00A74CC6">
        <w:rPr>
          <w:lang w:val="sv-SE"/>
        </w:rPr>
        <w:t>CMF (</w:t>
      </w:r>
      <w:r w:rsidR="005668D1" w:rsidRPr="00A74CC6">
        <w:rPr>
          <w:lang w:val="sv-SE"/>
        </w:rPr>
        <w:t>c</w:t>
      </w:r>
      <w:r w:rsidRPr="00A74CC6">
        <w:rPr>
          <w:lang w:val="sv-SE"/>
        </w:rPr>
        <w:t xml:space="preserve">yklofosfamid + </w:t>
      </w:r>
      <w:r w:rsidR="005668D1" w:rsidRPr="00A74CC6">
        <w:rPr>
          <w:lang w:val="sv-SE"/>
        </w:rPr>
        <w:t>m</w:t>
      </w:r>
      <w:r w:rsidRPr="00A74CC6">
        <w:rPr>
          <w:lang w:val="sv-SE"/>
        </w:rPr>
        <w:t>etotrexat + 5-FU) på dag</w:t>
      </w:r>
      <w:r w:rsidR="00A347D0" w:rsidRPr="00A74CC6">
        <w:rPr>
          <w:lang w:val="sv-SE"/>
        </w:rPr>
        <w:t> </w:t>
      </w:r>
      <w:r w:rsidRPr="00A74CC6">
        <w:rPr>
          <w:lang w:val="sv-SE"/>
        </w:rPr>
        <w:t>1 och 8 var fjärde vecka under 3</w:t>
      </w:r>
      <w:r w:rsidR="005668D1" w:rsidRPr="00A74CC6">
        <w:rPr>
          <w:lang w:val="sv-SE"/>
        </w:rPr>
        <w:t> </w:t>
      </w:r>
      <w:r w:rsidRPr="00A74CC6">
        <w:rPr>
          <w:lang w:val="sv-SE"/>
        </w:rPr>
        <w:t>behandlingscykler</w:t>
      </w:r>
    </w:p>
    <w:p w14:paraId="25F3C096" w14:textId="77777777" w:rsidR="004661D0" w:rsidRPr="00A74CC6" w:rsidRDefault="004661D0" w:rsidP="001E7238">
      <w:pPr>
        <w:spacing w:after="0" w:line="240" w:lineRule="auto"/>
        <w:ind w:right="13"/>
        <w:contextualSpacing/>
        <w:rPr>
          <w:lang w:val="sv-SE"/>
        </w:rPr>
      </w:pPr>
    </w:p>
    <w:p w14:paraId="132FF550" w14:textId="497CF744" w:rsidR="005027AB" w:rsidRPr="00A74CC6" w:rsidRDefault="00264096" w:rsidP="00662317">
      <w:pPr>
        <w:keepNext/>
        <w:spacing w:after="0" w:line="240" w:lineRule="auto"/>
        <w:ind w:left="6" w:right="11" w:hanging="6"/>
        <w:contextualSpacing/>
        <w:rPr>
          <w:lang w:val="sv-SE"/>
        </w:rPr>
      </w:pPr>
      <w:r w:rsidRPr="00A74CC6">
        <w:rPr>
          <w:lang w:val="sv-SE"/>
        </w:rPr>
        <w:t>vilket efter kirurgi följdes av</w:t>
      </w:r>
    </w:p>
    <w:p w14:paraId="31E2C818" w14:textId="528FBADE" w:rsidR="005027AB" w:rsidRPr="00A74CC6" w:rsidRDefault="00264096" w:rsidP="001E7238">
      <w:pPr>
        <w:numPr>
          <w:ilvl w:val="0"/>
          <w:numId w:val="9"/>
        </w:numPr>
        <w:spacing w:after="0" w:line="240" w:lineRule="auto"/>
        <w:ind w:left="567" w:hanging="567"/>
        <w:contextualSpacing/>
        <w:rPr>
          <w:lang w:val="sv-SE"/>
        </w:rPr>
      </w:pPr>
      <w:r w:rsidRPr="00A74CC6">
        <w:rPr>
          <w:lang w:val="sv-SE"/>
        </w:rPr>
        <w:t xml:space="preserve">ytterligare cykler av adjuvant </w:t>
      </w:r>
      <w:r w:rsidR="00342D88" w:rsidRPr="00A74CC6">
        <w:rPr>
          <w:lang w:val="sv-SE"/>
        </w:rPr>
        <w:t xml:space="preserve">trastuzumab </w:t>
      </w:r>
      <w:r w:rsidRPr="00A74CC6">
        <w:rPr>
          <w:lang w:val="sv-SE"/>
        </w:rPr>
        <w:t>(till totalt 1</w:t>
      </w:r>
      <w:r w:rsidR="00A347D0" w:rsidRPr="00A74CC6">
        <w:rPr>
          <w:lang w:val="sv-SE"/>
        </w:rPr>
        <w:t> </w:t>
      </w:r>
      <w:r w:rsidRPr="00A74CC6">
        <w:rPr>
          <w:lang w:val="sv-SE"/>
        </w:rPr>
        <w:t>års behandling).</w:t>
      </w:r>
    </w:p>
    <w:p w14:paraId="642305E0" w14:textId="77777777" w:rsidR="004661D0" w:rsidRPr="00A74CC6" w:rsidRDefault="004661D0" w:rsidP="001E7238">
      <w:pPr>
        <w:spacing w:after="0" w:line="240" w:lineRule="auto"/>
        <w:ind w:right="13"/>
        <w:contextualSpacing/>
        <w:rPr>
          <w:lang w:val="sv-SE"/>
        </w:rPr>
      </w:pPr>
    </w:p>
    <w:p w14:paraId="2EA55551" w14:textId="6C32167F" w:rsidR="005027AB" w:rsidRPr="00A74CC6" w:rsidRDefault="00264096" w:rsidP="001E7238">
      <w:pPr>
        <w:spacing w:after="0" w:line="240" w:lineRule="auto"/>
        <w:ind w:left="4" w:right="13"/>
        <w:contextualSpacing/>
        <w:rPr>
          <w:lang w:val="sv-SE"/>
        </w:rPr>
      </w:pPr>
      <w:r w:rsidRPr="00A74CC6">
        <w:rPr>
          <w:lang w:val="sv-SE"/>
        </w:rPr>
        <w:t>Effektresultaten från studie MO16432 sammanfattas i tabell</w:t>
      </w:r>
      <w:r w:rsidR="00A347D0" w:rsidRPr="00A74CC6">
        <w:rPr>
          <w:lang w:val="sv-SE"/>
        </w:rPr>
        <w:t> </w:t>
      </w:r>
      <w:r w:rsidRPr="00A74CC6">
        <w:rPr>
          <w:lang w:val="sv-SE"/>
        </w:rPr>
        <w:t xml:space="preserve">12. Mediantiden för uppföljning av </w:t>
      </w:r>
      <w:r w:rsidR="00342D88" w:rsidRPr="00A74CC6">
        <w:rPr>
          <w:lang w:val="sv-SE"/>
        </w:rPr>
        <w:t>trastuzumab-</w:t>
      </w:r>
      <w:r w:rsidRPr="00A74CC6">
        <w:rPr>
          <w:lang w:val="sv-SE"/>
        </w:rPr>
        <w:t>gruppen var 3,8</w:t>
      </w:r>
      <w:r w:rsidR="00A347D0" w:rsidRPr="00A74CC6">
        <w:rPr>
          <w:lang w:val="sv-SE"/>
        </w:rPr>
        <w:t> </w:t>
      </w:r>
      <w:r w:rsidRPr="00A74CC6">
        <w:rPr>
          <w:lang w:val="sv-SE"/>
        </w:rPr>
        <w:t>år.</w:t>
      </w:r>
    </w:p>
    <w:p w14:paraId="17C6D055" w14:textId="77777777" w:rsidR="004661D0" w:rsidRPr="00A74CC6" w:rsidRDefault="004661D0" w:rsidP="00662317">
      <w:pPr>
        <w:spacing w:after="0" w:line="240" w:lineRule="auto"/>
        <w:ind w:left="0" w:firstLine="0"/>
        <w:contextualSpacing/>
        <w:rPr>
          <w:lang w:val="sv-SE"/>
        </w:rPr>
      </w:pPr>
    </w:p>
    <w:p w14:paraId="4133006E" w14:textId="5895ECCA" w:rsidR="005027AB" w:rsidRPr="00A74CC6" w:rsidRDefault="00264096" w:rsidP="00662317">
      <w:pPr>
        <w:keepNext/>
        <w:keepLines/>
        <w:spacing w:after="0" w:line="240" w:lineRule="auto"/>
        <w:ind w:left="0" w:firstLine="0"/>
        <w:contextualSpacing/>
        <w:rPr>
          <w:b/>
          <w:lang w:val="sv-SE"/>
        </w:rPr>
      </w:pPr>
      <w:r w:rsidRPr="00A74CC6">
        <w:rPr>
          <w:b/>
          <w:lang w:val="sv-SE"/>
        </w:rPr>
        <w:t>Tabell</w:t>
      </w:r>
      <w:r w:rsidR="00A347D0" w:rsidRPr="00A74CC6">
        <w:rPr>
          <w:b/>
          <w:lang w:val="sv-SE"/>
        </w:rPr>
        <w:t> </w:t>
      </w:r>
      <w:r w:rsidRPr="00A74CC6">
        <w:rPr>
          <w:b/>
          <w:lang w:val="sv-SE"/>
        </w:rPr>
        <w:t>12</w:t>
      </w:r>
      <w:r w:rsidR="00E1391C" w:rsidRPr="00A74CC6">
        <w:rPr>
          <w:b/>
          <w:lang w:val="sv-SE"/>
        </w:rPr>
        <w:t>.</w:t>
      </w:r>
      <w:r w:rsidRPr="00A74CC6">
        <w:rPr>
          <w:b/>
          <w:lang w:val="sv-SE"/>
        </w:rPr>
        <w:t xml:space="preserve"> Effektresultat från MO16432</w:t>
      </w:r>
    </w:p>
    <w:p w14:paraId="5CA4549A" w14:textId="77777777" w:rsidR="004661D0" w:rsidRPr="00A74CC6" w:rsidRDefault="004661D0" w:rsidP="00662317">
      <w:pPr>
        <w:keepNext/>
        <w:keepLines/>
        <w:spacing w:after="0" w:line="240" w:lineRule="auto"/>
        <w:ind w:left="0" w:firstLine="0"/>
        <w:contextualSpacing/>
        <w:rPr>
          <w:lang w:val="sv-SE"/>
        </w:rPr>
      </w:pPr>
    </w:p>
    <w:tbl>
      <w:tblPr>
        <w:tblW w:w="49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bottom w:w="12" w:type="dxa"/>
          <w:right w:w="115" w:type="dxa"/>
        </w:tblCellMar>
        <w:tblLook w:val="04A0" w:firstRow="1" w:lastRow="0" w:firstColumn="1" w:lastColumn="0" w:noHBand="0" w:noVBand="1"/>
      </w:tblPr>
      <w:tblGrid>
        <w:gridCol w:w="3062"/>
        <w:gridCol w:w="1989"/>
        <w:gridCol w:w="2124"/>
        <w:gridCol w:w="2093"/>
      </w:tblGrid>
      <w:tr w:rsidR="00AD14F8" w:rsidRPr="00A74CC6" w14:paraId="346AAB74" w14:textId="77777777" w:rsidTr="004A019F">
        <w:trPr>
          <w:trHeight w:val="770"/>
          <w:tblHeader/>
        </w:trPr>
        <w:tc>
          <w:tcPr>
            <w:tcW w:w="1652" w:type="pct"/>
            <w:shd w:val="clear" w:color="auto" w:fill="auto"/>
          </w:tcPr>
          <w:p w14:paraId="274E6D37"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Parameter</w:t>
            </w:r>
          </w:p>
        </w:tc>
        <w:tc>
          <w:tcPr>
            <w:tcW w:w="1073" w:type="pct"/>
            <w:shd w:val="clear" w:color="auto" w:fill="auto"/>
          </w:tcPr>
          <w:p w14:paraId="06C0A596"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 xml:space="preserve">Kemoterapi + </w:t>
            </w:r>
          </w:p>
          <w:p w14:paraId="4F166028" w14:textId="20163C4E" w:rsidR="005027AB" w:rsidRPr="004A019F" w:rsidRDefault="00342D88" w:rsidP="004A019F">
            <w:pPr>
              <w:keepNext/>
              <w:keepLines/>
              <w:spacing w:after="0" w:line="240" w:lineRule="auto"/>
              <w:ind w:left="0" w:firstLine="0"/>
              <w:contextualSpacing/>
              <w:jc w:val="center"/>
              <w:rPr>
                <w:b/>
                <w:lang w:val="sv-SE"/>
              </w:rPr>
            </w:pPr>
            <w:r w:rsidRPr="004A019F">
              <w:rPr>
                <w:b/>
                <w:lang w:val="sv-SE"/>
              </w:rPr>
              <w:t xml:space="preserve">trastuzumab </w:t>
            </w:r>
            <w:r w:rsidR="00264096" w:rsidRPr="004A019F">
              <w:rPr>
                <w:b/>
                <w:lang w:val="sv-SE"/>
              </w:rPr>
              <w:t>(n</w:t>
            </w:r>
            <w:r w:rsidR="00F37A3A" w:rsidRPr="004A019F">
              <w:rPr>
                <w:b/>
                <w:lang w:val="sv-SE"/>
              </w:rPr>
              <w:t> </w:t>
            </w:r>
            <w:r w:rsidR="00264096" w:rsidRPr="004A019F">
              <w:rPr>
                <w:b/>
                <w:lang w:val="sv-SE"/>
              </w:rPr>
              <w:t>=</w:t>
            </w:r>
            <w:r w:rsidR="00F37A3A" w:rsidRPr="004A019F">
              <w:rPr>
                <w:b/>
                <w:lang w:val="sv-SE"/>
              </w:rPr>
              <w:t> </w:t>
            </w:r>
            <w:r w:rsidR="00264096" w:rsidRPr="004A019F">
              <w:rPr>
                <w:b/>
                <w:lang w:val="sv-SE"/>
              </w:rPr>
              <w:t>115)</w:t>
            </w:r>
          </w:p>
        </w:tc>
        <w:tc>
          <w:tcPr>
            <w:tcW w:w="1146" w:type="pct"/>
            <w:shd w:val="clear" w:color="auto" w:fill="auto"/>
          </w:tcPr>
          <w:p w14:paraId="2873C14A" w14:textId="74FBE7E2" w:rsidR="005027AB" w:rsidRPr="004A019F" w:rsidRDefault="00264096" w:rsidP="004A019F">
            <w:pPr>
              <w:keepNext/>
              <w:keepLines/>
              <w:spacing w:after="0" w:line="240" w:lineRule="auto"/>
              <w:ind w:left="0" w:firstLine="0"/>
              <w:contextualSpacing/>
              <w:jc w:val="center"/>
              <w:rPr>
                <w:b/>
                <w:lang w:val="sv-SE"/>
              </w:rPr>
            </w:pPr>
            <w:r w:rsidRPr="004A019F">
              <w:rPr>
                <w:b/>
                <w:lang w:val="sv-SE"/>
              </w:rPr>
              <w:t>Enbart kemoterapi (n</w:t>
            </w:r>
            <w:r w:rsidR="00F37A3A" w:rsidRPr="004A019F">
              <w:rPr>
                <w:b/>
                <w:lang w:val="sv-SE"/>
              </w:rPr>
              <w:t> </w:t>
            </w:r>
            <w:r w:rsidRPr="004A019F">
              <w:rPr>
                <w:b/>
                <w:lang w:val="sv-SE"/>
              </w:rPr>
              <w:t>=</w:t>
            </w:r>
            <w:r w:rsidR="00F37A3A" w:rsidRPr="004A019F">
              <w:rPr>
                <w:b/>
                <w:lang w:val="sv-SE"/>
              </w:rPr>
              <w:t> </w:t>
            </w:r>
            <w:r w:rsidRPr="004A019F">
              <w:rPr>
                <w:b/>
                <w:lang w:val="sv-SE"/>
              </w:rPr>
              <w:t>116)</w:t>
            </w:r>
          </w:p>
        </w:tc>
        <w:tc>
          <w:tcPr>
            <w:tcW w:w="1130" w:type="pct"/>
            <w:shd w:val="clear" w:color="auto" w:fill="auto"/>
          </w:tcPr>
          <w:p w14:paraId="7BCAF6CA" w14:textId="77777777" w:rsidR="005027AB" w:rsidRPr="004A019F" w:rsidRDefault="005027AB" w:rsidP="004A019F">
            <w:pPr>
              <w:keepNext/>
              <w:keepLines/>
              <w:spacing w:after="0" w:line="240" w:lineRule="auto"/>
              <w:ind w:left="0" w:firstLine="0"/>
              <w:contextualSpacing/>
              <w:rPr>
                <w:b/>
                <w:lang w:val="sv-SE"/>
              </w:rPr>
            </w:pPr>
          </w:p>
        </w:tc>
      </w:tr>
      <w:tr w:rsidR="00AD14F8" w:rsidRPr="00A74CC6" w14:paraId="154336BC" w14:textId="77777777" w:rsidTr="004A019F">
        <w:trPr>
          <w:trHeight w:val="1022"/>
        </w:trPr>
        <w:tc>
          <w:tcPr>
            <w:tcW w:w="1652" w:type="pct"/>
            <w:shd w:val="clear" w:color="auto" w:fill="auto"/>
          </w:tcPr>
          <w:p w14:paraId="7B405595" w14:textId="77777777" w:rsidR="005027AB" w:rsidRPr="004A019F" w:rsidRDefault="00264096" w:rsidP="004A019F">
            <w:pPr>
              <w:spacing w:after="0" w:line="240" w:lineRule="auto"/>
              <w:ind w:left="0" w:firstLine="0"/>
              <w:contextualSpacing/>
              <w:rPr>
                <w:lang w:val="sv-SE"/>
              </w:rPr>
            </w:pPr>
            <w:r w:rsidRPr="004A019F">
              <w:rPr>
                <w:lang w:val="sv-SE"/>
              </w:rPr>
              <w:t>Händelsefri överlevnad</w:t>
            </w:r>
          </w:p>
          <w:p w14:paraId="6E202A2A" w14:textId="77777777" w:rsidR="00662317" w:rsidRPr="004A019F" w:rsidRDefault="00662317" w:rsidP="004A019F">
            <w:pPr>
              <w:spacing w:after="0" w:line="240" w:lineRule="auto"/>
              <w:ind w:left="0" w:firstLine="0"/>
              <w:contextualSpacing/>
              <w:rPr>
                <w:lang w:val="sv-SE"/>
              </w:rPr>
            </w:pPr>
          </w:p>
          <w:p w14:paraId="62FE82F8" w14:textId="7EFBB512" w:rsidR="005027AB" w:rsidRPr="004A019F" w:rsidRDefault="00264096" w:rsidP="004A019F">
            <w:pPr>
              <w:spacing w:after="0" w:line="240" w:lineRule="auto"/>
              <w:ind w:left="0" w:firstLine="0"/>
              <w:contextualSpacing/>
              <w:rPr>
                <w:lang w:val="sv-SE"/>
              </w:rPr>
            </w:pPr>
            <w:r w:rsidRPr="004A019F">
              <w:rPr>
                <w:lang w:val="sv-SE"/>
              </w:rPr>
              <w:t>Antal patienter med händelse</w:t>
            </w:r>
          </w:p>
        </w:tc>
        <w:tc>
          <w:tcPr>
            <w:tcW w:w="1073" w:type="pct"/>
            <w:shd w:val="clear" w:color="auto" w:fill="auto"/>
          </w:tcPr>
          <w:p w14:paraId="58F34BB8" w14:textId="77777777" w:rsidR="00662317" w:rsidRPr="004A019F" w:rsidRDefault="00662317" w:rsidP="004A019F">
            <w:pPr>
              <w:spacing w:after="0" w:line="240" w:lineRule="auto"/>
              <w:ind w:left="0" w:firstLine="0"/>
              <w:contextualSpacing/>
              <w:jc w:val="center"/>
              <w:rPr>
                <w:lang w:val="sv-SE"/>
              </w:rPr>
            </w:pPr>
          </w:p>
          <w:p w14:paraId="08ACB3B4" w14:textId="77777777" w:rsidR="00662317" w:rsidRPr="004A019F" w:rsidRDefault="00662317" w:rsidP="004A019F">
            <w:pPr>
              <w:spacing w:after="0" w:line="240" w:lineRule="auto"/>
              <w:ind w:left="0" w:firstLine="0"/>
              <w:contextualSpacing/>
              <w:jc w:val="center"/>
              <w:rPr>
                <w:lang w:val="sv-SE"/>
              </w:rPr>
            </w:pPr>
          </w:p>
          <w:p w14:paraId="6476BC68" w14:textId="77777777" w:rsidR="005027AB" w:rsidRPr="004A019F" w:rsidRDefault="00264096" w:rsidP="004A019F">
            <w:pPr>
              <w:spacing w:after="0" w:line="240" w:lineRule="auto"/>
              <w:ind w:left="0" w:firstLine="0"/>
              <w:contextualSpacing/>
              <w:jc w:val="center"/>
              <w:rPr>
                <w:lang w:val="sv-SE"/>
              </w:rPr>
            </w:pPr>
            <w:r w:rsidRPr="004A019F">
              <w:rPr>
                <w:lang w:val="sv-SE"/>
              </w:rPr>
              <w:t>46</w:t>
            </w:r>
          </w:p>
        </w:tc>
        <w:tc>
          <w:tcPr>
            <w:tcW w:w="1146" w:type="pct"/>
            <w:shd w:val="clear" w:color="auto" w:fill="auto"/>
          </w:tcPr>
          <w:p w14:paraId="3A26CE94" w14:textId="77777777" w:rsidR="00662317" w:rsidRPr="004A019F" w:rsidRDefault="00662317" w:rsidP="004A019F">
            <w:pPr>
              <w:spacing w:after="0" w:line="240" w:lineRule="auto"/>
              <w:ind w:left="0" w:firstLine="0"/>
              <w:contextualSpacing/>
              <w:jc w:val="center"/>
              <w:rPr>
                <w:lang w:val="sv-SE"/>
              </w:rPr>
            </w:pPr>
          </w:p>
          <w:p w14:paraId="7DCFD3B6" w14:textId="77777777" w:rsidR="00662317" w:rsidRPr="004A019F" w:rsidRDefault="00662317" w:rsidP="004A019F">
            <w:pPr>
              <w:spacing w:after="0" w:line="240" w:lineRule="auto"/>
              <w:ind w:left="0" w:firstLine="0"/>
              <w:contextualSpacing/>
              <w:jc w:val="center"/>
              <w:rPr>
                <w:lang w:val="sv-SE"/>
              </w:rPr>
            </w:pPr>
          </w:p>
          <w:p w14:paraId="28F9E60E" w14:textId="77777777" w:rsidR="005027AB" w:rsidRPr="004A019F" w:rsidRDefault="00264096" w:rsidP="004A019F">
            <w:pPr>
              <w:spacing w:after="0" w:line="240" w:lineRule="auto"/>
              <w:ind w:left="0" w:firstLine="0"/>
              <w:contextualSpacing/>
              <w:jc w:val="center"/>
              <w:rPr>
                <w:lang w:val="sv-SE"/>
              </w:rPr>
            </w:pPr>
            <w:r w:rsidRPr="004A019F">
              <w:rPr>
                <w:lang w:val="sv-SE"/>
              </w:rPr>
              <w:t>59</w:t>
            </w:r>
          </w:p>
        </w:tc>
        <w:tc>
          <w:tcPr>
            <w:tcW w:w="1130" w:type="pct"/>
            <w:shd w:val="clear" w:color="auto" w:fill="auto"/>
          </w:tcPr>
          <w:p w14:paraId="15FB6129" w14:textId="53018A3B" w:rsidR="005027AB" w:rsidRPr="004A019F" w:rsidRDefault="00264096" w:rsidP="004A019F">
            <w:pPr>
              <w:spacing w:after="0" w:line="240" w:lineRule="auto"/>
              <w:ind w:left="0" w:firstLine="0"/>
              <w:contextualSpacing/>
              <w:jc w:val="center"/>
              <w:rPr>
                <w:lang w:val="sv-SE"/>
              </w:rPr>
            </w:pPr>
            <w:r w:rsidRPr="004A019F">
              <w:rPr>
                <w:lang w:val="sv-SE"/>
              </w:rPr>
              <w:t xml:space="preserve">Hazard </w:t>
            </w:r>
            <w:r w:rsidR="003C53F4" w:rsidRPr="004A019F">
              <w:rPr>
                <w:lang w:val="sv-SE"/>
              </w:rPr>
              <w:t>ratio</w:t>
            </w:r>
          </w:p>
          <w:p w14:paraId="67CB0C9A" w14:textId="195E6A01" w:rsidR="005027AB" w:rsidRPr="004A019F" w:rsidRDefault="00264096" w:rsidP="004A019F">
            <w:pPr>
              <w:spacing w:after="0" w:line="240" w:lineRule="auto"/>
              <w:ind w:left="0" w:firstLine="0"/>
              <w:contextualSpacing/>
              <w:jc w:val="center"/>
              <w:rPr>
                <w:lang w:val="sv-SE"/>
              </w:rPr>
            </w:pPr>
            <w:r w:rsidRPr="004A019F">
              <w:rPr>
                <w:lang w:val="sv-SE"/>
              </w:rPr>
              <w:t>(</w:t>
            </w:r>
            <w:r w:rsidR="00342D88" w:rsidRPr="004A019F">
              <w:rPr>
                <w:lang w:val="sv-SE"/>
              </w:rPr>
              <w:t>95 </w:t>
            </w:r>
            <w:r w:rsidRPr="004A019F">
              <w:rPr>
                <w:lang w:val="sv-SE"/>
              </w:rPr>
              <w:t>% KI)</w:t>
            </w:r>
          </w:p>
          <w:p w14:paraId="73AF5E50" w14:textId="77777777" w:rsidR="00662317" w:rsidRPr="004A019F" w:rsidRDefault="00264096" w:rsidP="004A019F">
            <w:pPr>
              <w:spacing w:after="0" w:line="240" w:lineRule="auto"/>
              <w:ind w:left="0" w:firstLine="0"/>
              <w:contextualSpacing/>
              <w:jc w:val="center"/>
              <w:rPr>
                <w:lang w:val="sv-SE"/>
              </w:rPr>
            </w:pPr>
            <w:r w:rsidRPr="004A019F">
              <w:rPr>
                <w:lang w:val="sv-SE"/>
              </w:rPr>
              <w:t xml:space="preserve">0,65 (0,44, 0,96) </w:t>
            </w:r>
          </w:p>
          <w:p w14:paraId="29C21242" w14:textId="2361310D" w:rsidR="005027AB" w:rsidRPr="004A019F" w:rsidRDefault="00342D88" w:rsidP="004A019F">
            <w:pPr>
              <w:spacing w:after="0" w:line="240" w:lineRule="auto"/>
              <w:ind w:left="0" w:firstLine="0"/>
              <w:contextualSpacing/>
              <w:jc w:val="center"/>
              <w:rPr>
                <w:lang w:val="sv-SE"/>
              </w:rPr>
            </w:pPr>
            <w:r w:rsidRPr="004A019F">
              <w:rPr>
                <w:lang w:val="sv-SE"/>
              </w:rPr>
              <w:t>p = </w:t>
            </w:r>
            <w:r w:rsidR="00264096" w:rsidRPr="004A019F">
              <w:rPr>
                <w:lang w:val="sv-SE"/>
              </w:rPr>
              <w:t>0,0275</w:t>
            </w:r>
          </w:p>
        </w:tc>
      </w:tr>
      <w:tr w:rsidR="00AD14F8" w:rsidRPr="00A74CC6" w14:paraId="63288E15" w14:textId="77777777" w:rsidTr="004A019F">
        <w:trPr>
          <w:trHeight w:val="516"/>
        </w:trPr>
        <w:tc>
          <w:tcPr>
            <w:tcW w:w="1652" w:type="pct"/>
            <w:shd w:val="clear" w:color="auto" w:fill="auto"/>
          </w:tcPr>
          <w:p w14:paraId="4E978C15" w14:textId="62A3816F" w:rsidR="005027AB" w:rsidRPr="004A019F" w:rsidRDefault="00264096" w:rsidP="004A019F">
            <w:pPr>
              <w:spacing w:after="0" w:line="240" w:lineRule="auto"/>
              <w:ind w:left="0" w:firstLine="0"/>
              <w:contextualSpacing/>
              <w:rPr>
                <w:lang w:val="sv-SE"/>
              </w:rPr>
            </w:pPr>
            <w:r w:rsidRPr="004A019F">
              <w:rPr>
                <w:lang w:val="sv-SE"/>
              </w:rPr>
              <w:t>Patologisk komplett respons* (</w:t>
            </w:r>
            <w:r w:rsidR="00342D88" w:rsidRPr="004A019F">
              <w:rPr>
                <w:lang w:val="sv-SE"/>
              </w:rPr>
              <w:t>95 </w:t>
            </w:r>
            <w:r w:rsidRPr="004A019F">
              <w:rPr>
                <w:lang w:val="sv-SE"/>
              </w:rPr>
              <w:t>% KI)</w:t>
            </w:r>
          </w:p>
        </w:tc>
        <w:tc>
          <w:tcPr>
            <w:tcW w:w="1073" w:type="pct"/>
            <w:shd w:val="clear" w:color="auto" w:fill="auto"/>
          </w:tcPr>
          <w:p w14:paraId="26E5EDE7" w14:textId="35A964A1" w:rsidR="005027AB" w:rsidRPr="004A019F" w:rsidRDefault="00342D88" w:rsidP="004A019F">
            <w:pPr>
              <w:spacing w:after="0" w:line="240" w:lineRule="auto"/>
              <w:ind w:left="0" w:firstLine="0"/>
              <w:contextualSpacing/>
              <w:jc w:val="center"/>
              <w:rPr>
                <w:lang w:val="sv-SE"/>
              </w:rPr>
            </w:pPr>
            <w:r w:rsidRPr="004A019F">
              <w:rPr>
                <w:lang w:val="sv-SE"/>
              </w:rPr>
              <w:t>40 </w:t>
            </w:r>
            <w:r w:rsidR="00264096" w:rsidRPr="004A019F">
              <w:rPr>
                <w:lang w:val="sv-SE"/>
              </w:rPr>
              <w:t>%</w:t>
            </w:r>
          </w:p>
          <w:p w14:paraId="5DE47C73" w14:textId="77777777" w:rsidR="005027AB" w:rsidRPr="004A019F" w:rsidRDefault="00264096" w:rsidP="004A019F">
            <w:pPr>
              <w:spacing w:after="0" w:line="240" w:lineRule="auto"/>
              <w:ind w:left="0" w:firstLine="0"/>
              <w:contextualSpacing/>
              <w:jc w:val="center"/>
              <w:rPr>
                <w:lang w:val="sv-SE"/>
              </w:rPr>
            </w:pPr>
            <w:r w:rsidRPr="004A019F">
              <w:rPr>
                <w:lang w:val="sv-SE"/>
              </w:rPr>
              <w:t>(31,0, 49,6)</w:t>
            </w:r>
          </w:p>
        </w:tc>
        <w:tc>
          <w:tcPr>
            <w:tcW w:w="1146" w:type="pct"/>
            <w:shd w:val="clear" w:color="auto" w:fill="auto"/>
          </w:tcPr>
          <w:p w14:paraId="21873733" w14:textId="3E863E25" w:rsidR="009F1FBD" w:rsidRPr="004A019F" w:rsidRDefault="00264096" w:rsidP="004A019F">
            <w:pPr>
              <w:spacing w:after="0" w:line="240" w:lineRule="auto"/>
              <w:ind w:left="0" w:firstLine="0"/>
              <w:contextualSpacing/>
              <w:jc w:val="center"/>
              <w:rPr>
                <w:lang w:val="sv-SE"/>
              </w:rPr>
            </w:pPr>
            <w:r w:rsidRPr="004A019F">
              <w:rPr>
                <w:lang w:val="sv-SE"/>
              </w:rPr>
              <w:t>20,7</w:t>
            </w:r>
            <w:r w:rsidR="00342D88" w:rsidRPr="004A019F">
              <w:rPr>
                <w:lang w:val="sv-SE"/>
              </w:rPr>
              <w:t> </w:t>
            </w:r>
            <w:r w:rsidRPr="004A019F">
              <w:rPr>
                <w:lang w:val="sv-SE"/>
              </w:rPr>
              <w:t xml:space="preserve">% </w:t>
            </w:r>
          </w:p>
          <w:p w14:paraId="5B5D56D3" w14:textId="77777777" w:rsidR="005027AB" w:rsidRPr="004A019F" w:rsidRDefault="00264096" w:rsidP="004A019F">
            <w:pPr>
              <w:spacing w:after="0" w:line="240" w:lineRule="auto"/>
              <w:ind w:left="0" w:firstLine="0"/>
              <w:contextualSpacing/>
              <w:jc w:val="center"/>
              <w:rPr>
                <w:lang w:val="sv-SE"/>
              </w:rPr>
            </w:pPr>
            <w:r w:rsidRPr="004A019F">
              <w:rPr>
                <w:lang w:val="sv-SE"/>
              </w:rPr>
              <w:t>(13,7, 29,2)</w:t>
            </w:r>
          </w:p>
        </w:tc>
        <w:tc>
          <w:tcPr>
            <w:tcW w:w="1130" w:type="pct"/>
            <w:shd w:val="clear" w:color="auto" w:fill="auto"/>
          </w:tcPr>
          <w:p w14:paraId="26D8B871" w14:textId="72485592" w:rsidR="005027AB" w:rsidRPr="004A019F" w:rsidRDefault="00342D88" w:rsidP="004A019F">
            <w:pPr>
              <w:spacing w:after="0" w:line="240" w:lineRule="auto"/>
              <w:ind w:left="0" w:firstLine="0"/>
              <w:contextualSpacing/>
              <w:jc w:val="center"/>
              <w:rPr>
                <w:lang w:val="sv-SE"/>
              </w:rPr>
            </w:pPr>
            <w:r w:rsidRPr="004A019F">
              <w:rPr>
                <w:lang w:val="sv-SE"/>
              </w:rPr>
              <w:t>p = </w:t>
            </w:r>
            <w:r w:rsidR="00264096" w:rsidRPr="004A019F">
              <w:rPr>
                <w:lang w:val="sv-SE"/>
              </w:rPr>
              <w:t>0,0014</w:t>
            </w:r>
          </w:p>
        </w:tc>
      </w:tr>
      <w:tr w:rsidR="00AD14F8" w:rsidRPr="00A74CC6" w14:paraId="5C58BAF2" w14:textId="77777777" w:rsidTr="004A019F">
        <w:trPr>
          <w:trHeight w:val="1022"/>
        </w:trPr>
        <w:tc>
          <w:tcPr>
            <w:tcW w:w="1652" w:type="pct"/>
            <w:shd w:val="clear" w:color="auto" w:fill="auto"/>
          </w:tcPr>
          <w:p w14:paraId="25DF9CF6" w14:textId="77777777" w:rsidR="005027AB" w:rsidRPr="004A019F" w:rsidRDefault="00264096" w:rsidP="004A019F">
            <w:pPr>
              <w:spacing w:after="0" w:line="240" w:lineRule="auto"/>
              <w:ind w:left="0" w:firstLine="0"/>
              <w:contextualSpacing/>
              <w:rPr>
                <w:lang w:val="sv-SE"/>
              </w:rPr>
            </w:pPr>
            <w:r w:rsidRPr="004A019F">
              <w:rPr>
                <w:lang w:val="sv-SE"/>
              </w:rPr>
              <w:t>Överlevnad</w:t>
            </w:r>
          </w:p>
          <w:p w14:paraId="0E956156" w14:textId="77777777" w:rsidR="00662317" w:rsidRPr="004A019F" w:rsidRDefault="00662317" w:rsidP="004A019F">
            <w:pPr>
              <w:spacing w:after="0" w:line="240" w:lineRule="auto"/>
              <w:ind w:left="0" w:firstLine="0"/>
              <w:contextualSpacing/>
              <w:rPr>
                <w:lang w:val="sv-SE"/>
              </w:rPr>
            </w:pPr>
          </w:p>
          <w:p w14:paraId="13C3DD29" w14:textId="77777777" w:rsidR="005027AB" w:rsidRPr="004A019F" w:rsidRDefault="00264096" w:rsidP="004A019F">
            <w:pPr>
              <w:spacing w:after="0" w:line="240" w:lineRule="auto"/>
              <w:ind w:left="0" w:firstLine="0"/>
              <w:contextualSpacing/>
              <w:rPr>
                <w:lang w:val="sv-SE"/>
              </w:rPr>
            </w:pPr>
            <w:r w:rsidRPr="004A019F">
              <w:rPr>
                <w:lang w:val="sv-SE"/>
              </w:rPr>
              <w:t>Antal patienter med händelser</w:t>
            </w:r>
          </w:p>
        </w:tc>
        <w:tc>
          <w:tcPr>
            <w:tcW w:w="1073" w:type="pct"/>
            <w:shd w:val="clear" w:color="auto" w:fill="auto"/>
          </w:tcPr>
          <w:p w14:paraId="5C083B38" w14:textId="77777777" w:rsidR="00662317" w:rsidRPr="004A019F" w:rsidRDefault="00662317" w:rsidP="004A019F">
            <w:pPr>
              <w:spacing w:after="0" w:line="240" w:lineRule="auto"/>
              <w:ind w:left="0" w:firstLine="0"/>
              <w:contextualSpacing/>
              <w:jc w:val="center"/>
              <w:rPr>
                <w:lang w:val="sv-SE"/>
              </w:rPr>
            </w:pPr>
          </w:p>
          <w:p w14:paraId="42D4BE91" w14:textId="77777777" w:rsidR="00662317" w:rsidRPr="004A019F" w:rsidRDefault="00662317" w:rsidP="004A019F">
            <w:pPr>
              <w:spacing w:after="0" w:line="240" w:lineRule="auto"/>
              <w:ind w:left="0" w:firstLine="0"/>
              <w:contextualSpacing/>
              <w:jc w:val="center"/>
              <w:rPr>
                <w:lang w:val="sv-SE"/>
              </w:rPr>
            </w:pPr>
          </w:p>
          <w:p w14:paraId="769F97BD" w14:textId="77777777" w:rsidR="005027AB" w:rsidRPr="004A019F" w:rsidRDefault="00264096" w:rsidP="004A019F">
            <w:pPr>
              <w:spacing w:after="0" w:line="240" w:lineRule="auto"/>
              <w:ind w:left="0" w:firstLine="0"/>
              <w:contextualSpacing/>
              <w:jc w:val="center"/>
              <w:rPr>
                <w:lang w:val="sv-SE"/>
              </w:rPr>
            </w:pPr>
            <w:r w:rsidRPr="004A019F">
              <w:rPr>
                <w:lang w:val="sv-SE"/>
              </w:rPr>
              <w:t>22</w:t>
            </w:r>
          </w:p>
        </w:tc>
        <w:tc>
          <w:tcPr>
            <w:tcW w:w="1146" w:type="pct"/>
            <w:shd w:val="clear" w:color="auto" w:fill="auto"/>
          </w:tcPr>
          <w:p w14:paraId="638D3068" w14:textId="77777777" w:rsidR="00662317" w:rsidRPr="004A019F" w:rsidRDefault="00662317" w:rsidP="004A019F">
            <w:pPr>
              <w:spacing w:after="0" w:line="240" w:lineRule="auto"/>
              <w:ind w:left="0" w:firstLine="0"/>
              <w:contextualSpacing/>
              <w:jc w:val="center"/>
              <w:rPr>
                <w:lang w:val="sv-SE"/>
              </w:rPr>
            </w:pPr>
          </w:p>
          <w:p w14:paraId="3A8704A3" w14:textId="77777777" w:rsidR="00662317" w:rsidRPr="004A019F" w:rsidRDefault="00662317" w:rsidP="004A019F">
            <w:pPr>
              <w:spacing w:after="0" w:line="240" w:lineRule="auto"/>
              <w:ind w:left="0" w:firstLine="0"/>
              <w:contextualSpacing/>
              <w:jc w:val="center"/>
              <w:rPr>
                <w:lang w:val="sv-SE"/>
              </w:rPr>
            </w:pPr>
          </w:p>
          <w:p w14:paraId="68C9A88B" w14:textId="77777777" w:rsidR="005027AB" w:rsidRPr="004A019F" w:rsidRDefault="00264096" w:rsidP="004A019F">
            <w:pPr>
              <w:spacing w:after="0" w:line="240" w:lineRule="auto"/>
              <w:ind w:left="0" w:firstLine="0"/>
              <w:contextualSpacing/>
              <w:jc w:val="center"/>
              <w:rPr>
                <w:lang w:val="sv-SE"/>
              </w:rPr>
            </w:pPr>
            <w:r w:rsidRPr="004A019F">
              <w:rPr>
                <w:lang w:val="sv-SE"/>
              </w:rPr>
              <w:t>33</w:t>
            </w:r>
          </w:p>
        </w:tc>
        <w:tc>
          <w:tcPr>
            <w:tcW w:w="1130" w:type="pct"/>
            <w:shd w:val="clear" w:color="auto" w:fill="auto"/>
          </w:tcPr>
          <w:p w14:paraId="1B53D9B4" w14:textId="7D20E9F9" w:rsidR="005027AB" w:rsidRPr="004A019F" w:rsidRDefault="00264096" w:rsidP="004A019F">
            <w:pPr>
              <w:spacing w:after="0" w:line="240" w:lineRule="auto"/>
              <w:ind w:left="0" w:firstLine="0"/>
              <w:contextualSpacing/>
              <w:jc w:val="center"/>
              <w:rPr>
                <w:lang w:val="sv-SE"/>
              </w:rPr>
            </w:pPr>
            <w:r w:rsidRPr="004A019F">
              <w:rPr>
                <w:lang w:val="sv-SE"/>
              </w:rPr>
              <w:t xml:space="preserve">Hazard </w:t>
            </w:r>
            <w:r w:rsidR="003C53F4" w:rsidRPr="004A019F">
              <w:rPr>
                <w:lang w:val="sv-SE"/>
              </w:rPr>
              <w:t>ratio</w:t>
            </w:r>
          </w:p>
          <w:p w14:paraId="7AD395DE" w14:textId="77777777" w:rsidR="005027AB" w:rsidRPr="004A019F" w:rsidRDefault="00264096" w:rsidP="004A019F">
            <w:pPr>
              <w:spacing w:after="0" w:line="240" w:lineRule="auto"/>
              <w:ind w:left="0" w:firstLine="0"/>
              <w:contextualSpacing/>
              <w:jc w:val="center"/>
              <w:rPr>
                <w:lang w:val="sv-SE"/>
              </w:rPr>
            </w:pPr>
            <w:r w:rsidRPr="004A019F">
              <w:rPr>
                <w:lang w:val="sv-SE"/>
              </w:rPr>
              <w:t>(95 % KI)</w:t>
            </w:r>
          </w:p>
          <w:p w14:paraId="222970CB" w14:textId="77777777" w:rsidR="00662317" w:rsidRPr="004A019F" w:rsidRDefault="00264096" w:rsidP="004A019F">
            <w:pPr>
              <w:spacing w:after="0" w:line="240" w:lineRule="auto"/>
              <w:ind w:left="0" w:firstLine="0"/>
              <w:contextualSpacing/>
              <w:jc w:val="center"/>
              <w:rPr>
                <w:lang w:val="sv-SE"/>
              </w:rPr>
            </w:pPr>
            <w:r w:rsidRPr="004A019F">
              <w:rPr>
                <w:lang w:val="sv-SE"/>
              </w:rPr>
              <w:t xml:space="preserve">0,59 (0,35, 1,02) </w:t>
            </w:r>
          </w:p>
          <w:p w14:paraId="2AD8DB10" w14:textId="47F7D6B4" w:rsidR="005027AB" w:rsidRPr="004A019F" w:rsidRDefault="00342D88" w:rsidP="004A019F">
            <w:pPr>
              <w:spacing w:after="0" w:line="240" w:lineRule="auto"/>
              <w:ind w:left="0" w:firstLine="0"/>
              <w:contextualSpacing/>
              <w:jc w:val="center"/>
              <w:rPr>
                <w:lang w:val="sv-SE"/>
              </w:rPr>
            </w:pPr>
            <w:r w:rsidRPr="004A019F">
              <w:rPr>
                <w:lang w:val="sv-SE"/>
              </w:rPr>
              <w:t>p = </w:t>
            </w:r>
            <w:r w:rsidR="00264096" w:rsidRPr="004A019F">
              <w:rPr>
                <w:lang w:val="sv-SE"/>
              </w:rPr>
              <w:t>0,0555</w:t>
            </w:r>
          </w:p>
        </w:tc>
      </w:tr>
    </w:tbl>
    <w:p w14:paraId="5308B05A" w14:textId="09F48D69" w:rsidR="005027AB" w:rsidRPr="00A74CC6" w:rsidRDefault="00264096" w:rsidP="009F1FBD">
      <w:pPr>
        <w:spacing w:after="0" w:line="240" w:lineRule="auto"/>
        <w:ind w:left="0" w:firstLine="0"/>
        <w:contextualSpacing/>
        <w:rPr>
          <w:sz w:val="20"/>
          <w:lang w:val="sv-SE"/>
        </w:rPr>
      </w:pPr>
      <w:r w:rsidRPr="00A74CC6">
        <w:rPr>
          <w:sz w:val="20"/>
          <w:lang w:val="sv-SE"/>
        </w:rPr>
        <w:t>*definiera</w:t>
      </w:r>
      <w:r w:rsidR="00A347D0" w:rsidRPr="00A74CC6">
        <w:rPr>
          <w:sz w:val="20"/>
          <w:lang w:val="sv-SE"/>
        </w:rPr>
        <w:t>d</w:t>
      </w:r>
      <w:r w:rsidRPr="00A74CC6">
        <w:rPr>
          <w:sz w:val="20"/>
          <w:lang w:val="sv-SE"/>
        </w:rPr>
        <w:t xml:space="preserve"> som frånvaro av invasiv cancer både i bröst och </w:t>
      </w:r>
      <w:r w:rsidR="00703506">
        <w:rPr>
          <w:sz w:val="20"/>
          <w:lang w:val="sv-SE"/>
        </w:rPr>
        <w:t xml:space="preserve">i </w:t>
      </w:r>
      <w:r w:rsidRPr="00A74CC6">
        <w:rPr>
          <w:sz w:val="20"/>
          <w:lang w:val="sv-SE"/>
        </w:rPr>
        <w:t>lymfknutor.</w:t>
      </w:r>
    </w:p>
    <w:p w14:paraId="0F624FC1" w14:textId="77777777" w:rsidR="004661D0" w:rsidRPr="00A74CC6" w:rsidRDefault="004661D0" w:rsidP="009F1FBD">
      <w:pPr>
        <w:spacing w:after="0" w:line="240" w:lineRule="auto"/>
        <w:ind w:left="0" w:firstLine="0"/>
        <w:contextualSpacing/>
        <w:rPr>
          <w:lang w:val="sv-SE"/>
        </w:rPr>
      </w:pPr>
    </w:p>
    <w:p w14:paraId="499A5789" w14:textId="74286865" w:rsidR="005027AB" w:rsidRPr="00A74CC6" w:rsidRDefault="00264096" w:rsidP="009F1FBD">
      <w:pPr>
        <w:spacing w:after="0" w:line="240" w:lineRule="auto"/>
        <w:ind w:left="0" w:firstLine="0"/>
        <w:contextualSpacing/>
        <w:rPr>
          <w:lang w:val="sv-SE"/>
        </w:rPr>
      </w:pPr>
      <w:r w:rsidRPr="00A74CC6">
        <w:rPr>
          <w:lang w:val="sv-SE"/>
        </w:rPr>
        <w:t>En absolut behandlingsvinst på 13</w:t>
      </w:r>
      <w:r w:rsidR="00A347D0" w:rsidRPr="00A74CC6">
        <w:rPr>
          <w:lang w:val="sv-SE"/>
        </w:rPr>
        <w:t> </w:t>
      </w:r>
      <w:r w:rsidRPr="00A74CC6">
        <w:rPr>
          <w:lang w:val="sv-SE"/>
        </w:rPr>
        <w:t xml:space="preserve">procentenheter till fördel för </w:t>
      </w:r>
      <w:r w:rsidR="00342D88" w:rsidRPr="00A74CC6">
        <w:rPr>
          <w:lang w:val="sv-SE"/>
        </w:rPr>
        <w:t>trastuzumab</w:t>
      </w:r>
      <w:r w:rsidRPr="00A74CC6">
        <w:rPr>
          <w:lang w:val="sv-SE"/>
        </w:rPr>
        <w:t xml:space="preserve">gruppen beräknades </w:t>
      </w:r>
      <w:r w:rsidR="00A347D0" w:rsidRPr="00A74CC6">
        <w:rPr>
          <w:lang w:val="sv-SE"/>
        </w:rPr>
        <w:t>för</w:t>
      </w:r>
      <w:r w:rsidRPr="00A74CC6">
        <w:rPr>
          <w:lang w:val="sv-SE"/>
        </w:rPr>
        <w:t xml:space="preserve"> 3</w:t>
      </w:r>
      <w:r w:rsidR="00A347D0" w:rsidRPr="00A74CC6">
        <w:rPr>
          <w:lang w:val="sv-SE"/>
        </w:rPr>
        <w:t> </w:t>
      </w:r>
      <w:r w:rsidRPr="00A74CC6">
        <w:rPr>
          <w:lang w:val="sv-SE"/>
        </w:rPr>
        <w:t>års händelsefri överlevnad (65</w:t>
      </w:r>
      <w:r w:rsidR="00B268E6" w:rsidRPr="00A74CC6">
        <w:rPr>
          <w:lang w:val="sv-SE"/>
        </w:rPr>
        <w:t> %</w:t>
      </w:r>
      <w:r w:rsidRPr="00A74CC6">
        <w:rPr>
          <w:lang w:val="sv-SE"/>
        </w:rPr>
        <w:t xml:space="preserve"> jämfört med 52</w:t>
      </w:r>
      <w:r w:rsidR="00B268E6" w:rsidRPr="00A74CC6">
        <w:rPr>
          <w:lang w:val="sv-SE"/>
        </w:rPr>
        <w:t> %</w:t>
      </w:r>
      <w:r w:rsidRPr="00A74CC6">
        <w:rPr>
          <w:lang w:val="sv-SE"/>
        </w:rPr>
        <w:t>).</w:t>
      </w:r>
    </w:p>
    <w:p w14:paraId="411CF3FE" w14:textId="77777777" w:rsidR="004661D0" w:rsidRPr="00A74CC6" w:rsidRDefault="004661D0" w:rsidP="009F1FBD">
      <w:pPr>
        <w:spacing w:after="0" w:line="240" w:lineRule="auto"/>
        <w:ind w:left="0" w:firstLine="0"/>
        <w:contextualSpacing/>
        <w:rPr>
          <w:lang w:val="sv-SE"/>
        </w:rPr>
      </w:pPr>
    </w:p>
    <w:p w14:paraId="0EC92D38" w14:textId="77777777" w:rsidR="004661D0" w:rsidRPr="00A74CC6" w:rsidRDefault="00264096" w:rsidP="009F1FBD">
      <w:pPr>
        <w:pStyle w:val="Heading3"/>
        <w:spacing w:after="0" w:line="240" w:lineRule="auto"/>
        <w:ind w:left="0" w:firstLine="0"/>
        <w:contextualSpacing/>
        <w:rPr>
          <w:lang w:val="sv-SE"/>
        </w:rPr>
      </w:pPr>
      <w:r w:rsidRPr="00A74CC6">
        <w:rPr>
          <w:lang w:val="sv-SE"/>
        </w:rPr>
        <w:t>Metastaserad ventrikelcancer</w:t>
      </w:r>
    </w:p>
    <w:p w14:paraId="56D87DEE" w14:textId="77777777" w:rsidR="004661D0" w:rsidRPr="00A74CC6" w:rsidRDefault="004661D0" w:rsidP="009F1FBD">
      <w:pPr>
        <w:keepNext/>
        <w:keepLines/>
        <w:spacing w:after="0" w:line="240" w:lineRule="auto"/>
        <w:ind w:left="0" w:firstLine="0"/>
        <w:contextualSpacing/>
        <w:rPr>
          <w:lang w:val="sv-SE"/>
        </w:rPr>
      </w:pPr>
    </w:p>
    <w:p w14:paraId="4A640354" w14:textId="4D39DF21" w:rsidR="005027AB" w:rsidRPr="00A74CC6" w:rsidRDefault="00342D88" w:rsidP="009F1FBD">
      <w:pPr>
        <w:spacing w:after="0" w:line="240" w:lineRule="auto"/>
        <w:ind w:left="0" w:firstLine="0"/>
        <w:contextualSpacing/>
        <w:rPr>
          <w:lang w:val="sv-SE"/>
        </w:rPr>
      </w:pPr>
      <w:r w:rsidRPr="00A74CC6">
        <w:rPr>
          <w:lang w:val="sv-SE"/>
        </w:rPr>
        <w:t xml:space="preserve">Trastuzumab </w:t>
      </w:r>
      <w:r w:rsidR="00264096" w:rsidRPr="00A74CC6">
        <w:rPr>
          <w:lang w:val="sv-SE"/>
        </w:rPr>
        <w:t>har studerats i en randomiserad, öppen fas-III-studie</w:t>
      </w:r>
      <w:r w:rsidR="00A347D0" w:rsidRPr="00A74CC6">
        <w:rPr>
          <w:lang w:val="sv-SE"/>
        </w:rPr>
        <w:t>,</w:t>
      </w:r>
      <w:r w:rsidR="00264096" w:rsidRPr="00A74CC6">
        <w:rPr>
          <w:lang w:val="sv-SE"/>
        </w:rPr>
        <w:t xml:space="preserve"> ToGA (BO18255)</w:t>
      </w:r>
      <w:r w:rsidR="00A347D0" w:rsidRPr="00A74CC6">
        <w:rPr>
          <w:lang w:val="sv-SE"/>
        </w:rPr>
        <w:t>,</w:t>
      </w:r>
      <w:r w:rsidR="00264096" w:rsidRPr="00A74CC6">
        <w:rPr>
          <w:lang w:val="sv-SE"/>
        </w:rPr>
        <w:t xml:space="preserve"> i kombination med kemoterapi jämfört med enbart kemoterapi. </w:t>
      </w:r>
    </w:p>
    <w:p w14:paraId="79E08E9F" w14:textId="77777777" w:rsidR="004661D0" w:rsidRPr="00A74CC6" w:rsidRDefault="004661D0" w:rsidP="009F1FBD">
      <w:pPr>
        <w:spacing w:after="0" w:line="240" w:lineRule="auto"/>
        <w:ind w:left="0" w:firstLine="0"/>
        <w:contextualSpacing/>
        <w:rPr>
          <w:lang w:val="sv-SE"/>
        </w:rPr>
      </w:pPr>
    </w:p>
    <w:p w14:paraId="36CC5330" w14:textId="77777777" w:rsidR="005027AB" w:rsidRPr="00A74CC6" w:rsidRDefault="00264096" w:rsidP="009F1FBD">
      <w:pPr>
        <w:keepNext/>
        <w:spacing w:after="0" w:line="240" w:lineRule="auto"/>
        <w:ind w:left="0" w:firstLine="0"/>
        <w:contextualSpacing/>
        <w:rPr>
          <w:lang w:val="sv-SE"/>
        </w:rPr>
      </w:pPr>
      <w:r w:rsidRPr="00A74CC6">
        <w:rPr>
          <w:lang w:val="sv-SE"/>
        </w:rPr>
        <w:t>Kemoterapi administrerades enligt följande:</w:t>
      </w:r>
    </w:p>
    <w:p w14:paraId="57A021CB" w14:textId="77777777" w:rsidR="004661D0" w:rsidRPr="00A74CC6" w:rsidRDefault="004661D0" w:rsidP="009F1FBD">
      <w:pPr>
        <w:keepNext/>
        <w:spacing w:after="0" w:line="240" w:lineRule="auto"/>
        <w:ind w:left="0" w:firstLine="0"/>
        <w:contextualSpacing/>
        <w:rPr>
          <w:lang w:val="sv-SE"/>
        </w:rPr>
      </w:pPr>
    </w:p>
    <w:p w14:paraId="353D3BEB" w14:textId="1C399093" w:rsidR="005027AB" w:rsidRPr="00A74CC6" w:rsidRDefault="00A347D0" w:rsidP="009F1FBD">
      <w:pPr>
        <w:keepNext/>
        <w:numPr>
          <w:ilvl w:val="0"/>
          <w:numId w:val="10"/>
        </w:numPr>
        <w:spacing w:after="0" w:line="240" w:lineRule="auto"/>
        <w:ind w:left="567" w:hanging="567"/>
        <w:contextualSpacing/>
        <w:rPr>
          <w:lang w:val="sv-SE"/>
        </w:rPr>
      </w:pPr>
      <w:r w:rsidRPr="00A74CC6">
        <w:rPr>
          <w:lang w:val="sv-SE"/>
        </w:rPr>
        <w:t>k</w:t>
      </w:r>
      <w:r w:rsidR="00264096" w:rsidRPr="00A74CC6">
        <w:rPr>
          <w:lang w:val="sv-SE"/>
        </w:rPr>
        <w:t xml:space="preserve">apecitabin </w:t>
      </w:r>
      <w:r w:rsidR="00184B7E" w:rsidRPr="00A74CC6">
        <w:rPr>
          <w:lang w:val="sv-SE"/>
        </w:rPr>
        <w:t>–</w:t>
      </w:r>
      <w:r w:rsidR="00264096" w:rsidRPr="00A74CC6">
        <w:rPr>
          <w:lang w:val="sv-SE"/>
        </w:rPr>
        <w:t xml:space="preserve"> 1</w:t>
      </w:r>
      <w:r w:rsidRPr="00A74CC6">
        <w:rPr>
          <w:lang w:val="sv-SE"/>
        </w:rPr>
        <w:t> </w:t>
      </w:r>
      <w:r w:rsidR="00184B7E" w:rsidRPr="00A74CC6">
        <w:rPr>
          <w:lang w:val="sv-SE"/>
        </w:rPr>
        <w:t>000 </w:t>
      </w:r>
      <w:r w:rsidR="00264096" w:rsidRPr="00A74CC6">
        <w:rPr>
          <w:lang w:val="sv-SE"/>
        </w:rPr>
        <w:t>mg/m</w:t>
      </w:r>
      <w:r w:rsidR="00264096" w:rsidRPr="00A74CC6">
        <w:rPr>
          <w:vertAlign w:val="superscript"/>
          <w:lang w:val="sv-SE"/>
        </w:rPr>
        <w:t>2</w:t>
      </w:r>
      <w:r w:rsidR="00264096" w:rsidRPr="00A74CC6">
        <w:rPr>
          <w:lang w:val="sv-SE"/>
        </w:rPr>
        <w:t xml:space="preserve"> peroralt två gånger dagligen under 14</w:t>
      </w:r>
      <w:r w:rsidRPr="00A74CC6">
        <w:rPr>
          <w:lang w:val="sv-SE"/>
        </w:rPr>
        <w:t> </w:t>
      </w:r>
      <w:r w:rsidR="00264096" w:rsidRPr="00A74CC6">
        <w:rPr>
          <w:lang w:val="sv-SE"/>
        </w:rPr>
        <w:t>dagar var 3:e vecka i 6</w:t>
      </w:r>
      <w:r w:rsidRPr="00A74CC6">
        <w:rPr>
          <w:lang w:val="sv-SE"/>
        </w:rPr>
        <w:t> </w:t>
      </w:r>
      <w:r w:rsidR="00264096" w:rsidRPr="00A74CC6">
        <w:rPr>
          <w:lang w:val="sv-SE"/>
        </w:rPr>
        <w:t>cykler (</w:t>
      </w:r>
      <w:r w:rsidRPr="00A74CC6">
        <w:rPr>
          <w:lang w:val="sv-SE"/>
        </w:rPr>
        <w:t>från</w:t>
      </w:r>
      <w:r w:rsidR="00264096" w:rsidRPr="00A74CC6">
        <w:rPr>
          <w:lang w:val="sv-SE"/>
        </w:rPr>
        <w:t xml:space="preserve"> kvällen dag</w:t>
      </w:r>
      <w:r w:rsidRPr="00A74CC6">
        <w:rPr>
          <w:lang w:val="sv-SE"/>
        </w:rPr>
        <w:t> </w:t>
      </w:r>
      <w:r w:rsidR="00264096" w:rsidRPr="00A74CC6">
        <w:rPr>
          <w:lang w:val="sv-SE"/>
        </w:rPr>
        <w:t>1 till morgonen dag</w:t>
      </w:r>
      <w:r w:rsidRPr="00A74CC6">
        <w:rPr>
          <w:lang w:val="sv-SE"/>
        </w:rPr>
        <w:t> </w:t>
      </w:r>
      <w:r w:rsidR="00264096" w:rsidRPr="00A74CC6">
        <w:rPr>
          <w:lang w:val="sv-SE"/>
        </w:rPr>
        <w:t xml:space="preserve">15 i varje cykel) </w:t>
      </w:r>
    </w:p>
    <w:p w14:paraId="093071AD" w14:textId="77777777" w:rsidR="005027AB" w:rsidRPr="00A74CC6" w:rsidRDefault="00264096" w:rsidP="009F1FBD">
      <w:pPr>
        <w:keepNext/>
        <w:spacing w:after="0" w:line="240" w:lineRule="auto"/>
        <w:ind w:left="4" w:right="13"/>
        <w:contextualSpacing/>
        <w:rPr>
          <w:lang w:val="sv-SE"/>
        </w:rPr>
      </w:pPr>
      <w:r w:rsidRPr="00A74CC6">
        <w:rPr>
          <w:lang w:val="sv-SE"/>
        </w:rPr>
        <w:t xml:space="preserve">eller </w:t>
      </w:r>
    </w:p>
    <w:p w14:paraId="2285C261" w14:textId="6B8E04BF" w:rsidR="005027AB" w:rsidRPr="00A74CC6" w:rsidRDefault="00264096" w:rsidP="001E7238">
      <w:pPr>
        <w:numPr>
          <w:ilvl w:val="0"/>
          <w:numId w:val="10"/>
        </w:numPr>
        <w:spacing w:after="0" w:line="240" w:lineRule="auto"/>
        <w:ind w:left="567" w:hanging="567"/>
        <w:contextualSpacing/>
        <w:rPr>
          <w:lang w:val="sv-SE"/>
        </w:rPr>
      </w:pPr>
      <w:r w:rsidRPr="00A74CC6">
        <w:rPr>
          <w:lang w:val="sv-SE"/>
        </w:rPr>
        <w:t>i</w:t>
      </w:r>
      <w:r w:rsidR="00184B7E" w:rsidRPr="00A74CC6">
        <w:rPr>
          <w:lang w:val="sv-SE"/>
        </w:rPr>
        <w:t>ntravenöst 5-fluorouracil – 800 </w:t>
      </w:r>
      <w:r w:rsidRPr="00A74CC6">
        <w:rPr>
          <w:lang w:val="sv-SE"/>
        </w:rPr>
        <w:t>mg/m</w:t>
      </w:r>
      <w:r w:rsidRPr="00A74CC6">
        <w:rPr>
          <w:vertAlign w:val="superscript"/>
          <w:lang w:val="sv-SE"/>
        </w:rPr>
        <w:t>2</w:t>
      </w:r>
      <w:r w:rsidRPr="00A74CC6">
        <w:rPr>
          <w:lang w:val="sv-SE"/>
        </w:rPr>
        <w:t>/dag som en kontinuerlig intravenös infusion under 5</w:t>
      </w:r>
      <w:r w:rsidR="00A347D0" w:rsidRPr="00A74CC6">
        <w:rPr>
          <w:lang w:val="sv-SE"/>
        </w:rPr>
        <w:t> </w:t>
      </w:r>
      <w:r w:rsidRPr="00A74CC6">
        <w:rPr>
          <w:lang w:val="sv-SE"/>
        </w:rPr>
        <w:t>dagar, givet var 3:e vecka i 6</w:t>
      </w:r>
      <w:r w:rsidR="00A347D0" w:rsidRPr="00A74CC6">
        <w:rPr>
          <w:lang w:val="sv-SE"/>
        </w:rPr>
        <w:t> </w:t>
      </w:r>
      <w:r w:rsidRPr="00A74CC6">
        <w:rPr>
          <w:lang w:val="sv-SE"/>
        </w:rPr>
        <w:t>cykler (dag</w:t>
      </w:r>
      <w:r w:rsidR="00A347D0" w:rsidRPr="00A74CC6">
        <w:rPr>
          <w:lang w:val="sv-SE"/>
        </w:rPr>
        <w:t> </w:t>
      </w:r>
      <w:r w:rsidRPr="00A74CC6">
        <w:rPr>
          <w:lang w:val="sv-SE"/>
        </w:rPr>
        <w:t>1 till 5 i varje cykel)</w:t>
      </w:r>
      <w:r w:rsidR="00A347D0" w:rsidRPr="00A74CC6">
        <w:rPr>
          <w:lang w:val="sv-SE"/>
        </w:rPr>
        <w:t>.</w:t>
      </w:r>
      <w:r w:rsidRPr="00A74CC6">
        <w:rPr>
          <w:lang w:val="sv-SE"/>
        </w:rPr>
        <w:t xml:space="preserve"> </w:t>
      </w:r>
    </w:p>
    <w:p w14:paraId="007ED67D" w14:textId="77777777" w:rsidR="004661D0" w:rsidRPr="00A74CC6" w:rsidRDefault="004661D0" w:rsidP="001E7238">
      <w:pPr>
        <w:spacing w:after="0" w:line="240" w:lineRule="auto"/>
        <w:ind w:right="13"/>
        <w:contextualSpacing/>
        <w:rPr>
          <w:lang w:val="sv-SE"/>
        </w:rPr>
      </w:pPr>
    </w:p>
    <w:p w14:paraId="1CF72552" w14:textId="77777777" w:rsidR="005027AB" w:rsidRPr="00A74CC6" w:rsidRDefault="00264096" w:rsidP="009F1FBD">
      <w:pPr>
        <w:keepNext/>
        <w:spacing w:after="0" w:line="240" w:lineRule="auto"/>
        <w:ind w:left="6" w:right="11" w:hanging="6"/>
        <w:contextualSpacing/>
        <w:rPr>
          <w:lang w:val="sv-SE"/>
        </w:rPr>
      </w:pPr>
      <w:r w:rsidRPr="00A74CC6">
        <w:rPr>
          <w:lang w:val="sv-SE"/>
        </w:rPr>
        <w:t>Vardera av dessa administrerades med:</w:t>
      </w:r>
    </w:p>
    <w:p w14:paraId="505F7F33" w14:textId="77777777" w:rsidR="004661D0" w:rsidRPr="00A74CC6" w:rsidRDefault="004661D0" w:rsidP="009F1FBD">
      <w:pPr>
        <w:keepNext/>
        <w:spacing w:after="0" w:line="240" w:lineRule="auto"/>
        <w:ind w:left="6" w:right="11" w:hanging="6"/>
        <w:contextualSpacing/>
        <w:rPr>
          <w:lang w:val="sv-SE"/>
        </w:rPr>
      </w:pPr>
    </w:p>
    <w:p w14:paraId="7A9FA6A5" w14:textId="5DBEE544" w:rsidR="005027AB" w:rsidRPr="00A74CC6" w:rsidRDefault="00264096" w:rsidP="001E7238">
      <w:pPr>
        <w:numPr>
          <w:ilvl w:val="0"/>
          <w:numId w:val="10"/>
        </w:numPr>
        <w:spacing w:after="0" w:line="240" w:lineRule="auto"/>
        <w:ind w:left="567" w:hanging="567"/>
        <w:contextualSpacing/>
        <w:rPr>
          <w:lang w:val="sv-SE"/>
        </w:rPr>
      </w:pPr>
      <w:r w:rsidRPr="00A74CC6">
        <w:rPr>
          <w:lang w:val="sv-SE"/>
        </w:rPr>
        <w:t xml:space="preserve">cisplatin </w:t>
      </w:r>
      <w:r w:rsidR="00184B7E" w:rsidRPr="00A74CC6">
        <w:rPr>
          <w:lang w:val="sv-SE"/>
        </w:rPr>
        <w:t>–</w:t>
      </w:r>
      <w:r w:rsidRPr="00A74CC6">
        <w:rPr>
          <w:lang w:val="sv-SE"/>
        </w:rPr>
        <w:t xml:space="preserve"> 80</w:t>
      </w:r>
      <w:r w:rsidR="00184B7E" w:rsidRPr="00A74CC6">
        <w:rPr>
          <w:lang w:val="sv-SE"/>
        </w:rPr>
        <w:t> </w:t>
      </w:r>
      <w:r w:rsidRPr="00A74CC6">
        <w:rPr>
          <w:lang w:val="sv-SE"/>
        </w:rPr>
        <w:t>mg/m</w:t>
      </w:r>
      <w:r w:rsidRPr="00A74CC6">
        <w:rPr>
          <w:vertAlign w:val="superscript"/>
          <w:lang w:val="sv-SE"/>
        </w:rPr>
        <w:t>2</w:t>
      </w:r>
      <w:r w:rsidRPr="00A74CC6">
        <w:rPr>
          <w:lang w:val="sv-SE"/>
        </w:rPr>
        <w:t xml:space="preserve"> var 3:e vecka i 6</w:t>
      </w:r>
      <w:r w:rsidR="00A347D0" w:rsidRPr="00A74CC6">
        <w:rPr>
          <w:lang w:val="sv-SE"/>
        </w:rPr>
        <w:t> </w:t>
      </w:r>
      <w:r w:rsidRPr="00A74CC6">
        <w:rPr>
          <w:lang w:val="sv-SE"/>
        </w:rPr>
        <w:t>cykler på dag</w:t>
      </w:r>
      <w:r w:rsidR="00A347D0" w:rsidRPr="00A74CC6">
        <w:rPr>
          <w:lang w:val="sv-SE"/>
        </w:rPr>
        <w:t> </w:t>
      </w:r>
      <w:r w:rsidRPr="00A74CC6">
        <w:rPr>
          <w:lang w:val="sv-SE"/>
        </w:rPr>
        <w:t xml:space="preserve">1 </w:t>
      </w:r>
      <w:r w:rsidR="00A347D0" w:rsidRPr="00A74CC6">
        <w:rPr>
          <w:lang w:val="sv-SE"/>
        </w:rPr>
        <w:t>i</w:t>
      </w:r>
      <w:r w:rsidRPr="00A74CC6">
        <w:rPr>
          <w:lang w:val="sv-SE"/>
        </w:rPr>
        <w:t xml:space="preserve"> varje cykel.</w:t>
      </w:r>
    </w:p>
    <w:p w14:paraId="59C90BAA" w14:textId="77777777" w:rsidR="004661D0" w:rsidRPr="00A74CC6" w:rsidRDefault="004661D0" w:rsidP="001E7238">
      <w:pPr>
        <w:spacing w:after="0" w:line="240" w:lineRule="auto"/>
        <w:ind w:right="13"/>
        <w:contextualSpacing/>
        <w:rPr>
          <w:lang w:val="sv-SE"/>
        </w:rPr>
      </w:pPr>
    </w:p>
    <w:p w14:paraId="10D15F30" w14:textId="7F6E41D5" w:rsidR="005027AB" w:rsidRPr="00A74CC6" w:rsidRDefault="00264096" w:rsidP="00360C8E">
      <w:pPr>
        <w:keepNext/>
        <w:spacing w:after="0" w:line="240" w:lineRule="auto"/>
        <w:ind w:left="6" w:right="11" w:hanging="6"/>
        <w:contextualSpacing/>
        <w:rPr>
          <w:lang w:val="sv-SE"/>
        </w:rPr>
      </w:pPr>
      <w:r w:rsidRPr="00A74CC6">
        <w:rPr>
          <w:lang w:val="sv-SE"/>
        </w:rPr>
        <w:lastRenderedPageBreak/>
        <w:t xml:space="preserve">Effektresultaten från studie BO18225 sammanfattas i </w:t>
      </w:r>
      <w:r w:rsidR="00A347D0" w:rsidRPr="00A74CC6">
        <w:rPr>
          <w:lang w:val="sv-SE"/>
        </w:rPr>
        <w:t>tabell </w:t>
      </w:r>
      <w:r w:rsidRPr="00A74CC6">
        <w:rPr>
          <w:lang w:val="sv-SE"/>
        </w:rPr>
        <w:t xml:space="preserve">13: </w:t>
      </w:r>
    </w:p>
    <w:p w14:paraId="4B3D7387" w14:textId="77777777" w:rsidR="004661D0" w:rsidRPr="00A74CC6" w:rsidRDefault="004661D0" w:rsidP="00360C8E">
      <w:pPr>
        <w:keepNext/>
        <w:spacing w:after="0" w:line="240" w:lineRule="auto"/>
        <w:ind w:left="6" w:right="11" w:hanging="6"/>
        <w:contextualSpacing/>
        <w:rPr>
          <w:lang w:val="sv-SE"/>
        </w:rPr>
      </w:pPr>
    </w:p>
    <w:p w14:paraId="0F85D9A3" w14:textId="77777777" w:rsidR="005027AB" w:rsidRPr="00A74CC6" w:rsidRDefault="00264096" w:rsidP="001E7238">
      <w:pPr>
        <w:keepNext/>
        <w:keepLines/>
        <w:tabs>
          <w:tab w:val="center" w:pos="2409"/>
        </w:tabs>
        <w:spacing w:after="0" w:line="240" w:lineRule="auto"/>
        <w:ind w:left="-1" w:firstLine="0"/>
        <w:contextualSpacing/>
        <w:rPr>
          <w:b/>
          <w:lang w:val="sv-SE"/>
        </w:rPr>
      </w:pPr>
      <w:r w:rsidRPr="00A74CC6">
        <w:rPr>
          <w:b/>
          <w:lang w:val="sv-SE"/>
        </w:rPr>
        <w:t>Tabell 13</w:t>
      </w:r>
      <w:r w:rsidR="00E1391C" w:rsidRPr="00A74CC6">
        <w:rPr>
          <w:b/>
          <w:lang w:val="sv-SE"/>
        </w:rPr>
        <w:t>.</w:t>
      </w:r>
      <w:r w:rsidR="00342D88" w:rsidRPr="00A74CC6">
        <w:rPr>
          <w:b/>
          <w:lang w:val="sv-SE"/>
        </w:rPr>
        <w:t xml:space="preserve"> </w:t>
      </w:r>
      <w:r w:rsidRPr="00A74CC6">
        <w:rPr>
          <w:b/>
          <w:lang w:val="sv-SE"/>
        </w:rPr>
        <w:t>Effektresultat från BO18225</w:t>
      </w:r>
    </w:p>
    <w:p w14:paraId="1CFB02A8" w14:textId="77777777" w:rsidR="004661D0" w:rsidRPr="00A74CC6" w:rsidRDefault="004661D0" w:rsidP="001E7238">
      <w:pPr>
        <w:keepNext/>
        <w:keepLines/>
        <w:tabs>
          <w:tab w:val="center" w:pos="2409"/>
        </w:tabs>
        <w:spacing w:after="0" w:line="240" w:lineRule="auto"/>
        <w:ind w:left="-1" w:firstLine="0"/>
        <w:contextualSpacing/>
        <w:rPr>
          <w:lang w:val="sv-SE"/>
        </w:rPr>
      </w:pPr>
    </w:p>
    <w:tbl>
      <w:tblPr>
        <w:tblW w:w="5062" w:type="pct"/>
        <w:tblInd w:w="-5" w:type="dxa"/>
        <w:tblCellMar>
          <w:top w:w="49" w:type="dxa"/>
          <w:right w:w="81" w:type="dxa"/>
        </w:tblCellMar>
        <w:tblLook w:val="04A0" w:firstRow="1" w:lastRow="0" w:firstColumn="1" w:lastColumn="0" w:noHBand="0" w:noVBand="1"/>
      </w:tblPr>
      <w:tblGrid>
        <w:gridCol w:w="3627"/>
        <w:gridCol w:w="1412"/>
        <w:gridCol w:w="1157"/>
        <w:gridCol w:w="1846"/>
        <w:gridCol w:w="1331"/>
      </w:tblGrid>
      <w:tr w:rsidR="00AD14F8" w:rsidRPr="00A74CC6" w14:paraId="4E6D9259" w14:textId="77777777" w:rsidTr="003717B1">
        <w:trPr>
          <w:trHeight w:val="516"/>
          <w:tblHeader/>
        </w:trPr>
        <w:tc>
          <w:tcPr>
            <w:tcW w:w="1935" w:type="pct"/>
            <w:tcBorders>
              <w:top w:val="single" w:sz="4" w:space="0" w:color="000000"/>
              <w:left w:val="single" w:sz="4" w:space="0" w:color="000000"/>
              <w:bottom w:val="single" w:sz="4" w:space="0" w:color="000000"/>
              <w:right w:val="single" w:sz="4" w:space="0" w:color="000000"/>
            </w:tcBorders>
            <w:shd w:val="clear" w:color="auto" w:fill="auto"/>
          </w:tcPr>
          <w:p w14:paraId="64A1A299" w14:textId="77777777" w:rsidR="005027AB" w:rsidRPr="004A019F" w:rsidRDefault="00264096" w:rsidP="004A019F">
            <w:pPr>
              <w:keepNext/>
              <w:keepLines/>
              <w:spacing w:after="0" w:line="240" w:lineRule="auto"/>
              <w:ind w:left="0" w:firstLine="0"/>
              <w:contextualSpacing/>
              <w:jc w:val="center"/>
              <w:rPr>
                <w:lang w:val="sv-SE"/>
              </w:rPr>
            </w:pPr>
            <w:r w:rsidRPr="004A019F">
              <w:rPr>
                <w:b/>
                <w:lang w:val="sv-SE"/>
              </w:rPr>
              <w:t>Parameter</w:t>
            </w:r>
          </w:p>
        </w:tc>
        <w:tc>
          <w:tcPr>
            <w:tcW w:w="753" w:type="pct"/>
            <w:tcBorders>
              <w:top w:val="single" w:sz="4" w:space="0" w:color="000000"/>
              <w:left w:val="single" w:sz="4" w:space="0" w:color="000000"/>
              <w:bottom w:val="single" w:sz="4" w:space="0" w:color="000000"/>
              <w:right w:val="single" w:sz="4" w:space="0" w:color="000000"/>
            </w:tcBorders>
            <w:shd w:val="clear" w:color="auto" w:fill="auto"/>
          </w:tcPr>
          <w:p w14:paraId="27E7B0EF" w14:textId="77777777" w:rsidR="005027AB" w:rsidRPr="004A019F" w:rsidRDefault="00264096" w:rsidP="004A019F">
            <w:pPr>
              <w:keepNext/>
              <w:keepLines/>
              <w:spacing w:after="0" w:line="240" w:lineRule="auto"/>
              <w:ind w:left="0" w:firstLine="0"/>
              <w:contextualSpacing/>
              <w:jc w:val="center"/>
              <w:rPr>
                <w:lang w:val="sv-SE"/>
              </w:rPr>
            </w:pPr>
            <w:r w:rsidRPr="004A019F">
              <w:rPr>
                <w:b/>
                <w:lang w:val="sv-SE"/>
              </w:rPr>
              <w:t>FP</w:t>
            </w:r>
          </w:p>
          <w:p w14:paraId="7E7B8322" w14:textId="1E7A0E17" w:rsidR="005027AB" w:rsidRPr="004A019F" w:rsidRDefault="00342D88" w:rsidP="004A019F">
            <w:pPr>
              <w:keepNext/>
              <w:keepLines/>
              <w:spacing w:after="0" w:line="240" w:lineRule="auto"/>
              <w:ind w:left="0" w:firstLine="0"/>
              <w:contextualSpacing/>
              <w:jc w:val="center"/>
              <w:rPr>
                <w:lang w:val="sv-SE"/>
              </w:rPr>
            </w:pPr>
            <w:r w:rsidRPr="004A019F">
              <w:rPr>
                <w:b/>
                <w:lang w:val="sv-SE"/>
              </w:rPr>
              <w:t>n </w:t>
            </w:r>
            <w:r w:rsidR="00264096" w:rsidRPr="004A019F">
              <w:rPr>
                <w:b/>
                <w:lang w:val="sv-SE"/>
              </w:rPr>
              <w:t>=</w:t>
            </w:r>
            <w:r w:rsidRPr="004A019F">
              <w:rPr>
                <w:b/>
                <w:lang w:val="sv-SE"/>
              </w:rPr>
              <w:t> </w:t>
            </w:r>
            <w:r w:rsidR="00264096" w:rsidRPr="004A019F">
              <w:rPr>
                <w:b/>
                <w:lang w:val="sv-SE"/>
              </w:rPr>
              <w:t>290</w:t>
            </w:r>
          </w:p>
        </w:tc>
        <w:tc>
          <w:tcPr>
            <w:tcW w:w="617" w:type="pct"/>
            <w:tcBorders>
              <w:top w:val="single" w:sz="4" w:space="0" w:color="000000"/>
              <w:left w:val="single" w:sz="4" w:space="0" w:color="000000"/>
              <w:bottom w:val="single" w:sz="4" w:space="0" w:color="000000"/>
              <w:right w:val="single" w:sz="4" w:space="0" w:color="000000"/>
            </w:tcBorders>
            <w:shd w:val="clear" w:color="auto" w:fill="auto"/>
          </w:tcPr>
          <w:p w14:paraId="6362A609" w14:textId="77777777" w:rsidR="005027AB" w:rsidRPr="004A019F" w:rsidRDefault="00264096" w:rsidP="004A019F">
            <w:pPr>
              <w:keepNext/>
              <w:keepLines/>
              <w:spacing w:after="0" w:line="240" w:lineRule="auto"/>
              <w:ind w:left="0" w:firstLine="0"/>
              <w:contextualSpacing/>
              <w:jc w:val="center"/>
              <w:rPr>
                <w:lang w:val="sv-SE"/>
              </w:rPr>
            </w:pPr>
            <w:r w:rsidRPr="004A019F">
              <w:rPr>
                <w:b/>
                <w:lang w:val="sv-SE"/>
              </w:rPr>
              <w:t>FP+H</w:t>
            </w:r>
          </w:p>
          <w:p w14:paraId="5A889CAE" w14:textId="55C3BD3C" w:rsidR="005027AB" w:rsidRPr="004A019F" w:rsidRDefault="00264096" w:rsidP="004A019F">
            <w:pPr>
              <w:keepNext/>
              <w:keepLines/>
              <w:spacing w:after="0" w:line="240" w:lineRule="auto"/>
              <w:ind w:left="0" w:firstLine="0"/>
              <w:contextualSpacing/>
              <w:jc w:val="center"/>
              <w:rPr>
                <w:lang w:val="sv-SE"/>
              </w:rPr>
            </w:pPr>
            <w:r w:rsidRPr="004A019F">
              <w:rPr>
                <w:b/>
                <w:lang w:val="sv-SE"/>
              </w:rPr>
              <w:t>n</w:t>
            </w:r>
            <w:r w:rsidR="00342D88" w:rsidRPr="004A019F">
              <w:rPr>
                <w:b/>
                <w:lang w:val="sv-SE"/>
              </w:rPr>
              <w:t> </w:t>
            </w:r>
            <w:r w:rsidRPr="004A019F">
              <w:rPr>
                <w:b/>
                <w:lang w:val="sv-SE"/>
              </w:rPr>
              <w:t>=</w:t>
            </w:r>
            <w:r w:rsidR="00342D88" w:rsidRPr="004A019F">
              <w:rPr>
                <w:b/>
                <w:lang w:val="sv-SE"/>
              </w:rPr>
              <w:t> </w:t>
            </w:r>
            <w:r w:rsidRPr="004A019F">
              <w:rPr>
                <w:b/>
                <w:lang w:val="sv-SE"/>
              </w:rPr>
              <w:t>294</w:t>
            </w:r>
          </w:p>
        </w:tc>
        <w:tc>
          <w:tcPr>
            <w:tcW w:w="985" w:type="pct"/>
            <w:tcBorders>
              <w:top w:val="single" w:sz="4" w:space="0" w:color="000000"/>
              <w:left w:val="single" w:sz="4" w:space="0" w:color="000000"/>
              <w:bottom w:val="single" w:sz="4" w:space="0" w:color="000000"/>
              <w:right w:val="single" w:sz="4" w:space="0" w:color="000000"/>
            </w:tcBorders>
            <w:shd w:val="clear" w:color="auto" w:fill="auto"/>
          </w:tcPr>
          <w:p w14:paraId="45EFB140" w14:textId="77777777" w:rsidR="00B12971" w:rsidRPr="004A019F" w:rsidRDefault="00264096" w:rsidP="004A019F">
            <w:pPr>
              <w:keepNext/>
              <w:keepLines/>
              <w:spacing w:after="0" w:line="240" w:lineRule="auto"/>
              <w:ind w:left="0" w:firstLine="0"/>
              <w:contextualSpacing/>
              <w:jc w:val="center"/>
              <w:rPr>
                <w:b/>
                <w:lang w:val="sv-SE"/>
              </w:rPr>
            </w:pPr>
            <w:r w:rsidRPr="004A019F">
              <w:rPr>
                <w:b/>
                <w:lang w:val="sv-SE"/>
              </w:rPr>
              <w:t xml:space="preserve">HR </w:t>
            </w:r>
          </w:p>
          <w:p w14:paraId="176FCFA0" w14:textId="513F8488" w:rsidR="005027AB" w:rsidRPr="004A019F" w:rsidRDefault="00264096" w:rsidP="004A019F">
            <w:pPr>
              <w:keepNext/>
              <w:keepLines/>
              <w:spacing w:after="0" w:line="240" w:lineRule="auto"/>
              <w:ind w:left="0" w:firstLine="0"/>
              <w:contextualSpacing/>
              <w:jc w:val="center"/>
              <w:rPr>
                <w:lang w:val="sv-SE"/>
              </w:rPr>
            </w:pPr>
            <w:r w:rsidRPr="004A019F">
              <w:rPr>
                <w:b/>
                <w:lang w:val="sv-SE"/>
              </w:rPr>
              <w:t>(95</w:t>
            </w:r>
            <w:r w:rsidR="00342D88" w:rsidRPr="004A019F">
              <w:rPr>
                <w:b/>
                <w:lang w:val="sv-SE"/>
              </w:rPr>
              <w:t> </w:t>
            </w:r>
            <w:r w:rsidRPr="004A019F">
              <w:rPr>
                <w:b/>
                <w:lang w:val="sv-SE"/>
              </w:rPr>
              <w:t>% KI)</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14:paraId="377CEBC4" w14:textId="77777777" w:rsidR="005027AB" w:rsidRPr="004A019F" w:rsidRDefault="00264096" w:rsidP="004A019F">
            <w:pPr>
              <w:keepNext/>
              <w:keepLines/>
              <w:spacing w:after="0" w:line="240" w:lineRule="auto"/>
              <w:ind w:left="0" w:firstLine="0"/>
              <w:contextualSpacing/>
              <w:jc w:val="center"/>
              <w:rPr>
                <w:lang w:val="sv-SE"/>
              </w:rPr>
            </w:pPr>
            <w:r w:rsidRPr="004A019F">
              <w:rPr>
                <w:b/>
                <w:lang w:val="sv-SE"/>
              </w:rPr>
              <w:t>p-värde</w:t>
            </w:r>
          </w:p>
        </w:tc>
      </w:tr>
      <w:tr w:rsidR="00AD14F8" w:rsidRPr="00A74CC6" w14:paraId="179DC595" w14:textId="77777777" w:rsidTr="003717B1">
        <w:trPr>
          <w:trHeight w:val="264"/>
        </w:trPr>
        <w:tc>
          <w:tcPr>
            <w:tcW w:w="193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C94397F" w14:textId="77777777" w:rsidR="005027AB" w:rsidRPr="004A019F" w:rsidRDefault="00264096" w:rsidP="004A019F">
            <w:pPr>
              <w:keepNext/>
              <w:keepLines/>
              <w:spacing w:after="0" w:line="240" w:lineRule="auto"/>
              <w:ind w:left="0" w:firstLine="0"/>
              <w:contextualSpacing/>
              <w:rPr>
                <w:lang w:val="sv-SE"/>
              </w:rPr>
            </w:pPr>
            <w:r w:rsidRPr="004A019F">
              <w:rPr>
                <w:lang w:val="sv-SE"/>
              </w:rPr>
              <w:t>Överlevnad, median antal månader</w:t>
            </w:r>
          </w:p>
        </w:tc>
        <w:tc>
          <w:tcPr>
            <w:tcW w:w="753" w:type="pct"/>
            <w:tcBorders>
              <w:top w:val="single" w:sz="4" w:space="0" w:color="000000"/>
              <w:left w:val="single" w:sz="4" w:space="0" w:color="000000"/>
              <w:bottom w:val="single" w:sz="4" w:space="0" w:color="000000"/>
              <w:right w:val="single" w:sz="4" w:space="0" w:color="000000"/>
            </w:tcBorders>
            <w:shd w:val="clear" w:color="auto" w:fill="auto"/>
          </w:tcPr>
          <w:p w14:paraId="3D6E9CD2" w14:textId="77777777" w:rsidR="005027AB" w:rsidRPr="004A019F" w:rsidRDefault="00264096" w:rsidP="004A019F">
            <w:pPr>
              <w:keepNext/>
              <w:keepLines/>
              <w:spacing w:after="0" w:line="240" w:lineRule="auto"/>
              <w:ind w:left="0" w:firstLine="0"/>
              <w:contextualSpacing/>
              <w:jc w:val="center"/>
              <w:rPr>
                <w:lang w:val="sv-SE"/>
              </w:rPr>
            </w:pPr>
            <w:r w:rsidRPr="004A019F">
              <w:rPr>
                <w:lang w:val="sv-SE"/>
              </w:rPr>
              <w:t>11,1</w:t>
            </w:r>
          </w:p>
        </w:tc>
        <w:tc>
          <w:tcPr>
            <w:tcW w:w="617" w:type="pct"/>
            <w:tcBorders>
              <w:top w:val="single" w:sz="4" w:space="0" w:color="000000"/>
              <w:left w:val="single" w:sz="4" w:space="0" w:color="000000"/>
              <w:bottom w:val="single" w:sz="4" w:space="0" w:color="000000"/>
              <w:right w:val="single" w:sz="4" w:space="0" w:color="000000"/>
            </w:tcBorders>
            <w:shd w:val="clear" w:color="auto" w:fill="auto"/>
          </w:tcPr>
          <w:p w14:paraId="5782FC67" w14:textId="77777777" w:rsidR="005027AB" w:rsidRPr="004A019F" w:rsidRDefault="00264096" w:rsidP="004A019F">
            <w:pPr>
              <w:keepNext/>
              <w:keepLines/>
              <w:spacing w:after="0" w:line="240" w:lineRule="auto"/>
              <w:ind w:left="0" w:firstLine="0"/>
              <w:contextualSpacing/>
              <w:jc w:val="center"/>
              <w:rPr>
                <w:lang w:val="sv-SE"/>
              </w:rPr>
            </w:pPr>
            <w:r w:rsidRPr="004A019F">
              <w:rPr>
                <w:lang w:val="sv-SE"/>
              </w:rPr>
              <w:t>13,8</w:t>
            </w:r>
          </w:p>
        </w:tc>
        <w:tc>
          <w:tcPr>
            <w:tcW w:w="985" w:type="pct"/>
            <w:tcBorders>
              <w:top w:val="single" w:sz="4" w:space="0" w:color="000000"/>
              <w:left w:val="single" w:sz="4" w:space="0" w:color="000000"/>
              <w:bottom w:val="single" w:sz="4" w:space="0" w:color="000000"/>
              <w:right w:val="single" w:sz="4" w:space="0" w:color="000000"/>
            </w:tcBorders>
            <w:shd w:val="clear" w:color="auto" w:fill="auto"/>
          </w:tcPr>
          <w:p w14:paraId="5719ECA2" w14:textId="0879A7F7" w:rsidR="005027AB" w:rsidRPr="004A019F" w:rsidRDefault="00264096" w:rsidP="004A019F">
            <w:pPr>
              <w:keepNext/>
              <w:keepLines/>
              <w:spacing w:after="0" w:line="240" w:lineRule="auto"/>
              <w:ind w:left="0" w:firstLine="0"/>
              <w:contextualSpacing/>
              <w:jc w:val="center"/>
              <w:rPr>
                <w:lang w:val="sv-SE"/>
              </w:rPr>
            </w:pPr>
            <w:r w:rsidRPr="004A019F">
              <w:rPr>
                <w:lang w:val="sv-SE"/>
              </w:rPr>
              <w:t>0,74 (0,60</w:t>
            </w:r>
            <w:r w:rsidR="00DA48BB" w:rsidRPr="004A019F">
              <w:rPr>
                <w:lang w:val="sv-SE"/>
              </w:rPr>
              <w:t xml:space="preserve"> – </w:t>
            </w:r>
            <w:r w:rsidRPr="004A019F">
              <w:rPr>
                <w:lang w:val="sv-SE"/>
              </w:rPr>
              <w:t>0,91)</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14:paraId="1897EE4D" w14:textId="77777777" w:rsidR="005027AB" w:rsidRPr="004A019F" w:rsidRDefault="00264096" w:rsidP="004A019F">
            <w:pPr>
              <w:keepNext/>
              <w:keepLines/>
              <w:spacing w:after="0" w:line="240" w:lineRule="auto"/>
              <w:ind w:left="0" w:firstLine="0"/>
              <w:contextualSpacing/>
              <w:jc w:val="center"/>
              <w:rPr>
                <w:lang w:val="sv-SE"/>
              </w:rPr>
            </w:pPr>
            <w:r w:rsidRPr="004A019F">
              <w:rPr>
                <w:lang w:val="sv-SE"/>
              </w:rPr>
              <w:t>0,0046</w:t>
            </w:r>
          </w:p>
        </w:tc>
      </w:tr>
      <w:tr w:rsidR="00AD14F8" w:rsidRPr="00A74CC6" w14:paraId="5463A3DB" w14:textId="77777777" w:rsidTr="003717B1">
        <w:trPr>
          <w:trHeight w:val="516"/>
        </w:trPr>
        <w:tc>
          <w:tcPr>
            <w:tcW w:w="193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AB1B528" w14:textId="77777777" w:rsidR="005027AB" w:rsidRPr="004A019F" w:rsidRDefault="00264096" w:rsidP="004A019F">
            <w:pPr>
              <w:keepNext/>
              <w:spacing w:after="0" w:line="240" w:lineRule="auto"/>
              <w:ind w:left="0" w:firstLine="0"/>
              <w:contextualSpacing/>
              <w:rPr>
                <w:lang w:val="sv-SE"/>
              </w:rPr>
            </w:pPr>
            <w:r w:rsidRPr="004A019F">
              <w:rPr>
                <w:lang w:val="sv-SE"/>
              </w:rPr>
              <w:t>Progressionsfri överlevnad, median antal månader</w:t>
            </w:r>
          </w:p>
        </w:tc>
        <w:tc>
          <w:tcPr>
            <w:tcW w:w="753" w:type="pct"/>
            <w:tcBorders>
              <w:top w:val="single" w:sz="4" w:space="0" w:color="000000"/>
              <w:left w:val="single" w:sz="4" w:space="0" w:color="000000"/>
              <w:bottom w:val="single" w:sz="4" w:space="0" w:color="000000"/>
              <w:right w:val="single" w:sz="4" w:space="0" w:color="000000"/>
            </w:tcBorders>
            <w:shd w:val="clear" w:color="auto" w:fill="auto"/>
          </w:tcPr>
          <w:p w14:paraId="2E7F72B5" w14:textId="77777777" w:rsidR="005027AB" w:rsidRPr="004A019F" w:rsidRDefault="00264096" w:rsidP="004A019F">
            <w:pPr>
              <w:spacing w:after="0" w:line="240" w:lineRule="auto"/>
              <w:ind w:left="0" w:firstLine="0"/>
              <w:contextualSpacing/>
              <w:jc w:val="center"/>
              <w:rPr>
                <w:lang w:val="sv-SE"/>
              </w:rPr>
            </w:pPr>
            <w:r w:rsidRPr="004A019F">
              <w:rPr>
                <w:lang w:val="sv-SE"/>
              </w:rPr>
              <w:t>5,5</w:t>
            </w:r>
          </w:p>
        </w:tc>
        <w:tc>
          <w:tcPr>
            <w:tcW w:w="617" w:type="pct"/>
            <w:tcBorders>
              <w:top w:val="single" w:sz="4" w:space="0" w:color="000000"/>
              <w:left w:val="single" w:sz="4" w:space="0" w:color="000000"/>
              <w:bottom w:val="single" w:sz="4" w:space="0" w:color="000000"/>
              <w:right w:val="single" w:sz="4" w:space="0" w:color="000000"/>
            </w:tcBorders>
            <w:shd w:val="clear" w:color="auto" w:fill="auto"/>
          </w:tcPr>
          <w:p w14:paraId="6A6065EA" w14:textId="77777777" w:rsidR="005027AB" w:rsidRPr="004A019F" w:rsidRDefault="00264096" w:rsidP="004A019F">
            <w:pPr>
              <w:spacing w:after="0" w:line="240" w:lineRule="auto"/>
              <w:ind w:left="0" w:firstLine="0"/>
              <w:contextualSpacing/>
              <w:jc w:val="center"/>
              <w:rPr>
                <w:lang w:val="sv-SE"/>
              </w:rPr>
            </w:pPr>
            <w:r w:rsidRPr="004A019F">
              <w:rPr>
                <w:lang w:val="sv-SE"/>
              </w:rPr>
              <w:t>6,7</w:t>
            </w:r>
          </w:p>
        </w:tc>
        <w:tc>
          <w:tcPr>
            <w:tcW w:w="985" w:type="pct"/>
            <w:tcBorders>
              <w:top w:val="single" w:sz="4" w:space="0" w:color="000000"/>
              <w:left w:val="single" w:sz="4" w:space="0" w:color="000000"/>
              <w:bottom w:val="single" w:sz="4" w:space="0" w:color="000000"/>
              <w:right w:val="single" w:sz="4" w:space="0" w:color="000000"/>
            </w:tcBorders>
            <w:shd w:val="clear" w:color="auto" w:fill="auto"/>
          </w:tcPr>
          <w:p w14:paraId="0F32ABE3" w14:textId="040DE06D" w:rsidR="005027AB" w:rsidRPr="004A019F" w:rsidRDefault="00264096" w:rsidP="004A019F">
            <w:pPr>
              <w:spacing w:after="0" w:line="240" w:lineRule="auto"/>
              <w:ind w:left="0" w:firstLine="0"/>
              <w:contextualSpacing/>
              <w:jc w:val="center"/>
              <w:rPr>
                <w:lang w:val="sv-SE"/>
              </w:rPr>
            </w:pPr>
            <w:r w:rsidRPr="004A019F">
              <w:rPr>
                <w:lang w:val="sv-SE"/>
              </w:rPr>
              <w:t>0,71 (0,59</w:t>
            </w:r>
            <w:r w:rsidR="00DA48BB" w:rsidRPr="004A019F">
              <w:rPr>
                <w:lang w:val="sv-SE"/>
              </w:rPr>
              <w:t xml:space="preserve"> – </w:t>
            </w:r>
            <w:r w:rsidRPr="004A019F">
              <w:rPr>
                <w:lang w:val="sv-SE"/>
              </w:rPr>
              <w:t>0,85)</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14:paraId="25F8C9D4" w14:textId="77777777" w:rsidR="005027AB" w:rsidRPr="004A019F" w:rsidRDefault="00264096" w:rsidP="004A019F">
            <w:pPr>
              <w:spacing w:after="0" w:line="240" w:lineRule="auto"/>
              <w:ind w:left="0" w:firstLine="0"/>
              <w:contextualSpacing/>
              <w:jc w:val="center"/>
              <w:rPr>
                <w:lang w:val="sv-SE"/>
              </w:rPr>
            </w:pPr>
            <w:r w:rsidRPr="004A019F">
              <w:rPr>
                <w:lang w:val="sv-SE"/>
              </w:rPr>
              <w:t>0,0002</w:t>
            </w:r>
          </w:p>
        </w:tc>
      </w:tr>
      <w:tr w:rsidR="00AD14F8" w:rsidRPr="00A74CC6" w14:paraId="0376F8A3" w14:textId="77777777" w:rsidTr="003717B1">
        <w:trPr>
          <w:trHeight w:val="516"/>
        </w:trPr>
        <w:tc>
          <w:tcPr>
            <w:tcW w:w="193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D91DA3C" w14:textId="77777777" w:rsidR="005027AB" w:rsidRPr="004A019F" w:rsidRDefault="00264096" w:rsidP="004A019F">
            <w:pPr>
              <w:keepNext/>
              <w:spacing w:after="0" w:line="240" w:lineRule="auto"/>
              <w:ind w:left="0" w:firstLine="0"/>
              <w:contextualSpacing/>
              <w:rPr>
                <w:lang w:val="sv-SE"/>
              </w:rPr>
            </w:pPr>
            <w:r w:rsidRPr="004A019F">
              <w:rPr>
                <w:lang w:val="sv-SE"/>
              </w:rPr>
              <w:t>Tid till sjukdomsprogress, median antal månader</w:t>
            </w:r>
          </w:p>
        </w:tc>
        <w:tc>
          <w:tcPr>
            <w:tcW w:w="753" w:type="pct"/>
            <w:tcBorders>
              <w:top w:val="single" w:sz="4" w:space="0" w:color="000000"/>
              <w:left w:val="single" w:sz="4" w:space="0" w:color="000000"/>
              <w:bottom w:val="single" w:sz="4" w:space="0" w:color="000000"/>
              <w:right w:val="single" w:sz="4" w:space="0" w:color="000000"/>
            </w:tcBorders>
            <w:shd w:val="clear" w:color="auto" w:fill="auto"/>
          </w:tcPr>
          <w:p w14:paraId="2F6DE2D3" w14:textId="77777777" w:rsidR="005027AB" w:rsidRPr="004A019F" w:rsidRDefault="00264096" w:rsidP="004A019F">
            <w:pPr>
              <w:spacing w:after="0" w:line="240" w:lineRule="auto"/>
              <w:ind w:left="0" w:firstLine="0"/>
              <w:contextualSpacing/>
              <w:jc w:val="center"/>
              <w:rPr>
                <w:lang w:val="sv-SE"/>
              </w:rPr>
            </w:pPr>
            <w:r w:rsidRPr="004A019F">
              <w:rPr>
                <w:lang w:val="sv-SE"/>
              </w:rPr>
              <w:t>5,6</w:t>
            </w:r>
          </w:p>
        </w:tc>
        <w:tc>
          <w:tcPr>
            <w:tcW w:w="617" w:type="pct"/>
            <w:tcBorders>
              <w:top w:val="single" w:sz="4" w:space="0" w:color="000000"/>
              <w:left w:val="single" w:sz="4" w:space="0" w:color="000000"/>
              <w:bottom w:val="single" w:sz="4" w:space="0" w:color="000000"/>
              <w:right w:val="single" w:sz="4" w:space="0" w:color="000000"/>
            </w:tcBorders>
            <w:shd w:val="clear" w:color="auto" w:fill="auto"/>
          </w:tcPr>
          <w:p w14:paraId="25A386E1" w14:textId="77777777" w:rsidR="005027AB" w:rsidRPr="004A019F" w:rsidRDefault="00264096" w:rsidP="004A019F">
            <w:pPr>
              <w:spacing w:after="0" w:line="240" w:lineRule="auto"/>
              <w:ind w:left="0" w:firstLine="0"/>
              <w:contextualSpacing/>
              <w:jc w:val="center"/>
              <w:rPr>
                <w:lang w:val="sv-SE"/>
              </w:rPr>
            </w:pPr>
            <w:r w:rsidRPr="004A019F">
              <w:rPr>
                <w:lang w:val="sv-SE"/>
              </w:rPr>
              <w:t>7,1</w:t>
            </w:r>
          </w:p>
        </w:tc>
        <w:tc>
          <w:tcPr>
            <w:tcW w:w="985" w:type="pct"/>
            <w:tcBorders>
              <w:top w:val="single" w:sz="4" w:space="0" w:color="000000"/>
              <w:left w:val="single" w:sz="4" w:space="0" w:color="000000"/>
              <w:bottom w:val="single" w:sz="4" w:space="0" w:color="000000"/>
              <w:right w:val="single" w:sz="4" w:space="0" w:color="000000"/>
            </w:tcBorders>
            <w:shd w:val="clear" w:color="auto" w:fill="auto"/>
          </w:tcPr>
          <w:p w14:paraId="0D7A317F" w14:textId="5C57F136" w:rsidR="005027AB" w:rsidRPr="004A019F" w:rsidRDefault="00264096" w:rsidP="004A019F">
            <w:pPr>
              <w:spacing w:after="0" w:line="240" w:lineRule="auto"/>
              <w:ind w:left="0" w:firstLine="0"/>
              <w:contextualSpacing/>
              <w:jc w:val="center"/>
              <w:rPr>
                <w:lang w:val="sv-SE"/>
              </w:rPr>
            </w:pPr>
            <w:r w:rsidRPr="004A019F">
              <w:rPr>
                <w:lang w:val="sv-SE"/>
              </w:rPr>
              <w:t>0,70 (0,58</w:t>
            </w:r>
            <w:r w:rsidR="00DA48BB" w:rsidRPr="004A019F">
              <w:rPr>
                <w:lang w:val="sv-SE"/>
              </w:rPr>
              <w:t xml:space="preserve"> – </w:t>
            </w:r>
            <w:r w:rsidRPr="004A019F">
              <w:rPr>
                <w:lang w:val="sv-SE"/>
              </w:rPr>
              <w:t>0,85)</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14:paraId="23C97AC1" w14:textId="77777777" w:rsidR="005027AB" w:rsidRPr="004A019F" w:rsidRDefault="00264096" w:rsidP="004A019F">
            <w:pPr>
              <w:spacing w:after="0" w:line="240" w:lineRule="auto"/>
              <w:ind w:left="0" w:firstLine="0"/>
              <w:contextualSpacing/>
              <w:jc w:val="center"/>
              <w:rPr>
                <w:lang w:val="sv-SE"/>
              </w:rPr>
            </w:pPr>
            <w:r w:rsidRPr="004A019F">
              <w:rPr>
                <w:lang w:val="sv-SE"/>
              </w:rPr>
              <w:t>0,0003</w:t>
            </w:r>
          </w:p>
        </w:tc>
      </w:tr>
      <w:tr w:rsidR="00AD14F8" w:rsidRPr="00A74CC6" w14:paraId="2FCCDE83" w14:textId="77777777" w:rsidTr="003717B1">
        <w:trPr>
          <w:trHeight w:val="262"/>
        </w:trPr>
        <w:tc>
          <w:tcPr>
            <w:tcW w:w="193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62D3360" w14:textId="77777777" w:rsidR="005027AB" w:rsidRPr="004A019F" w:rsidRDefault="00264096" w:rsidP="004A019F">
            <w:pPr>
              <w:spacing w:after="0" w:line="240" w:lineRule="auto"/>
              <w:ind w:left="0" w:firstLine="0"/>
              <w:contextualSpacing/>
              <w:rPr>
                <w:lang w:val="sv-SE"/>
              </w:rPr>
            </w:pPr>
            <w:r w:rsidRPr="004A019F">
              <w:rPr>
                <w:lang w:val="sv-SE"/>
              </w:rPr>
              <w:t>Responsfrekvens, %</w:t>
            </w:r>
          </w:p>
        </w:tc>
        <w:tc>
          <w:tcPr>
            <w:tcW w:w="753" w:type="pct"/>
            <w:tcBorders>
              <w:top w:val="single" w:sz="4" w:space="0" w:color="000000"/>
              <w:left w:val="single" w:sz="4" w:space="0" w:color="000000"/>
              <w:bottom w:val="single" w:sz="4" w:space="0" w:color="000000"/>
              <w:right w:val="single" w:sz="4" w:space="0" w:color="000000"/>
            </w:tcBorders>
            <w:shd w:val="clear" w:color="auto" w:fill="auto"/>
          </w:tcPr>
          <w:p w14:paraId="0F189928" w14:textId="34CD7FE1" w:rsidR="005027AB" w:rsidRPr="004A019F" w:rsidRDefault="00264096" w:rsidP="004A019F">
            <w:pPr>
              <w:spacing w:after="0" w:line="240" w:lineRule="auto"/>
              <w:ind w:left="0" w:firstLine="0"/>
              <w:contextualSpacing/>
              <w:jc w:val="center"/>
              <w:rPr>
                <w:lang w:val="sv-SE"/>
              </w:rPr>
            </w:pPr>
            <w:r w:rsidRPr="004A019F">
              <w:rPr>
                <w:lang w:val="sv-SE"/>
              </w:rPr>
              <w:t>34,5</w:t>
            </w:r>
            <w:r w:rsidR="00342D88" w:rsidRPr="004A019F">
              <w:rPr>
                <w:lang w:val="sv-SE"/>
              </w:rPr>
              <w:t> </w:t>
            </w:r>
            <w:r w:rsidRPr="004A019F">
              <w:rPr>
                <w:lang w:val="sv-SE"/>
              </w:rPr>
              <w:t>%</w:t>
            </w:r>
          </w:p>
        </w:tc>
        <w:tc>
          <w:tcPr>
            <w:tcW w:w="617" w:type="pct"/>
            <w:tcBorders>
              <w:top w:val="single" w:sz="4" w:space="0" w:color="000000"/>
              <w:left w:val="single" w:sz="4" w:space="0" w:color="000000"/>
              <w:bottom w:val="single" w:sz="4" w:space="0" w:color="000000"/>
              <w:right w:val="single" w:sz="4" w:space="0" w:color="000000"/>
            </w:tcBorders>
            <w:shd w:val="clear" w:color="auto" w:fill="auto"/>
          </w:tcPr>
          <w:p w14:paraId="3DB85E9C" w14:textId="4AAFBDB8" w:rsidR="005027AB" w:rsidRPr="004A019F" w:rsidRDefault="00264096" w:rsidP="004A019F">
            <w:pPr>
              <w:spacing w:after="0" w:line="240" w:lineRule="auto"/>
              <w:ind w:left="0" w:firstLine="0"/>
              <w:contextualSpacing/>
              <w:jc w:val="center"/>
              <w:rPr>
                <w:lang w:val="sv-SE"/>
              </w:rPr>
            </w:pPr>
            <w:r w:rsidRPr="004A019F">
              <w:rPr>
                <w:lang w:val="sv-SE"/>
              </w:rPr>
              <w:t>47,3</w:t>
            </w:r>
            <w:r w:rsidR="00342D88" w:rsidRPr="004A019F">
              <w:rPr>
                <w:lang w:val="sv-SE"/>
              </w:rPr>
              <w:t> </w:t>
            </w:r>
            <w:r w:rsidRPr="004A019F">
              <w:rPr>
                <w:lang w:val="sv-SE"/>
              </w:rPr>
              <w:t>%</w:t>
            </w:r>
          </w:p>
        </w:tc>
        <w:tc>
          <w:tcPr>
            <w:tcW w:w="985" w:type="pct"/>
            <w:tcBorders>
              <w:top w:val="single" w:sz="4" w:space="0" w:color="000000"/>
              <w:left w:val="single" w:sz="4" w:space="0" w:color="000000"/>
              <w:bottom w:val="single" w:sz="4" w:space="0" w:color="000000"/>
              <w:right w:val="single" w:sz="4" w:space="0" w:color="000000"/>
            </w:tcBorders>
            <w:shd w:val="clear" w:color="auto" w:fill="auto"/>
          </w:tcPr>
          <w:p w14:paraId="651260A9" w14:textId="77777777" w:rsidR="005027AB" w:rsidRPr="004A019F" w:rsidRDefault="00264096" w:rsidP="004A019F">
            <w:pPr>
              <w:spacing w:after="0" w:line="240" w:lineRule="auto"/>
              <w:ind w:left="0" w:firstLine="0"/>
              <w:contextualSpacing/>
              <w:jc w:val="center"/>
              <w:rPr>
                <w:lang w:val="sv-SE"/>
              </w:rPr>
            </w:pPr>
            <w:r w:rsidRPr="004A019F">
              <w:rPr>
                <w:lang w:val="sv-SE"/>
              </w:rPr>
              <w:t>1,70</w:t>
            </w:r>
            <w:r w:rsidRPr="004A019F">
              <w:rPr>
                <w:vertAlign w:val="superscript"/>
                <w:lang w:val="sv-SE"/>
              </w:rPr>
              <w:t>a</w:t>
            </w:r>
            <w:r w:rsidRPr="004A019F">
              <w:rPr>
                <w:lang w:val="sv-SE"/>
              </w:rPr>
              <w:t xml:space="preserve"> (1,22, 2,38)</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14:paraId="0D131302" w14:textId="77777777" w:rsidR="005027AB" w:rsidRPr="004A019F" w:rsidRDefault="00264096" w:rsidP="004A019F">
            <w:pPr>
              <w:spacing w:after="0" w:line="240" w:lineRule="auto"/>
              <w:ind w:left="0" w:firstLine="0"/>
              <w:contextualSpacing/>
              <w:jc w:val="center"/>
              <w:rPr>
                <w:lang w:val="sv-SE"/>
              </w:rPr>
            </w:pPr>
            <w:r w:rsidRPr="004A019F">
              <w:rPr>
                <w:lang w:val="sv-SE"/>
              </w:rPr>
              <w:t>0,0017</w:t>
            </w:r>
          </w:p>
        </w:tc>
      </w:tr>
      <w:tr w:rsidR="00AD14F8" w:rsidRPr="00A74CC6" w14:paraId="1B4CCA8F" w14:textId="77777777" w:rsidTr="003717B1">
        <w:trPr>
          <w:trHeight w:val="516"/>
        </w:trPr>
        <w:tc>
          <w:tcPr>
            <w:tcW w:w="193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1811690" w14:textId="77777777" w:rsidR="005027AB" w:rsidRPr="004A019F" w:rsidRDefault="00264096" w:rsidP="004A019F">
            <w:pPr>
              <w:spacing w:after="0" w:line="240" w:lineRule="auto"/>
              <w:ind w:left="0" w:firstLine="0"/>
              <w:contextualSpacing/>
              <w:rPr>
                <w:lang w:val="sv-SE"/>
              </w:rPr>
            </w:pPr>
            <w:r w:rsidRPr="004A019F">
              <w:rPr>
                <w:lang w:val="sv-SE"/>
              </w:rPr>
              <w:t>Varaktighet av respons, median antal månader</w:t>
            </w:r>
          </w:p>
        </w:tc>
        <w:tc>
          <w:tcPr>
            <w:tcW w:w="753" w:type="pct"/>
            <w:tcBorders>
              <w:top w:val="single" w:sz="4" w:space="0" w:color="000000"/>
              <w:left w:val="single" w:sz="4" w:space="0" w:color="000000"/>
              <w:bottom w:val="single" w:sz="4" w:space="0" w:color="000000"/>
              <w:right w:val="single" w:sz="4" w:space="0" w:color="000000"/>
            </w:tcBorders>
            <w:shd w:val="clear" w:color="auto" w:fill="auto"/>
          </w:tcPr>
          <w:p w14:paraId="304B7D63" w14:textId="77777777" w:rsidR="005027AB" w:rsidRPr="004A019F" w:rsidRDefault="00264096" w:rsidP="004A019F">
            <w:pPr>
              <w:spacing w:after="0" w:line="240" w:lineRule="auto"/>
              <w:ind w:left="0" w:firstLine="0"/>
              <w:contextualSpacing/>
              <w:jc w:val="center"/>
              <w:rPr>
                <w:lang w:val="sv-SE"/>
              </w:rPr>
            </w:pPr>
            <w:r w:rsidRPr="004A019F">
              <w:rPr>
                <w:lang w:val="sv-SE"/>
              </w:rPr>
              <w:t>4,8</w:t>
            </w:r>
          </w:p>
        </w:tc>
        <w:tc>
          <w:tcPr>
            <w:tcW w:w="617" w:type="pct"/>
            <w:tcBorders>
              <w:top w:val="single" w:sz="4" w:space="0" w:color="000000"/>
              <w:left w:val="single" w:sz="4" w:space="0" w:color="000000"/>
              <w:bottom w:val="single" w:sz="4" w:space="0" w:color="000000"/>
              <w:right w:val="single" w:sz="4" w:space="0" w:color="000000"/>
            </w:tcBorders>
            <w:shd w:val="clear" w:color="auto" w:fill="auto"/>
          </w:tcPr>
          <w:p w14:paraId="5B160818" w14:textId="77777777" w:rsidR="005027AB" w:rsidRPr="004A019F" w:rsidRDefault="00264096" w:rsidP="004A019F">
            <w:pPr>
              <w:spacing w:after="0" w:line="240" w:lineRule="auto"/>
              <w:ind w:left="0" w:firstLine="0"/>
              <w:contextualSpacing/>
              <w:jc w:val="center"/>
              <w:rPr>
                <w:lang w:val="sv-SE"/>
              </w:rPr>
            </w:pPr>
            <w:r w:rsidRPr="004A019F">
              <w:rPr>
                <w:lang w:val="sv-SE"/>
              </w:rPr>
              <w:t>6,9</w:t>
            </w:r>
          </w:p>
        </w:tc>
        <w:tc>
          <w:tcPr>
            <w:tcW w:w="985" w:type="pct"/>
            <w:tcBorders>
              <w:top w:val="single" w:sz="4" w:space="0" w:color="000000"/>
              <w:left w:val="single" w:sz="4" w:space="0" w:color="000000"/>
              <w:bottom w:val="single" w:sz="4" w:space="0" w:color="000000"/>
              <w:right w:val="single" w:sz="4" w:space="0" w:color="000000"/>
            </w:tcBorders>
            <w:shd w:val="clear" w:color="auto" w:fill="auto"/>
          </w:tcPr>
          <w:p w14:paraId="77416558" w14:textId="3094EA8B" w:rsidR="005027AB" w:rsidRPr="004A019F" w:rsidRDefault="00264096" w:rsidP="004A019F">
            <w:pPr>
              <w:spacing w:after="0" w:line="240" w:lineRule="auto"/>
              <w:ind w:left="0" w:firstLine="0"/>
              <w:contextualSpacing/>
              <w:jc w:val="center"/>
              <w:rPr>
                <w:lang w:val="sv-SE"/>
              </w:rPr>
            </w:pPr>
            <w:r w:rsidRPr="004A019F">
              <w:rPr>
                <w:lang w:val="sv-SE"/>
              </w:rPr>
              <w:t>0,54 (0,40</w:t>
            </w:r>
            <w:r w:rsidR="00DA48BB" w:rsidRPr="004A019F">
              <w:rPr>
                <w:lang w:val="sv-SE"/>
              </w:rPr>
              <w:t xml:space="preserve"> – </w:t>
            </w:r>
            <w:r w:rsidRPr="004A019F">
              <w:rPr>
                <w:lang w:val="sv-SE"/>
              </w:rPr>
              <w:t>0,73)</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14:paraId="22D9DF00" w14:textId="5BF6B49B" w:rsidR="005027AB" w:rsidRPr="004A019F" w:rsidRDefault="00264096" w:rsidP="004A019F">
            <w:pPr>
              <w:spacing w:after="0" w:line="240" w:lineRule="auto"/>
              <w:ind w:left="0" w:firstLine="0"/>
              <w:contextualSpacing/>
              <w:jc w:val="center"/>
              <w:rPr>
                <w:lang w:val="sv-SE"/>
              </w:rPr>
            </w:pPr>
            <w:r w:rsidRPr="004A019F">
              <w:rPr>
                <w:lang w:val="sv-SE"/>
              </w:rPr>
              <w:t>&lt;</w:t>
            </w:r>
            <w:r w:rsidR="00A347D0" w:rsidRPr="004A019F">
              <w:rPr>
                <w:lang w:val="sv-SE"/>
              </w:rPr>
              <w:t> </w:t>
            </w:r>
            <w:r w:rsidRPr="004A019F">
              <w:rPr>
                <w:lang w:val="sv-SE"/>
              </w:rPr>
              <w:t>0,0001</w:t>
            </w:r>
          </w:p>
        </w:tc>
      </w:tr>
    </w:tbl>
    <w:p w14:paraId="6C039555" w14:textId="227B7D8B" w:rsidR="005027AB" w:rsidRPr="00A74CC6" w:rsidRDefault="00264096" w:rsidP="0029632D">
      <w:pPr>
        <w:spacing w:after="0" w:line="240" w:lineRule="auto"/>
        <w:ind w:left="0" w:firstLine="0"/>
        <w:contextualSpacing/>
        <w:rPr>
          <w:lang w:val="sv-SE"/>
        </w:rPr>
      </w:pPr>
      <w:r w:rsidRPr="00A74CC6">
        <w:rPr>
          <w:sz w:val="20"/>
          <w:lang w:val="sv-SE"/>
        </w:rPr>
        <w:t xml:space="preserve">FP+H: Fluoropyrimidin/cisplatin + </w:t>
      </w:r>
      <w:r w:rsidR="00342D88" w:rsidRPr="00A74CC6">
        <w:rPr>
          <w:sz w:val="20"/>
          <w:lang w:val="sv-SE"/>
        </w:rPr>
        <w:t xml:space="preserve">trastuzumab </w:t>
      </w:r>
    </w:p>
    <w:p w14:paraId="6084BF5C" w14:textId="77777777" w:rsidR="0029632D" w:rsidRPr="00A74CC6" w:rsidRDefault="00264096" w:rsidP="0029632D">
      <w:pPr>
        <w:spacing w:after="0" w:line="240" w:lineRule="auto"/>
        <w:ind w:left="0" w:firstLine="0"/>
        <w:contextualSpacing/>
        <w:rPr>
          <w:sz w:val="20"/>
          <w:lang w:val="sv-SE"/>
        </w:rPr>
      </w:pPr>
      <w:r w:rsidRPr="00A74CC6">
        <w:rPr>
          <w:sz w:val="20"/>
          <w:lang w:val="sv-SE"/>
        </w:rPr>
        <w:t xml:space="preserve">FP: Fluoropyrimidin/cisplatin </w:t>
      </w:r>
    </w:p>
    <w:p w14:paraId="5FAE1266" w14:textId="77777777" w:rsidR="005027AB" w:rsidRPr="00A74CC6" w:rsidRDefault="00264096" w:rsidP="0029632D">
      <w:pPr>
        <w:spacing w:after="0" w:line="240" w:lineRule="auto"/>
        <w:ind w:left="0" w:firstLine="0"/>
        <w:contextualSpacing/>
        <w:rPr>
          <w:sz w:val="20"/>
          <w:lang w:val="sv-SE"/>
        </w:rPr>
      </w:pPr>
      <w:r w:rsidRPr="00A74CC6">
        <w:rPr>
          <w:sz w:val="20"/>
          <w:lang w:val="sv-SE"/>
        </w:rPr>
        <w:t>a Odds ratio</w:t>
      </w:r>
    </w:p>
    <w:p w14:paraId="3404B510" w14:textId="77777777" w:rsidR="008B2F4C" w:rsidRPr="00A74CC6" w:rsidRDefault="008B2F4C" w:rsidP="002314CE">
      <w:pPr>
        <w:spacing w:after="0" w:line="240" w:lineRule="auto"/>
        <w:ind w:left="0" w:firstLine="0"/>
        <w:contextualSpacing/>
        <w:rPr>
          <w:lang w:val="sv-SE"/>
        </w:rPr>
      </w:pPr>
    </w:p>
    <w:p w14:paraId="33A2F0C5" w14:textId="353CD304" w:rsidR="005027AB" w:rsidRPr="00A74CC6" w:rsidRDefault="00264096" w:rsidP="002314CE">
      <w:pPr>
        <w:spacing w:after="0" w:line="240" w:lineRule="auto"/>
        <w:ind w:left="0" w:firstLine="0"/>
        <w:contextualSpacing/>
        <w:rPr>
          <w:lang w:val="sv-SE"/>
        </w:rPr>
      </w:pPr>
      <w:r w:rsidRPr="00A74CC6">
        <w:rPr>
          <w:lang w:val="sv-SE"/>
        </w:rPr>
        <w:t>Patienterna som rekryterades till studien var tidigare obehandlade för HER2-positivt inoperabelt lokalt avancerat eller recidiverande och/eller metastaserat adenokarcinom i ventrikeln eller cardia som inte var mottaglig för kurativ behandling. Det primära effektmåttet var överlevnad och definierades som tiden från randomiseringsdatumet till datum för dödsfall, oavsett orsak. Vid tidpunkten för analysen hade totalt 349</w:t>
      </w:r>
      <w:r w:rsidR="00A347D0" w:rsidRPr="00A74CC6">
        <w:rPr>
          <w:lang w:val="sv-SE"/>
        </w:rPr>
        <w:t> </w:t>
      </w:r>
      <w:r w:rsidRPr="00A74CC6">
        <w:rPr>
          <w:lang w:val="sv-SE"/>
        </w:rPr>
        <w:t>randomiserade patienter dött: 182</w:t>
      </w:r>
      <w:r w:rsidR="00A347D0" w:rsidRPr="00A74CC6">
        <w:rPr>
          <w:lang w:val="sv-SE"/>
        </w:rPr>
        <w:t> </w:t>
      </w:r>
      <w:r w:rsidRPr="00A74CC6">
        <w:rPr>
          <w:lang w:val="sv-SE"/>
        </w:rPr>
        <w:t>patienter (62,8</w:t>
      </w:r>
      <w:r w:rsidR="00B268E6" w:rsidRPr="00A74CC6">
        <w:rPr>
          <w:lang w:val="sv-SE"/>
        </w:rPr>
        <w:t> %</w:t>
      </w:r>
      <w:r w:rsidRPr="00A74CC6">
        <w:rPr>
          <w:lang w:val="sv-SE"/>
        </w:rPr>
        <w:t>) i kontrollgruppen och 167</w:t>
      </w:r>
      <w:r w:rsidR="00A347D0" w:rsidRPr="00A74CC6">
        <w:rPr>
          <w:lang w:val="sv-SE"/>
        </w:rPr>
        <w:t> </w:t>
      </w:r>
      <w:r w:rsidRPr="00A74CC6">
        <w:rPr>
          <w:lang w:val="sv-SE"/>
        </w:rPr>
        <w:t>patienter (56,8</w:t>
      </w:r>
      <w:r w:rsidR="00B268E6" w:rsidRPr="00A74CC6">
        <w:rPr>
          <w:lang w:val="sv-SE"/>
        </w:rPr>
        <w:t> %</w:t>
      </w:r>
      <w:r w:rsidRPr="00A74CC6">
        <w:rPr>
          <w:lang w:val="sv-SE"/>
        </w:rPr>
        <w:t>) i behandlingsgruppen. Majoriteten av dödsfallen orsakades av händelser som var relaterade till den underliggande cancersjukdomen.</w:t>
      </w:r>
    </w:p>
    <w:p w14:paraId="0CFB73C3" w14:textId="77777777" w:rsidR="008B2F4C" w:rsidRPr="00A74CC6" w:rsidRDefault="008B2F4C" w:rsidP="002314CE">
      <w:pPr>
        <w:spacing w:after="0" w:line="240" w:lineRule="auto"/>
        <w:ind w:left="0" w:firstLine="0"/>
        <w:contextualSpacing/>
        <w:rPr>
          <w:lang w:val="sv-SE"/>
        </w:rPr>
      </w:pPr>
    </w:p>
    <w:p w14:paraId="2594AA2D" w14:textId="7FB0525B" w:rsidR="005027AB" w:rsidRPr="00A74CC6" w:rsidRDefault="00264096" w:rsidP="002314CE">
      <w:pPr>
        <w:spacing w:after="0" w:line="240" w:lineRule="auto"/>
        <w:ind w:left="4" w:right="13"/>
        <w:contextualSpacing/>
        <w:rPr>
          <w:lang w:val="sv-SE"/>
        </w:rPr>
      </w:pPr>
      <w:r w:rsidRPr="00A74CC6">
        <w:rPr>
          <w:lang w:val="sv-SE"/>
        </w:rPr>
        <w:t>Post</w:t>
      </w:r>
      <w:r w:rsidR="00031568" w:rsidRPr="00A74CC6">
        <w:rPr>
          <w:lang w:val="sv-SE"/>
        </w:rPr>
        <w:t> </w:t>
      </w:r>
      <w:r w:rsidRPr="00A74CC6">
        <w:rPr>
          <w:lang w:val="sv-SE"/>
        </w:rPr>
        <w:t>hoc</w:t>
      </w:r>
      <w:r w:rsidR="00A347D0" w:rsidRPr="00A74CC6">
        <w:rPr>
          <w:lang w:val="sv-SE"/>
        </w:rPr>
        <w:t>-</w:t>
      </w:r>
      <w:r w:rsidRPr="00A74CC6">
        <w:rPr>
          <w:lang w:val="sv-SE"/>
        </w:rPr>
        <w:t xml:space="preserve">analyser </w:t>
      </w:r>
      <w:r w:rsidR="00DE53FC" w:rsidRPr="00A74CC6">
        <w:rPr>
          <w:lang w:val="sv-SE"/>
        </w:rPr>
        <w:t xml:space="preserve">av subgrupper </w:t>
      </w:r>
      <w:r w:rsidRPr="00A74CC6">
        <w:rPr>
          <w:lang w:val="sv-SE"/>
        </w:rPr>
        <w:t xml:space="preserve">indikerar att positiva behandlingseffekter begränsas till tumörer med starkt uttryck av HER2-protein (IHC 2+/FISH+ eller IHC 3+). Medianöverlevnaden för gruppen med </w:t>
      </w:r>
      <w:r w:rsidR="00A347D0" w:rsidRPr="00A74CC6">
        <w:rPr>
          <w:lang w:val="sv-SE"/>
        </w:rPr>
        <w:t>starkt</w:t>
      </w:r>
      <w:r w:rsidRPr="00A74CC6">
        <w:rPr>
          <w:lang w:val="sv-SE"/>
        </w:rPr>
        <w:t xml:space="preserve"> HER2</w:t>
      </w:r>
      <w:r w:rsidR="00A347D0" w:rsidRPr="00A74CC6">
        <w:rPr>
          <w:lang w:val="sv-SE"/>
        </w:rPr>
        <w:t>-</w:t>
      </w:r>
      <w:r w:rsidRPr="00A74CC6">
        <w:rPr>
          <w:lang w:val="sv-SE"/>
        </w:rPr>
        <w:t>uttryck var 11,8</w:t>
      </w:r>
      <w:r w:rsidR="00A347D0" w:rsidRPr="00A74CC6">
        <w:rPr>
          <w:lang w:val="sv-SE"/>
        </w:rPr>
        <w:t> </w:t>
      </w:r>
      <w:r w:rsidRPr="00A74CC6">
        <w:rPr>
          <w:lang w:val="sv-SE"/>
        </w:rPr>
        <w:t>månader för FP jämfört med 16</w:t>
      </w:r>
      <w:r w:rsidR="00A347D0" w:rsidRPr="00A74CC6">
        <w:rPr>
          <w:lang w:val="sv-SE"/>
        </w:rPr>
        <w:t> </w:t>
      </w:r>
      <w:r w:rsidRPr="00A74CC6">
        <w:rPr>
          <w:lang w:val="sv-SE"/>
        </w:rPr>
        <w:t>månader för FP+H, HR 0,65 (95</w:t>
      </w:r>
      <w:r w:rsidR="00B268E6" w:rsidRPr="00A74CC6">
        <w:rPr>
          <w:lang w:val="sv-SE"/>
        </w:rPr>
        <w:t> %</w:t>
      </w:r>
      <w:r w:rsidRPr="00A74CC6">
        <w:rPr>
          <w:lang w:val="sv-SE"/>
        </w:rPr>
        <w:t xml:space="preserve"> KI</w:t>
      </w:r>
      <w:r w:rsidR="00940BDC">
        <w:rPr>
          <w:lang w:val="sv-SE"/>
        </w:rPr>
        <w:t>:</w:t>
      </w:r>
      <w:r w:rsidRPr="00A74CC6">
        <w:rPr>
          <w:lang w:val="sv-SE"/>
        </w:rPr>
        <w:t xml:space="preserve"> 0,51</w:t>
      </w:r>
      <w:r w:rsidR="00A347D0" w:rsidRPr="00A74CC6">
        <w:rPr>
          <w:lang w:val="sv-SE"/>
        </w:rPr>
        <w:noBreakHyphen/>
      </w:r>
      <w:r w:rsidRPr="00A74CC6">
        <w:rPr>
          <w:lang w:val="sv-SE"/>
        </w:rPr>
        <w:t>0,83) och mediantiden för progressionsfri överlevnad var 5,5</w:t>
      </w:r>
      <w:r w:rsidR="00A347D0" w:rsidRPr="00A74CC6">
        <w:rPr>
          <w:lang w:val="sv-SE"/>
        </w:rPr>
        <w:t> </w:t>
      </w:r>
      <w:r w:rsidRPr="00A74CC6">
        <w:rPr>
          <w:lang w:val="sv-SE"/>
        </w:rPr>
        <w:t>månader jämfört med 7,6</w:t>
      </w:r>
      <w:r w:rsidR="00A347D0" w:rsidRPr="00A74CC6">
        <w:rPr>
          <w:lang w:val="sv-SE"/>
        </w:rPr>
        <w:t> </w:t>
      </w:r>
      <w:r w:rsidRPr="00A74CC6">
        <w:rPr>
          <w:lang w:val="sv-SE"/>
        </w:rPr>
        <w:t>månader, HR 0,64 (95</w:t>
      </w:r>
      <w:r w:rsidR="00B268E6" w:rsidRPr="00A74CC6">
        <w:rPr>
          <w:lang w:val="sv-SE"/>
        </w:rPr>
        <w:t> %</w:t>
      </w:r>
      <w:r w:rsidRPr="00A74CC6">
        <w:rPr>
          <w:lang w:val="sv-SE"/>
        </w:rPr>
        <w:t xml:space="preserve"> KI</w:t>
      </w:r>
      <w:r w:rsidR="00940BDC">
        <w:rPr>
          <w:lang w:val="sv-SE"/>
        </w:rPr>
        <w:t>:</w:t>
      </w:r>
      <w:r w:rsidRPr="00A74CC6">
        <w:rPr>
          <w:lang w:val="sv-SE"/>
        </w:rPr>
        <w:t xml:space="preserve"> 0,51</w:t>
      </w:r>
      <w:r w:rsidR="00A347D0" w:rsidRPr="00A74CC6">
        <w:rPr>
          <w:lang w:val="sv-SE"/>
        </w:rPr>
        <w:noBreakHyphen/>
      </w:r>
      <w:r w:rsidRPr="00A74CC6">
        <w:rPr>
          <w:lang w:val="sv-SE"/>
        </w:rPr>
        <w:t>0,79). För överlevnad var HR 0,75 (95</w:t>
      </w:r>
      <w:r w:rsidR="00B268E6" w:rsidRPr="00A74CC6">
        <w:rPr>
          <w:lang w:val="sv-SE"/>
        </w:rPr>
        <w:t> %</w:t>
      </w:r>
      <w:r w:rsidRPr="00A74CC6">
        <w:rPr>
          <w:lang w:val="sv-SE"/>
        </w:rPr>
        <w:t xml:space="preserve"> KI</w:t>
      </w:r>
      <w:r w:rsidR="00940BDC">
        <w:rPr>
          <w:lang w:val="sv-SE"/>
        </w:rPr>
        <w:t>:</w:t>
      </w:r>
      <w:r w:rsidRPr="00A74CC6">
        <w:rPr>
          <w:lang w:val="sv-SE"/>
        </w:rPr>
        <w:t xml:space="preserve"> 0,51</w:t>
      </w:r>
      <w:r w:rsidR="00A347D0" w:rsidRPr="00A74CC6">
        <w:rPr>
          <w:lang w:val="sv-SE"/>
        </w:rPr>
        <w:noBreakHyphen/>
      </w:r>
      <w:r w:rsidR="0063784F" w:rsidRPr="00A74CC6">
        <w:rPr>
          <w:lang w:val="sv-SE"/>
        </w:rPr>
        <w:t>1,</w:t>
      </w:r>
      <w:r w:rsidRPr="00A74CC6">
        <w:rPr>
          <w:lang w:val="sv-SE"/>
        </w:rPr>
        <w:t>11) i IHC2+/FISH+</w:t>
      </w:r>
      <w:r w:rsidR="00D474A0">
        <w:rPr>
          <w:lang w:val="sv-SE"/>
        </w:rPr>
        <w:noBreakHyphen/>
      </w:r>
      <w:r w:rsidRPr="00A74CC6">
        <w:rPr>
          <w:lang w:val="sv-SE"/>
        </w:rPr>
        <w:t>gruppen respektive 0,58 (95</w:t>
      </w:r>
      <w:r w:rsidR="00B268E6" w:rsidRPr="00A74CC6">
        <w:rPr>
          <w:lang w:val="sv-SE"/>
        </w:rPr>
        <w:t> %</w:t>
      </w:r>
      <w:r w:rsidRPr="00A74CC6">
        <w:rPr>
          <w:lang w:val="sv-SE"/>
        </w:rPr>
        <w:t xml:space="preserve"> KI</w:t>
      </w:r>
      <w:r w:rsidR="00940BDC">
        <w:rPr>
          <w:lang w:val="sv-SE"/>
        </w:rPr>
        <w:t>:</w:t>
      </w:r>
      <w:r w:rsidRPr="00A74CC6">
        <w:rPr>
          <w:lang w:val="sv-SE"/>
        </w:rPr>
        <w:t xml:space="preserve"> 0,41</w:t>
      </w:r>
      <w:r w:rsidR="00A347D0" w:rsidRPr="00A74CC6">
        <w:rPr>
          <w:lang w:val="sv-SE"/>
        </w:rPr>
        <w:noBreakHyphen/>
      </w:r>
      <w:r w:rsidRPr="00A74CC6">
        <w:rPr>
          <w:lang w:val="sv-SE"/>
        </w:rPr>
        <w:t>0,81) i IHC3+/FISH+-gruppen.</w:t>
      </w:r>
    </w:p>
    <w:p w14:paraId="53514BE0" w14:textId="77777777" w:rsidR="008B2F4C" w:rsidRPr="00A74CC6" w:rsidRDefault="008B2F4C" w:rsidP="002314CE">
      <w:pPr>
        <w:spacing w:after="0" w:line="240" w:lineRule="auto"/>
        <w:ind w:left="4" w:right="13"/>
        <w:contextualSpacing/>
        <w:rPr>
          <w:lang w:val="sv-SE"/>
        </w:rPr>
      </w:pPr>
    </w:p>
    <w:p w14:paraId="70D8ADCF" w14:textId="03F0614E" w:rsidR="005027AB" w:rsidRPr="00A74CC6" w:rsidRDefault="00264096" w:rsidP="002314CE">
      <w:pPr>
        <w:spacing w:after="0" w:line="240" w:lineRule="auto"/>
        <w:ind w:left="4" w:right="13"/>
        <w:contextualSpacing/>
        <w:rPr>
          <w:lang w:val="sv-SE"/>
        </w:rPr>
      </w:pPr>
      <w:r w:rsidRPr="00A74CC6">
        <w:rPr>
          <w:lang w:val="sv-SE"/>
        </w:rPr>
        <w:t xml:space="preserve">I en explorativ subgruppsanalys som gjordes i ToGA-studien (BO18255) sågs ingen tydlig nytta avseende överlevnad </w:t>
      </w:r>
      <w:r w:rsidR="00A347D0" w:rsidRPr="00A74CC6">
        <w:rPr>
          <w:lang w:val="sv-SE"/>
        </w:rPr>
        <w:t>vid</w:t>
      </w:r>
      <w:r w:rsidRPr="00A74CC6">
        <w:rPr>
          <w:lang w:val="sv-SE"/>
        </w:rPr>
        <w:t xml:space="preserve"> tillägg av </w:t>
      </w:r>
      <w:r w:rsidR="00342D88" w:rsidRPr="00A74CC6">
        <w:rPr>
          <w:lang w:val="sv-SE"/>
        </w:rPr>
        <w:t xml:space="preserve">trastuzumab </w:t>
      </w:r>
      <w:r w:rsidRPr="00A74CC6">
        <w:rPr>
          <w:lang w:val="sv-SE"/>
        </w:rPr>
        <w:t>hos patienter med ECOG PS2 före behandlingsstart [HR 0,96 (95</w:t>
      </w:r>
      <w:r w:rsidR="00B268E6" w:rsidRPr="00A74CC6">
        <w:rPr>
          <w:lang w:val="sv-SE"/>
        </w:rPr>
        <w:t> %</w:t>
      </w:r>
      <w:r w:rsidRPr="00A74CC6">
        <w:rPr>
          <w:lang w:val="sv-SE"/>
        </w:rPr>
        <w:t xml:space="preserve"> KI</w:t>
      </w:r>
      <w:r w:rsidR="00940BDC">
        <w:rPr>
          <w:lang w:val="sv-SE"/>
        </w:rPr>
        <w:t>:</w:t>
      </w:r>
      <w:r w:rsidRPr="00A74CC6">
        <w:rPr>
          <w:lang w:val="sv-SE"/>
        </w:rPr>
        <w:t xml:space="preserve"> 0,51</w:t>
      </w:r>
      <w:r w:rsidR="00A347D0" w:rsidRPr="00A74CC6">
        <w:rPr>
          <w:lang w:val="sv-SE"/>
        </w:rPr>
        <w:noBreakHyphen/>
      </w:r>
      <w:r w:rsidRPr="00A74CC6">
        <w:rPr>
          <w:lang w:val="sv-SE"/>
        </w:rPr>
        <w:t>1,79)], ej mätbar [HR 1,78 (95</w:t>
      </w:r>
      <w:r w:rsidR="00EF53D2" w:rsidRPr="00A74CC6">
        <w:rPr>
          <w:lang w:val="sv-SE"/>
        </w:rPr>
        <w:t> </w:t>
      </w:r>
      <w:r w:rsidRPr="00A74CC6">
        <w:rPr>
          <w:lang w:val="sv-SE"/>
        </w:rPr>
        <w:t>% KI</w:t>
      </w:r>
      <w:r w:rsidR="00940BDC">
        <w:rPr>
          <w:lang w:val="sv-SE"/>
        </w:rPr>
        <w:t>:</w:t>
      </w:r>
      <w:r w:rsidRPr="00A74CC6">
        <w:rPr>
          <w:lang w:val="sv-SE"/>
        </w:rPr>
        <w:t xml:space="preserve"> 0,87</w:t>
      </w:r>
      <w:r w:rsidR="00A347D0" w:rsidRPr="00A74CC6">
        <w:rPr>
          <w:lang w:val="sv-SE"/>
        </w:rPr>
        <w:noBreakHyphen/>
      </w:r>
      <w:r w:rsidRPr="00A74CC6">
        <w:rPr>
          <w:lang w:val="sv-SE"/>
        </w:rPr>
        <w:t>3,66)] och lokalt avancerad sjukdom [HR 1,20 (95</w:t>
      </w:r>
      <w:r w:rsidR="00EF53D2" w:rsidRPr="00A74CC6">
        <w:rPr>
          <w:lang w:val="sv-SE"/>
        </w:rPr>
        <w:t> </w:t>
      </w:r>
      <w:r w:rsidRPr="00A74CC6">
        <w:rPr>
          <w:lang w:val="sv-SE"/>
        </w:rPr>
        <w:t>% KI</w:t>
      </w:r>
      <w:r w:rsidR="00940BDC">
        <w:rPr>
          <w:lang w:val="sv-SE"/>
        </w:rPr>
        <w:t>:</w:t>
      </w:r>
      <w:r w:rsidRPr="00A74CC6">
        <w:rPr>
          <w:lang w:val="sv-SE"/>
        </w:rPr>
        <w:t xml:space="preserve"> 0,29</w:t>
      </w:r>
      <w:r w:rsidR="00A347D0" w:rsidRPr="00A74CC6">
        <w:rPr>
          <w:lang w:val="sv-SE"/>
        </w:rPr>
        <w:noBreakHyphen/>
      </w:r>
      <w:r w:rsidRPr="00A74CC6">
        <w:rPr>
          <w:lang w:val="sv-SE"/>
        </w:rPr>
        <w:t>4,97)].</w:t>
      </w:r>
    </w:p>
    <w:p w14:paraId="4390CB72" w14:textId="77777777" w:rsidR="008B2F4C" w:rsidRPr="00A74CC6" w:rsidRDefault="008B2F4C" w:rsidP="002314CE">
      <w:pPr>
        <w:spacing w:after="0" w:line="240" w:lineRule="auto"/>
        <w:ind w:left="4" w:right="13"/>
        <w:contextualSpacing/>
        <w:rPr>
          <w:lang w:val="sv-SE"/>
        </w:rPr>
      </w:pPr>
    </w:p>
    <w:p w14:paraId="24D9A7F6" w14:textId="77777777" w:rsidR="005027AB" w:rsidRPr="00A74CC6" w:rsidRDefault="00264096" w:rsidP="00360C8E">
      <w:pPr>
        <w:pStyle w:val="Heading2"/>
        <w:keepLines w:val="0"/>
        <w:spacing w:after="0" w:line="240" w:lineRule="auto"/>
        <w:ind w:left="9"/>
        <w:contextualSpacing/>
        <w:rPr>
          <w:lang w:val="sv-SE"/>
        </w:rPr>
      </w:pPr>
      <w:r w:rsidRPr="00A74CC6">
        <w:rPr>
          <w:lang w:val="sv-SE"/>
        </w:rPr>
        <w:t>Pediatrisk population</w:t>
      </w:r>
    </w:p>
    <w:p w14:paraId="4D0D5026" w14:textId="77777777" w:rsidR="0024202B" w:rsidRPr="00A74CC6" w:rsidRDefault="0024202B" w:rsidP="00360C8E">
      <w:pPr>
        <w:keepNext/>
        <w:spacing w:after="0" w:line="240" w:lineRule="auto"/>
        <w:contextualSpacing/>
        <w:rPr>
          <w:lang w:val="sv-SE"/>
        </w:rPr>
      </w:pPr>
    </w:p>
    <w:p w14:paraId="12C89C19" w14:textId="0CC54866" w:rsidR="005027AB" w:rsidRPr="00A74CC6" w:rsidRDefault="00264096" w:rsidP="002314CE">
      <w:pPr>
        <w:spacing w:after="0" w:line="240" w:lineRule="auto"/>
        <w:ind w:left="4" w:right="13"/>
        <w:contextualSpacing/>
        <w:rPr>
          <w:lang w:val="sv-SE"/>
        </w:rPr>
      </w:pPr>
      <w:r w:rsidRPr="00A74CC6">
        <w:rPr>
          <w:lang w:val="sv-SE"/>
        </w:rPr>
        <w:t xml:space="preserve">Europeiska läkemedelsmyndigheten har beviljat undantag från kravet att skicka in studieresultat </w:t>
      </w:r>
      <w:r w:rsidR="005C7018" w:rsidRPr="00A74CC6">
        <w:rPr>
          <w:lang w:val="sv-SE"/>
        </w:rPr>
        <w:t>för</w:t>
      </w:r>
      <w:r w:rsidRPr="00A74CC6">
        <w:rPr>
          <w:lang w:val="sv-SE"/>
        </w:rPr>
        <w:t xml:space="preserve"> </w:t>
      </w:r>
      <w:r w:rsidR="00342D88" w:rsidRPr="00A74CC6">
        <w:rPr>
          <w:lang w:val="sv-SE"/>
        </w:rPr>
        <w:t xml:space="preserve">trastuzumab </w:t>
      </w:r>
      <w:r w:rsidRPr="00A74CC6">
        <w:rPr>
          <w:lang w:val="sv-SE"/>
        </w:rPr>
        <w:t>för alla grupper av den pediatriska populationen för bröst- och ventrikelcancer (information om pediatrisk användning finns i avsnitt</w:t>
      </w:r>
      <w:r w:rsidR="005C7018" w:rsidRPr="00A74CC6">
        <w:rPr>
          <w:lang w:val="sv-SE"/>
        </w:rPr>
        <w:t> </w:t>
      </w:r>
      <w:r w:rsidRPr="00A74CC6">
        <w:rPr>
          <w:lang w:val="sv-SE"/>
        </w:rPr>
        <w:t>4.2).</w:t>
      </w:r>
    </w:p>
    <w:p w14:paraId="351919D7" w14:textId="77777777" w:rsidR="008B2F4C" w:rsidRPr="00A74CC6" w:rsidRDefault="008B2F4C" w:rsidP="002314CE">
      <w:pPr>
        <w:spacing w:after="0" w:line="240" w:lineRule="auto"/>
        <w:ind w:left="4" w:right="13"/>
        <w:contextualSpacing/>
        <w:rPr>
          <w:lang w:val="sv-SE"/>
        </w:rPr>
      </w:pPr>
    </w:p>
    <w:p w14:paraId="1F010DC5" w14:textId="77777777" w:rsidR="005027AB" w:rsidRPr="00A74CC6" w:rsidRDefault="00264096" w:rsidP="002314CE">
      <w:pPr>
        <w:pStyle w:val="Heading3"/>
        <w:tabs>
          <w:tab w:val="center" w:pos="2003"/>
        </w:tabs>
        <w:spacing w:after="0" w:line="240" w:lineRule="auto"/>
        <w:ind w:left="567" w:hanging="567"/>
        <w:contextualSpacing/>
        <w:rPr>
          <w:lang w:val="sv-SE"/>
        </w:rPr>
      </w:pPr>
      <w:r w:rsidRPr="00A74CC6">
        <w:rPr>
          <w:b/>
          <w:i w:val="0"/>
          <w:u w:val="none"/>
          <w:lang w:val="sv-SE"/>
        </w:rPr>
        <w:t>5.2</w:t>
      </w:r>
      <w:r w:rsidRPr="00A74CC6">
        <w:rPr>
          <w:b/>
          <w:i w:val="0"/>
          <w:u w:val="none"/>
          <w:lang w:val="sv-SE"/>
        </w:rPr>
        <w:tab/>
        <w:t>Farmakokinetiska egenskaper</w:t>
      </w:r>
    </w:p>
    <w:p w14:paraId="067A0F0B" w14:textId="77777777" w:rsidR="00F62533" w:rsidRPr="00A74CC6" w:rsidRDefault="00F62533" w:rsidP="002314CE">
      <w:pPr>
        <w:keepNext/>
        <w:keepLines/>
        <w:spacing w:after="0" w:line="240" w:lineRule="auto"/>
        <w:ind w:left="4" w:right="13"/>
        <w:contextualSpacing/>
        <w:rPr>
          <w:lang w:val="sv-SE"/>
        </w:rPr>
      </w:pPr>
    </w:p>
    <w:p w14:paraId="3B15CC49" w14:textId="7DD207B6" w:rsidR="005027AB" w:rsidRPr="00A74CC6" w:rsidRDefault="00264096" w:rsidP="008763E6">
      <w:pPr>
        <w:spacing w:after="0" w:line="240" w:lineRule="auto"/>
        <w:ind w:left="4" w:right="13"/>
        <w:contextualSpacing/>
        <w:rPr>
          <w:lang w:val="sv-SE"/>
        </w:rPr>
      </w:pPr>
      <w:r w:rsidRPr="00A74CC6">
        <w:rPr>
          <w:lang w:val="sv-SE"/>
        </w:rPr>
        <w:t>Farmakokinetiken för trastuzumab utvärderades i en populationsfarmakokinetisk analysmodell som använde poolade data från 1</w:t>
      </w:r>
      <w:r w:rsidR="005C7018" w:rsidRPr="00A74CC6">
        <w:rPr>
          <w:lang w:val="sv-SE"/>
        </w:rPr>
        <w:t> </w:t>
      </w:r>
      <w:r w:rsidRPr="00A74CC6">
        <w:rPr>
          <w:lang w:val="sv-SE"/>
        </w:rPr>
        <w:t>582</w:t>
      </w:r>
      <w:r w:rsidR="005C7018" w:rsidRPr="00A74CC6">
        <w:rPr>
          <w:lang w:val="sv-SE"/>
        </w:rPr>
        <w:t> </w:t>
      </w:r>
      <w:r w:rsidRPr="00A74CC6">
        <w:rPr>
          <w:lang w:val="sv-SE"/>
        </w:rPr>
        <w:t>personer, inklusive patienter med HER2</w:t>
      </w:r>
      <w:r w:rsidR="005C7018" w:rsidRPr="00A74CC6">
        <w:rPr>
          <w:lang w:val="sv-SE"/>
        </w:rPr>
        <w:t>-</w:t>
      </w:r>
      <w:r w:rsidRPr="00A74CC6">
        <w:rPr>
          <w:lang w:val="sv-SE"/>
        </w:rPr>
        <w:t>positiv metastaserad bröstcancer (MBC), tidig bröstcancer (EBC), avancerad ventrikelcancer (AGC) eller andra tumörtyper samt friska försökspersoner, i 18</w:t>
      </w:r>
      <w:r w:rsidR="00031568" w:rsidRPr="00A74CC6">
        <w:rPr>
          <w:lang w:val="sv-SE"/>
        </w:rPr>
        <w:t> </w:t>
      </w:r>
      <w:r w:rsidR="005C7018" w:rsidRPr="00A74CC6">
        <w:rPr>
          <w:lang w:val="sv-SE"/>
        </w:rPr>
        <w:t>f</w:t>
      </w:r>
      <w:r w:rsidRPr="00A74CC6">
        <w:rPr>
          <w:lang w:val="sv-SE"/>
        </w:rPr>
        <w:t>as</w:t>
      </w:r>
      <w:r w:rsidR="005C7018" w:rsidRPr="00A74CC6">
        <w:rPr>
          <w:lang w:val="sv-SE"/>
        </w:rPr>
        <w:t> </w:t>
      </w:r>
      <w:r w:rsidRPr="00A74CC6">
        <w:rPr>
          <w:lang w:val="sv-SE"/>
        </w:rPr>
        <w:t>I</w:t>
      </w:r>
      <w:r w:rsidR="005C7018" w:rsidRPr="00A74CC6">
        <w:rPr>
          <w:lang w:val="sv-SE"/>
        </w:rPr>
        <w:t>-</w:t>
      </w:r>
      <w:r w:rsidRPr="00A74CC6">
        <w:rPr>
          <w:lang w:val="sv-SE"/>
        </w:rPr>
        <w:t>, II och III</w:t>
      </w:r>
      <w:r w:rsidR="005C7018" w:rsidRPr="00A74CC6">
        <w:rPr>
          <w:lang w:val="sv-SE"/>
        </w:rPr>
        <w:t>-</w:t>
      </w:r>
      <w:r w:rsidRPr="00A74CC6">
        <w:rPr>
          <w:lang w:val="sv-SE"/>
        </w:rPr>
        <w:t xml:space="preserve">studier som fick </w:t>
      </w:r>
      <w:r w:rsidR="00342D88" w:rsidRPr="00A74CC6">
        <w:rPr>
          <w:lang w:val="sv-SE"/>
        </w:rPr>
        <w:t xml:space="preserve">trastuzumab </w:t>
      </w:r>
      <w:r w:rsidRPr="00A74CC6">
        <w:rPr>
          <w:lang w:val="sv-SE"/>
        </w:rPr>
        <w:t>intravenöst. En två</w:t>
      </w:r>
      <w:r w:rsidR="00EE7942" w:rsidRPr="00A74CC6">
        <w:rPr>
          <w:lang w:val="sv-SE"/>
        </w:rPr>
        <w:t>-</w:t>
      </w:r>
      <w:r w:rsidRPr="00A74CC6">
        <w:rPr>
          <w:lang w:val="sv-SE"/>
        </w:rPr>
        <w:t>kompartmentmodell med parallell linjär och icke-linjär elimination från centralt kompartment beskriver trastuzumabs koncentrations-tidsprofil. P</w:t>
      </w:r>
      <w:r w:rsidR="005C7018" w:rsidRPr="00A74CC6">
        <w:rPr>
          <w:lang w:val="sv-SE"/>
        </w:rPr>
        <w:t>.</w:t>
      </w:r>
      <w:r w:rsidRPr="00A74CC6">
        <w:rPr>
          <w:lang w:val="sv-SE"/>
        </w:rPr>
        <w:t>g</w:t>
      </w:r>
      <w:r w:rsidR="005C7018" w:rsidRPr="00A74CC6">
        <w:rPr>
          <w:lang w:val="sv-SE"/>
        </w:rPr>
        <w:t>.</w:t>
      </w:r>
      <w:r w:rsidRPr="00A74CC6">
        <w:rPr>
          <w:lang w:val="sv-SE"/>
        </w:rPr>
        <w:t>a</w:t>
      </w:r>
      <w:r w:rsidR="005C7018" w:rsidRPr="00A74CC6">
        <w:rPr>
          <w:lang w:val="sv-SE"/>
        </w:rPr>
        <w:t>.</w:t>
      </w:r>
      <w:r w:rsidRPr="00A74CC6">
        <w:rPr>
          <w:lang w:val="sv-SE"/>
        </w:rPr>
        <w:t xml:space="preserve"> icke-linjär elimination ökade totalt clearance med minskande koncentrationer. </w:t>
      </w:r>
      <w:r w:rsidR="005C7018" w:rsidRPr="00A74CC6">
        <w:rPr>
          <w:lang w:val="sv-SE"/>
        </w:rPr>
        <w:t>Därför</w:t>
      </w:r>
      <w:r w:rsidRPr="00A74CC6">
        <w:rPr>
          <w:lang w:val="sv-SE"/>
        </w:rPr>
        <w:t xml:space="preserve"> kan ingen konstant halveringstid för trastuzumab fastställas. Halveringstiden (t</w:t>
      </w:r>
      <w:r w:rsidRPr="008763E6">
        <w:rPr>
          <w:vertAlign w:val="subscript"/>
          <w:lang w:val="sv-SE"/>
        </w:rPr>
        <w:t>½</w:t>
      </w:r>
      <w:r w:rsidRPr="00A74CC6">
        <w:rPr>
          <w:lang w:val="sv-SE"/>
        </w:rPr>
        <w:t>) minskar med minskade koncentrationer inom ett doseringsintervall (se tabell</w:t>
      </w:r>
      <w:r w:rsidR="005C7018" w:rsidRPr="00A74CC6">
        <w:rPr>
          <w:lang w:val="sv-SE"/>
        </w:rPr>
        <w:t> </w:t>
      </w:r>
      <w:r w:rsidRPr="00A74CC6">
        <w:rPr>
          <w:lang w:val="sv-SE"/>
        </w:rPr>
        <w:t>16). Patienter med metastaserad bröstcancer och tidig bröstcancer hade likartade farmakokinetiska parametrar (t</w:t>
      </w:r>
      <w:r w:rsidR="005C7018" w:rsidRPr="00A74CC6">
        <w:rPr>
          <w:lang w:val="sv-SE"/>
        </w:rPr>
        <w:t>.</w:t>
      </w:r>
      <w:r w:rsidRPr="00A74CC6">
        <w:rPr>
          <w:lang w:val="sv-SE"/>
        </w:rPr>
        <w:t>ex</w:t>
      </w:r>
      <w:r w:rsidR="005C7018" w:rsidRPr="00A74CC6">
        <w:rPr>
          <w:lang w:val="sv-SE"/>
        </w:rPr>
        <w:t>.</w:t>
      </w:r>
      <w:r w:rsidRPr="00A74CC6">
        <w:rPr>
          <w:lang w:val="sv-SE"/>
        </w:rPr>
        <w:t xml:space="preserve"> clearance (CL), distributionsvolym för centralt kompartment (V</w:t>
      </w:r>
      <w:r w:rsidRPr="00A74CC6">
        <w:rPr>
          <w:vertAlign w:val="subscript"/>
          <w:lang w:val="sv-SE"/>
        </w:rPr>
        <w:t>c</w:t>
      </w:r>
      <w:r w:rsidRPr="00A74CC6">
        <w:rPr>
          <w:lang w:val="sv-SE"/>
        </w:rPr>
        <w:t xml:space="preserve">)) och </w:t>
      </w:r>
      <w:r w:rsidRPr="00A74CC6">
        <w:rPr>
          <w:lang w:val="sv-SE"/>
        </w:rPr>
        <w:lastRenderedPageBreak/>
        <w:t>populationspredikterade steady-state</w:t>
      </w:r>
      <w:r w:rsidR="005C7018" w:rsidRPr="00A74CC6">
        <w:rPr>
          <w:lang w:val="sv-SE"/>
        </w:rPr>
        <w:t>-</w:t>
      </w:r>
      <w:r w:rsidRPr="00A74CC6">
        <w:rPr>
          <w:lang w:val="sv-SE"/>
        </w:rPr>
        <w:t>exponeringar (C</w:t>
      </w:r>
      <w:r w:rsidRPr="00A74CC6">
        <w:rPr>
          <w:vertAlign w:val="subscript"/>
          <w:lang w:val="sv-SE"/>
        </w:rPr>
        <w:t>min</w:t>
      </w:r>
      <w:r w:rsidRPr="00A74CC6">
        <w:rPr>
          <w:lang w:val="sv-SE"/>
        </w:rPr>
        <w:t>, C</w:t>
      </w:r>
      <w:r w:rsidRPr="00A74CC6">
        <w:rPr>
          <w:vertAlign w:val="subscript"/>
          <w:lang w:val="sv-SE"/>
        </w:rPr>
        <w:t xml:space="preserve">max </w:t>
      </w:r>
      <w:r w:rsidRPr="00A74CC6">
        <w:rPr>
          <w:lang w:val="sv-SE"/>
        </w:rPr>
        <w:t xml:space="preserve">och AUC). </w:t>
      </w:r>
      <w:r w:rsidR="008B2F4C" w:rsidRPr="00A74CC6">
        <w:rPr>
          <w:lang w:val="sv-SE"/>
        </w:rPr>
        <w:t>Linjärt clearance var 0,136 </w:t>
      </w:r>
      <w:r w:rsidRPr="00A74CC6">
        <w:rPr>
          <w:lang w:val="sv-SE"/>
        </w:rPr>
        <w:t>l/dag för m</w:t>
      </w:r>
      <w:r w:rsidR="008B2F4C" w:rsidRPr="00A74CC6">
        <w:rPr>
          <w:lang w:val="sv-SE"/>
        </w:rPr>
        <w:t>etastaserad bröstcancer, 0,112 </w:t>
      </w:r>
      <w:r w:rsidRPr="00A74CC6">
        <w:rPr>
          <w:lang w:val="sv-SE"/>
        </w:rPr>
        <w:t xml:space="preserve">l/dag för tidig bröstcancer och </w:t>
      </w:r>
      <w:r w:rsidR="008B2F4C" w:rsidRPr="00A74CC6">
        <w:rPr>
          <w:lang w:val="sv-SE"/>
        </w:rPr>
        <w:t>0,176 </w:t>
      </w:r>
      <w:r w:rsidRPr="00A74CC6">
        <w:rPr>
          <w:lang w:val="sv-SE"/>
        </w:rPr>
        <w:t>l/dag för avancerad ventrikelcancer. De icke-linjära eliminationsparametrarnas värden var 8,81</w:t>
      </w:r>
      <w:r w:rsidR="008B2F4C" w:rsidRPr="00A74CC6">
        <w:rPr>
          <w:lang w:val="sv-SE"/>
        </w:rPr>
        <w:t> </w:t>
      </w:r>
      <w:r w:rsidRPr="00A74CC6">
        <w:rPr>
          <w:lang w:val="sv-SE"/>
        </w:rPr>
        <w:t>mg/dag för den maximala eliminationshastigheten (V</w:t>
      </w:r>
      <w:r w:rsidRPr="00A74CC6">
        <w:rPr>
          <w:vertAlign w:val="subscript"/>
          <w:lang w:val="sv-SE"/>
        </w:rPr>
        <w:t>max</w:t>
      </w:r>
      <w:r w:rsidR="008B2F4C" w:rsidRPr="00A74CC6">
        <w:rPr>
          <w:lang w:val="sv-SE"/>
        </w:rPr>
        <w:t>) och 8,92 </w:t>
      </w:r>
      <w:r w:rsidRPr="00A74CC6">
        <w:rPr>
          <w:lang w:val="sv-SE"/>
        </w:rPr>
        <w:t>µg/ml för Michaelis-Menten</w:t>
      </w:r>
      <w:r w:rsidR="00EE7942" w:rsidRPr="00A74CC6">
        <w:rPr>
          <w:lang w:val="sv-SE"/>
        </w:rPr>
        <w:t>-</w:t>
      </w:r>
      <w:r w:rsidRPr="00A74CC6">
        <w:rPr>
          <w:lang w:val="sv-SE"/>
        </w:rPr>
        <w:t>konstanten (K</w:t>
      </w:r>
      <w:r w:rsidRPr="00A74CC6">
        <w:rPr>
          <w:vertAlign w:val="subscript"/>
          <w:lang w:val="sv-SE"/>
        </w:rPr>
        <w:t>m</w:t>
      </w:r>
      <w:r w:rsidRPr="00A74CC6">
        <w:rPr>
          <w:lang w:val="sv-SE"/>
        </w:rPr>
        <w:t>) för patienter med metastaserad bröstcancer, tidig bröstcancer och avancerad ventrikelcancer. Volymen för centralt kompartment var 2,62</w:t>
      </w:r>
      <w:r w:rsidR="00AB315E" w:rsidRPr="00A74CC6">
        <w:rPr>
          <w:lang w:val="sv-SE"/>
        </w:rPr>
        <w:t> </w:t>
      </w:r>
      <w:r w:rsidRPr="00A74CC6">
        <w:rPr>
          <w:lang w:val="sv-SE"/>
        </w:rPr>
        <w:t>l för patienter med metastaserad bröstcancer och tidig bröstcancer samt 3,63</w:t>
      </w:r>
      <w:r w:rsidR="00AB315E" w:rsidRPr="00A74CC6">
        <w:rPr>
          <w:lang w:val="sv-SE"/>
        </w:rPr>
        <w:t> </w:t>
      </w:r>
      <w:r w:rsidRPr="00A74CC6">
        <w:rPr>
          <w:lang w:val="sv-SE"/>
        </w:rPr>
        <w:t>l för patienter med avancerad ventrikelcancer. I den finala populationsfarmakokinetiska modellen identifierades</w:t>
      </w:r>
      <w:r w:rsidR="005C7018" w:rsidRPr="00A74CC6">
        <w:rPr>
          <w:lang w:val="sv-SE"/>
        </w:rPr>
        <w:t xml:space="preserve"> </w:t>
      </w:r>
      <w:r w:rsidRPr="00A74CC6">
        <w:rPr>
          <w:lang w:val="sv-SE"/>
        </w:rPr>
        <w:t>kroppsvikt, serumaspartataminotransferas (ASAT) och albumin</w:t>
      </w:r>
      <w:r w:rsidR="005C7018" w:rsidRPr="00A74CC6">
        <w:rPr>
          <w:lang w:val="sv-SE"/>
        </w:rPr>
        <w:t xml:space="preserve"> </w:t>
      </w:r>
      <w:r w:rsidRPr="00A74CC6">
        <w:rPr>
          <w:lang w:val="sv-SE"/>
        </w:rPr>
        <w:t xml:space="preserve">som statistiskt signifikanta </w:t>
      </w:r>
      <w:r w:rsidR="005C7018" w:rsidRPr="00A74CC6">
        <w:rPr>
          <w:lang w:val="sv-SE"/>
        </w:rPr>
        <w:t>k</w:t>
      </w:r>
      <w:r w:rsidRPr="00A74CC6">
        <w:rPr>
          <w:lang w:val="sv-SE"/>
        </w:rPr>
        <w:t>ovariater</w:t>
      </w:r>
      <w:r w:rsidR="005C7018" w:rsidRPr="00A74CC6">
        <w:rPr>
          <w:lang w:val="sv-SE"/>
        </w:rPr>
        <w:t>, utöver primär tumörtyp,</w:t>
      </w:r>
      <w:r w:rsidRPr="00A74CC6">
        <w:rPr>
          <w:lang w:val="sv-SE"/>
        </w:rPr>
        <w:t xml:space="preserve"> som påverkade exponeringen av trastuzumab. </w:t>
      </w:r>
      <w:r w:rsidR="005C7018" w:rsidRPr="00A74CC6">
        <w:rPr>
          <w:lang w:val="sv-SE"/>
        </w:rPr>
        <w:t>Magnituden av</w:t>
      </w:r>
      <w:r w:rsidRPr="00A74CC6">
        <w:rPr>
          <w:lang w:val="sv-SE"/>
        </w:rPr>
        <w:t xml:space="preserve"> dessa </w:t>
      </w:r>
      <w:r w:rsidR="005C7018" w:rsidRPr="00A74CC6">
        <w:rPr>
          <w:lang w:val="sv-SE"/>
        </w:rPr>
        <w:t>k</w:t>
      </w:r>
      <w:r w:rsidRPr="00A74CC6">
        <w:rPr>
          <w:lang w:val="sv-SE"/>
        </w:rPr>
        <w:t>ovariater</w:t>
      </w:r>
      <w:r w:rsidR="005C7018" w:rsidRPr="00A74CC6">
        <w:rPr>
          <w:lang w:val="sv-SE"/>
        </w:rPr>
        <w:t xml:space="preserve">s effekt på exponeringen av </w:t>
      </w:r>
      <w:r w:rsidRPr="00A74CC6">
        <w:rPr>
          <w:lang w:val="sv-SE"/>
        </w:rPr>
        <w:t>trastuzumab</w:t>
      </w:r>
      <w:r w:rsidR="005C7018" w:rsidRPr="00A74CC6">
        <w:rPr>
          <w:lang w:val="sv-SE"/>
        </w:rPr>
        <w:t xml:space="preserve"> tyder emellertid </w:t>
      </w:r>
      <w:r w:rsidRPr="00A74CC6">
        <w:rPr>
          <w:lang w:val="sv-SE"/>
        </w:rPr>
        <w:t xml:space="preserve">på att det är osannolikt att dessa </w:t>
      </w:r>
      <w:r w:rsidR="005C7018" w:rsidRPr="00A74CC6">
        <w:rPr>
          <w:lang w:val="sv-SE"/>
        </w:rPr>
        <w:t>k</w:t>
      </w:r>
      <w:r w:rsidRPr="00A74CC6">
        <w:rPr>
          <w:lang w:val="sv-SE"/>
        </w:rPr>
        <w:t xml:space="preserve">ovariater har en kliniskt betydelsefull effekt på </w:t>
      </w:r>
      <w:r w:rsidR="005C7018" w:rsidRPr="00A74CC6">
        <w:rPr>
          <w:lang w:val="sv-SE"/>
        </w:rPr>
        <w:t xml:space="preserve">koncentrationen av </w:t>
      </w:r>
      <w:r w:rsidRPr="00A74CC6">
        <w:rPr>
          <w:lang w:val="sv-SE"/>
        </w:rPr>
        <w:t>trastuzumab.</w:t>
      </w:r>
    </w:p>
    <w:p w14:paraId="4E4AEA8E" w14:textId="77777777" w:rsidR="008B2F4C" w:rsidRPr="00A74CC6" w:rsidRDefault="008B2F4C" w:rsidP="001E7238">
      <w:pPr>
        <w:spacing w:after="0" w:line="240" w:lineRule="auto"/>
        <w:ind w:left="4" w:right="92"/>
        <w:contextualSpacing/>
        <w:rPr>
          <w:lang w:val="sv-SE"/>
        </w:rPr>
      </w:pPr>
    </w:p>
    <w:p w14:paraId="2B1521DA" w14:textId="72BCEEEA" w:rsidR="005027AB" w:rsidRPr="00A74CC6" w:rsidRDefault="00264096" w:rsidP="001E7238">
      <w:pPr>
        <w:spacing w:after="0" w:line="240" w:lineRule="auto"/>
        <w:ind w:left="4" w:right="13"/>
        <w:contextualSpacing/>
        <w:rPr>
          <w:lang w:val="sv-SE"/>
        </w:rPr>
      </w:pPr>
      <w:r w:rsidRPr="00A74CC6">
        <w:rPr>
          <w:lang w:val="sv-SE"/>
        </w:rPr>
        <w:t>Populationspredikterade farmakokinetiska exponeringsvärden (median med 5:e – 95:e percentiler) och värden för farmakokinetiska parametrar vid kliniskt relevanta koncentrationer (C</w:t>
      </w:r>
      <w:r w:rsidRPr="00A74CC6">
        <w:rPr>
          <w:vertAlign w:val="subscript"/>
          <w:lang w:val="sv-SE"/>
        </w:rPr>
        <w:t xml:space="preserve">max </w:t>
      </w:r>
      <w:r w:rsidRPr="00A74CC6">
        <w:rPr>
          <w:lang w:val="sv-SE"/>
        </w:rPr>
        <w:t>och C</w:t>
      </w:r>
      <w:r w:rsidRPr="00A74CC6">
        <w:rPr>
          <w:vertAlign w:val="subscript"/>
          <w:lang w:val="sv-SE"/>
        </w:rPr>
        <w:t>min</w:t>
      </w:r>
      <w:r w:rsidRPr="00A74CC6">
        <w:rPr>
          <w:lang w:val="sv-SE"/>
        </w:rPr>
        <w:t>) för patienter med metastaserad bröstcancer, tidig bröstcancer och avancerad ventrikelcancer behandlade med godkända doseringsscheman veckovis (en gång per vecka) eller treveckors doseringsschema (var tredje vecka) visas nedan i tabell</w:t>
      </w:r>
      <w:r w:rsidR="005C7018" w:rsidRPr="00A74CC6">
        <w:rPr>
          <w:lang w:val="sv-SE"/>
        </w:rPr>
        <w:t> </w:t>
      </w:r>
      <w:r w:rsidRPr="00A74CC6">
        <w:rPr>
          <w:lang w:val="sv-SE"/>
        </w:rPr>
        <w:t>14 (första behandlingscykeln), tabell</w:t>
      </w:r>
      <w:r w:rsidR="005C7018" w:rsidRPr="00A74CC6">
        <w:rPr>
          <w:lang w:val="sv-SE"/>
        </w:rPr>
        <w:t> </w:t>
      </w:r>
      <w:r w:rsidRPr="00A74CC6">
        <w:rPr>
          <w:lang w:val="sv-SE"/>
        </w:rPr>
        <w:t>15 (steady</w:t>
      </w:r>
      <w:r w:rsidR="00B56E5D">
        <w:rPr>
          <w:lang w:val="sv-SE"/>
        </w:rPr>
        <w:noBreakHyphen/>
      </w:r>
      <w:r w:rsidRPr="00A74CC6">
        <w:rPr>
          <w:lang w:val="sv-SE"/>
        </w:rPr>
        <w:t>state), and tabell</w:t>
      </w:r>
      <w:r w:rsidR="00EC30F5" w:rsidRPr="00A74CC6">
        <w:rPr>
          <w:lang w:val="sv-SE"/>
        </w:rPr>
        <w:t> </w:t>
      </w:r>
      <w:r w:rsidRPr="00A74CC6">
        <w:rPr>
          <w:lang w:val="sv-SE"/>
        </w:rPr>
        <w:t>16 (farmakokinetiska parametrar).</w:t>
      </w:r>
    </w:p>
    <w:p w14:paraId="64C080FC" w14:textId="77777777" w:rsidR="008B2F4C" w:rsidRPr="00A74CC6" w:rsidRDefault="008B2F4C" w:rsidP="001E7238">
      <w:pPr>
        <w:spacing w:after="0" w:line="240" w:lineRule="auto"/>
        <w:ind w:left="4" w:right="13"/>
        <w:contextualSpacing/>
        <w:rPr>
          <w:lang w:val="sv-SE"/>
        </w:rPr>
      </w:pPr>
    </w:p>
    <w:p w14:paraId="482126C0" w14:textId="0ADFCA6A" w:rsidR="005027AB" w:rsidRPr="00A74CC6" w:rsidRDefault="00264096" w:rsidP="003572EC">
      <w:pPr>
        <w:keepNext/>
        <w:keepLines/>
        <w:spacing w:after="0" w:line="240" w:lineRule="auto"/>
        <w:ind w:left="0" w:firstLine="0"/>
        <w:contextualSpacing/>
        <w:rPr>
          <w:b/>
          <w:lang w:val="sv-SE"/>
        </w:rPr>
      </w:pPr>
      <w:r w:rsidRPr="00A74CC6">
        <w:rPr>
          <w:b/>
          <w:lang w:val="sv-SE"/>
        </w:rPr>
        <w:t>Tabell</w:t>
      </w:r>
      <w:r w:rsidR="00EC30F5" w:rsidRPr="00A74CC6">
        <w:rPr>
          <w:b/>
          <w:lang w:val="sv-SE"/>
        </w:rPr>
        <w:t> </w:t>
      </w:r>
      <w:r w:rsidRPr="00A74CC6">
        <w:rPr>
          <w:b/>
          <w:lang w:val="sv-SE"/>
        </w:rPr>
        <w:t>14</w:t>
      </w:r>
      <w:r w:rsidR="00E1391C" w:rsidRPr="00A74CC6">
        <w:rPr>
          <w:b/>
          <w:lang w:val="sv-SE"/>
        </w:rPr>
        <w:t>.</w:t>
      </w:r>
      <w:r w:rsidRPr="00A74CC6">
        <w:rPr>
          <w:b/>
          <w:lang w:val="sv-SE"/>
        </w:rPr>
        <w:t xml:space="preserve"> Populationspredikterade farmakokinetiska exponeringsvärden </w:t>
      </w:r>
      <w:r w:rsidR="00EC30F5" w:rsidRPr="00A74CC6">
        <w:rPr>
          <w:b/>
          <w:lang w:val="sv-SE"/>
        </w:rPr>
        <w:t xml:space="preserve">för den </w:t>
      </w:r>
      <w:r w:rsidRPr="00A74CC6">
        <w:rPr>
          <w:b/>
          <w:lang w:val="sv-SE"/>
        </w:rPr>
        <w:t>första behandlingscykeln (median med 5</w:t>
      </w:r>
      <w:r w:rsidR="00EC30F5" w:rsidRPr="00A74CC6">
        <w:rPr>
          <w:b/>
          <w:lang w:val="sv-SE"/>
        </w:rPr>
        <w:t>:</w:t>
      </w:r>
      <w:r w:rsidRPr="00A74CC6">
        <w:rPr>
          <w:b/>
          <w:lang w:val="sv-SE"/>
        </w:rPr>
        <w:t>e</w:t>
      </w:r>
      <w:r w:rsidR="0024202B" w:rsidRPr="00A74CC6">
        <w:rPr>
          <w:b/>
          <w:lang w:val="sv-SE"/>
        </w:rPr>
        <w:t> </w:t>
      </w:r>
      <w:r w:rsidRPr="00A74CC6">
        <w:rPr>
          <w:b/>
          <w:lang w:val="sv-SE"/>
        </w:rPr>
        <w:t>–</w:t>
      </w:r>
      <w:r w:rsidR="0024202B" w:rsidRPr="00A74CC6">
        <w:rPr>
          <w:b/>
          <w:lang w:val="sv-SE"/>
        </w:rPr>
        <w:t> </w:t>
      </w:r>
      <w:r w:rsidR="00CE5EDC" w:rsidRPr="00A74CC6">
        <w:rPr>
          <w:b/>
          <w:lang w:val="sv-SE"/>
        </w:rPr>
        <w:t>95</w:t>
      </w:r>
      <w:r w:rsidR="00EC30F5" w:rsidRPr="00A74CC6">
        <w:rPr>
          <w:b/>
          <w:lang w:val="sv-SE"/>
        </w:rPr>
        <w:t>:</w:t>
      </w:r>
      <w:r w:rsidR="00CE5EDC" w:rsidRPr="00A74CC6">
        <w:rPr>
          <w:b/>
          <w:lang w:val="sv-SE"/>
        </w:rPr>
        <w:t xml:space="preserve">e </w:t>
      </w:r>
      <w:r w:rsidRPr="00A74CC6">
        <w:rPr>
          <w:b/>
          <w:lang w:val="sv-SE"/>
        </w:rPr>
        <w:t xml:space="preserve">percentiler) för </w:t>
      </w:r>
      <w:r w:rsidR="00342D88" w:rsidRPr="008763E6">
        <w:rPr>
          <w:b/>
          <w:lang w:val="sv-SE"/>
        </w:rPr>
        <w:t>trastuzumab</w:t>
      </w:r>
      <w:r w:rsidR="00342D88" w:rsidRPr="00A74CC6">
        <w:rPr>
          <w:lang w:val="sv-SE"/>
        </w:rPr>
        <w:t xml:space="preserve"> </w:t>
      </w:r>
      <w:r w:rsidR="00EC30F5" w:rsidRPr="008763E6">
        <w:rPr>
          <w:b/>
          <w:lang w:val="sv-SE"/>
        </w:rPr>
        <w:t xml:space="preserve">givet </w:t>
      </w:r>
      <w:r w:rsidRPr="00A74CC6">
        <w:rPr>
          <w:b/>
          <w:lang w:val="sv-SE"/>
        </w:rPr>
        <w:t xml:space="preserve">intravenöst </w:t>
      </w:r>
      <w:r w:rsidR="00EC30F5" w:rsidRPr="00A74CC6">
        <w:rPr>
          <w:b/>
          <w:lang w:val="sv-SE"/>
        </w:rPr>
        <w:t xml:space="preserve">enligt </w:t>
      </w:r>
      <w:r w:rsidRPr="00A74CC6">
        <w:rPr>
          <w:b/>
          <w:lang w:val="sv-SE"/>
        </w:rPr>
        <w:t>doseringsschema för patienter med metastaserad bröstcancer (MBC), tidig bröstcancer (EBC) och avancerad ventrikelcancer (AGC)</w:t>
      </w:r>
    </w:p>
    <w:p w14:paraId="3AD88079" w14:textId="77777777" w:rsidR="008B2F4C" w:rsidRPr="00A74CC6" w:rsidRDefault="008B2F4C" w:rsidP="001E7238">
      <w:pPr>
        <w:keepNext/>
        <w:keepLines/>
        <w:spacing w:after="0" w:line="240" w:lineRule="auto"/>
        <w:ind w:left="4" w:right="13"/>
        <w:contextualSpacing/>
        <w:rPr>
          <w:b/>
          <w:lang w:val="sv-SE"/>
        </w:rPr>
      </w:pPr>
    </w:p>
    <w:tbl>
      <w:tblPr>
        <w:tblW w:w="4989" w:type="pct"/>
        <w:tblInd w:w="108" w:type="dxa"/>
        <w:tblCellMar>
          <w:top w:w="111" w:type="dxa"/>
          <w:right w:w="79" w:type="dxa"/>
        </w:tblCellMar>
        <w:tblLook w:val="04A0" w:firstRow="1" w:lastRow="0" w:firstColumn="1" w:lastColumn="0" w:noHBand="0" w:noVBand="1"/>
      </w:tblPr>
      <w:tblGrid>
        <w:gridCol w:w="1985"/>
        <w:gridCol w:w="1141"/>
        <w:gridCol w:w="1106"/>
        <w:gridCol w:w="1531"/>
        <w:gridCol w:w="1674"/>
        <w:gridCol w:w="1799"/>
      </w:tblGrid>
      <w:tr w:rsidR="00AD14F8" w:rsidRPr="00472A6C" w14:paraId="4390679E" w14:textId="77777777" w:rsidTr="004A019F">
        <w:trPr>
          <w:trHeight w:val="567"/>
          <w:tblHeader/>
        </w:trPr>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1EC56AF1"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Behandlingsregim</w:t>
            </w:r>
          </w:p>
        </w:tc>
        <w:tc>
          <w:tcPr>
            <w:tcW w:w="617" w:type="pct"/>
            <w:tcBorders>
              <w:top w:val="single" w:sz="4" w:space="0" w:color="000000"/>
              <w:left w:val="single" w:sz="4" w:space="0" w:color="000000"/>
              <w:bottom w:val="single" w:sz="4" w:space="0" w:color="000000"/>
              <w:right w:val="single" w:sz="4" w:space="0" w:color="000000"/>
            </w:tcBorders>
            <w:shd w:val="clear" w:color="auto" w:fill="auto"/>
          </w:tcPr>
          <w:p w14:paraId="16A44FE2"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Primär tumörtyp</w:t>
            </w:r>
          </w:p>
        </w:tc>
        <w:tc>
          <w:tcPr>
            <w:tcW w:w="599" w:type="pct"/>
            <w:tcBorders>
              <w:top w:val="single" w:sz="4" w:space="0" w:color="000000"/>
              <w:left w:val="single" w:sz="4" w:space="0" w:color="000000"/>
              <w:bottom w:val="single" w:sz="4" w:space="0" w:color="000000"/>
              <w:right w:val="single" w:sz="4" w:space="0" w:color="000000"/>
            </w:tcBorders>
            <w:shd w:val="clear" w:color="auto" w:fill="auto"/>
          </w:tcPr>
          <w:p w14:paraId="38994AA6"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Antal (n)</w:t>
            </w:r>
          </w:p>
        </w:tc>
        <w:tc>
          <w:tcPr>
            <w:tcW w:w="829" w:type="pct"/>
            <w:tcBorders>
              <w:top w:val="single" w:sz="4" w:space="0" w:color="000000"/>
              <w:left w:val="single" w:sz="4" w:space="0" w:color="000000"/>
              <w:bottom w:val="single" w:sz="4" w:space="0" w:color="000000"/>
              <w:right w:val="single" w:sz="4" w:space="0" w:color="000000"/>
            </w:tcBorders>
            <w:shd w:val="clear" w:color="auto" w:fill="auto"/>
          </w:tcPr>
          <w:p w14:paraId="6BD188F6" w14:textId="77777777" w:rsidR="00CE5EDC" w:rsidRPr="004A019F" w:rsidRDefault="00264096" w:rsidP="004A019F">
            <w:pPr>
              <w:keepNext/>
              <w:keepLines/>
              <w:spacing w:after="0" w:line="240" w:lineRule="auto"/>
              <w:ind w:left="0" w:firstLine="0"/>
              <w:contextualSpacing/>
              <w:jc w:val="center"/>
              <w:rPr>
                <w:b/>
                <w:lang w:val="sv-SE"/>
              </w:rPr>
            </w:pPr>
            <w:r w:rsidRPr="004A019F">
              <w:rPr>
                <w:b/>
                <w:lang w:val="sv-SE"/>
              </w:rPr>
              <w:t>C</w:t>
            </w:r>
            <w:r w:rsidRPr="004A019F">
              <w:rPr>
                <w:b/>
                <w:vertAlign w:val="subscript"/>
                <w:lang w:val="sv-SE"/>
              </w:rPr>
              <w:t>min</w:t>
            </w:r>
          </w:p>
          <w:p w14:paraId="60802A38"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(µg/ml)</w:t>
            </w:r>
          </w:p>
        </w:tc>
        <w:tc>
          <w:tcPr>
            <w:tcW w:w="906" w:type="pct"/>
            <w:tcBorders>
              <w:top w:val="single" w:sz="4" w:space="0" w:color="000000"/>
              <w:left w:val="single" w:sz="4" w:space="0" w:color="000000"/>
              <w:bottom w:val="single" w:sz="4" w:space="0" w:color="000000"/>
              <w:right w:val="single" w:sz="4" w:space="0" w:color="000000"/>
            </w:tcBorders>
            <w:shd w:val="clear" w:color="auto" w:fill="auto"/>
          </w:tcPr>
          <w:p w14:paraId="2FE09311" w14:textId="77777777" w:rsidR="00CE5EDC" w:rsidRPr="004A019F" w:rsidRDefault="00264096" w:rsidP="004A019F">
            <w:pPr>
              <w:keepNext/>
              <w:keepLines/>
              <w:spacing w:after="0" w:line="240" w:lineRule="auto"/>
              <w:ind w:left="0" w:firstLine="0"/>
              <w:contextualSpacing/>
              <w:jc w:val="center"/>
              <w:rPr>
                <w:b/>
                <w:lang w:val="sv-SE"/>
              </w:rPr>
            </w:pPr>
            <w:r w:rsidRPr="004A019F">
              <w:rPr>
                <w:b/>
                <w:lang w:val="sv-SE"/>
              </w:rPr>
              <w:t>C</w:t>
            </w:r>
            <w:r w:rsidRPr="004A019F">
              <w:rPr>
                <w:b/>
                <w:vertAlign w:val="subscript"/>
                <w:lang w:val="sv-SE"/>
              </w:rPr>
              <w:t>max</w:t>
            </w:r>
          </w:p>
          <w:p w14:paraId="5576BC28"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(µg/ml)</w:t>
            </w:r>
          </w:p>
        </w:tc>
        <w:tc>
          <w:tcPr>
            <w:tcW w:w="974" w:type="pct"/>
            <w:tcBorders>
              <w:top w:val="single" w:sz="4" w:space="0" w:color="000000"/>
              <w:left w:val="single" w:sz="4" w:space="0" w:color="000000"/>
              <w:bottom w:val="single" w:sz="4" w:space="0" w:color="000000"/>
              <w:right w:val="single" w:sz="4" w:space="0" w:color="000000"/>
            </w:tcBorders>
            <w:shd w:val="clear" w:color="auto" w:fill="auto"/>
          </w:tcPr>
          <w:p w14:paraId="471D2139"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AUC</w:t>
            </w:r>
            <w:r w:rsidRPr="004A019F">
              <w:rPr>
                <w:b/>
                <w:vertAlign w:val="subscript"/>
                <w:lang w:val="sv-SE"/>
              </w:rPr>
              <w:t xml:space="preserve">0-21 dagar </w:t>
            </w:r>
            <w:r w:rsidRPr="004A019F">
              <w:rPr>
                <w:b/>
                <w:lang w:val="sv-SE"/>
              </w:rPr>
              <w:t>(µg.dag/ml)</w:t>
            </w:r>
          </w:p>
        </w:tc>
      </w:tr>
      <w:tr w:rsidR="00AD14F8" w:rsidRPr="00A74CC6" w14:paraId="05D25AC2" w14:textId="77777777" w:rsidTr="004A019F">
        <w:trPr>
          <w:trHeight w:val="567"/>
        </w:trPr>
        <w:tc>
          <w:tcPr>
            <w:tcW w:w="10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E3DF0F" w14:textId="2AF1CB91" w:rsidR="005027AB" w:rsidRPr="004A019F" w:rsidRDefault="00264096" w:rsidP="004A019F">
            <w:pPr>
              <w:spacing w:after="0" w:line="240" w:lineRule="auto"/>
              <w:ind w:left="0" w:firstLine="0"/>
              <w:contextualSpacing/>
              <w:rPr>
                <w:lang w:val="sv-SE"/>
              </w:rPr>
            </w:pPr>
            <w:r w:rsidRPr="004A019F">
              <w:rPr>
                <w:lang w:val="sv-SE"/>
              </w:rPr>
              <w:t>8</w:t>
            </w:r>
            <w:r w:rsidR="00EC30F5" w:rsidRPr="004A019F">
              <w:rPr>
                <w:lang w:val="sv-SE"/>
              </w:rPr>
              <w:t> </w:t>
            </w:r>
            <w:r w:rsidRPr="004A019F">
              <w:rPr>
                <w:lang w:val="sv-SE"/>
              </w:rPr>
              <w:t>mg/kg +</w:t>
            </w:r>
            <w:r w:rsidR="000E72FC" w:rsidRPr="004A019F">
              <w:rPr>
                <w:lang w:val="sv-SE"/>
              </w:rPr>
              <w:t xml:space="preserve"> </w:t>
            </w:r>
            <w:r w:rsidRPr="004A019F">
              <w:rPr>
                <w:lang w:val="sv-SE"/>
              </w:rPr>
              <w:t>6</w:t>
            </w:r>
            <w:r w:rsidR="00EC30F5" w:rsidRPr="004A019F">
              <w:rPr>
                <w:lang w:val="sv-SE"/>
              </w:rPr>
              <w:t> </w:t>
            </w:r>
            <w:r w:rsidRPr="004A019F">
              <w:rPr>
                <w:lang w:val="sv-SE"/>
              </w:rPr>
              <w:t>mg/kg var tredje vecka</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100F0" w14:textId="77777777" w:rsidR="005027AB" w:rsidRPr="004A019F" w:rsidRDefault="00264096" w:rsidP="004A019F">
            <w:pPr>
              <w:spacing w:after="0" w:line="240" w:lineRule="auto"/>
              <w:ind w:left="0" w:firstLine="0"/>
              <w:contextualSpacing/>
              <w:jc w:val="center"/>
              <w:rPr>
                <w:lang w:val="sv-SE"/>
              </w:rPr>
            </w:pPr>
            <w:r w:rsidRPr="004A019F">
              <w:rPr>
                <w:lang w:val="sv-SE"/>
              </w:rPr>
              <w:t>MBC</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DE3C1" w14:textId="77777777" w:rsidR="005027AB" w:rsidRPr="004A019F" w:rsidRDefault="00264096" w:rsidP="004A019F">
            <w:pPr>
              <w:spacing w:after="0" w:line="240" w:lineRule="auto"/>
              <w:ind w:left="0" w:firstLine="0"/>
              <w:contextualSpacing/>
              <w:jc w:val="center"/>
              <w:rPr>
                <w:lang w:val="sv-SE"/>
              </w:rPr>
            </w:pPr>
            <w:r w:rsidRPr="004A019F">
              <w:rPr>
                <w:lang w:val="sv-SE"/>
              </w:rPr>
              <w:t>805</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76AE3" w14:textId="77777777" w:rsidR="005027AB" w:rsidRPr="004A019F" w:rsidRDefault="00264096" w:rsidP="004A019F">
            <w:pPr>
              <w:spacing w:after="0" w:line="240" w:lineRule="auto"/>
              <w:ind w:left="0" w:firstLine="0"/>
              <w:contextualSpacing/>
              <w:jc w:val="center"/>
              <w:rPr>
                <w:lang w:val="sv-SE"/>
              </w:rPr>
            </w:pPr>
            <w:r w:rsidRPr="004A019F">
              <w:rPr>
                <w:lang w:val="sv-SE"/>
              </w:rPr>
              <w:t>28,7</w:t>
            </w:r>
          </w:p>
          <w:p w14:paraId="332C3F09" w14:textId="43523AD2" w:rsidR="005027AB" w:rsidRPr="004A019F" w:rsidRDefault="00264096" w:rsidP="004A019F">
            <w:pPr>
              <w:spacing w:after="0" w:line="240" w:lineRule="auto"/>
              <w:ind w:left="0" w:firstLine="0"/>
              <w:contextualSpacing/>
              <w:jc w:val="center"/>
              <w:rPr>
                <w:lang w:val="sv-SE"/>
              </w:rPr>
            </w:pPr>
            <w:r w:rsidRPr="004A019F">
              <w:rPr>
                <w:lang w:val="sv-SE"/>
              </w:rPr>
              <w:t>(2,9</w:t>
            </w:r>
            <w:r w:rsidR="009B6E29" w:rsidRPr="004A019F">
              <w:rPr>
                <w:lang w:val="sv-SE"/>
              </w:rPr>
              <w:t xml:space="preserve"> – </w:t>
            </w:r>
            <w:r w:rsidRPr="004A019F">
              <w:rPr>
                <w:lang w:val="sv-SE"/>
              </w:rPr>
              <w:t>46,3)</w:t>
            </w:r>
          </w:p>
        </w:tc>
        <w:tc>
          <w:tcPr>
            <w:tcW w:w="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B1B6E" w14:textId="77777777" w:rsidR="005027AB" w:rsidRPr="004A019F" w:rsidRDefault="00264096" w:rsidP="004A019F">
            <w:pPr>
              <w:spacing w:after="0" w:line="240" w:lineRule="auto"/>
              <w:ind w:left="0" w:firstLine="0"/>
              <w:contextualSpacing/>
              <w:jc w:val="center"/>
              <w:rPr>
                <w:lang w:val="sv-SE"/>
              </w:rPr>
            </w:pPr>
            <w:r w:rsidRPr="004A019F">
              <w:rPr>
                <w:lang w:val="sv-SE"/>
              </w:rPr>
              <w:t>182</w:t>
            </w:r>
          </w:p>
          <w:p w14:paraId="64D818A9" w14:textId="669C01EE" w:rsidR="005027AB" w:rsidRPr="004A019F" w:rsidRDefault="00264096" w:rsidP="004A019F">
            <w:pPr>
              <w:spacing w:after="0" w:line="240" w:lineRule="auto"/>
              <w:ind w:left="0" w:firstLine="0"/>
              <w:contextualSpacing/>
              <w:jc w:val="center"/>
              <w:rPr>
                <w:lang w:val="sv-SE"/>
              </w:rPr>
            </w:pPr>
            <w:r w:rsidRPr="004A019F">
              <w:rPr>
                <w:lang w:val="sv-SE"/>
              </w:rPr>
              <w:t>(134</w:t>
            </w:r>
            <w:r w:rsidR="009B6E29" w:rsidRPr="004A019F">
              <w:rPr>
                <w:lang w:val="sv-SE"/>
              </w:rPr>
              <w:t xml:space="preserve"> – </w:t>
            </w:r>
            <w:r w:rsidRPr="004A019F">
              <w:rPr>
                <w:lang w:val="sv-SE"/>
              </w:rPr>
              <w:t>280)</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6F318" w14:textId="01A35BD1" w:rsidR="005027AB" w:rsidRPr="004A019F" w:rsidRDefault="00264096" w:rsidP="004A019F">
            <w:pPr>
              <w:spacing w:after="0" w:line="240" w:lineRule="auto"/>
              <w:ind w:left="0" w:firstLine="0"/>
              <w:contextualSpacing/>
              <w:jc w:val="center"/>
              <w:rPr>
                <w:lang w:val="sv-SE"/>
              </w:rPr>
            </w:pPr>
            <w:r w:rsidRPr="004A019F">
              <w:rPr>
                <w:lang w:val="sv-SE"/>
              </w:rPr>
              <w:t>1</w:t>
            </w:r>
            <w:r w:rsidR="00727783" w:rsidRPr="004A019F">
              <w:rPr>
                <w:lang w:val="sv-SE"/>
              </w:rPr>
              <w:t> </w:t>
            </w:r>
            <w:r w:rsidRPr="004A019F">
              <w:rPr>
                <w:lang w:val="sv-SE"/>
              </w:rPr>
              <w:t>376</w:t>
            </w:r>
          </w:p>
          <w:p w14:paraId="4418C88B" w14:textId="005C76AF" w:rsidR="005027AB" w:rsidRPr="004A019F" w:rsidRDefault="00264096" w:rsidP="004A019F">
            <w:pPr>
              <w:spacing w:after="0" w:line="240" w:lineRule="auto"/>
              <w:ind w:left="0" w:firstLine="0"/>
              <w:contextualSpacing/>
              <w:jc w:val="center"/>
              <w:rPr>
                <w:lang w:val="sv-SE"/>
              </w:rPr>
            </w:pPr>
            <w:r w:rsidRPr="004A019F">
              <w:rPr>
                <w:lang w:val="sv-SE"/>
              </w:rPr>
              <w:t>(728</w:t>
            </w:r>
            <w:r w:rsidR="009B6E29" w:rsidRPr="004A019F">
              <w:rPr>
                <w:lang w:val="sv-SE"/>
              </w:rPr>
              <w:t xml:space="preserve"> – </w:t>
            </w:r>
            <w:r w:rsidRPr="004A019F">
              <w:rPr>
                <w:lang w:val="sv-SE"/>
              </w:rPr>
              <w:t>1</w:t>
            </w:r>
            <w:r w:rsidR="00727783" w:rsidRPr="004A019F">
              <w:rPr>
                <w:lang w:val="sv-SE"/>
              </w:rPr>
              <w:t> </w:t>
            </w:r>
            <w:r w:rsidRPr="004A019F">
              <w:rPr>
                <w:lang w:val="sv-SE"/>
              </w:rPr>
              <w:t>998)</w:t>
            </w:r>
          </w:p>
        </w:tc>
      </w:tr>
      <w:tr w:rsidR="00AD14F8" w:rsidRPr="00A74CC6" w14:paraId="2DC79937" w14:textId="77777777" w:rsidTr="004A019F">
        <w:trPr>
          <w:trHeight w:val="567"/>
        </w:trPr>
        <w:tc>
          <w:tcPr>
            <w:tcW w:w="1074" w:type="pct"/>
            <w:vMerge/>
            <w:tcBorders>
              <w:top w:val="nil"/>
              <w:left w:val="single" w:sz="4" w:space="0" w:color="000000"/>
              <w:bottom w:val="nil"/>
              <w:right w:val="single" w:sz="4" w:space="0" w:color="000000"/>
            </w:tcBorders>
            <w:shd w:val="clear" w:color="auto" w:fill="auto"/>
            <w:vAlign w:val="center"/>
          </w:tcPr>
          <w:p w14:paraId="71F08B48" w14:textId="77777777" w:rsidR="005027AB" w:rsidRPr="004A019F" w:rsidRDefault="005027AB" w:rsidP="004A019F">
            <w:pPr>
              <w:spacing w:after="0" w:line="240" w:lineRule="auto"/>
              <w:ind w:left="0" w:firstLine="0"/>
              <w:contextualSpacing/>
              <w:rPr>
                <w:lang w:val="sv-SE"/>
              </w:rPr>
            </w:pP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C3BF3" w14:textId="77777777" w:rsidR="005027AB" w:rsidRPr="004A019F" w:rsidRDefault="00264096" w:rsidP="004A019F">
            <w:pPr>
              <w:spacing w:after="0" w:line="240" w:lineRule="auto"/>
              <w:ind w:left="0" w:firstLine="0"/>
              <w:contextualSpacing/>
              <w:jc w:val="center"/>
              <w:rPr>
                <w:lang w:val="sv-SE"/>
              </w:rPr>
            </w:pPr>
            <w:r w:rsidRPr="004A019F">
              <w:rPr>
                <w:lang w:val="sv-SE"/>
              </w:rPr>
              <w:t>EBC</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34973E" w14:textId="77777777" w:rsidR="005027AB" w:rsidRPr="004A019F" w:rsidRDefault="00264096" w:rsidP="004A019F">
            <w:pPr>
              <w:spacing w:after="0" w:line="240" w:lineRule="auto"/>
              <w:ind w:left="0" w:firstLine="0"/>
              <w:contextualSpacing/>
              <w:jc w:val="center"/>
              <w:rPr>
                <w:lang w:val="sv-SE"/>
              </w:rPr>
            </w:pPr>
            <w:r w:rsidRPr="004A019F">
              <w:rPr>
                <w:lang w:val="sv-SE"/>
              </w:rPr>
              <w:t>390</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B07AF" w14:textId="77777777" w:rsidR="005027AB" w:rsidRPr="004A019F" w:rsidRDefault="00264096" w:rsidP="004A019F">
            <w:pPr>
              <w:spacing w:after="0" w:line="240" w:lineRule="auto"/>
              <w:ind w:left="0" w:firstLine="0"/>
              <w:contextualSpacing/>
              <w:jc w:val="center"/>
              <w:rPr>
                <w:lang w:val="sv-SE"/>
              </w:rPr>
            </w:pPr>
            <w:r w:rsidRPr="004A019F">
              <w:rPr>
                <w:lang w:val="sv-SE"/>
              </w:rPr>
              <w:t>30,9</w:t>
            </w:r>
          </w:p>
          <w:p w14:paraId="6C827619" w14:textId="4C65CBD6" w:rsidR="005027AB" w:rsidRPr="004A019F" w:rsidRDefault="00264096" w:rsidP="004A019F">
            <w:pPr>
              <w:spacing w:after="0" w:line="240" w:lineRule="auto"/>
              <w:ind w:left="0" w:firstLine="0"/>
              <w:contextualSpacing/>
              <w:jc w:val="center"/>
              <w:rPr>
                <w:lang w:val="sv-SE"/>
              </w:rPr>
            </w:pPr>
            <w:r w:rsidRPr="004A019F">
              <w:rPr>
                <w:lang w:val="sv-SE"/>
              </w:rPr>
              <w:t>(18,7</w:t>
            </w:r>
            <w:r w:rsidR="009B6E29" w:rsidRPr="004A019F">
              <w:rPr>
                <w:lang w:val="sv-SE"/>
              </w:rPr>
              <w:t xml:space="preserve"> – </w:t>
            </w:r>
            <w:r w:rsidRPr="004A019F">
              <w:rPr>
                <w:lang w:val="sv-SE"/>
              </w:rPr>
              <w:t>45,5)</w:t>
            </w:r>
          </w:p>
        </w:tc>
        <w:tc>
          <w:tcPr>
            <w:tcW w:w="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99FC1" w14:textId="77777777" w:rsidR="005027AB" w:rsidRPr="004A019F" w:rsidRDefault="00264096" w:rsidP="004A019F">
            <w:pPr>
              <w:spacing w:after="0" w:line="240" w:lineRule="auto"/>
              <w:ind w:left="0" w:firstLine="0"/>
              <w:contextualSpacing/>
              <w:jc w:val="center"/>
              <w:rPr>
                <w:lang w:val="sv-SE"/>
              </w:rPr>
            </w:pPr>
            <w:r w:rsidRPr="004A019F">
              <w:rPr>
                <w:lang w:val="sv-SE"/>
              </w:rPr>
              <w:t>176</w:t>
            </w:r>
          </w:p>
          <w:p w14:paraId="7A72A6EC" w14:textId="3F5B0E32" w:rsidR="005027AB" w:rsidRPr="004A019F" w:rsidRDefault="00264096" w:rsidP="004A019F">
            <w:pPr>
              <w:spacing w:after="0" w:line="240" w:lineRule="auto"/>
              <w:ind w:left="0" w:firstLine="0"/>
              <w:contextualSpacing/>
              <w:jc w:val="center"/>
              <w:rPr>
                <w:lang w:val="sv-SE"/>
              </w:rPr>
            </w:pPr>
            <w:r w:rsidRPr="004A019F">
              <w:rPr>
                <w:lang w:val="sv-SE"/>
              </w:rPr>
              <w:t>(127</w:t>
            </w:r>
            <w:r w:rsidR="009B6E29" w:rsidRPr="004A019F">
              <w:rPr>
                <w:lang w:val="sv-SE"/>
              </w:rPr>
              <w:t xml:space="preserve"> – </w:t>
            </w:r>
            <w:r w:rsidRPr="004A019F">
              <w:rPr>
                <w:lang w:val="sv-SE"/>
              </w:rPr>
              <w:t>227)</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7A9696" w14:textId="707575DD" w:rsidR="005027AB" w:rsidRPr="004A019F" w:rsidRDefault="00264096" w:rsidP="004A019F">
            <w:pPr>
              <w:spacing w:after="0" w:line="240" w:lineRule="auto"/>
              <w:ind w:left="0" w:firstLine="0"/>
              <w:contextualSpacing/>
              <w:jc w:val="center"/>
              <w:rPr>
                <w:lang w:val="sv-SE"/>
              </w:rPr>
            </w:pPr>
            <w:r w:rsidRPr="004A019F">
              <w:rPr>
                <w:lang w:val="sv-SE"/>
              </w:rPr>
              <w:t>1</w:t>
            </w:r>
            <w:r w:rsidR="00727783" w:rsidRPr="004A019F">
              <w:rPr>
                <w:lang w:val="sv-SE"/>
              </w:rPr>
              <w:t> </w:t>
            </w:r>
            <w:r w:rsidRPr="004A019F">
              <w:rPr>
                <w:lang w:val="sv-SE"/>
              </w:rPr>
              <w:t>390</w:t>
            </w:r>
          </w:p>
          <w:p w14:paraId="48EFACDE" w14:textId="58E789E4" w:rsidR="005027AB" w:rsidRPr="004A019F" w:rsidRDefault="00264096" w:rsidP="004A019F">
            <w:pPr>
              <w:spacing w:after="0" w:line="240" w:lineRule="auto"/>
              <w:ind w:left="0" w:firstLine="0"/>
              <w:contextualSpacing/>
              <w:jc w:val="center"/>
              <w:rPr>
                <w:lang w:val="sv-SE"/>
              </w:rPr>
            </w:pPr>
            <w:r w:rsidRPr="004A019F">
              <w:rPr>
                <w:lang w:val="sv-SE"/>
              </w:rPr>
              <w:t>(1</w:t>
            </w:r>
            <w:r w:rsidR="00727783" w:rsidRPr="004A019F">
              <w:rPr>
                <w:lang w:val="sv-SE"/>
              </w:rPr>
              <w:t> </w:t>
            </w:r>
            <w:r w:rsidRPr="004A019F">
              <w:rPr>
                <w:lang w:val="sv-SE"/>
              </w:rPr>
              <w:t>039</w:t>
            </w:r>
            <w:r w:rsidR="009B6E29" w:rsidRPr="004A019F">
              <w:rPr>
                <w:lang w:val="sv-SE"/>
              </w:rPr>
              <w:t xml:space="preserve"> – </w:t>
            </w:r>
            <w:r w:rsidRPr="004A019F">
              <w:rPr>
                <w:lang w:val="sv-SE"/>
              </w:rPr>
              <w:t>1</w:t>
            </w:r>
            <w:r w:rsidR="00727783" w:rsidRPr="004A019F">
              <w:rPr>
                <w:lang w:val="sv-SE"/>
              </w:rPr>
              <w:t> </w:t>
            </w:r>
            <w:r w:rsidRPr="004A019F">
              <w:rPr>
                <w:lang w:val="sv-SE"/>
              </w:rPr>
              <w:t>895)</w:t>
            </w:r>
          </w:p>
        </w:tc>
      </w:tr>
      <w:tr w:rsidR="00AD14F8" w:rsidRPr="00A74CC6" w14:paraId="15FB25BF" w14:textId="77777777" w:rsidTr="004A019F">
        <w:trPr>
          <w:trHeight w:val="567"/>
        </w:trPr>
        <w:tc>
          <w:tcPr>
            <w:tcW w:w="1074" w:type="pct"/>
            <w:vMerge/>
            <w:tcBorders>
              <w:top w:val="nil"/>
              <w:left w:val="single" w:sz="4" w:space="0" w:color="000000"/>
              <w:bottom w:val="single" w:sz="4" w:space="0" w:color="000000"/>
              <w:right w:val="single" w:sz="4" w:space="0" w:color="000000"/>
            </w:tcBorders>
            <w:shd w:val="clear" w:color="auto" w:fill="auto"/>
            <w:vAlign w:val="center"/>
          </w:tcPr>
          <w:p w14:paraId="5D4DA147" w14:textId="77777777" w:rsidR="005027AB" w:rsidRPr="004A019F" w:rsidRDefault="005027AB" w:rsidP="004A019F">
            <w:pPr>
              <w:spacing w:after="0" w:line="240" w:lineRule="auto"/>
              <w:ind w:left="0" w:firstLine="0"/>
              <w:contextualSpacing/>
              <w:rPr>
                <w:lang w:val="sv-SE"/>
              </w:rPr>
            </w:pP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119E2" w14:textId="77777777" w:rsidR="005027AB" w:rsidRPr="004A019F" w:rsidRDefault="00264096" w:rsidP="004A019F">
            <w:pPr>
              <w:spacing w:after="0" w:line="240" w:lineRule="auto"/>
              <w:ind w:left="0" w:firstLine="0"/>
              <w:contextualSpacing/>
              <w:jc w:val="center"/>
              <w:rPr>
                <w:lang w:val="sv-SE"/>
              </w:rPr>
            </w:pPr>
            <w:r w:rsidRPr="004A019F">
              <w:rPr>
                <w:lang w:val="sv-SE"/>
              </w:rPr>
              <w:t>AGC</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A9499" w14:textId="77777777" w:rsidR="005027AB" w:rsidRPr="004A019F" w:rsidRDefault="00264096" w:rsidP="004A019F">
            <w:pPr>
              <w:spacing w:after="0" w:line="240" w:lineRule="auto"/>
              <w:ind w:left="0" w:firstLine="0"/>
              <w:contextualSpacing/>
              <w:jc w:val="center"/>
              <w:rPr>
                <w:lang w:val="sv-SE"/>
              </w:rPr>
            </w:pPr>
            <w:r w:rsidRPr="004A019F">
              <w:rPr>
                <w:lang w:val="sv-SE"/>
              </w:rPr>
              <w:t>274</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36C7A" w14:textId="77777777" w:rsidR="005027AB" w:rsidRPr="004A019F" w:rsidRDefault="00264096" w:rsidP="004A019F">
            <w:pPr>
              <w:spacing w:after="0" w:line="240" w:lineRule="auto"/>
              <w:ind w:left="0" w:firstLine="0"/>
              <w:contextualSpacing/>
              <w:jc w:val="center"/>
              <w:rPr>
                <w:lang w:val="sv-SE"/>
              </w:rPr>
            </w:pPr>
            <w:r w:rsidRPr="004A019F">
              <w:rPr>
                <w:lang w:val="sv-SE"/>
              </w:rPr>
              <w:t>23,1</w:t>
            </w:r>
          </w:p>
          <w:p w14:paraId="43C55551" w14:textId="18320C6D" w:rsidR="005027AB" w:rsidRPr="004A019F" w:rsidRDefault="00264096" w:rsidP="004A019F">
            <w:pPr>
              <w:spacing w:after="0" w:line="240" w:lineRule="auto"/>
              <w:ind w:left="0" w:firstLine="0"/>
              <w:contextualSpacing/>
              <w:jc w:val="center"/>
              <w:rPr>
                <w:lang w:val="sv-SE"/>
              </w:rPr>
            </w:pPr>
            <w:r w:rsidRPr="004A019F">
              <w:rPr>
                <w:lang w:val="sv-SE"/>
              </w:rPr>
              <w:t>(6,1</w:t>
            </w:r>
            <w:r w:rsidR="009B6E29" w:rsidRPr="004A019F">
              <w:rPr>
                <w:lang w:val="sv-SE"/>
              </w:rPr>
              <w:t xml:space="preserve"> – </w:t>
            </w:r>
            <w:r w:rsidRPr="004A019F">
              <w:rPr>
                <w:lang w:val="sv-SE"/>
              </w:rPr>
              <w:t>50,3)</w:t>
            </w:r>
          </w:p>
        </w:tc>
        <w:tc>
          <w:tcPr>
            <w:tcW w:w="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6EBD5" w14:textId="77777777" w:rsidR="00F22265" w:rsidRPr="004A019F" w:rsidRDefault="00264096" w:rsidP="004A019F">
            <w:pPr>
              <w:spacing w:after="0" w:line="240" w:lineRule="auto"/>
              <w:ind w:left="0" w:firstLine="0"/>
              <w:contextualSpacing/>
              <w:jc w:val="center"/>
              <w:rPr>
                <w:lang w:val="sv-SE"/>
              </w:rPr>
            </w:pPr>
            <w:r w:rsidRPr="004A019F">
              <w:rPr>
                <w:lang w:val="sv-SE"/>
              </w:rPr>
              <w:t xml:space="preserve">132 </w:t>
            </w:r>
          </w:p>
          <w:p w14:paraId="7B71F0F7" w14:textId="77777777" w:rsidR="005027AB" w:rsidRPr="004A019F" w:rsidRDefault="00264096" w:rsidP="004A019F">
            <w:pPr>
              <w:spacing w:after="0" w:line="240" w:lineRule="auto"/>
              <w:ind w:left="0" w:firstLine="0"/>
              <w:contextualSpacing/>
              <w:jc w:val="center"/>
              <w:rPr>
                <w:lang w:val="sv-SE"/>
              </w:rPr>
            </w:pPr>
            <w:r w:rsidRPr="004A019F">
              <w:rPr>
                <w:lang w:val="sv-SE"/>
              </w:rPr>
              <w:t>(84,2 – 225)</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62279" w14:textId="7CAE60BC" w:rsidR="005027AB" w:rsidRPr="004A019F" w:rsidRDefault="00264096" w:rsidP="004A019F">
            <w:pPr>
              <w:spacing w:after="0" w:line="240" w:lineRule="auto"/>
              <w:ind w:left="0" w:firstLine="0"/>
              <w:contextualSpacing/>
              <w:jc w:val="center"/>
              <w:rPr>
                <w:lang w:val="sv-SE"/>
              </w:rPr>
            </w:pPr>
            <w:r w:rsidRPr="004A019F">
              <w:rPr>
                <w:lang w:val="sv-SE"/>
              </w:rPr>
              <w:t>1</w:t>
            </w:r>
            <w:r w:rsidR="00727783" w:rsidRPr="004A019F">
              <w:rPr>
                <w:lang w:val="sv-SE"/>
              </w:rPr>
              <w:t> </w:t>
            </w:r>
            <w:r w:rsidRPr="004A019F">
              <w:rPr>
                <w:lang w:val="sv-SE"/>
              </w:rPr>
              <w:t>109</w:t>
            </w:r>
          </w:p>
          <w:p w14:paraId="00D567C8" w14:textId="4ED096C1" w:rsidR="005027AB" w:rsidRPr="004A019F" w:rsidRDefault="00264096" w:rsidP="004A019F">
            <w:pPr>
              <w:spacing w:after="0" w:line="240" w:lineRule="auto"/>
              <w:ind w:left="0" w:firstLine="0"/>
              <w:contextualSpacing/>
              <w:jc w:val="center"/>
              <w:rPr>
                <w:lang w:val="sv-SE"/>
              </w:rPr>
            </w:pPr>
            <w:r w:rsidRPr="004A019F">
              <w:rPr>
                <w:lang w:val="sv-SE"/>
              </w:rPr>
              <w:t>(588 – 1</w:t>
            </w:r>
            <w:r w:rsidR="00727783" w:rsidRPr="004A019F">
              <w:rPr>
                <w:lang w:val="sv-SE"/>
              </w:rPr>
              <w:t> </w:t>
            </w:r>
            <w:r w:rsidRPr="004A019F">
              <w:rPr>
                <w:lang w:val="sv-SE"/>
              </w:rPr>
              <w:t>938)</w:t>
            </w:r>
          </w:p>
        </w:tc>
      </w:tr>
      <w:tr w:rsidR="00AD14F8" w:rsidRPr="00A74CC6" w14:paraId="540DCD7C" w14:textId="77777777" w:rsidTr="004A019F">
        <w:trPr>
          <w:trHeight w:val="567"/>
        </w:trPr>
        <w:tc>
          <w:tcPr>
            <w:tcW w:w="10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E3CBCE" w14:textId="293EE568" w:rsidR="005027AB" w:rsidRPr="004A019F" w:rsidRDefault="00264096" w:rsidP="004A019F">
            <w:pPr>
              <w:spacing w:after="0" w:line="240" w:lineRule="auto"/>
              <w:ind w:left="0" w:firstLine="0"/>
              <w:contextualSpacing/>
              <w:rPr>
                <w:lang w:val="sv-SE"/>
              </w:rPr>
            </w:pPr>
            <w:r w:rsidRPr="004A019F">
              <w:rPr>
                <w:lang w:val="sv-SE"/>
              </w:rPr>
              <w:t>4</w:t>
            </w:r>
            <w:r w:rsidR="00EC30F5" w:rsidRPr="004A019F">
              <w:rPr>
                <w:lang w:val="sv-SE"/>
              </w:rPr>
              <w:t> </w:t>
            </w:r>
            <w:r w:rsidRPr="004A019F">
              <w:rPr>
                <w:lang w:val="sv-SE"/>
              </w:rPr>
              <w:t>mg/kg +</w:t>
            </w:r>
            <w:r w:rsidR="000E72FC" w:rsidRPr="004A019F">
              <w:rPr>
                <w:lang w:val="sv-SE"/>
              </w:rPr>
              <w:t xml:space="preserve"> </w:t>
            </w:r>
            <w:r w:rsidRPr="004A019F">
              <w:rPr>
                <w:lang w:val="sv-SE"/>
              </w:rPr>
              <w:t>2</w:t>
            </w:r>
            <w:r w:rsidR="00EC30F5" w:rsidRPr="004A019F">
              <w:rPr>
                <w:lang w:val="sv-SE"/>
              </w:rPr>
              <w:t> </w:t>
            </w:r>
            <w:r w:rsidRPr="004A019F">
              <w:rPr>
                <w:lang w:val="sv-SE"/>
              </w:rPr>
              <w:t>mg/kg varje vecka</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0E84C0" w14:textId="77777777" w:rsidR="005027AB" w:rsidRPr="004A019F" w:rsidRDefault="00264096" w:rsidP="004A019F">
            <w:pPr>
              <w:spacing w:after="0" w:line="240" w:lineRule="auto"/>
              <w:ind w:left="0" w:firstLine="0"/>
              <w:contextualSpacing/>
              <w:jc w:val="center"/>
              <w:rPr>
                <w:lang w:val="sv-SE"/>
              </w:rPr>
            </w:pPr>
            <w:r w:rsidRPr="004A019F">
              <w:rPr>
                <w:lang w:val="sv-SE"/>
              </w:rPr>
              <w:t>MBC</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792EB" w14:textId="77777777" w:rsidR="005027AB" w:rsidRPr="004A019F" w:rsidRDefault="00264096" w:rsidP="004A019F">
            <w:pPr>
              <w:spacing w:after="0" w:line="240" w:lineRule="auto"/>
              <w:ind w:left="0" w:firstLine="0"/>
              <w:contextualSpacing/>
              <w:jc w:val="center"/>
              <w:rPr>
                <w:lang w:val="sv-SE"/>
              </w:rPr>
            </w:pPr>
            <w:r w:rsidRPr="004A019F">
              <w:rPr>
                <w:lang w:val="sv-SE"/>
              </w:rPr>
              <w:t>805</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BFAB0" w14:textId="77777777" w:rsidR="005027AB" w:rsidRPr="004A019F" w:rsidRDefault="00264096" w:rsidP="004A019F">
            <w:pPr>
              <w:spacing w:after="0" w:line="240" w:lineRule="auto"/>
              <w:ind w:left="0" w:firstLine="0"/>
              <w:contextualSpacing/>
              <w:jc w:val="center"/>
              <w:rPr>
                <w:lang w:val="sv-SE"/>
              </w:rPr>
            </w:pPr>
            <w:r w:rsidRPr="004A019F">
              <w:rPr>
                <w:lang w:val="sv-SE"/>
              </w:rPr>
              <w:t>37,4</w:t>
            </w:r>
          </w:p>
          <w:p w14:paraId="1FED306B" w14:textId="54863D8F" w:rsidR="005027AB" w:rsidRPr="004A019F" w:rsidRDefault="00264096" w:rsidP="004A019F">
            <w:pPr>
              <w:spacing w:after="0" w:line="240" w:lineRule="auto"/>
              <w:ind w:left="0" w:firstLine="0"/>
              <w:contextualSpacing/>
              <w:jc w:val="center"/>
              <w:rPr>
                <w:lang w:val="sv-SE"/>
              </w:rPr>
            </w:pPr>
            <w:r w:rsidRPr="004A019F">
              <w:rPr>
                <w:lang w:val="sv-SE"/>
              </w:rPr>
              <w:t>(8,7</w:t>
            </w:r>
            <w:r w:rsidR="009B6E29" w:rsidRPr="004A019F">
              <w:rPr>
                <w:lang w:val="sv-SE"/>
              </w:rPr>
              <w:t xml:space="preserve"> – </w:t>
            </w:r>
            <w:r w:rsidRPr="004A019F">
              <w:rPr>
                <w:lang w:val="sv-SE"/>
              </w:rPr>
              <w:t>58,9)</w:t>
            </w:r>
          </w:p>
        </w:tc>
        <w:tc>
          <w:tcPr>
            <w:tcW w:w="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743B9" w14:textId="77777777" w:rsidR="005027AB" w:rsidRPr="004A019F" w:rsidRDefault="00264096" w:rsidP="004A019F">
            <w:pPr>
              <w:spacing w:after="0" w:line="240" w:lineRule="auto"/>
              <w:ind w:left="0" w:firstLine="0"/>
              <w:contextualSpacing/>
              <w:jc w:val="center"/>
              <w:rPr>
                <w:lang w:val="sv-SE"/>
              </w:rPr>
            </w:pPr>
            <w:r w:rsidRPr="004A019F">
              <w:rPr>
                <w:lang w:val="sv-SE"/>
              </w:rPr>
              <w:t>76,5</w:t>
            </w:r>
          </w:p>
          <w:p w14:paraId="399DFBA8" w14:textId="0C189EB5" w:rsidR="005027AB" w:rsidRPr="004A019F" w:rsidRDefault="00264096" w:rsidP="004A019F">
            <w:pPr>
              <w:spacing w:after="0" w:line="240" w:lineRule="auto"/>
              <w:ind w:left="0" w:firstLine="0"/>
              <w:contextualSpacing/>
              <w:jc w:val="center"/>
              <w:rPr>
                <w:lang w:val="sv-SE"/>
              </w:rPr>
            </w:pPr>
            <w:r w:rsidRPr="004A019F">
              <w:rPr>
                <w:lang w:val="sv-SE"/>
              </w:rPr>
              <w:t>(49,4</w:t>
            </w:r>
            <w:r w:rsidR="009B6E29" w:rsidRPr="004A019F">
              <w:rPr>
                <w:lang w:val="sv-SE"/>
              </w:rPr>
              <w:t xml:space="preserve"> – </w:t>
            </w:r>
            <w:r w:rsidRPr="004A019F">
              <w:rPr>
                <w:lang w:val="sv-SE"/>
              </w:rPr>
              <w:t>114)</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C21A3" w14:textId="107C2217" w:rsidR="005027AB" w:rsidRPr="004A019F" w:rsidRDefault="00264096" w:rsidP="004A019F">
            <w:pPr>
              <w:spacing w:after="0" w:line="240" w:lineRule="auto"/>
              <w:ind w:left="0" w:firstLine="0"/>
              <w:contextualSpacing/>
              <w:jc w:val="center"/>
              <w:rPr>
                <w:lang w:val="sv-SE"/>
              </w:rPr>
            </w:pPr>
            <w:r w:rsidRPr="004A019F">
              <w:rPr>
                <w:lang w:val="sv-SE"/>
              </w:rPr>
              <w:t>1</w:t>
            </w:r>
            <w:r w:rsidR="00727783" w:rsidRPr="004A019F">
              <w:rPr>
                <w:lang w:val="sv-SE"/>
              </w:rPr>
              <w:t> </w:t>
            </w:r>
            <w:r w:rsidRPr="004A019F">
              <w:rPr>
                <w:lang w:val="sv-SE"/>
              </w:rPr>
              <w:t>073</w:t>
            </w:r>
          </w:p>
          <w:p w14:paraId="3E33609A" w14:textId="1739DD12" w:rsidR="005027AB" w:rsidRPr="004A019F" w:rsidRDefault="00264096" w:rsidP="004A019F">
            <w:pPr>
              <w:spacing w:after="0" w:line="240" w:lineRule="auto"/>
              <w:ind w:left="0" w:firstLine="0"/>
              <w:contextualSpacing/>
              <w:jc w:val="center"/>
              <w:rPr>
                <w:lang w:val="sv-SE"/>
              </w:rPr>
            </w:pPr>
            <w:r w:rsidRPr="004A019F">
              <w:rPr>
                <w:lang w:val="sv-SE"/>
              </w:rPr>
              <w:t>(597 – 1</w:t>
            </w:r>
            <w:r w:rsidR="00727783" w:rsidRPr="004A019F">
              <w:rPr>
                <w:lang w:val="sv-SE"/>
              </w:rPr>
              <w:t> </w:t>
            </w:r>
            <w:r w:rsidRPr="004A019F">
              <w:rPr>
                <w:lang w:val="sv-SE"/>
              </w:rPr>
              <w:t>584)</w:t>
            </w:r>
          </w:p>
        </w:tc>
      </w:tr>
      <w:tr w:rsidR="00AD14F8" w:rsidRPr="00A74CC6" w14:paraId="322FF933" w14:textId="77777777" w:rsidTr="004A019F">
        <w:trPr>
          <w:trHeight w:val="567"/>
        </w:trPr>
        <w:tc>
          <w:tcPr>
            <w:tcW w:w="1074" w:type="pct"/>
            <w:vMerge/>
            <w:tcBorders>
              <w:top w:val="nil"/>
              <w:left w:val="single" w:sz="4" w:space="0" w:color="000000"/>
              <w:bottom w:val="single" w:sz="4" w:space="0" w:color="000000"/>
              <w:right w:val="single" w:sz="4" w:space="0" w:color="000000"/>
            </w:tcBorders>
            <w:shd w:val="clear" w:color="auto" w:fill="auto"/>
          </w:tcPr>
          <w:p w14:paraId="3090EA36" w14:textId="77777777" w:rsidR="005027AB" w:rsidRPr="004A019F" w:rsidRDefault="005027AB" w:rsidP="004A019F">
            <w:pPr>
              <w:spacing w:after="0" w:line="240" w:lineRule="auto"/>
              <w:ind w:left="0" w:firstLine="0"/>
              <w:contextualSpacing/>
              <w:rPr>
                <w:lang w:val="sv-SE"/>
              </w:rPr>
            </w:pP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5DD21" w14:textId="77777777" w:rsidR="005027AB" w:rsidRPr="004A019F" w:rsidRDefault="00264096" w:rsidP="004A019F">
            <w:pPr>
              <w:spacing w:after="0" w:line="240" w:lineRule="auto"/>
              <w:ind w:left="0" w:firstLine="0"/>
              <w:contextualSpacing/>
              <w:jc w:val="center"/>
              <w:rPr>
                <w:lang w:val="sv-SE"/>
              </w:rPr>
            </w:pPr>
            <w:r w:rsidRPr="004A019F">
              <w:rPr>
                <w:lang w:val="sv-SE"/>
              </w:rPr>
              <w:t>EBC</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107B7" w14:textId="77777777" w:rsidR="005027AB" w:rsidRPr="004A019F" w:rsidRDefault="00264096" w:rsidP="004A019F">
            <w:pPr>
              <w:spacing w:after="0" w:line="240" w:lineRule="auto"/>
              <w:ind w:left="0" w:firstLine="0"/>
              <w:contextualSpacing/>
              <w:jc w:val="center"/>
              <w:rPr>
                <w:lang w:val="sv-SE"/>
              </w:rPr>
            </w:pPr>
            <w:r w:rsidRPr="004A019F">
              <w:rPr>
                <w:lang w:val="sv-SE"/>
              </w:rPr>
              <w:t>390</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81D152" w14:textId="77777777" w:rsidR="005027AB" w:rsidRPr="004A019F" w:rsidRDefault="00264096" w:rsidP="004A019F">
            <w:pPr>
              <w:spacing w:after="0" w:line="240" w:lineRule="auto"/>
              <w:ind w:left="0" w:firstLine="0"/>
              <w:contextualSpacing/>
              <w:jc w:val="center"/>
              <w:rPr>
                <w:lang w:val="sv-SE"/>
              </w:rPr>
            </w:pPr>
            <w:r w:rsidRPr="004A019F">
              <w:rPr>
                <w:lang w:val="sv-SE"/>
              </w:rPr>
              <w:t>38,9</w:t>
            </w:r>
          </w:p>
          <w:p w14:paraId="17480877" w14:textId="7290FECE" w:rsidR="005027AB" w:rsidRPr="004A019F" w:rsidRDefault="00264096" w:rsidP="004A019F">
            <w:pPr>
              <w:spacing w:after="0" w:line="240" w:lineRule="auto"/>
              <w:ind w:left="0" w:firstLine="0"/>
              <w:contextualSpacing/>
              <w:jc w:val="center"/>
              <w:rPr>
                <w:lang w:val="sv-SE"/>
              </w:rPr>
            </w:pPr>
            <w:r w:rsidRPr="004A019F">
              <w:rPr>
                <w:lang w:val="sv-SE"/>
              </w:rPr>
              <w:t>(25,3</w:t>
            </w:r>
            <w:r w:rsidR="009B6E29" w:rsidRPr="004A019F">
              <w:rPr>
                <w:lang w:val="sv-SE"/>
              </w:rPr>
              <w:t xml:space="preserve"> – </w:t>
            </w:r>
            <w:r w:rsidRPr="004A019F">
              <w:rPr>
                <w:lang w:val="sv-SE"/>
              </w:rPr>
              <w:t>58,8)</w:t>
            </w:r>
          </w:p>
        </w:tc>
        <w:tc>
          <w:tcPr>
            <w:tcW w:w="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97042" w14:textId="77777777" w:rsidR="005027AB" w:rsidRPr="004A019F" w:rsidRDefault="00264096" w:rsidP="004A019F">
            <w:pPr>
              <w:spacing w:after="0" w:line="240" w:lineRule="auto"/>
              <w:ind w:left="0" w:firstLine="0"/>
              <w:contextualSpacing/>
              <w:jc w:val="center"/>
              <w:rPr>
                <w:lang w:val="sv-SE"/>
              </w:rPr>
            </w:pPr>
            <w:r w:rsidRPr="004A019F">
              <w:rPr>
                <w:lang w:val="sv-SE"/>
              </w:rPr>
              <w:t>76,0</w:t>
            </w:r>
          </w:p>
          <w:p w14:paraId="6AD46233" w14:textId="7E6A42E5" w:rsidR="005027AB" w:rsidRPr="004A019F" w:rsidRDefault="00264096" w:rsidP="004A019F">
            <w:pPr>
              <w:spacing w:after="0" w:line="240" w:lineRule="auto"/>
              <w:ind w:left="0" w:firstLine="0"/>
              <w:contextualSpacing/>
              <w:jc w:val="center"/>
              <w:rPr>
                <w:lang w:val="sv-SE"/>
              </w:rPr>
            </w:pPr>
            <w:r w:rsidRPr="004A019F">
              <w:rPr>
                <w:lang w:val="sv-SE"/>
              </w:rPr>
              <w:t>(54,7</w:t>
            </w:r>
            <w:r w:rsidR="009B6E29" w:rsidRPr="004A019F">
              <w:rPr>
                <w:lang w:val="sv-SE"/>
              </w:rPr>
              <w:t xml:space="preserve"> – </w:t>
            </w:r>
            <w:r w:rsidRPr="004A019F">
              <w:rPr>
                <w:lang w:val="sv-SE"/>
              </w:rPr>
              <w:t>104)</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830A4" w14:textId="5D721A0A" w:rsidR="005027AB" w:rsidRPr="004A019F" w:rsidRDefault="00264096" w:rsidP="004A019F">
            <w:pPr>
              <w:spacing w:after="0" w:line="240" w:lineRule="auto"/>
              <w:ind w:left="0" w:firstLine="0"/>
              <w:contextualSpacing/>
              <w:jc w:val="center"/>
              <w:rPr>
                <w:lang w:val="sv-SE"/>
              </w:rPr>
            </w:pPr>
            <w:r w:rsidRPr="004A019F">
              <w:rPr>
                <w:lang w:val="sv-SE"/>
              </w:rPr>
              <w:t>1</w:t>
            </w:r>
            <w:r w:rsidR="009D6023" w:rsidRPr="004A019F">
              <w:rPr>
                <w:lang w:val="sv-SE"/>
              </w:rPr>
              <w:t> </w:t>
            </w:r>
            <w:r w:rsidRPr="004A019F">
              <w:rPr>
                <w:lang w:val="sv-SE"/>
              </w:rPr>
              <w:t>074</w:t>
            </w:r>
          </w:p>
          <w:p w14:paraId="4AFEF5FE" w14:textId="426BBAD9" w:rsidR="005027AB" w:rsidRPr="004A019F" w:rsidRDefault="00264096" w:rsidP="004A019F">
            <w:pPr>
              <w:spacing w:after="0" w:line="240" w:lineRule="auto"/>
              <w:ind w:left="0" w:firstLine="0"/>
              <w:contextualSpacing/>
              <w:jc w:val="center"/>
              <w:rPr>
                <w:lang w:val="sv-SE"/>
              </w:rPr>
            </w:pPr>
            <w:r w:rsidRPr="004A019F">
              <w:rPr>
                <w:lang w:val="sv-SE"/>
              </w:rPr>
              <w:t>(783</w:t>
            </w:r>
            <w:r w:rsidR="009B6E29" w:rsidRPr="004A019F">
              <w:rPr>
                <w:lang w:val="sv-SE"/>
              </w:rPr>
              <w:t xml:space="preserve"> – </w:t>
            </w:r>
            <w:r w:rsidRPr="004A019F">
              <w:rPr>
                <w:lang w:val="sv-SE"/>
              </w:rPr>
              <w:t>1</w:t>
            </w:r>
            <w:r w:rsidR="009D6023" w:rsidRPr="004A019F">
              <w:rPr>
                <w:lang w:val="sv-SE"/>
              </w:rPr>
              <w:t> </w:t>
            </w:r>
            <w:r w:rsidRPr="004A019F">
              <w:rPr>
                <w:lang w:val="sv-SE"/>
              </w:rPr>
              <w:t>502)</w:t>
            </w:r>
          </w:p>
        </w:tc>
      </w:tr>
    </w:tbl>
    <w:p w14:paraId="7577F0E4" w14:textId="77777777" w:rsidR="008B2F4C" w:rsidRPr="00A74CC6" w:rsidRDefault="008B2F4C" w:rsidP="000347F9">
      <w:pPr>
        <w:spacing w:after="0" w:line="240" w:lineRule="auto"/>
        <w:ind w:left="0" w:firstLine="0"/>
        <w:contextualSpacing/>
        <w:rPr>
          <w:lang w:val="sv-SE"/>
        </w:rPr>
      </w:pPr>
    </w:p>
    <w:p w14:paraId="15615317" w14:textId="63B44454" w:rsidR="005027AB" w:rsidRPr="00A74CC6" w:rsidRDefault="00264096" w:rsidP="00511081">
      <w:pPr>
        <w:keepNext/>
        <w:keepLines/>
        <w:spacing w:after="0" w:line="240" w:lineRule="auto"/>
        <w:ind w:left="0" w:firstLine="0"/>
        <w:contextualSpacing/>
        <w:rPr>
          <w:b/>
          <w:lang w:val="sv-SE"/>
        </w:rPr>
      </w:pPr>
      <w:r w:rsidRPr="00A74CC6">
        <w:rPr>
          <w:b/>
          <w:lang w:val="sv-SE"/>
        </w:rPr>
        <w:lastRenderedPageBreak/>
        <w:t>Tabell 15</w:t>
      </w:r>
      <w:r w:rsidR="00E1391C" w:rsidRPr="00A74CC6">
        <w:rPr>
          <w:b/>
          <w:lang w:val="sv-SE"/>
        </w:rPr>
        <w:t>.</w:t>
      </w:r>
      <w:r w:rsidRPr="00A74CC6">
        <w:rPr>
          <w:b/>
          <w:lang w:val="sv-SE"/>
        </w:rPr>
        <w:t xml:space="preserve"> Populationspredikterade farmakokinetiska exponeringsvärden </w:t>
      </w:r>
      <w:r w:rsidR="0024202B" w:rsidRPr="00A74CC6">
        <w:rPr>
          <w:b/>
          <w:lang w:val="sv-SE"/>
        </w:rPr>
        <w:t>vid steady state (median med 5</w:t>
      </w:r>
      <w:r w:rsidR="00EC30F5" w:rsidRPr="00A74CC6">
        <w:rPr>
          <w:b/>
          <w:lang w:val="sv-SE"/>
        </w:rPr>
        <w:t>:</w:t>
      </w:r>
      <w:r w:rsidR="0024202B" w:rsidRPr="00A74CC6">
        <w:rPr>
          <w:b/>
          <w:lang w:val="sv-SE"/>
        </w:rPr>
        <w:t>e </w:t>
      </w:r>
      <w:r w:rsidRPr="00A74CC6">
        <w:rPr>
          <w:b/>
          <w:lang w:val="sv-SE"/>
        </w:rPr>
        <w:t>–</w:t>
      </w:r>
      <w:r w:rsidR="0024202B" w:rsidRPr="00A74CC6">
        <w:rPr>
          <w:b/>
          <w:lang w:val="sv-SE"/>
        </w:rPr>
        <w:t> </w:t>
      </w:r>
      <w:r w:rsidR="007D3C64" w:rsidRPr="00A74CC6">
        <w:rPr>
          <w:b/>
          <w:lang w:val="sv-SE"/>
        </w:rPr>
        <w:t>95</w:t>
      </w:r>
      <w:r w:rsidR="00EC30F5" w:rsidRPr="00A74CC6">
        <w:rPr>
          <w:b/>
          <w:lang w:val="sv-SE"/>
        </w:rPr>
        <w:t>:</w:t>
      </w:r>
      <w:r w:rsidR="007D3C64" w:rsidRPr="00A74CC6">
        <w:rPr>
          <w:b/>
          <w:lang w:val="sv-SE"/>
        </w:rPr>
        <w:t>e</w:t>
      </w:r>
      <w:r w:rsidRPr="00A74CC6">
        <w:rPr>
          <w:b/>
          <w:lang w:val="sv-SE"/>
        </w:rPr>
        <w:t xml:space="preserve"> percentiler) för </w:t>
      </w:r>
      <w:r w:rsidR="00342D88" w:rsidRPr="008763E6">
        <w:rPr>
          <w:b/>
          <w:lang w:val="sv-SE"/>
        </w:rPr>
        <w:t>trastuzumab</w:t>
      </w:r>
      <w:r w:rsidR="00EC30F5" w:rsidRPr="00A74CC6">
        <w:rPr>
          <w:b/>
          <w:lang w:val="sv-SE"/>
        </w:rPr>
        <w:t xml:space="preserve"> givet</w:t>
      </w:r>
      <w:r w:rsidR="00342D88" w:rsidRPr="00A74CC6">
        <w:rPr>
          <w:lang w:val="sv-SE"/>
        </w:rPr>
        <w:t xml:space="preserve"> </w:t>
      </w:r>
      <w:r w:rsidRPr="00A74CC6">
        <w:rPr>
          <w:b/>
          <w:lang w:val="sv-SE"/>
        </w:rPr>
        <w:t xml:space="preserve">intravenöst </w:t>
      </w:r>
      <w:r w:rsidR="00EC30F5" w:rsidRPr="00A74CC6">
        <w:rPr>
          <w:b/>
          <w:lang w:val="sv-SE"/>
        </w:rPr>
        <w:t xml:space="preserve">enligt </w:t>
      </w:r>
      <w:r w:rsidRPr="00A74CC6">
        <w:rPr>
          <w:b/>
          <w:lang w:val="sv-SE"/>
        </w:rPr>
        <w:t>doseringsschema för patienter med metastaserad bröstcancer (MBC), tidig bröstcancer (EBC) och avancerad ventrikelcancer (AGC)</w:t>
      </w:r>
    </w:p>
    <w:p w14:paraId="51BD615C" w14:textId="77777777" w:rsidR="001345BE" w:rsidRPr="00A74CC6" w:rsidRDefault="001345BE" w:rsidP="00511081">
      <w:pPr>
        <w:keepNext/>
        <w:keepLines/>
        <w:spacing w:after="0" w:line="240" w:lineRule="auto"/>
        <w:ind w:left="0" w:firstLine="0"/>
        <w:contextualSpacing/>
        <w:rPr>
          <w:b/>
          <w:lang w:val="sv-SE"/>
        </w:rPr>
      </w:pPr>
    </w:p>
    <w:tbl>
      <w:tblPr>
        <w:tblW w:w="49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1" w:type="dxa"/>
          <w:bottom w:w="70" w:type="dxa"/>
          <w:right w:w="77" w:type="dxa"/>
        </w:tblCellMar>
        <w:tblLook w:val="04A0" w:firstRow="1" w:lastRow="0" w:firstColumn="1" w:lastColumn="0" w:noHBand="0" w:noVBand="1"/>
      </w:tblPr>
      <w:tblGrid>
        <w:gridCol w:w="1984"/>
        <w:gridCol w:w="1205"/>
        <w:gridCol w:w="741"/>
        <w:gridCol w:w="1437"/>
        <w:gridCol w:w="1333"/>
        <w:gridCol w:w="1557"/>
        <w:gridCol w:w="977"/>
      </w:tblGrid>
      <w:tr w:rsidR="00AD14F8" w:rsidRPr="0073702F" w14:paraId="326ECED5" w14:textId="77777777" w:rsidTr="004A019F">
        <w:trPr>
          <w:trHeight w:val="964"/>
          <w:tblHeader/>
        </w:trPr>
        <w:tc>
          <w:tcPr>
            <w:tcW w:w="1074" w:type="pct"/>
            <w:shd w:val="clear" w:color="auto" w:fill="auto"/>
          </w:tcPr>
          <w:p w14:paraId="694CF59D"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Behandlingsregim</w:t>
            </w:r>
          </w:p>
        </w:tc>
        <w:tc>
          <w:tcPr>
            <w:tcW w:w="652" w:type="pct"/>
            <w:shd w:val="clear" w:color="auto" w:fill="auto"/>
          </w:tcPr>
          <w:p w14:paraId="48777727"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Primär tumörtyp</w:t>
            </w:r>
          </w:p>
        </w:tc>
        <w:tc>
          <w:tcPr>
            <w:tcW w:w="401" w:type="pct"/>
            <w:shd w:val="clear" w:color="auto" w:fill="auto"/>
          </w:tcPr>
          <w:p w14:paraId="2A22FB52"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Antal (n)</w:t>
            </w:r>
          </w:p>
        </w:tc>
        <w:tc>
          <w:tcPr>
            <w:tcW w:w="778" w:type="pct"/>
            <w:shd w:val="clear" w:color="auto" w:fill="auto"/>
          </w:tcPr>
          <w:p w14:paraId="1B103EB3"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C</w:t>
            </w:r>
            <w:r w:rsidRPr="004A019F">
              <w:rPr>
                <w:b/>
                <w:vertAlign w:val="subscript"/>
                <w:lang w:val="sv-SE"/>
              </w:rPr>
              <w:t>min,ss*</w:t>
            </w:r>
          </w:p>
          <w:p w14:paraId="59421E8F"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(µg/ml)</w:t>
            </w:r>
          </w:p>
        </w:tc>
        <w:tc>
          <w:tcPr>
            <w:tcW w:w="722" w:type="pct"/>
            <w:shd w:val="clear" w:color="auto" w:fill="auto"/>
          </w:tcPr>
          <w:p w14:paraId="589B435E"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C</w:t>
            </w:r>
            <w:r w:rsidRPr="004A019F">
              <w:rPr>
                <w:b/>
                <w:vertAlign w:val="subscript"/>
                <w:lang w:val="sv-SE"/>
              </w:rPr>
              <w:t>max,ss**</w:t>
            </w:r>
            <w:r w:rsidRPr="004A019F">
              <w:rPr>
                <w:b/>
                <w:lang w:val="sv-SE"/>
              </w:rPr>
              <w:t xml:space="preserve"> (µg/ml)</w:t>
            </w:r>
          </w:p>
        </w:tc>
        <w:tc>
          <w:tcPr>
            <w:tcW w:w="843" w:type="pct"/>
            <w:shd w:val="clear" w:color="auto" w:fill="auto"/>
          </w:tcPr>
          <w:p w14:paraId="57744ACF" w14:textId="77777777" w:rsidR="005027AB" w:rsidRPr="004A019F" w:rsidRDefault="00264096" w:rsidP="004A019F">
            <w:pPr>
              <w:keepNext/>
              <w:keepLines/>
              <w:spacing w:after="0" w:line="240" w:lineRule="auto"/>
              <w:ind w:left="0" w:firstLine="0"/>
              <w:contextualSpacing/>
              <w:jc w:val="center"/>
              <w:rPr>
                <w:b/>
                <w:vertAlign w:val="subscript"/>
                <w:lang w:val="sv-SE"/>
              </w:rPr>
            </w:pPr>
            <w:r w:rsidRPr="004A019F">
              <w:rPr>
                <w:b/>
                <w:lang w:val="sv-SE"/>
              </w:rPr>
              <w:t>AUC</w:t>
            </w:r>
            <w:r w:rsidRPr="004A019F">
              <w:rPr>
                <w:b/>
                <w:vertAlign w:val="subscript"/>
                <w:lang w:val="sv-SE"/>
              </w:rPr>
              <w:t>ss, 0-21</w:t>
            </w:r>
          </w:p>
          <w:p w14:paraId="2366C2FD" w14:textId="77777777" w:rsidR="005027AB" w:rsidRPr="004A019F" w:rsidRDefault="00264096" w:rsidP="004A019F">
            <w:pPr>
              <w:keepNext/>
              <w:keepLines/>
              <w:spacing w:after="0" w:line="240" w:lineRule="auto"/>
              <w:ind w:left="0" w:firstLine="0"/>
              <w:contextualSpacing/>
              <w:jc w:val="center"/>
              <w:rPr>
                <w:b/>
                <w:vertAlign w:val="subscript"/>
                <w:lang w:val="sv-SE"/>
              </w:rPr>
            </w:pPr>
            <w:r w:rsidRPr="004A019F">
              <w:rPr>
                <w:b/>
                <w:vertAlign w:val="subscript"/>
                <w:lang w:val="sv-SE"/>
              </w:rPr>
              <w:t>dagar</w:t>
            </w:r>
          </w:p>
          <w:p w14:paraId="38532AF1"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(µg.dag/ml)</w:t>
            </w:r>
          </w:p>
        </w:tc>
        <w:tc>
          <w:tcPr>
            <w:tcW w:w="529" w:type="pct"/>
            <w:shd w:val="clear" w:color="auto" w:fill="auto"/>
          </w:tcPr>
          <w:p w14:paraId="69A340E1"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Tid till steady-</w:t>
            </w:r>
          </w:p>
          <w:p w14:paraId="36FCF611"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state***</w:t>
            </w:r>
          </w:p>
          <w:p w14:paraId="2178CD75"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(veckor)</w:t>
            </w:r>
          </w:p>
        </w:tc>
      </w:tr>
      <w:tr w:rsidR="00AD14F8" w:rsidRPr="00A74CC6" w14:paraId="51FE104A" w14:textId="77777777" w:rsidTr="004A019F">
        <w:trPr>
          <w:trHeight w:val="510"/>
        </w:trPr>
        <w:tc>
          <w:tcPr>
            <w:tcW w:w="1074" w:type="pct"/>
            <w:vMerge w:val="restart"/>
            <w:shd w:val="clear" w:color="auto" w:fill="auto"/>
            <w:vAlign w:val="center"/>
          </w:tcPr>
          <w:p w14:paraId="6001863D" w14:textId="577E68A8" w:rsidR="005027AB" w:rsidRPr="004A019F" w:rsidRDefault="00264096" w:rsidP="004A019F">
            <w:pPr>
              <w:keepNext/>
              <w:spacing w:after="0" w:line="240" w:lineRule="auto"/>
              <w:ind w:left="0" w:firstLine="0"/>
              <w:contextualSpacing/>
              <w:rPr>
                <w:lang w:val="sv-SE"/>
              </w:rPr>
            </w:pPr>
            <w:r w:rsidRPr="004A019F">
              <w:rPr>
                <w:lang w:val="sv-SE"/>
              </w:rPr>
              <w:t>8</w:t>
            </w:r>
            <w:r w:rsidR="00EC30F5" w:rsidRPr="004A019F">
              <w:rPr>
                <w:lang w:val="sv-SE"/>
              </w:rPr>
              <w:t> </w:t>
            </w:r>
            <w:r w:rsidRPr="004A019F">
              <w:rPr>
                <w:lang w:val="sv-SE"/>
              </w:rPr>
              <w:t>mg/kg +</w:t>
            </w:r>
            <w:r w:rsidR="000347F9" w:rsidRPr="004A019F">
              <w:rPr>
                <w:lang w:val="sv-SE"/>
              </w:rPr>
              <w:t xml:space="preserve"> </w:t>
            </w:r>
            <w:r w:rsidRPr="004A019F">
              <w:rPr>
                <w:lang w:val="sv-SE"/>
              </w:rPr>
              <w:t>6</w:t>
            </w:r>
            <w:r w:rsidR="00EC30F5" w:rsidRPr="004A019F">
              <w:rPr>
                <w:lang w:val="sv-SE"/>
              </w:rPr>
              <w:t> </w:t>
            </w:r>
            <w:r w:rsidRPr="004A019F">
              <w:rPr>
                <w:lang w:val="sv-SE"/>
              </w:rPr>
              <w:t>mg/kg var tredje vecka</w:t>
            </w:r>
          </w:p>
        </w:tc>
        <w:tc>
          <w:tcPr>
            <w:tcW w:w="652" w:type="pct"/>
            <w:shd w:val="clear" w:color="auto" w:fill="auto"/>
            <w:vAlign w:val="center"/>
          </w:tcPr>
          <w:p w14:paraId="3587A93A" w14:textId="77777777" w:rsidR="005027AB" w:rsidRPr="004A019F" w:rsidRDefault="00264096" w:rsidP="004A019F">
            <w:pPr>
              <w:keepNext/>
              <w:spacing w:after="0" w:line="240" w:lineRule="auto"/>
              <w:ind w:left="0" w:firstLine="0"/>
              <w:contextualSpacing/>
              <w:jc w:val="center"/>
              <w:rPr>
                <w:lang w:val="sv-SE"/>
              </w:rPr>
            </w:pPr>
            <w:r w:rsidRPr="004A019F">
              <w:rPr>
                <w:lang w:val="sv-SE"/>
              </w:rPr>
              <w:t>MBC</w:t>
            </w:r>
          </w:p>
        </w:tc>
        <w:tc>
          <w:tcPr>
            <w:tcW w:w="401" w:type="pct"/>
            <w:shd w:val="clear" w:color="auto" w:fill="auto"/>
            <w:vAlign w:val="center"/>
          </w:tcPr>
          <w:p w14:paraId="3073F275" w14:textId="77777777" w:rsidR="005027AB" w:rsidRPr="004A019F" w:rsidRDefault="00264096" w:rsidP="004A019F">
            <w:pPr>
              <w:keepNext/>
              <w:spacing w:after="0" w:line="240" w:lineRule="auto"/>
              <w:ind w:left="0" w:firstLine="0"/>
              <w:contextualSpacing/>
              <w:jc w:val="center"/>
              <w:rPr>
                <w:lang w:val="sv-SE"/>
              </w:rPr>
            </w:pPr>
            <w:r w:rsidRPr="004A019F">
              <w:rPr>
                <w:lang w:val="sv-SE"/>
              </w:rPr>
              <w:t>805</w:t>
            </w:r>
          </w:p>
        </w:tc>
        <w:tc>
          <w:tcPr>
            <w:tcW w:w="778" w:type="pct"/>
            <w:shd w:val="clear" w:color="auto" w:fill="auto"/>
            <w:vAlign w:val="center"/>
          </w:tcPr>
          <w:p w14:paraId="6B294AEB" w14:textId="77777777" w:rsidR="005027AB" w:rsidRPr="004A019F" w:rsidRDefault="00264096" w:rsidP="004A019F">
            <w:pPr>
              <w:keepNext/>
              <w:spacing w:after="0" w:line="240" w:lineRule="auto"/>
              <w:ind w:left="0" w:firstLine="0"/>
              <w:contextualSpacing/>
              <w:jc w:val="center"/>
              <w:rPr>
                <w:lang w:val="sv-SE"/>
              </w:rPr>
            </w:pPr>
            <w:r w:rsidRPr="004A019F">
              <w:rPr>
                <w:lang w:val="sv-SE"/>
              </w:rPr>
              <w:t>44,2</w:t>
            </w:r>
          </w:p>
          <w:p w14:paraId="2A2C0019" w14:textId="3BE9BBAA" w:rsidR="005027AB" w:rsidRPr="004A019F" w:rsidRDefault="00264096" w:rsidP="004A019F">
            <w:pPr>
              <w:keepNext/>
              <w:spacing w:after="0" w:line="240" w:lineRule="auto"/>
              <w:ind w:left="0" w:firstLine="0"/>
              <w:contextualSpacing/>
              <w:jc w:val="center"/>
              <w:rPr>
                <w:lang w:val="sv-SE"/>
              </w:rPr>
            </w:pPr>
            <w:r w:rsidRPr="004A019F">
              <w:rPr>
                <w:lang w:val="sv-SE"/>
              </w:rPr>
              <w:t>(1,8</w:t>
            </w:r>
            <w:r w:rsidR="009B6E29" w:rsidRPr="004A019F">
              <w:rPr>
                <w:lang w:val="sv-SE"/>
              </w:rPr>
              <w:t xml:space="preserve"> – </w:t>
            </w:r>
            <w:r w:rsidRPr="004A019F">
              <w:rPr>
                <w:lang w:val="sv-SE"/>
              </w:rPr>
              <w:t>85,4)</w:t>
            </w:r>
          </w:p>
        </w:tc>
        <w:tc>
          <w:tcPr>
            <w:tcW w:w="722" w:type="pct"/>
            <w:shd w:val="clear" w:color="auto" w:fill="auto"/>
            <w:vAlign w:val="center"/>
          </w:tcPr>
          <w:p w14:paraId="750C9A1E" w14:textId="77777777" w:rsidR="005027AB" w:rsidRPr="004A019F" w:rsidRDefault="00264096" w:rsidP="004A019F">
            <w:pPr>
              <w:keepNext/>
              <w:spacing w:after="0" w:line="240" w:lineRule="auto"/>
              <w:ind w:left="0" w:firstLine="0"/>
              <w:contextualSpacing/>
              <w:jc w:val="center"/>
              <w:rPr>
                <w:lang w:val="sv-SE"/>
              </w:rPr>
            </w:pPr>
            <w:r w:rsidRPr="004A019F">
              <w:rPr>
                <w:lang w:val="sv-SE"/>
              </w:rPr>
              <w:t>179</w:t>
            </w:r>
          </w:p>
          <w:p w14:paraId="7F816555" w14:textId="4631420C" w:rsidR="005027AB" w:rsidRPr="004A019F" w:rsidRDefault="00264096" w:rsidP="004A019F">
            <w:pPr>
              <w:keepNext/>
              <w:spacing w:after="0" w:line="240" w:lineRule="auto"/>
              <w:ind w:left="0" w:firstLine="0"/>
              <w:contextualSpacing/>
              <w:jc w:val="center"/>
              <w:rPr>
                <w:lang w:val="sv-SE"/>
              </w:rPr>
            </w:pPr>
            <w:r w:rsidRPr="004A019F">
              <w:rPr>
                <w:lang w:val="sv-SE"/>
              </w:rPr>
              <w:t>(123</w:t>
            </w:r>
            <w:r w:rsidR="009B6E29" w:rsidRPr="004A019F">
              <w:rPr>
                <w:lang w:val="sv-SE"/>
              </w:rPr>
              <w:t xml:space="preserve"> – </w:t>
            </w:r>
            <w:r w:rsidRPr="004A019F">
              <w:rPr>
                <w:lang w:val="sv-SE"/>
              </w:rPr>
              <w:t>266)</w:t>
            </w:r>
          </w:p>
        </w:tc>
        <w:tc>
          <w:tcPr>
            <w:tcW w:w="843" w:type="pct"/>
            <w:shd w:val="clear" w:color="auto" w:fill="auto"/>
            <w:vAlign w:val="center"/>
          </w:tcPr>
          <w:p w14:paraId="22197893" w14:textId="6C64815E" w:rsidR="005027AB" w:rsidRPr="004A019F" w:rsidRDefault="00264096" w:rsidP="004A019F">
            <w:pPr>
              <w:keepNext/>
              <w:spacing w:after="0" w:line="240" w:lineRule="auto"/>
              <w:ind w:left="0" w:firstLine="0"/>
              <w:contextualSpacing/>
              <w:jc w:val="center"/>
              <w:rPr>
                <w:lang w:val="sv-SE"/>
              </w:rPr>
            </w:pPr>
            <w:r w:rsidRPr="004A019F">
              <w:rPr>
                <w:lang w:val="sv-SE"/>
              </w:rPr>
              <w:t>1</w:t>
            </w:r>
            <w:r w:rsidR="009D6023" w:rsidRPr="004A019F">
              <w:rPr>
                <w:lang w:val="sv-SE"/>
              </w:rPr>
              <w:t> </w:t>
            </w:r>
            <w:r w:rsidRPr="004A019F">
              <w:rPr>
                <w:lang w:val="sv-SE"/>
              </w:rPr>
              <w:t>736</w:t>
            </w:r>
          </w:p>
          <w:p w14:paraId="46335B45" w14:textId="740AD4CB" w:rsidR="005027AB" w:rsidRPr="004A019F" w:rsidRDefault="00264096" w:rsidP="004A019F">
            <w:pPr>
              <w:keepNext/>
              <w:spacing w:after="0" w:line="240" w:lineRule="auto"/>
              <w:ind w:left="0" w:firstLine="0"/>
              <w:contextualSpacing/>
              <w:jc w:val="center"/>
              <w:rPr>
                <w:lang w:val="sv-SE"/>
              </w:rPr>
            </w:pPr>
            <w:r w:rsidRPr="004A019F">
              <w:rPr>
                <w:lang w:val="sv-SE"/>
              </w:rPr>
              <w:t>(618</w:t>
            </w:r>
            <w:r w:rsidR="009B6E29" w:rsidRPr="004A019F">
              <w:rPr>
                <w:lang w:val="sv-SE"/>
              </w:rPr>
              <w:t xml:space="preserve"> – </w:t>
            </w:r>
            <w:r w:rsidRPr="004A019F">
              <w:rPr>
                <w:lang w:val="sv-SE"/>
              </w:rPr>
              <w:t>2</w:t>
            </w:r>
            <w:r w:rsidR="009D6023" w:rsidRPr="004A019F">
              <w:rPr>
                <w:lang w:val="sv-SE"/>
              </w:rPr>
              <w:t> </w:t>
            </w:r>
            <w:r w:rsidRPr="004A019F">
              <w:rPr>
                <w:lang w:val="sv-SE"/>
              </w:rPr>
              <w:t>756)</w:t>
            </w:r>
          </w:p>
        </w:tc>
        <w:tc>
          <w:tcPr>
            <w:tcW w:w="529" w:type="pct"/>
            <w:shd w:val="clear" w:color="auto" w:fill="auto"/>
            <w:vAlign w:val="center"/>
          </w:tcPr>
          <w:p w14:paraId="3B4144ED" w14:textId="77777777" w:rsidR="005027AB" w:rsidRPr="004A019F" w:rsidRDefault="00264096" w:rsidP="004A019F">
            <w:pPr>
              <w:keepNext/>
              <w:spacing w:after="0" w:line="240" w:lineRule="auto"/>
              <w:ind w:left="0" w:firstLine="0"/>
              <w:contextualSpacing/>
              <w:jc w:val="center"/>
              <w:rPr>
                <w:lang w:val="sv-SE"/>
              </w:rPr>
            </w:pPr>
            <w:r w:rsidRPr="004A019F">
              <w:rPr>
                <w:lang w:val="sv-SE"/>
              </w:rPr>
              <w:t>12</w:t>
            </w:r>
          </w:p>
        </w:tc>
      </w:tr>
      <w:tr w:rsidR="00AD14F8" w:rsidRPr="00A74CC6" w14:paraId="5F8527F3" w14:textId="77777777" w:rsidTr="004A019F">
        <w:trPr>
          <w:trHeight w:val="510"/>
        </w:trPr>
        <w:tc>
          <w:tcPr>
            <w:tcW w:w="1074" w:type="pct"/>
            <w:vMerge/>
            <w:shd w:val="clear" w:color="auto" w:fill="auto"/>
            <w:vAlign w:val="center"/>
          </w:tcPr>
          <w:p w14:paraId="1AC3B8B5" w14:textId="77777777" w:rsidR="005027AB" w:rsidRPr="004A019F" w:rsidRDefault="005027AB" w:rsidP="004A019F">
            <w:pPr>
              <w:keepNext/>
              <w:spacing w:after="0" w:line="240" w:lineRule="auto"/>
              <w:ind w:left="0" w:firstLine="0"/>
              <w:contextualSpacing/>
              <w:rPr>
                <w:lang w:val="sv-SE"/>
              </w:rPr>
            </w:pPr>
          </w:p>
        </w:tc>
        <w:tc>
          <w:tcPr>
            <w:tcW w:w="652" w:type="pct"/>
            <w:shd w:val="clear" w:color="auto" w:fill="auto"/>
            <w:vAlign w:val="center"/>
          </w:tcPr>
          <w:p w14:paraId="6191B8B7" w14:textId="77777777" w:rsidR="005027AB" w:rsidRPr="004A019F" w:rsidRDefault="00264096" w:rsidP="004A019F">
            <w:pPr>
              <w:keepNext/>
              <w:spacing w:after="0" w:line="240" w:lineRule="auto"/>
              <w:ind w:left="0" w:firstLine="0"/>
              <w:contextualSpacing/>
              <w:jc w:val="center"/>
              <w:rPr>
                <w:lang w:val="sv-SE"/>
              </w:rPr>
            </w:pPr>
            <w:r w:rsidRPr="004A019F">
              <w:rPr>
                <w:lang w:val="sv-SE"/>
              </w:rPr>
              <w:t>EBC</w:t>
            </w:r>
          </w:p>
        </w:tc>
        <w:tc>
          <w:tcPr>
            <w:tcW w:w="401" w:type="pct"/>
            <w:shd w:val="clear" w:color="auto" w:fill="auto"/>
            <w:vAlign w:val="center"/>
          </w:tcPr>
          <w:p w14:paraId="2E6830D4" w14:textId="77777777" w:rsidR="005027AB" w:rsidRPr="004A019F" w:rsidRDefault="00264096" w:rsidP="004A019F">
            <w:pPr>
              <w:keepNext/>
              <w:spacing w:after="0" w:line="240" w:lineRule="auto"/>
              <w:ind w:left="0" w:firstLine="0"/>
              <w:contextualSpacing/>
              <w:jc w:val="center"/>
              <w:rPr>
                <w:lang w:val="sv-SE"/>
              </w:rPr>
            </w:pPr>
            <w:r w:rsidRPr="004A019F">
              <w:rPr>
                <w:lang w:val="sv-SE"/>
              </w:rPr>
              <w:t>390</w:t>
            </w:r>
          </w:p>
        </w:tc>
        <w:tc>
          <w:tcPr>
            <w:tcW w:w="778" w:type="pct"/>
            <w:shd w:val="clear" w:color="auto" w:fill="auto"/>
            <w:vAlign w:val="center"/>
          </w:tcPr>
          <w:p w14:paraId="6E260184" w14:textId="77777777" w:rsidR="005027AB" w:rsidRPr="004A019F" w:rsidRDefault="00264096" w:rsidP="004A019F">
            <w:pPr>
              <w:keepNext/>
              <w:spacing w:after="0" w:line="240" w:lineRule="auto"/>
              <w:ind w:left="0" w:firstLine="0"/>
              <w:contextualSpacing/>
              <w:jc w:val="center"/>
              <w:rPr>
                <w:lang w:val="sv-SE"/>
              </w:rPr>
            </w:pPr>
            <w:r w:rsidRPr="004A019F">
              <w:rPr>
                <w:lang w:val="sv-SE"/>
              </w:rPr>
              <w:t>53,8</w:t>
            </w:r>
          </w:p>
          <w:p w14:paraId="43151040" w14:textId="7DD33302" w:rsidR="005027AB" w:rsidRPr="004A019F" w:rsidRDefault="00264096" w:rsidP="004A019F">
            <w:pPr>
              <w:keepNext/>
              <w:spacing w:after="0" w:line="240" w:lineRule="auto"/>
              <w:ind w:left="0" w:firstLine="0"/>
              <w:contextualSpacing/>
              <w:jc w:val="center"/>
              <w:rPr>
                <w:lang w:val="sv-SE"/>
              </w:rPr>
            </w:pPr>
            <w:r w:rsidRPr="004A019F">
              <w:rPr>
                <w:lang w:val="sv-SE"/>
              </w:rPr>
              <w:t>(28,7</w:t>
            </w:r>
            <w:r w:rsidR="009B6E29" w:rsidRPr="004A019F">
              <w:rPr>
                <w:lang w:val="sv-SE"/>
              </w:rPr>
              <w:t xml:space="preserve"> – </w:t>
            </w:r>
            <w:r w:rsidRPr="004A019F">
              <w:rPr>
                <w:lang w:val="sv-SE"/>
              </w:rPr>
              <w:t>85,8)</w:t>
            </w:r>
          </w:p>
        </w:tc>
        <w:tc>
          <w:tcPr>
            <w:tcW w:w="722" w:type="pct"/>
            <w:shd w:val="clear" w:color="auto" w:fill="auto"/>
            <w:vAlign w:val="center"/>
          </w:tcPr>
          <w:p w14:paraId="1A1D454A" w14:textId="77777777" w:rsidR="005027AB" w:rsidRPr="004A019F" w:rsidRDefault="00264096" w:rsidP="004A019F">
            <w:pPr>
              <w:keepNext/>
              <w:spacing w:after="0" w:line="240" w:lineRule="auto"/>
              <w:ind w:left="0" w:firstLine="0"/>
              <w:contextualSpacing/>
              <w:jc w:val="center"/>
              <w:rPr>
                <w:lang w:val="sv-SE"/>
              </w:rPr>
            </w:pPr>
            <w:r w:rsidRPr="004A019F">
              <w:rPr>
                <w:lang w:val="sv-SE"/>
              </w:rPr>
              <w:t>184</w:t>
            </w:r>
          </w:p>
          <w:p w14:paraId="6FF7D9C8" w14:textId="2BFDEC43" w:rsidR="005027AB" w:rsidRPr="004A019F" w:rsidRDefault="00264096" w:rsidP="004A019F">
            <w:pPr>
              <w:keepNext/>
              <w:spacing w:after="0" w:line="240" w:lineRule="auto"/>
              <w:ind w:left="0" w:firstLine="0"/>
              <w:contextualSpacing/>
              <w:jc w:val="center"/>
              <w:rPr>
                <w:lang w:val="sv-SE"/>
              </w:rPr>
            </w:pPr>
            <w:r w:rsidRPr="004A019F">
              <w:rPr>
                <w:lang w:val="sv-SE"/>
              </w:rPr>
              <w:t>(134</w:t>
            </w:r>
            <w:r w:rsidR="009B6E29" w:rsidRPr="004A019F">
              <w:rPr>
                <w:lang w:val="sv-SE"/>
              </w:rPr>
              <w:t xml:space="preserve"> – </w:t>
            </w:r>
            <w:r w:rsidRPr="004A019F">
              <w:rPr>
                <w:lang w:val="sv-SE"/>
              </w:rPr>
              <w:t>247)</w:t>
            </w:r>
          </w:p>
        </w:tc>
        <w:tc>
          <w:tcPr>
            <w:tcW w:w="843" w:type="pct"/>
            <w:shd w:val="clear" w:color="auto" w:fill="auto"/>
            <w:vAlign w:val="center"/>
          </w:tcPr>
          <w:p w14:paraId="126ACCD0" w14:textId="4FDEE5C3" w:rsidR="005027AB" w:rsidRPr="004A019F" w:rsidRDefault="00264096" w:rsidP="004A019F">
            <w:pPr>
              <w:keepNext/>
              <w:spacing w:after="0" w:line="240" w:lineRule="auto"/>
              <w:ind w:left="0" w:firstLine="0"/>
              <w:contextualSpacing/>
              <w:jc w:val="center"/>
              <w:rPr>
                <w:lang w:val="sv-SE"/>
              </w:rPr>
            </w:pPr>
            <w:r w:rsidRPr="004A019F">
              <w:rPr>
                <w:lang w:val="sv-SE"/>
              </w:rPr>
              <w:t>1</w:t>
            </w:r>
            <w:r w:rsidR="009D6023" w:rsidRPr="004A019F">
              <w:rPr>
                <w:lang w:val="sv-SE"/>
              </w:rPr>
              <w:t> </w:t>
            </w:r>
            <w:r w:rsidRPr="004A019F">
              <w:rPr>
                <w:lang w:val="sv-SE"/>
              </w:rPr>
              <w:t>927</w:t>
            </w:r>
          </w:p>
          <w:p w14:paraId="2640047B" w14:textId="63CBC2A2" w:rsidR="005027AB" w:rsidRPr="004A019F" w:rsidRDefault="00264096" w:rsidP="004A019F">
            <w:pPr>
              <w:keepNext/>
              <w:spacing w:after="0" w:line="240" w:lineRule="auto"/>
              <w:ind w:left="0" w:firstLine="0"/>
              <w:contextualSpacing/>
              <w:jc w:val="center"/>
              <w:rPr>
                <w:lang w:val="sv-SE"/>
              </w:rPr>
            </w:pPr>
            <w:r w:rsidRPr="004A019F">
              <w:rPr>
                <w:lang w:val="sv-SE"/>
              </w:rPr>
              <w:t>(1</w:t>
            </w:r>
            <w:r w:rsidR="009D6023" w:rsidRPr="004A019F">
              <w:rPr>
                <w:lang w:val="sv-SE"/>
              </w:rPr>
              <w:t> </w:t>
            </w:r>
            <w:r w:rsidRPr="004A019F">
              <w:rPr>
                <w:lang w:val="sv-SE"/>
              </w:rPr>
              <w:t>332</w:t>
            </w:r>
            <w:r w:rsidR="009B6E29" w:rsidRPr="004A019F">
              <w:rPr>
                <w:lang w:val="sv-SE"/>
              </w:rPr>
              <w:t xml:space="preserve"> – </w:t>
            </w:r>
            <w:r w:rsidRPr="004A019F">
              <w:rPr>
                <w:lang w:val="sv-SE"/>
              </w:rPr>
              <w:t>2</w:t>
            </w:r>
            <w:r w:rsidR="009D6023" w:rsidRPr="004A019F">
              <w:rPr>
                <w:lang w:val="sv-SE"/>
              </w:rPr>
              <w:t> </w:t>
            </w:r>
            <w:r w:rsidRPr="004A019F">
              <w:rPr>
                <w:lang w:val="sv-SE"/>
              </w:rPr>
              <w:t>771)</w:t>
            </w:r>
          </w:p>
        </w:tc>
        <w:tc>
          <w:tcPr>
            <w:tcW w:w="529" w:type="pct"/>
            <w:shd w:val="clear" w:color="auto" w:fill="auto"/>
            <w:vAlign w:val="center"/>
          </w:tcPr>
          <w:p w14:paraId="00F8B004" w14:textId="77777777" w:rsidR="005027AB" w:rsidRPr="004A019F" w:rsidRDefault="00264096" w:rsidP="004A019F">
            <w:pPr>
              <w:keepNext/>
              <w:spacing w:after="0" w:line="240" w:lineRule="auto"/>
              <w:ind w:left="0" w:firstLine="0"/>
              <w:contextualSpacing/>
              <w:jc w:val="center"/>
              <w:rPr>
                <w:lang w:val="sv-SE"/>
              </w:rPr>
            </w:pPr>
            <w:r w:rsidRPr="004A019F">
              <w:rPr>
                <w:lang w:val="sv-SE"/>
              </w:rPr>
              <w:t>15</w:t>
            </w:r>
          </w:p>
        </w:tc>
      </w:tr>
      <w:tr w:rsidR="00AD14F8" w:rsidRPr="00A74CC6" w14:paraId="6AF5AFA6" w14:textId="77777777" w:rsidTr="004A019F">
        <w:trPr>
          <w:trHeight w:val="510"/>
        </w:trPr>
        <w:tc>
          <w:tcPr>
            <w:tcW w:w="1074" w:type="pct"/>
            <w:vMerge/>
            <w:shd w:val="clear" w:color="auto" w:fill="auto"/>
            <w:vAlign w:val="center"/>
          </w:tcPr>
          <w:p w14:paraId="125A6C59" w14:textId="77777777" w:rsidR="005027AB" w:rsidRPr="004A019F" w:rsidRDefault="005027AB" w:rsidP="004A019F">
            <w:pPr>
              <w:spacing w:after="0" w:line="240" w:lineRule="auto"/>
              <w:ind w:left="0" w:firstLine="0"/>
              <w:contextualSpacing/>
              <w:rPr>
                <w:lang w:val="sv-SE"/>
              </w:rPr>
            </w:pPr>
          </w:p>
        </w:tc>
        <w:tc>
          <w:tcPr>
            <w:tcW w:w="652" w:type="pct"/>
            <w:shd w:val="clear" w:color="auto" w:fill="auto"/>
            <w:vAlign w:val="center"/>
          </w:tcPr>
          <w:p w14:paraId="31FB53D2" w14:textId="77777777" w:rsidR="005027AB" w:rsidRPr="004A019F" w:rsidRDefault="00264096" w:rsidP="004A019F">
            <w:pPr>
              <w:spacing w:after="0" w:line="240" w:lineRule="auto"/>
              <w:ind w:left="0" w:firstLine="0"/>
              <w:contextualSpacing/>
              <w:jc w:val="center"/>
              <w:rPr>
                <w:lang w:val="sv-SE"/>
              </w:rPr>
            </w:pPr>
            <w:r w:rsidRPr="004A019F">
              <w:rPr>
                <w:lang w:val="sv-SE"/>
              </w:rPr>
              <w:t>AGC</w:t>
            </w:r>
          </w:p>
        </w:tc>
        <w:tc>
          <w:tcPr>
            <w:tcW w:w="401" w:type="pct"/>
            <w:shd w:val="clear" w:color="auto" w:fill="auto"/>
            <w:vAlign w:val="center"/>
          </w:tcPr>
          <w:p w14:paraId="11CB6FB1" w14:textId="77777777" w:rsidR="005027AB" w:rsidRPr="004A019F" w:rsidRDefault="00264096" w:rsidP="004A019F">
            <w:pPr>
              <w:spacing w:after="0" w:line="240" w:lineRule="auto"/>
              <w:ind w:left="0" w:firstLine="0"/>
              <w:contextualSpacing/>
              <w:jc w:val="center"/>
              <w:rPr>
                <w:lang w:val="sv-SE"/>
              </w:rPr>
            </w:pPr>
            <w:r w:rsidRPr="004A019F">
              <w:rPr>
                <w:lang w:val="sv-SE"/>
              </w:rPr>
              <w:t>274</w:t>
            </w:r>
          </w:p>
        </w:tc>
        <w:tc>
          <w:tcPr>
            <w:tcW w:w="778" w:type="pct"/>
            <w:shd w:val="clear" w:color="auto" w:fill="auto"/>
            <w:vAlign w:val="center"/>
          </w:tcPr>
          <w:p w14:paraId="448888F5" w14:textId="77777777" w:rsidR="005027AB" w:rsidRPr="004A019F" w:rsidRDefault="00264096" w:rsidP="004A019F">
            <w:pPr>
              <w:spacing w:after="0" w:line="240" w:lineRule="auto"/>
              <w:ind w:left="0" w:firstLine="0"/>
              <w:contextualSpacing/>
              <w:jc w:val="center"/>
              <w:rPr>
                <w:lang w:val="sv-SE"/>
              </w:rPr>
            </w:pPr>
            <w:r w:rsidRPr="004A019F">
              <w:rPr>
                <w:lang w:val="sv-SE"/>
              </w:rPr>
              <w:t>32,9</w:t>
            </w:r>
          </w:p>
          <w:p w14:paraId="44FAE68F" w14:textId="77777777" w:rsidR="005027AB" w:rsidRPr="004A019F" w:rsidRDefault="00264096" w:rsidP="004A019F">
            <w:pPr>
              <w:spacing w:after="0" w:line="240" w:lineRule="auto"/>
              <w:ind w:left="0" w:firstLine="0"/>
              <w:contextualSpacing/>
              <w:jc w:val="center"/>
              <w:rPr>
                <w:lang w:val="sv-SE"/>
              </w:rPr>
            </w:pPr>
            <w:r w:rsidRPr="004A019F">
              <w:rPr>
                <w:lang w:val="sv-SE"/>
              </w:rPr>
              <w:t>(6,1 – 88,9)</w:t>
            </w:r>
          </w:p>
        </w:tc>
        <w:tc>
          <w:tcPr>
            <w:tcW w:w="722" w:type="pct"/>
            <w:shd w:val="clear" w:color="auto" w:fill="auto"/>
            <w:vAlign w:val="center"/>
          </w:tcPr>
          <w:p w14:paraId="686BE7B2" w14:textId="77777777" w:rsidR="005027AB" w:rsidRPr="004A019F" w:rsidRDefault="00264096" w:rsidP="004A019F">
            <w:pPr>
              <w:spacing w:after="0" w:line="240" w:lineRule="auto"/>
              <w:ind w:left="0" w:firstLine="0"/>
              <w:contextualSpacing/>
              <w:jc w:val="center"/>
              <w:rPr>
                <w:lang w:val="sv-SE"/>
              </w:rPr>
            </w:pPr>
            <w:r w:rsidRPr="004A019F">
              <w:rPr>
                <w:lang w:val="sv-SE"/>
              </w:rPr>
              <w:t>131</w:t>
            </w:r>
          </w:p>
          <w:p w14:paraId="0EA47926" w14:textId="01A97C6A" w:rsidR="005027AB" w:rsidRPr="004A019F" w:rsidRDefault="00264096" w:rsidP="004A019F">
            <w:pPr>
              <w:spacing w:after="0" w:line="240" w:lineRule="auto"/>
              <w:ind w:left="0" w:firstLine="0"/>
              <w:contextualSpacing/>
              <w:jc w:val="center"/>
              <w:rPr>
                <w:lang w:val="sv-SE"/>
              </w:rPr>
            </w:pPr>
            <w:r w:rsidRPr="004A019F">
              <w:rPr>
                <w:lang w:val="sv-SE"/>
              </w:rPr>
              <w:t>(72,5</w:t>
            </w:r>
            <w:r w:rsidR="009B6E29" w:rsidRPr="004A019F">
              <w:rPr>
                <w:lang w:val="sv-SE"/>
              </w:rPr>
              <w:t xml:space="preserve"> – </w:t>
            </w:r>
            <w:r w:rsidRPr="004A019F">
              <w:rPr>
                <w:lang w:val="sv-SE"/>
              </w:rPr>
              <w:t>251)</w:t>
            </w:r>
          </w:p>
        </w:tc>
        <w:tc>
          <w:tcPr>
            <w:tcW w:w="843" w:type="pct"/>
            <w:shd w:val="clear" w:color="auto" w:fill="auto"/>
            <w:vAlign w:val="center"/>
          </w:tcPr>
          <w:p w14:paraId="56C86658" w14:textId="7A0F203E" w:rsidR="005027AB" w:rsidRPr="004A019F" w:rsidRDefault="00264096" w:rsidP="004A019F">
            <w:pPr>
              <w:spacing w:after="0" w:line="240" w:lineRule="auto"/>
              <w:ind w:left="0" w:firstLine="0"/>
              <w:contextualSpacing/>
              <w:jc w:val="center"/>
              <w:rPr>
                <w:lang w:val="sv-SE"/>
              </w:rPr>
            </w:pPr>
            <w:r w:rsidRPr="004A019F">
              <w:rPr>
                <w:lang w:val="sv-SE"/>
              </w:rPr>
              <w:t>1</w:t>
            </w:r>
            <w:r w:rsidR="009D6023" w:rsidRPr="004A019F">
              <w:rPr>
                <w:lang w:val="sv-SE"/>
              </w:rPr>
              <w:t> </w:t>
            </w:r>
            <w:r w:rsidRPr="004A019F">
              <w:rPr>
                <w:lang w:val="sv-SE"/>
              </w:rPr>
              <w:t>338</w:t>
            </w:r>
          </w:p>
          <w:p w14:paraId="610B1901" w14:textId="7F2A11BD" w:rsidR="005027AB" w:rsidRPr="004A019F" w:rsidRDefault="00264096" w:rsidP="004A019F">
            <w:pPr>
              <w:spacing w:after="0" w:line="240" w:lineRule="auto"/>
              <w:ind w:left="0" w:firstLine="0"/>
              <w:contextualSpacing/>
              <w:jc w:val="center"/>
              <w:rPr>
                <w:lang w:val="sv-SE"/>
              </w:rPr>
            </w:pPr>
            <w:r w:rsidRPr="004A019F">
              <w:rPr>
                <w:lang w:val="sv-SE"/>
              </w:rPr>
              <w:t>(557</w:t>
            </w:r>
            <w:r w:rsidR="009B6E29" w:rsidRPr="004A019F">
              <w:rPr>
                <w:lang w:val="sv-SE"/>
              </w:rPr>
              <w:t xml:space="preserve"> – </w:t>
            </w:r>
            <w:r w:rsidRPr="004A019F">
              <w:rPr>
                <w:lang w:val="sv-SE"/>
              </w:rPr>
              <w:t>2</w:t>
            </w:r>
            <w:r w:rsidR="009D6023" w:rsidRPr="004A019F">
              <w:rPr>
                <w:lang w:val="sv-SE"/>
              </w:rPr>
              <w:t> </w:t>
            </w:r>
            <w:r w:rsidRPr="004A019F">
              <w:rPr>
                <w:lang w:val="sv-SE"/>
              </w:rPr>
              <w:t>875)</w:t>
            </w:r>
          </w:p>
        </w:tc>
        <w:tc>
          <w:tcPr>
            <w:tcW w:w="529" w:type="pct"/>
            <w:shd w:val="clear" w:color="auto" w:fill="auto"/>
            <w:vAlign w:val="center"/>
          </w:tcPr>
          <w:p w14:paraId="01CB2FCE" w14:textId="77777777" w:rsidR="005027AB" w:rsidRPr="004A019F" w:rsidRDefault="00264096" w:rsidP="004A019F">
            <w:pPr>
              <w:spacing w:after="0" w:line="240" w:lineRule="auto"/>
              <w:ind w:left="0" w:firstLine="0"/>
              <w:contextualSpacing/>
              <w:jc w:val="center"/>
              <w:rPr>
                <w:lang w:val="sv-SE"/>
              </w:rPr>
            </w:pPr>
            <w:r w:rsidRPr="004A019F">
              <w:rPr>
                <w:lang w:val="sv-SE"/>
              </w:rPr>
              <w:t>9</w:t>
            </w:r>
          </w:p>
        </w:tc>
      </w:tr>
      <w:tr w:rsidR="00AD14F8" w:rsidRPr="00A74CC6" w14:paraId="5057B9B3" w14:textId="77777777" w:rsidTr="004A019F">
        <w:trPr>
          <w:trHeight w:val="510"/>
        </w:trPr>
        <w:tc>
          <w:tcPr>
            <w:tcW w:w="1074" w:type="pct"/>
            <w:vMerge w:val="restart"/>
            <w:shd w:val="clear" w:color="auto" w:fill="auto"/>
            <w:vAlign w:val="center"/>
          </w:tcPr>
          <w:p w14:paraId="6E606DE3" w14:textId="7E49975A" w:rsidR="005027AB" w:rsidRPr="004A019F" w:rsidRDefault="00264096" w:rsidP="004A019F">
            <w:pPr>
              <w:spacing w:after="0" w:line="240" w:lineRule="auto"/>
              <w:ind w:left="0" w:firstLine="0"/>
              <w:contextualSpacing/>
              <w:rPr>
                <w:lang w:val="sv-SE"/>
              </w:rPr>
            </w:pPr>
            <w:r w:rsidRPr="004A019F">
              <w:rPr>
                <w:lang w:val="sv-SE"/>
              </w:rPr>
              <w:t>4</w:t>
            </w:r>
            <w:r w:rsidR="00EC30F5" w:rsidRPr="004A019F">
              <w:rPr>
                <w:lang w:val="sv-SE"/>
              </w:rPr>
              <w:t> </w:t>
            </w:r>
            <w:r w:rsidRPr="004A019F">
              <w:rPr>
                <w:lang w:val="sv-SE"/>
              </w:rPr>
              <w:t>mg/kg +</w:t>
            </w:r>
            <w:r w:rsidR="000347F9" w:rsidRPr="004A019F">
              <w:rPr>
                <w:lang w:val="sv-SE"/>
              </w:rPr>
              <w:t xml:space="preserve"> </w:t>
            </w:r>
            <w:r w:rsidRPr="004A019F">
              <w:rPr>
                <w:lang w:val="sv-SE"/>
              </w:rPr>
              <w:t>2</w:t>
            </w:r>
            <w:r w:rsidR="00EC30F5" w:rsidRPr="004A019F">
              <w:rPr>
                <w:lang w:val="sv-SE"/>
              </w:rPr>
              <w:t> </w:t>
            </w:r>
            <w:r w:rsidRPr="004A019F">
              <w:rPr>
                <w:lang w:val="sv-SE"/>
              </w:rPr>
              <w:t>mg/kg varje vecka</w:t>
            </w:r>
          </w:p>
        </w:tc>
        <w:tc>
          <w:tcPr>
            <w:tcW w:w="652" w:type="pct"/>
            <w:shd w:val="clear" w:color="auto" w:fill="auto"/>
            <w:vAlign w:val="center"/>
          </w:tcPr>
          <w:p w14:paraId="046494AE" w14:textId="77777777" w:rsidR="005027AB" w:rsidRPr="004A019F" w:rsidRDefault="00264096" w:rsidP="004A019F">
            <w:pPr>
              <w:spacing w:after="0" w:line="240" w:lineRule="auto"/>
              <w:ind w:left="0" w:firstLine="0"/>
              <w:contextualSpacing/>
              <w:jc w:val="center"/>
              <w:rPr>
                <w:lang w:val="sv-SE"/>
              </w:rPr>
            </w:pPr>
            <w:r w:rsidRPr="004A019F">
              <w:rPr>
                <w:lang w:val="sv-SE"/>
              </w:rPr>
              <w:t>MBC</w:t>
            </w:r>
          </w:p>
        </w:tc>
        <w:tc>
          <w:tcPr>
            <w:tcW w:w="401" w:type="pct"/>
            <w:shd w:val="clear" w:color="auto" w:fill="auto"/>
            <w:vAlign w:val="center"/>
          </w:tcPr>
          <w:p w14:paraId="21A88A64" w14:textId="77777777" w:rsidR="005027AB" w:rsidRPr="004A019F" w:rsidRDefault="00264096" w:rsidP="004A019F">
            <w:pPr>
              <w:spacing w:after="0" w:line="240" w:lineRule="auto"/>
              <w:ind w:left="0" w:firstLine="0"/>
              <w:contextualSpacing/>
              <w:jc w:val="center"/>
              <w:rPr>
                <w:lang w:val="sv-SE"/>
              </w:rPr>
            </w:pPr>
            <w:r w:rsidRPr="004A019F">
              <w:rPr>
                <w:lang w:val="sv-SE"/>
              </w:rPr>
              <w:t>805</w:t>
            </w:r>
          </w:p>
        </w:tc>
        <w:tc>
          <w:tcPr>
            <w:tcW w:w="778" w:type="pct"/>
            <w:shd w:val="clear" w:color="auto" w:fill="auto"/>
            <w:vAlign w:val="center"/>
          </w:tcPr>
          <w:p w14:paraId="59D1D420" w14:textId="77777777" w:rsidR="005027AB" w:rsidRPr="004A019F" w:rsidRDefault="00264096" w:rsidP="004A019F">
            <w:pPr>
              <w:spacing w:after="0" w:line="240" w:lineRule="auto"/>
              <w:ind w:left="0" w:firstLine="0"/>
              <w:contextualSpacing/>
              <w:jc w:val="center"/>
              <w:rPr>
                <w:lang w:val="sv-SE"/>
              </w:rPr>
            </w:pPr>
            <w:r w:rsidRPr="004A019F">
              <w:rPr>
                <w:lang w:val="sv-SE"/>
              </w:rPr>
              <w:t>63,1</w:t>
            </w:r>
          </w:p>
          <w:p w14:paraId="61C3B97F" w14:textId="09AC4AF5" w:rsidR="005027AB" w:rsidRPr="004A019F" w:rsidRDefault="00264096" w:rsidP="004A019F">
            <w:pPr>
              <w:spacing w:after="0" w:line="240" w:lineRule="auto"/>
              <w:ind w:left="0" w:firstLine="0"/>
              <w:contextualSpacing/>
              <w:jc w:val="center"/>
              <w:rPr>
                <w:lang w:val="sv-SE"/>
              </w:rPr>
            </w:pPr>
            <w:r w:rsidRPr="004A019F">
              <w:rPr>
                <w:lang w:val="sv-SE"/>
              </w:rPr>
              <w:t>(11,7</w:t>
            </w:r>
            <w:r w:rsidR="009B6E29" w:rsidRPr="004A019F">
              <w:rPr>
                <w:lang w:val="sv-SE"/>
              </w:rPr>
              <w:t xml:space="preserve"> – </w:t>
            </w:r>
            <w:r w:rsidRPr="004A019F">
              <w:rPr>
                <w:lang w:val="sv-SE"/>
              </w:rPr>
              <w:t>107)</w:t>
            </w:r>
          </w:p>
        </w:tc>
        <w:tc>
          <w:tcPr>
            <w:tcW w:w="722" w:type="pct"/>
            <w:shd w:val="clear" w:color="auto" w:fill="auto"/>
            <w:vAlign w:val="center"/>
          </w:tcPr>
          <w:p w14:paraId="2CB0303A" w14:textId="77777777" w:rsidR="005027AB" w:rsidRPr="004A019F" w:rsidRDefault="00264096" w:rsidP="004A019F">
            <w:pPr>
              <w:spacing w:after="0" w:line="240" w:lineRule="auto"/>
              <w:ind w:left="0" w:firstLine="0"/>
              <w:contextualSpacing/>
              <w:jc w:val="center"/>
              <w:rPr>
                <w:lang w:val="sv-SE"/>
              </w:rPr>
            </w:pPr>
            <w:r w:rsidRPr="004A019F">
              <w:rPr>
                <w:lang w:val="sv-SE"/>
              </w:rPr>
              <w:t>107</w:t>
            </w:r>
          </w:p>
          <w:p w14:paraId="7E36FAE8" w14:textId="536074B9" w:rsidR="005027AB" w:rsidRPr="004A019F" w:rsidRDefault="00264096" w:rsidP="004A019F">
            <w:pPr>
              <w:spacing w:after="0" w:line="240" w:lineRule="auto"/>
              <w:ind w:left="0" w:firstLine="0"/>
              <w:contextualSpacing/>
              <w:jc w:val="center"/>
              <w:rPr>
                <w:lang w:val="sv-SE"/>
              </w:rPr>
            </w:pPr>
            <w:r w:rsidRPr="004A019F">
              <w:rPr>
                <w:lang w:val="sv-SE"/>
              </w:rPr>
              <w:t>(54,2</w:t>
            </w:r>
            <w:r w:rsidR="009B6E29" w:rsidRPr="004A019F">
              <w:rPr>
                <w:lang w:val="sv-SE"/>
              </w:rPr>
              <w:t xml:space="preserve"> – </w:t>
            </w:r>
            <w:r w:rsidRPr="004A019F">
              <w:rPr>
                <w:lang w:val="sv-SE"/>
              </w:rPr>
              <w:t>164)</w:t>
            </w:r>
          </w:p>
        </w:tc>
        <w:tc>
          <w:tcPr>
            <w:tcW w:w="843" w:type="pct"/>
            <w:shd w:val="clear" w:color="auto" w:fill="auto"/>
            <w:vAlign w:val="center"/>
          </w:tcPr>
          <w:p w14:paraId="1E448E52" w14:textId="7F045D20" w:rsidR="005027AB" w:rsidRPr="004A019F" w:rsidRDefault="00264096" w:rsidP="004A019F">
            <w:pPr>
              <w:spacing w:after="0" w:line="240" w:lineRule="auto"/>
              <w:ind w:left="0" w:firstLine="0"/>
              <w:contextualSpacing/>
              <w:jc w:val="center"/>
              <w:rPr>
                <w:lang w:val="sv-SE"/>
              </w:rPr>
            </w:pPr>
            <w:r w:rsidRPr="004A019F">
              <w:rPr>
                <w:lang w:val="sv-SE"/>
              </w:rPr>
              <w:t>1</w:t>
            </w:r>
            <w:r w:rsidR="009D6023" w:rsidRPr="004A019F">
              <w:rPr>
                <w:lang w:val="sv-SE"/>
              </w:rPr>
              <w:t> </w:t>
            </w:r>
            <w:r w:rsidRPr="004A019F">
              <w:rPr>
                <w:lang w:val="sv-SE"/>
              </w:rPr>
              <w:t>710</w:t>
            </w:r>
          </w:p>
          <w:p w14:paraId="471492F7" w14:textId="6AFD658C" w:rsidR="005027AB" w:rsidRPr="004A019F" w:rsidRDefault="00264096" w:rsidP="004A019F">
            <w:pPr>
              <w:spacing w:after="0" w:line="240" w:lineRule="auto"/>
              <w:ind w:left="0" w:firstLine="0"/>
              <w:contextualSpacing/>
              <w:jc w:val="center"/>
              <w:rPr>
                <w:lang w:val="sv-SE"/>
              </w:rPr>
            </w:pPr>
            <w:r w:rsidRPr="004A019F">
              <w:rPr>
                <w:lang w:val="sv-SE"/>
              </w:rPr>
              <w:t>(581</w:t>
            </w:r>
            <w:r w:rsidR="009B6E29" w:rsidRPr="004A019F">
              <w:rPr>
                <w:lang w:val="sv-SE"/>
              </w:rPr>
              <w:t xml:space="preserve"> – </w:t>
            </w:r>
            <w:r w:rsidRPr="004A019F">
              <w:rPr>
                <w:lang w:val="sv-SE"/>
              </w:rPr>
              <w:t>2</w:t>
            </w:r>
            <w:r w:rsidR="009D6023" w:rsidRPr="004A019F">
              <w:rPr>
                <w:lang w:val="sv-SE"/>
              </w:rPr>
              <w:t> </w:t>
            </w:r>
            <w:r w:rsidRPr="004A019F">
              <w:rPr>
                <w:lang w:val="sv-SE"/>
              </w:rPr>
              <w:t>715)</w:t>
            </w:r>
          </w:p>
        </w:tc>
        <w:tc>
          <w:tcPr>
            <w:tcW w:w="529" w:type="pct"/>
            <w:shd w:val="clear" w:color="auto" w:fill="auto"/>
            <w:vAlign w:val="center"/>
          </w:tcPr>
          <w:p w14:paraId="7B56E9E4" w14:textId="77777777" w:rsidR="005027AB" w:rsidRPr="004A019F" w:rsidRDefault="00264096" w:rsidP="004A019F">
            <w:pPr>
              <w:spacing w:after="0" w:line="240" w:lineRule="auto"/>
              <w:ind w:left="0" w:firstLine="0"/>
              <w:contextualSpacing/>
              <w:jc w:val="center"/>
              <w:rPr>
                <w:lang w:val="sv-SE"/>
              </w:rPr>
            </w:pPr>
            <w:r w:rsidRPr="004A019F">
              <w:rPr>
                <w:lang w:val="sv-SE"/>
              </w:rPr>
              <w:t>12</w:t>
            </w:r>
          </w:p>
        </w:tc>
      </w:tr>
      <w:tr w:rsidR="00AD14F8" w:rsidRPr="00A74CC6" w14:paraId="7C9DAD46" w14:textId="77777777" w:rsidTr="004A019F">
        <w:trPr>
          <w:trHeight w:val="567"/>
        </w:trPr>
        <w:tc>
          <w:tcPr>
            <w:tcW w:w="1074" w:type="pct"/>
            <w:vMerge/>
            <w:shd w:val="clear" w:color="auto" w:fill="auto"/>
          </w:tcPr>
          <w:p w14:paraId="507BFB31" w14:textId="77777777" w:rsidR="005027AB" w:rsidRPr="004A019F" w:rsidRDefault="005027AB" w:rsidP="004A019F">
            <w:pPr>
              <w:spacing w:after="0" w:line="240" w:lineRule="auto"/>
              <w:ind w:left="0" w:firstLine="0"/>
              <w:contextualSpacing/>
              <w:rPr>
                <w:lang w:val="sv-SE"/>
              </w:rPr>
            </w:pPr>
          </w:p>
        </w:tc>
        <w:tc>
          <w:tcPr>
            <w:tcW w:w="652" w:type="pct"/>
            <w:shd w:val="clear" w:color="auto" w:fill="auto"/>
            <w:vAlign w:val="center"/>
          </w:tcPr>
          <w:p w14:paraId="3F60679C" w14:textId="77777777" w:rsidR="005027AB" w:rsidRPr="004A019F" w:rsidRDefault="00264096" w:rsidP="004A019F">
            <w:pPr>
              <w:spacing w:after="0" w:line="240" w:lineRule="auto"/>
              <w:ind w:left="0" w:firstLine="0"/>
              <w:contextualSpacing/>
              <w:jc w:val="center"/>
              <w:rPr>
                <w:lang w:val="sv-SE"/>
              </w:rPr>
            </w:pPr>
            <w:r w:rsidRPr="004A019F">
              <w:rPr>
                <w:lang w:val="sv-SE"/>
              </w:rPr>
              <w:t>EBC</w:t>
            </w:r>
          </w:p>
        </w:tc>
        <w:tc>
          <w:tcPr>
            <w:tcW w:w="401" w:type="pct"/>
            <w:shd w:val="clear" w:color="auto" w:fill="auto"/>
            <w:vAlign w:val="center"/>
          </w:tcPr>
          <w:p w14:paraId="70739938" w14:textId="77777777" w:rsidR="005027AB" w:rsidRPr="004A019F" w:rsidRDefault="00264096" w:rsidP="004A019F">
            <w:pPr>
              <w:spacing w:after="0" w:line="240" w:lineRule="auto"/>
              <w:ind w:left="0" w:firstLine="0"/>
              <w:contextualSpacing/>
              <w:jc w:val="center"/>
              <w:rPr>
                <w:lang w:val="sv-SE"/>
              </w:rPr>
            </w:pPr>
            <w:r w:rsidRPr="004A019F">
              <w:rPr>
                <w:lang w:val="sv-SE"/>
              </w:rPr>
              <w:t>390</w:t>
            </w:r>
          </w:p>
        </w:tc>
        <w:tc>
          <w:tcPr>
            <w:tcW w:w="778" w:type="pct"/>
            <w:shd w:val="clear" w:color="auto" w:fill="auto"/>
            <w:vAlign w:val="center"/>
          </w:tcPr>
          <w:p w14:paraId="1DC9F979" w14:textId="77777777" w:rsidR="005027AB" w:rsidRPr="004A019F" w:rsidRDefault="00264096" w:rsidP="004A019F">
            <w:pPr>
              <w:spacing w:after="0" w:line="240" w:lineRule="auto"/>
              <w:ind w:left="0" w:firstLine="0"/>
              <w:contextualSpacing/>
              <w:jc w:val="center"/>
              <w:rPr>
                <w:lang w:val="sv-SE"/>
              </w:rPr>
            </w:pPr>
            <w:r w:rsidRPr="004A019F">
              <w:rPr>
                <w:lang w:val="sv-SE"/>
              </w:rPr>
              <w:t>72,6</w:t>
            </w:r>
          </w:p>
          <w:p w14:paraId="687461CF" w14:textId="7E6C825A" w:rsidR="005027AB" w:rsidRPr="004A019F" w:rsidRDefault="00264096" w:rsidP="004A019F">
            <w:pPr>
              <w:spacing w:after="0" w:line="240" w:lineRule="auto"/>
              <w:ind w:left="0" w:firstLine="0"/>
              <w:contextualSpacing/>
              <w:jc w:val="center"/>
              <w:rPr>
                <w:lang w:val="sv-SE"/>
              </w:rPr>
            </w:pPr>
            <w:r w:rsidRPr="004A019F">
              <w:rPr>
                <w:lang w:val="sv-SE"/>
              </w:rPr>
              <w:t>(46</w:t>
            </w:r>
            <w:r w:rsidR="009B6E29" w:rsidRPr="004A019F">
              <w:rPr>
                <w:lang w:val="sv-SE"/>
              </w:rPr>
              <w:t xml:space="preserve"> – </w:t>
            </w:r>
            <w:r w:rsidRPr="004A019F">
              <w:rPr>
                <w:lang w:val="sv-SE"/>
              </w:rPr>
              <w:t>109)</w:t>
            </w:r>
          </w:p>
        </w:tc>
        <w:tc>
          <w:tcPr>
            <w:tcW w:w="722" w:type="pct"/>
            <w:shd w:val="clear" w:color="auto" w:fill="auto"/>
            <w:vAlign w:val="center"/>
          </w:tcPr>
          <w:p w14:paraId="53D92DA5" w14:textId="77777777" w:rsidR="005027AB" w:rsidRPr="004A019F" w:rsidRDefault="00264096" w:rsidP="004A019F">
            <w:pPr>
              <w:spacing w:after="0" w:line="240" w:lineRule="auto"/>
              <w:ind w:left="0" w:firstLine="0"/>
              <w:contextualSpacing/>
              <w:jc w:val="center"/>
              <w:rPr>
                <w:lang w:val="sv-SE"/>
              </w:rPr>
            </w:pPr>
            <w:r w:rsidRPr="004A019F">
              <w:rPr>
                <w:lang w:val="sv-SE"/>
              </w:rPr>
              <w:t>115</w:t>
            </w:r>
          </w:p>
          <w:p w14:paraId="4DB8FEEA" w14:textId="3FC142F6" w:rsidR="005027AB" w:rsidRPr="004A019F" w:rsidRDefault="00264096" w:rsidP="004A019F">
            <w:pPr>
              <w:spacing w:after="0" w:line="240" w:lineRule="auto"/>
              <w:ind w:left="0" w:firstLine="0"/>
              <w:contextualSpacing/>
              <w:jc w:val="center"/>
              <w:rPr>
                <w:lang w:val="sv-SE"/>
              </w:rPr>
            </w:pPr>
            <w:r w:rsidRPr="004A019F">
              <w:rPr>
                <w:lang w:val="sv-SE"/>
              </w:rPr>
              <w:t>(82,6</w:t>
            </w:r>
            <w:r w:rsidR="009B6E29" w:rsidRPr="004A019F">
              <w:rPr>
                <w:lang w:val="sv-SE"/>
              </w:rPr>
              <w:t xml:space="preserve"> – </w:t>
            </w:r>
            <w:r w:rsidRPr="004A019F">
              <w:rPr>
                <w:lang w:val="sv-SE"/>
              </w:rPr>
              <w:t>160)</w:t>
            </w:r>
          </w:p>
        </w:tc>
        <w:tc>
          <w:tcPr>
            <w:tcW w:w="843" w:type="pct"/>
            <w:shd w:val="clear" w:color="auto" w:fill="auto"/>
            <w:vAlign w:val="center"/>
          </w:tcPr>
          <w:p w14:paraId="4D182708" w14:textId="166E04D5" w:rsidR="005027AB" w:rsidRPr="004A019F" w:rsidRDefault="00264096" w:rsidP="004A019F">
            <w:pPr>
              <w:spacing w:after="0" w:line="240" w:lineRule="auto"/>
              <w:ind w:left="0" w:firstLine="0"/>
              <w:contextualSpacing/>
              <w:jc w:val="center"/>
              <w:rPr>
                <w:lang w:val="sv-SE"/>
              </w:rPr>
            </w:pPr>
            <w:r w:rsidRPr="004A019F">
              <w:rPr>
                <w:lang w:val="sv-SE"/>
              </w:rPr>
              <w:t>1</w:t>
            </w:r>
            <w:r w:rsidR="009D6023" w:rsidRPr="004A019F">
              <w:rPr>
                <w:lang w:val="sv-SE"/>
              </w:rPr>
              <w:t> </w:t>
            </w:r>
            <w:r w:rsidRPr="004A019F">
              <w:rPr>
                <w:lang w:val="sv-SE"/>
              </w:rPr>
              <w:t>893</w:t>
            </w:r>
          </w:p>
          <w:p w14:paraId="329E3772" w14:textId="69B7D78F" w:rsidR="005027AB" w:rsidRPr="004A019F" w:rsidRDefault="00264096" w:rsidP="004A019F">
            <w:pPr>
              <w:spacing w:after="0" w:line="240" w:lineRule="auto"/>
              <w:ind w:left="0" w:firstLine="0"/>
              <w:contextualSpacing/>
              <w:jc w:val="center"/>
              <w:rPr>
                <w:lang w:val="sv-SE"/>
              </w:rPr>
            </w:pPr>
            <w:r w:rsidRPr="004A019F">
              <w:rPr>
                <w:lang w:val="sv-SE"/>
              </w:rPr>
              <w:t>(1</w:t>
            </w:r>
            <w:r w:rsidR="009D6023" w:rsidRPr="004A019F">
              <w:rPr>
                <w:lang w:val="sv-SE"/>
              </w:rPr>
              <w:t> </w:t>
            </w:r>
            <w:r w:rsidRPr="004A019F">
              <w:rPr>
                <w:lang w:val="sv-SE"/>
              </w:rPr>
              <w:t>309</w:t>
            </w:r>
            <w:r w:rsidR="009B6E29" w:rsidRPr="004A019F">
              <w:rPr>
                <w:lang w:val="sv-SE"/>
              </w:rPr>
              <w:t xml:space="preserve"> – </w:t>
            </w:r>
            <w:r w:rsidRPr="004A019F">
              <w:rPr>
                <w:lang w:val="sv-SE"/>
              </w:rPr>
              <w:t>2</w:t>
            </w:r>
            <w:r w:rsidR="009D6023" w:rsidRPr="004A019F">
              <w:rPr>
                <w:lang w:val="sv-SE"/>
              </w:rPr>
              <w:t> </w:t>
            </w:r>
            <w:r w:rsidRPr="004A019F">
              <w:rPr>
                <w:lang w:val="sv-SE"/>
              </w:rPr>
              <w:t>734)</w:t>
            </w:r>
          </w:p>
        </w:tc>
        <w:tc>
          <w:tcPr>
            <w:tcW w:w="529" w:type="pct"/>
            <w:shd w:val="clear" w:color="auto" w:fill="auto"/>
            <w:vAlign w:val="center"/>
          </w:tcPr>
          <w:p w14:paraId="7AC1EC93" w14:textId="77777777" w:rsidR="005027AB" w:rsidRPr="004A019F" w:rsidRDefault="00264096" w:rsidP="004A019F">
            <w:pPr>
              <w:spacing w:after="0" w:line="240" w:lineRule="auto"/>
              <w:ind w:left="0" w:firstLine="0"/>
              <w:contextualSpacing/>
              <w:jc w:val="center"/>
              <w:rPr>
                <w:lang w:val="sv-SE"/>
              </w:rPr>
            </w:pPr>
            <w:r w:rsidRPr="004A019F">
              <w:rPr>
                <w:lang w:val="sv-SE"/>
              </w:rPr>
              <w:t>14</w:t>
            </w:r>
          </w:p>
        </w:tc>
      </w:tr>
    </w:tbl>
    <w:p w14:paraId="480D4998" w14:textId="77777777" w:rsidR="005027AB" w:rsidRPr="008763E6" w:rsidRDefault="00264096" w:rsidP="003F6A91">
      <w:pPr>
        <w:spacing w:after="0" w:line="240" w:lineRule="auto"/>
        <w:ind w:left="0" w:firstLine="0"/>
        <w:contextualSpacing/>
        <w:rPr>
          <w:sz w:val="20"/>
          <w:szCs w:val="20"/>
          <w:lang w:val="en-GB"/>
        </w:rPr>
      </w:pPr>
      <w:r w:rsidRPr="008763E6">
        <w:rPr>
          <w:sz w:val="20"/>
          <w:szCs w:val="20"/>
          <w:lang w:val="en-GB"/>
        </w:rPr>
        <w:t>*</w:t>
      </w:r>
      <w:proofErr w:type="spellStart"/>
      <w:proofErr w:type="gramStart"/>
      <w:r w:rsidRPr="008763E6">
        <w:rPr>
          <w:sz w:val="20"/>
          <w:szCs w:val="20"/>
          <w:lang w:val="en-GB"/>
        </w:rPr>
        <w:t>C</w:t>
      </w:r>
      <w:r w:rsidRPr="008763E6">
        <w:rPr>
          <w:sz w:val="20"/>
          <w:szCs w:val="20"/>
          <w:vertAlign w:val="subscript"/>
          <w:lang w:val="en-GB"/>
        </w:rPr>
        <w:t>min,ss</w:t>
      </w:r>
      <w:proofErr w:type="spellEnd"/>
      <w:proofErr w:type="gramEnd"/>
      <w:r w:rsidR="002621F3" w:rsidRPr="008763E6">
        <w:rPr>
          <w:sz w:val="20"/>
          <w:szCs w:val="20"/>
          <w:lang w:val="en-GB"/>
        </w:rPr>
        <w:t> </w:t>
      </w:r>
      <w:r w:rsidRPr="008763E6">
        <w:rPr>
          <w:sz w:val="20"/>
          <w:szCs w:val="20"/>
          <w:lang w:val="en-GB"/>
        </w:rPr>
        <w:t>=</w:t>
      </w:r>
      <w:r w:rsidR="002621F3" w:rsidRPr="008763E6">
        <w:rPr>
          <w:sz w:val="20"/>
          <w:szCs w:val="20"/>
          <w:lang w:val="en-GB"/>
        </w:rPr>
        <w:t> </w:t>
      </w:r>
      <w:proofErr w:type="spellStart"/>
      <w:r w:rsidRPr="008763E6">
        <w:rPr>
          <w:sz w:val="20"/>
          <w:szCs w:val="20"/>
          <w:lang w:val="en-GB"/>
        </w:rPr>
        <w:t>C</w:t>
      </w:r>
      <w:r w:rsidRPr="008763E6">
        <w:rPr>
          <w:sz w:val="20"/>
          <w:szCs w:val="20"/>
          <w:vertAlign w:val="subscript"/>
          <w:lang w:val="en-GB"/>
        </w:rPr>
        <w:t>min</w:t>
      </w:r>
      <w:proofErr w:type="spellEnd"/>
      <w:r w:rsidRPr="008763E6">
        <w:rPr>
          <w:sz w:val="20"/>
          <w:szCs w:val="20"/>
          <w:lang w:val="en-GB"/>
        </w:rPr>
        <w:t xml:space="preserve"> vid steady state</w:t>
      </w:r>
    </w:p>
    <w:p w14:paraId="40CD2D1A" w14:textId="77777777" w:rsidR="005027AB" w:rsidRPr="008763E6" w:rsidRDefault="00264096" w:rsidP="003F6A91">
      <w:pPr>
        <w:spacing w:after="0" w:line="240" w:lineRule="auto"/>
        <w:ind w:left="0" w:firstLine="0"/>
        <w:contextualSpacing/>
        <w:rPr>
          <w:sz w:val="20"/>
          <w:szCs w:val="20"/>
          <w:lang w:val="en-GB"/>
        </w:rPr>
      </w:pPr>
      <w:r w:rsidRPr="008763E6">
        <w:rPr>
          <w:sz w:val="20"/>
          <w:szCs w:val="20"/>
          <w:lang w:val="en-GB"/>
        </w:rPr>
        <w:t>**</w:t>
      </w:r>
      <w:proofErr w:type="spellStart"/>
      <w:r w:rsidRPr="008763E6">
        <w:rPr>
          <w:sz w:val="20"/>
          <w:szCs w:val="20"/>
          <w:lang w:val="en-GB"/>
        </w:rPr>
        <w:t>C</w:t>
      </w:r>
      <w:r w:rsidRPr="008763E6">
        <w:rPr>
          <w:sz w:val="20"/>
          <w:szCs w:val="20"/>
          <w:vertAlign w:val="subscript"/>
          <w:lang w:val="en-GB"/>
        </w:rPr>
        <w:t>max</w:t>
      </w:r>
      <w:proofErr w:type="spellEnd"/>
      <w:r w:rsidRPr="008763E6">
        <w:rPr>
          <w:sz w:val="20"/>
          <w:szCs w:val="20"/>
          <w:vertAlign w:val="subscript"/>
          <w:lang w:val="en-GB"/>
        </w:rPr>
        <w:t>, ss</w:t>
      </w:r>
      <w:r w:rsidR="003F6A91" w:rsidRPr="008763E6">
        <w:rPr>
          <w:sz w:val="20"/>
          <w:szCs w:val="20"/>
          <w:lang w:val="en-GB"/>
        </w:rPr>
        <w:t> </w:t>
      </w:r>
      <w:r w:rsidRPr="008763E6">
        <w:rPr>
          <w:sz w:val="20"/>
          <w:szCs w:val="20"/>
          <w:lang w:val="en-GB"/>
        </w:rPr>
        <w:t>=</w:t>
      </w:r>
      <w:r w:rsidR="003F6A91" w:rsidRPr="008763E6">
        <w:rPr>
          <w:sz w:val="20"/>
          <w:szCs w:val="20"/>
          <w:lang w:val="en-GB"/>
        </w:rPr>
        <w:t> </w:t>
      </w:r>
      <w:proofErr w:type="spellStart"/>
      <w:r w:rsidRPr="008763E6">
        <w:rPr>
          <w:sz w:val="20"/>
          <w:szCs w:val="20"/>
          <w:lang w:val="en-GB"/>
        </w:rPr>
        <w:t>C</w:t>
      </w:r>
      <w:r w:rsidRPr="008763E6">
        <w:rPr>
          <w:sz w:val="20"/>
          <w:szCs w:val="20"/>
          <w:vertAlign w:val="subscript"/>
          <w:lang w:val="en-GB"/>
        </w:rPr>
        <w:t>max</w:t>
      </w:r>
      <w:proofErr w:type="spellEnd"/>
      <w:r w:rsidRPr="008763E6">
        <w:rPr>
          <w:sz w:val="20"/>
          <w:szCs w:val="20"/>
          <w:lang w:val="en-GB"/>
        </w:rPr>
        <w:t xml:space="preserve"> vid steady state</w:t>
      </w:r>
    </w:p>
    <w:p w14:paraId="1A4812F8" w14:textId="77777777" w:rsidR="005027AB" w:rsidRPr="00A74CC6" w:rsidRDefault="00264096" w:rsidP="003F6A91">
      <w:pPr>
        <w:spacing w:after="0" w:line="240" w:lineRule="auto"/>
        <w:ind w:left="0" w:firstLine="0"/>
        <w:contextualSpacing/>
        <w:rPr>
          <w:sz w:val="20"/>
          <w:szCs w:val="20"/>
          <w:lang w:val="sv-SE"/>
        </w:rPr>
      </w:pPr>
      <w:r w:rsidRPr="00A74CC6">
        <w:rPr>
          <w:sz w:val="20"/>
          <w:szCs w:val="20"/>
          <w:lang w:val="sv-SE"/>
        </w:rPr>
        <w:t>*** tid till 90</w:t>
      </w:r>
      <w:r w:rsidR="00EF53D2" w:rsidRPr="00A74CC6">
        <w:rPr>
          <w:sz w:val="20"/>
          <w:szCs w:val="20"/>
          <w:lang w:val="sv-SE"/>
        </w:rPr>
        <w:t> </w:t>
      </w:r>
      <w:r w:rsidRPr="00A74CC6">
        <w:rPr>
          <w:sz w:val="20"/>
          <w:szCs w:val="20"/>
          <w:lang w:val="sv-SE"/>
        </w:rPr>
        <w:t>% av steady state</w:t>
      </w:r>
    </w:p>
    <w:p w14:paraId="5A0C635F" w14:textId="77777777" w:rsidR="001345BE" w:rsidRPr="00A74CC6" w:rsidRDefault="001345BE" w:rsidP="001341B2">
      <w:pPr>
        <w:spacing w:after="0" w:line="240" w:lineRule="auto"/>
        <w:ind w:left="0" w:firstLine="0"/>
        <w:contextualSpacing/>
        <w:rPr>
          <w:szCs w:val="20"/>
          <w:lang w:val="sv-SE"/>
        </w:rPr>
      </w:pPr>
    </w:p>
    <w:p w14:paraId="284D24F4" w14:textId="2959F3B2" w:rsidR="005027AB" w:rsidRPr="00A74CC6" w:rsidRDefault="00264096" w:rsidP="001341B2">
      <w:pPr>
        <w:keepNext/>
        <w:keepLines/>
        <w:spacing w:after="0" w:line="240" w:lineRule="auto"/>
        <w:ind w:left="0" w:firstLine="0"/>
        <w:contextualSpacing/>
        <w:rPr>
          <w:b/>
          <w:lang w:val="sv-SE"/>
        </w:rPr>
      </w:pPr>
      <w:r w:rsidRPr="00A74CC6">
        <w:rPr>
          <w:b/>
          <w:lang w:val="sv-SE"/>
        </w:rPr>
        <w:t>Tabell</w:t>
      </w:r>
      <w:r w:rsidR="00EC30F5" w:rsidRPr="00A74CC6">
        <w:rPr>
          <w:b/>
          <w:lang w:val="sv-SE"/>
        </w:rPr>
        <w:t> </w:t>
      </w:r>
      <w:r w:rsidRPr="00A74CC6">
        <w:rPr>
          <w:b/>
          <w:lang w:val="sv-SE"/>
        </w:rPr>
        <w:t>16</w:t>
      </w:r>
      <w:r w:rsidR="00E1391C" w:rsidRPr="00A74CC6">
        <w:rPr>
          <w:b/>
          <w:lang w:val="sv-SE"/>
        </w:rPr>
        <w:t>.</w:t>
      </w:r>
      <w:r w:rsidRPr="00A74CC6">
        <w:rPr>
          <w:b/>
          <w:lang w:val="sv-SE"/>
        </w:rPr>
        <w:t xml:space="preserve"> Populationspredikterade farmakokinetiska parametervärden vid steady state för </w:t>
      </w:r>
      <w:r w:rsidR="00342D88" w:rsidRPr="008763E6">
        <w:rPr>
          <w:b/>
          <w:lang w:val="sv-SE"/>
        </w:rPr>
        <w:t>trastuzumab</w:t>
      </w:r>
      <w:r w:rsidR="00342D88" w:rsidRPr="00A74CC6">
        <w:rPr>
          <w:lang w:val="sv-SE"/>
        </w:rPr>
        <w:t xml:space="preserve"> </w:t>
      </w:r>
      <w:r w:rsidR="00EC30F5" w:rsidRPr="008763E6">
        <w:rPr>
          <w:b/>
          <w:lang w:val="sv-SE"/>
        </w:rPr>
        <w:t xml:space="preserve">givet </w:t>
      </w:r>
      <w:r w:rsidRPr="00A74CC6">
        <w:rPr>
          <w:b/>
          <w:lang w:val="sv-SE"/>
        </w:rPr>
        <w:t xml:space="preserve">intravenöst </w:t>
      </w:r>
      <w:r w:rsidR="00EC30F5" w:rsidRPr="00A74CC6">
        <w:rPr>
          <w:b/>
          <w:lang w:val="sv-SE"/>
        </w:rPr>
        <w:t xml:space="preserve">enligt </w:t>
      </w:r>
      <w:r w:rsidRPr="00A74CC6">
        <w:rPr>
          <w:b/>
          <w:lang w:val="sv-SE"/>
        </w:rPr>
        <w:t>doseringsschema för patienter med metastaserad bröstcancer (MBC), tidig bröstcancer (EBC) och avancerad ventrikelcancer (AGC)</w:t>
      </w:r>
    </w:p>
    <w:p w14:paraId="328F7EA1" w14:textId="77777777" w:rsidR="00D617E4" w:rsidRPr="00A74CC6" w:rsidRDefault="00D617E4" w:rsidP="001341B2">
      <w:pPr>
        <w:keepNext/>
        <w:keepLines/>
        <w:spacing w:after="0" w:line="240" w:lineRule="auto"/>
        <w:ind w:left="0" w:firstLine="0"/>
        <w:contextualSpacing/>
        <w:rPr>
          <w:b/>
          <w:lang w:val="sv-SE"/>
        </w:rPr>
      </w:pPr>
    </w:p>
    <w:tbl>
      <w:tblPr>
        <w:tblW w:w="4951" w:type="pct"/>
        <w:tblInd w:w="161" w:type="dxa"/>
        <w:tblCellMar>
          <w:top w:w="111" w:type="dxa"/>
          <w:left w:w="161" w:type="dxa"/>
          <w:right w:w="113" w:type="dxa"/>
        </w:tblCellMar>
        <w:tblLook w:val="04A0" w:firstRow="1" w:lastRow="0" w:firstColumn="1" w:lastColumn="0" w:noHBand="0" w:noVBand="1"/>
      </w:tblPr>
      <w:tblGrid>
        <w:gridCol w:w="2098"/>
        <w:gridCol w:w="1462"/>
        <w:gridCol w:w="1169"/>
        <w:gridCol w:w="2339"/>
        <w:gridCol w:w="2183"/>
      </w:tblGrid>
      <w:tr w:rsidR="00AD14F8" w:rsidRPr="00A74CC6" w14:paraId="3CA3463C" w14:textId="77777777" w:rsidTr="004A019F">
        <w:trPr>
          <w:trHeight w:val="1020"/>
          <w:tblHeader/>
        </w:trPr>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9C619"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Doseringsregim</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17E3B"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Primär tumörtyp</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C46C68"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Antal (n)</w:t>
            </w:r>
          </w:p>
        </w:tc>
        <w:tc>
          <w:tcPr>
            <w:tcW w:w="1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FBCDB" w14:textId="563AD1A6" w:rsidR="005027AB" w:rsidRPr="004A019F" w:rsidRDefault="00EC30F5" w:rsidP="004A019F">
            <w:pPr>
              <w:keepNext/>
              <w:keepLines/>
              <w:spacing w:after="0" w:line="240" w:lineRule="auto"/>
              <w:ind w:left="0" w:firstLine="0"/>
              <w:contextualSpacing/>
              <w:jc w:val="center"/>
              <w:rPr>
                <w:b/>
                <w:lang w:val="sv-SE"/>
              </w:rPr>
            </w:pPr>
            <w:r w:rsidRPr="004A019F">
              <w:rPr>
                <w:b/>
                <w:lang w:val="sv-SE"/>
              </w:rPr>
              <w:t>Intervall för t</w:t>
            </w:r>
            <w:r w:rsidR="00264096" w:rsidRPr="004A019F">
              <w:rPr>
                <w:b/>
                <w:lang w:val="sv-SE"/>
              </w:rPr>
              <w:t xml:space="preserve">otalt </w:t>
            </w:r>
            <w:r w:rsidRPr="004A019F">
              <w:rPr>
                <w:b/>
                <w:lang w:val="sv-SE"/>
              </w:rPr>
              <w:t>c</w:t>
            </w:r>
            <w:r w:rsidR="00264096" w:rsidRPr="004A019F">
              <w:rPr>
                <w:b/>
                <w:lang w:val="sv-SE"/>
              </w:rPr>
              <w:t>learance från</w:t>
            </w:r>
            <w:r w:rsidR="002621F3" w:rsidRPr="004A019F">
              <w:rPr>
                <w:b/>
                <w:lang w:val="sv-SE"/>
              </w:rPr>
              <w:t xml:space="preserve"> </w:t>
            </w:r>
            <w:r w:rsidR="00264096" w:rsidRPr="004A019F">
              <w:rPr>
                <w:b/>
                <w:lang w:val="sv-SE"/>
              </w:rPr>
              <w:t>C</w:t>
            </w:r>
            <w:r w:rsidR="00264096" w:rsidRPr="004A019F">
              <w:rPr>
                <w:b/>
                <w:vertAlign w:val="subscript"/>
                <w:lang w:val="sv-SE"/>
              </w:rPr>
              <w:t>max,ss</w:t>
            </w:r>
            <w:r w:rsidR="00264096" w:rsidRPr="004A019F">
              <w:rPr>
                <w:b/>
                <w:lang w:val="sv-SE"/>
              </w:rPr>
              <w:t xml:space="preserve"> till C</w:t>
            </w:r>
            <w:r w:rsidR="00264096" w:rsidRPr="004A019F">
              <w:rPr>
                <w:b/>
                <w:vertAlign w:val="subscript"/>
                <w:lang w:val="sv-SE"/>
              </w:rPr>
              <w:t xml:space="preserve">min,ss </w:t>
            </w:r>
            <w:r w:rsidR="00264096" w:rsidRPr="004A019F">
              <w:rPr>
                <w:b/>
                <w:lang w:val="sv-SE"/>
              </w:rPr>
              <w:t>(l/dag)</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CE6C3"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t</w:t>
            </w:r>
            <w:r w:rsidRPr="004A019F">
              <w:rPr>
                <w:b/>
                <w:vertAlign w:val="subscript"/>
                <w:lang w:val="sv-SE"/>
              </w:rPr>
              <w:t>1/2</w:t>
            </w:r>
            <w:r w:rsidRPr="004A019F">
              <w:rPr>
                <w:b/>
                <w:lang w:val="sv-SE"/>
              </w:rPr>
              <w:t xml:space="preserve"> intervall från C</w:t>
            </w:r>
            <w:r w:rsidRPr="004A019F">
              <w:rPr>
                <w:b/>
                <w:vertAlign w:val="subscript"/>
                <w:lang w:val="sv-SE"/>
              </w:rPr>
              <w:t>max,ss</w:t>
            </w:r>
            <w:r w:rsidRPr="004A019F">
              <w:rPr>
                <w:b/>
                <w:lang w:val="sv-SE"/>
              </w:rPr>
              <w:t xml:space="preserve"> till C</w:t>
            </w:r>
            <w:r w:rsidRPr="004A019F">
              <w:rPr>
                <w:b/>
                <w:vertAlign w:val="subscript"/>
                <w:lang w:val="sv-SE"/>
              </w:rPr>
              <w:t>min,ss</w:t>
            </w:r>
          </w:p>
          <w:p w14:paraId="62ADB26F" w14:textId="77777777" w:rsidR="005027AB" w:rsidRPr="004A019F" w:rsidRDefault="00264096" w:rsidP="004A019F">
            <w:pPr>
              <w:keepNext/>
              <w:keepLines/>
              <w:spacing w:after="0" w:line="240" w:lineRule="auto"/>
              <w:ind w:left="0" w:firstLine="0"/>
              <w:contextualSpacing/>
              <w:jc w:val="center"/>
              <w:rPr>
                <w:b/>
                <w:lang w:val="sv-SE"/>
              </w:rPr>
            </w:pPr>
            <w:r w:rsidRPr="004A019F">
              <w:rPr>
                <w:b/>
                <w:lang w:val="sv-SE"/>
              </w:rPr>
              <w:t>(dag)</w:t>
            </w:r>
          </w:p>
        </w:tc>
      </w:tr>
      <w:tr w:rsidR="00AD14F8" w:rsidRPr="00A74CC6" w14:paraId="394A0454" w14:textId="77777777" w:rsidTr="004A019F">
        <w:trPr>
          <w:trHeight w:val="227"/>
        </w:trPr>
        <w:tc>
          <w:tcPr>
            <w:tcW w:w="11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CA3394" w14:textId="23C0DDE2" w:rsidR="005027AB" w:rsidRPr="004A019F" w:rsidRDefault="00264096" w:rsidP="004A019F">
            <w:pPr>
              <w:spacing w:after="0" w:line="240" w:lineRule="auto"/>
              <w:ind w:left="0" w:firstLine="0"/>
              <w:contextualSpacing/>
              <w:jc w:val="center"/>
              <w:rPr>
                <w:lang w:val="sv-SE"/>
              </w:rPr>
            </w:pPr>
            <w:r w:rsidRPr="004A019F">
              <w:rPr>
                <w:lang w:val="sv-SE"/>
              </w:rPr>
              <w:t>8</w:t>
            </w:r>
            <w:r w:rsidR="00EC30F5" w:rsidRPr="004A019F">
              <w:rPr>
                <w:lang w:val="sv-SE"/>
              </w:rPr>
              <w:t> </w:t>
            </w:r>
            <w:r w:rsidRPr="004A019F">
              <w:rPr>
                <w:lang w:val="sv-SE"/>
              </w:rPr>
              <w:t>mg/kg +</w:t>
            </w:r>
            <w:r w:rsidR="00617BAB" w:rsidRPr="004A019F">
              <w:rPr>
                <w:lang w:val="sv-SE"/>
              </w:rPr>
              <w:t xml:space="preserve"> </w:t>
            </w:r>
            <w:r w:rsidRPr="004A019F">
              <w:rPr>
                <w:lang w:val="sv-SE"/>
              </w:rPr>
              <w:t>6</w:t>
            </w:r>
            <w:r w:rsidR="00EC30F5" w:rsidRPr="004A019F">
              <w:rPr>
                <w:lang w:val="sv-SE"/>
              </w:rPr>
              <w:t> </w:t>
            </w:r>
            <w:r w:rsidRPr="004A019F">
              <w:rPr>
                <w:lang w:val="sv-SE"/>
              </w:rPr>
              <w:t>mg/kg var tredje vecka</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298F0F" w14:textId="77777777" w:rsidR="005027AB" w:rsidRPr="004A019F" w:rsidRDefault="00264096" w:rsidP="004A019F">
            <w:pPr>
              <w:spacing w:after="0" w:line="240" w:lineRule="auto"/>
              <w:ind w:left="0" w:firstLine="0"/>
              <w:contextualSpacing/>
              <w:jc w:val="center"/>
              <w:rPr>
                <w:lang w:val="sv-SE"/>
              </w:rPr>
            </w:pPr>
            <w:r w:rsidRPr="004A019F">
              <w:rPr>
                <w:lang w:val="sv-SE"/>
              </w:rPr>
              <w:t>MBC</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61E134" w14:textId="77777777" w:rsidR="005027AB" w:rsidRPr="004A019F" w:rsidRDefault="00264096" w:rsidP="004A019F">
            <w:pPr>
              <w:spacing w:after="0" w:line="240" w:lineRule="auto"/>
              <w:ind w:left="0" w:firstLine="0"/>
              <w:contextualSpacing/>
              <w:jc w:val="center"/>
              <w:rPr>
                <w:lang w:val="sv-SE"/>
              </w:rPr>
            </w:pPr>
            <w:r w:rsidRPr="004A019F">
              <w:rPr>
                <w:lang w:val="sv-SE"/>
              </w:rPr>
              <w:t>805</w:t>
            </w:r>
          </w:p>
        </w:tc>
        <w:tc>
          <w:tcPr>
            <w:tcW w:w="1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096EEB" w14:textId="3DFEE7DE" w:rsidR="005027AB" w:rsidRPr="004A019F" w:rsidRDefault="00264096" w:rsidP="004A019F">
            <w:pPr>
              <w:spacing w:after="0" w:line="240" w:lineRule="auto"/>
              <w:ind w:left="0" w:firstLine="0"/>
              <w:contextualSpacing/>
              <w:jc w:val="center"/>
              <w:rPr>
                <w:lang w:val="sv-SE"/>
              </w:rPr>
            </w:pPr>
            <w:r w:rsidRPr="004A019F">
              <w:rPr>
                <w:lang w:val="sv-SE"/>
              </w:rPr>
              <w:t>0,183</w:t>
            </w:r>
            <w:r w:rsidR="00DA48BB" w:rsidRPr="004A019F">
              <w:rPr>
                <w:lang w:val="sv-SE"/>
              </w:rPr>
              <w:t xml:space="preserve"> – </w:t>
            </w:r>
            <w:r w:rsidRPr="004A019F">
              <w:rPr>
                <w:lang w:val="sv-SE"/>
              </w:rPr>
              <w:t>0,302</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0FDEB" w14:textId="0A3C4F80" w:rsidR="005027AB" w:rsidRPr="004A019F" w:rsidRDefault="00264096" w:rsidP="004A019F">
            <w:pPr>
              <w:spacing w:after="0" w:line="240" w:lineRule="auto"/>
              <w:ind w:left="0" w:firstLine="0"/>
              <w:contextualSpacing/>
              <w:jc w:val="center"/>
              <w:rPr>
                <w:lang w:val="sv-SE"/>
              </w:rPr>
            </w:pPr>
            <w:r w:rsidRPr="004A019F">
              <w:rPr>
                <w:lang w:val="sv-SE"/>
              </w:rPr>
              <w:t>15,1</w:t>
            </w:r>
            <w:r w:rsidR="00DA48BB" w:rsidRPr="004A019F">
              <w:rPr>
                <w:lang w:val="sv-SE"/>
              </w:rPr>
              <w:t xml:space="preserve"> – </w:t>
            </w:r>
            <w:r w:rsidRPr="004A019F">
              <w:rPr>
                <w:lang w:val="sv-SE"/>
              </w:rPr>
              <w:t>23,3</w:t>
            </w:r>
          </w:p>
        </w:tc>
      </w:tr>
      <w:tr w:rsidR="00AD14F8" w:rsidRPr="00A74CC6" w14:paraId="5E24322F" w14:textId="77777777" w:rsidTr="004A019F">
        <w:trPr>
          <w:trHeight w:val="227"/>
        </w:trPr>
        <w:tc>
          <w:tcPr>
            <w:tcW w:w="1134" w:type="pct"/>
            <w:vMerge/>
            <w:tcBorders>
              <w:top w:val="nil"/>
              <w:left w:val="single" w:sz="4" w:space="0" w:color="000000"/>
              <w:bottom w:val="nil"/>
              <w:right w:val="single" w:sz="4" w:space="0" w:color="000000"/>
            </w:tcBorders>
            <w:shd w:val="clear" w:color="auto" w:fill="auto"/>
            <w:vAlign w:val="center"/>
          </w:tcPr>
          <w:p w14:paraId="6794C9FA" w14:textId="77777777" w:rsidR="005027AB" w:rsidRPr="004A019F" w:rsidRDefault="005027AB" w:rsidP="004A019F">
            <w:pPr>
              <w:spacing w:after="0" w:line="240" w:lineRule="auto"/>
              <w:ind w:left="0" w:firstLine="0"/>
              <w:contextualSpacing/>
              <w:jc w:val="center"/>
              <w:rPr>
                <w:lang w:val="sv-SE"/>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57641" w14:textId="77777777" w:rsidR="005027AB" w:rsidRPr="004A019F" w:rsidRDefault="00264096" w:rsidP="004A019F">
            <w:pPr>
              <w:spacing w:after="0" w:line="240" w:lineRule="auto"/>
              <w:ind w:left="0" w:firstLine="0"/>
              <w:contextualSpacing/>
              <w:jc w:val="center"/>
              <w:rPr>
                <w:lang w:val="sv-SE"/>
              </w:rPr>
            </w:pPr>
            <w:r w:rsidRPr="004A019F">
              <w:rPr>
                <w:lang w:val="sv-SE"/>
              </w:rPr>
              <w:t>EBC</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66DD0" w14:textId="77777777" w:rsidR="005027AB" w:rsidRPr="004A019F" w:rsidRDefault="00264096" w:rsidP="004A019F">
            <w:pPr>
              <w:spacing w:after="0" w:line="240" w:lineRule="auto"/>
              <w:ind w:left="0" w:firstLine="0"/>
              <w:contextualSpacing/>
              <w:jc w:val="center"/>
              <w:rPr>
                <w:lang w:val="sv-SE"/>
              </w:rPr>
            </w:pPr>
            <w:r w:rsidRPr="004A019F">
              <w:rPr>
                <w:lang w:val="sv-SE"/>
              </w:rPr>
              <w:t>390</w:t>
            </w:r>
          </w:p>
        </w:tc>
        <w:tc>
          <w:tcPr>
            <w:tcW w:w="1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8F8202" w14:textId="30F416D7" w:rsidR="005027AB" w:rsidRPr="004A019F" w:rsidRDefault="00264096" w:rsidP="004A019F">
            <w:pPr>
              <w:spacing w:after="0" w:line="240" w:lineRule="auto"/>
              <w:ind w:left="0" w:firstLine="0"/>
              <w:contextualSpacing/>
              <w:jc w:val="center"/>
              <w:rPr>
                <w:lang w:val="sv-SE"/>
              </w:rPr>
            </w:pPr>
            <w:r w:rsidRPr="004A019F">
              <w:rPr>
                <w:lang w:val="sv-SE"/>
              </w:rPr>
              <w:t>0,158</w:t>
            </w:r>
            <w:r w:rsidR="00DA48BB" w:rsidRPr="004A019F">
              <w:rPr>
                <w:lang w:val="sv-SE"/>
              </w:rPr>
              <w:t xml:space="preserve"> – </w:t>
            </w:r>
            <w:r w:rsidRPr="004A019F">
              <w:rPr>
                <w:lang w:val="sv-SE"/>
              </w:rPr>
              <w:t>0,253</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7B381B" w14:textId="77777777" w:rsidR="005027AB" w:rsidRPr="004A019F" w:rsidRDefault="00264096" w:rsidP="004A019F">
            <w:pPr>
              <w:spacing w:after="0" w:line="240" w:lineRule="auto"/>
              <w:ind w:left="0" w:firstLine="0"/>
              <w:contextualSpacing/>
              <w:jc w:val="center"/>
              <w:rPr>
                <w:lang w:val="sv-SE"/>
              </w:rPr>
            </w:pPr>
            <w:r w:rsidRPr="004A019F">
              <w:rPr>
                <w:lang w:val="sv-SE"/>
              </w:rPr>
              <w:t>17,5 – 26,6</w:t>
            </w:r>
          </w:p>
        </w:tc>
      </w:tr>
      <w:tr w:rsidR="00AD14F8" w:rsidRPr="00A74CC6" w14:paraId="0F4B15D4" w14:textId="77777777" w:rsidTr="004A019F">
        <w:trPr>
          <w:trHeight w:val="227"/>
        </w:trPr>
        <w:tc>
          <w:tcPr>
            <w:tcW w:w="1134" w:type="pct"/>
            <w:vMerge/>
            <w:tcBorders>
              <w:top w:val="nil"/>
              <w:left w:val="single" w:sz="4" w:space="0" w:color="000000"/>
              <w:bottom w:val="single" w:sz="4" w:space="0" w:color="000000"/>
              <w:right w:val="single" w:sz="4" w:space="0" w:color="000000"/>
            </w:tcBorders>
            <w:shd w:val="clear" w:color="auto" w:fill="auto"/>
            <w:vAlign w:val="center"/>
          </w:tcPr>
          <w:p w14:paraId="2DA60EC4" w14:textId="77777777" w:rsidR="005027AB" w:rsidRPr="004A019F" w:rsidRDefault="005027AB" w:rsidP="004A019F">
            <w:pPr>
              <w:spacing w:after="0" w:line="240" w:lineRule="auto"/>
              <w:ind w:left="0" w:firstLine="0"/>
              <w:contextualSpacing/>
              <w:jc w:val="center"/>
              <w:rPr>
                <w:lang w:val="sv-SE"/>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9138F0" w14:textId="77777777" w:rsidR="005027AB" w:rsidRPr="004A019F" w:rsidRDefault="00264096" w:rsidP="004A019F">
            <w:pPr>
              <w:spacing w:after="0" w:line="240" w:lineRule="auto"/>
              <w:ind w:left="0" w:firstLine="0"/>
              <w:contextualSpacing/>
              <w:jc w:val="center"/>
              <w:rPr>
                <w:lang w:val="sv-SE"/>
              </w:rPr>
            </w:pPr>
            <w:r w:rsidRPr="004A019F">
              <w:rPr>
                <w:lang w:val="sv-SE"/>
              </w:rPr>
              <w:t>AGC</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4230D2" w14:textId="77777777" w:rsidR="005027AB" w:rsidRPr="004A019F" w:rsidRDefault="00264096" w:rsidP="004A019F">
            <w:pPr>
              <w:spacing w:after="0" w:line="240" w:lineRule="auto"/>
              <w:ind w:left="0" w:firstLine="0"/>
              <w:contextualSpacing/>
              <w:jc w:val="center"/>
              <w:rPr>
                <w:lang w:val="sv-SE"/>
              </w:rPr>
            </w:pPr>
            <w:r w:rsidRPr="004A019F">
              <w:rPr>
                <w:lang w:val="sv-SE"/>
              </w:rPr>
              <w:t>274</w:t>
            </w:r>
          </w:p>
        </w:tc>
        <w:tc>
          <w:tcPr>
            <w:tcW w:w="1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7B5C4" w14:textId="36926443" w:rsidR="005027AB" w:rsidRPr="004A019F" w:rsidRDefault="00264096" w:rsidP="004A019F">
            <w:pPr>
              <w:spacing w:after="0" w:line="240" w:lineRule="auto"/>
              <w:ind w:left="0" w:firstLine="0"/>
              <w:contextualSpacing/>
              <w:jc w:val="center"/>
              <w:rPr>
                <w:lang w:val="sv-SE"/>
              </w:rPr>
            </w:pPr>
            <w:r w:rsidRPr="004A019F">
              <w:rPr>
                <w:lang w:val="sv-SE"/>
              </w:rPr>
              <w:t>0,189</w:t>
            </w:r>
            <w:r w:rsidR="00DA48BB" w:rsidRPr="004A019F">
              <w:rPr>
                <w:lang w:val="sv-SE"/>
              </w:rPr>
              <w:t xml:space="preserve"> – </w:t>
            </w:r>
            <w:r w:rsidRPr="004A019F">
              <w:rPr>
                <w:lang w:val="sv-SE"/>
              </w:rPr>
              <w:t>0,337</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4F2FF" w14:textId="60DE8FEF" w:rsidR="005027AB" w:rsidRPr="004A019F" w:rsidRDefault="00264096" w:rsidP="004A019F">
            <w:pPr>
              <w:spacing w:after="0" w:line="240" w:lineRule="auto"/>
              <w:ind w:left="0" w:firstLine="0"/>
              <w:contextualSpacing/>
              <w:jc w:val="center"/>
              <w:rPr>
                <w:lang w:val="sv-SE"/>
              </w:rPr>
            </w:pPr>
            <w:r w:rsidRPr="004A019F">
              <w:rPr>
                <w:lang w:val="sv-SE"/>
              </w:rPr>
              <w:t>12,6</w:t>
            </w:r>
            <w:r w:rsidR="00DA48BB" w:rsidRPr="004A019F">
              <w:rPr>
                <w:lang w:val="sv-SE"/>
              </w:rPr>
              <w:t xml:space="preserve"> – </w:t>
            </w:r>
            <w:r w:rsidRPr="004A019F">
              <w:rPr>
                <w:lang w:val="sv-SE"/>
              </w:rPr>
              <w:t>20,6</w:t>
            </w:r>
          </w:p>
        </w:tc>
      </w:tr>
      <w:tr w:rsidR="00AD14F8" w:rsidRPr="00A74CC6" w14:paraId="6BA09689" w14:textId="77777777" w:rsidTr="004A019F">
        <w:trPr>
          <w:trHeight w:val="227"/>
        </w:trPr>
        <w:tc>
          <w:tcPr>
            <w:tcW w:w="11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911CCA" w14:textId="45F98211" w:rsidR="005027AB" w:rsidRPr="004A019F" w:rsidRDefault="00264096" w:rsidP="004A019F">
            <w:pPr>
              <w:spacing w:after="0" w:line="240" w:lineRule="auto"/>
              <w:ind w:left="0" w:firstLine="0"/>
              <w:contextualSpacing/>
              <w:jc w:val="center"/>
              <w:rPr>
                <w:lang w:val="sv-SE"/>
              </w:rPr>
            </w:pPr>
            <w:r w:rsidRPr="004A019F">
              <w:rPr>
                <w:lang w:val="sv-SE"/>
              </w:rPr>
              <w:t>4</w:t>
            </w:r>
            <w:r w:rsidR="00EC30F5" w:rsidRPr="004A019F">
              <w:rPr>
                <w:lang w:val="sv-SE"/>
              </w:rPr>
              <w:t> </w:t>
            </w:r>
            <w:r w:rsidRPr="004A019F">
              <w:rPr>
                <w:lang w:val="sv-SE"/>
              </w:rPr>
              <w:t>mg/kg +</w:t>
            </w:r>
            <w:r w:rsidR="00617BAB" w:rsidRPr="004A019F">
              <w:rPr>
                <w:lang w:val="sv-SE"/>
              </w:rPr>
              <w:t xml:space="preserve"> </w:t>
            </w:r>
            <w:r w:rsidRPr="004A019F">
              <w:rPr>
                <w:lang w:val="sv-SE"/>
              </w:rPr>
              <w:t>2</w:t>
            </w:r>
            <w:r w:rsidR="00EC30F5" w:rsidRPr="004A019F">
              <w:rPr>
                <w:lang w:val="sv-SE"/>
              </w:rPr>
              <w:t> </w:t>
            </w:r>
            <w:r w:rsidRPr="004A019F">
              <w:rPr>
                <w:lang w:val="sv-SE"/>
              </w:rPr>
              <w:t>mg/kg varje vecka</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A42C2" w14:textId="77777777" w:rsidR="005027AB" w:rsidRPr="004A019F" w:rsidRDefault="00264096" w:rsidP="004A019F">
            <w:pPr>
              <w:spacing w:after="0" w:line="240" w:lineRule="auto"/>
              <w:ind w:left="0" w:firstLine="0"/>
              <w:contextualSpacing/>
              <w:jc w:val="center"/>
              <w:rPr>
                <w:lang w:val="sv-SE"/>
              </w:rPr>
            </w:pPr>
            <w:r w:rsidRPr="004A019F">
              <w:rPr>
                <w:lang w:val="sv-SE"/>
              </w:rPr>
              <w:t>MBC</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AFC9FF" w14:textId="77777777" w:rsidR="005027AB" w:rsidRPr="004A019F" w:rsidRDefault="00264096" w:rsidP="004A019F">
            <w:pPr>
              <w:spacing w:after="0" w:line="240" w:lineRule="auto"/>
              <w:ind w:left="0" w:firstLine="0"/>
              <w:contextualSpacing/>
              <w:jc w:val="center"/>
              <w:rPr>
                <w:lang w:val="sv-SE"/>
              </w:rPr>
            </w:pPr>
            <w:r w:rsidRPr="004A019F">
              <w:rPr>
                <w:lang w:val="sv-SE"/>
              </w:rPr>
              <w:t>805</w:t>
            </w:r>
          </w:p>
        </w:tc>
        <w:tc>
          <w:tcPr>
            <w:tcW w:w="1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4F3FC" w14:textId="5B239CB6" w:rsidR="005027AB" w:rsidRPr="004A019F" w:rsidRDefault="00264096" w:rsidP="004A019F">
            <w:pPr>
              <w:spacing w:after="0" w:line="240" w:lineRule="auto"/>
              <w:ind w:left="0" w:firstLine="0"/>
              <w:contextualSpacing/>
              <w:jc w:val="center"/>
              <w:rPr>
                <w:lang w:val="sv-SE"/>
              </w:rPr>
            </w:pPr>
            <w:r w:rsidRPr="004A019F">
              <w:rPr>
                <w:lang w:val="sv-SE"/>
              </w:rPr>
              <w:t>0,213</w:t>
            </w:r>
            <w:r w:rsidR="00DA48BB" w:rsidRPr="004A019F">
              <w:rPr>
                <w:lang w:val="sv-SE"/>
              </w:rPr>
              <w:t xml:space="preserve"> – </w:t>
            </w:r>
            <w:r w:rsidRPr="004A019F">
              <w:rPr>
                <w:lang w:val="sv-SE"/>
              </w:rPr>
              <w:t>0,259</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0D4CE" w14:textId="2DEFE01A" w:rsidR="005027AB" w:rsidRPr="004A019F" w:rsidRDefault="00264096" w:rsidP="004A019F">
            <w:pPr>
              <w:spacing w:after="0" w:line="240" w:lineRule="auto"/>
              <w:ind w:left="0" w:firstLine="0"/>
              <w:contextualSpacing/>
              <w:jc w:val="center"/>
              <w:rPr>
                <w:lang w:val="sv-SE"/>
              </w:rPr>
            </w:pPr>
            <w:r w:rsidRPr="004A019F">
              <w:rPr>
                <w:lang w:val="sv-SE"/>
              </w:rPr>
              <w:t>17,2</w:t>
            </w:r>
            <w:r w:rsidR="00DA48BB" w:rsidRPr="004A019F">
              <w:rPr>
                <w:lang w:val="sv-SE"/>
              </w:rPr>
              <w:t xml:space="preserve"> – </w:t>
            </w:r>
            <w:r w:rsidRPr="004A019F">
              <w:rPr>
                <w:lang w:val="sv-SE"/>
              </w:rPr>
              <w:t>20,4</w:t>
            </w:r>
          </w:p>
        </w:tc>
      </w:tr>
      <w:tr w:rsidR="00AD14F8" w:rsidRPr="00A74CC6" w14:paraId="7811CDE3" w14:textId="77777777" w:rsidTr="004A019F">
        <w:trPr>
          <w:trHeight w:val="227"/>
        </w:trPr>
        <w:tc>
          <w:tcPr>
            <w:tcW w:w="1134" w:type="pct"/>
            <w:vMerge/>
            <w:tcBorders>
              <w:top w:val="nil"/>
              <w:left w:val="single" w:sz="4" w:space="0" w:color="000000"/>
              <w:bottom w:val="single" w:sz="4" w:space="0" w:color="000000"/>
              <w:right w:val="single" w:sz="4" w:space="0" w:color="000000"/>
            </w:tcBorders>
            <w:shd w:val="clear" w:color="auto" w:fill="auto"/>
          </w:tcPr>
          <w:p w14:paraId="0ABBEC5A" w14:textId="77777777" w:rsidR="005027AB" w:rsidRPr="004A019F" w:rsidRDefault="005027AB" w:rsidP="004A019F">
            <w:pPr>
              <w:spacing w:after="0" w:line="240" w:lineRule="auto"/>
              <w:ind w:left="0" w:firstLine="0"/>
              <w:contextualSpacing/>
              <w:rPr>
                <w:lang w:val="sv-SE"/>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6DF6E" w14:textId="77777777" w:rsidR="005027AB" w:rsidRPr="004A019F" w:rsidRDefault="00264096" w:rsidP="004A019F">
            <w:pPr>
              <w:spacing w:after="0" w:line="240" w:lineRule="auto"/>
              <w:ind w:left="0" w:firstLine="0"/>
              <w:contextualSpacing/>
              <w:jc w:val="center"/>
              <w:rPr>
                <w:lang w:val="sv-SE"/>
              </w:rPr>
            </w:pPr>
            <w:r w:rsidRPr="004A019F">
              <w:rPr>
                <w:lang w:val="sv-SE"/>
              </w:rPr>
              <w:t>EBC</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67BA5" w14:textId="77777777" w:rsidR="005027AB" w:rsidRPr="004A019F" w:rsidRDefault="00264096" w:rsidP="004A019F">
            <w:pPr>
              <w:spacing w:after="0" w:line="240" w:lineRule="auto"/>
              <w:ind w:left="0" w:firstLine="0"/>
              <w:contextualSpacing/>
              <w:jc w:val="center"/>
              <w:rPr>
                <w:lang w:val="sv-SE"/>
              </w:rPr>
            </w:pPr>
            <w:r w:rsidRPr="004A019F">
              <w:rPr>
                <w:lang w:val="sv-SE"/>
              </w:rPr>
              <w:t>390</w:t>
            </w:r>
          </w:p>
        </w:tc>
        <w:tc>
          <w:tcPr>
            <w:tcW w:w="1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22603" w14:textId="36EA8BD2" w:rsidR="005027AB" w:rsidRPr="004A019F" w:rsidRDefault="00264096" w:rsidP="004A019F">
            <w:pPr>
              <w:spacing w:after="0" w:line="240" w:lineRule="auto"/>
              <w:ind w:left="0" w:firstLine="0"/>
              <w:contextualSpacing/>
              <w:jc w:val="center"/>
              <w:rPr>
                <w:lang w:val="sv-SE"/>
              </w:rPr>
            </w:pPr>
            <w:r w:rsidRPr="004A019F">
              <w:rPr>
                <w:lang w:val="sv-SE"/>
              </w:rPr>
              <w:t>0,184</w:t>
            </w:r>
            <w:r w:rsidR="00DA48BB" w:rsidRPr="004A019F">
              <w:rPr>
                <w:lang w:val="sv-SE"/>
              </w:rPr>
              <w:t xml:space="preserve"> – </w:t>
            </w:r>
            <w:r w:rsidRPr="004A019F">
              <w:rPr>
                <w:lang w:val="sv-SE"/>
              </w:rPr>
              <w:t>0,221</w:t>
            </w:r>
          </w:p>
        </w:tc>
        <w:tc>
          <w:tcPr>
            <w:tcW w:w="1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48F5FD" w14:textId="06C51734" w:rsidR="005027AB" w:rsidRPr="004A019F" w:rsidRDefault="00264096" w:rsidP="004A019F">
            <w:pPr>
              <w:spacing w:after="0" w:line="240" w:lineRule="auto"/>
              <w:ind w:left="0" w:firstLine="0"/>
              <w:contextualSpacing/>
              <w:jc w:val="center"/>
              <w:rPr>
                <w:lang w:val="sv-SE"/>
              </w:rPr>
            </w:pPr>
            <w:r w:rsidRPr="004A019F">
              <w:rPr>
                <w:lang w:val="sv-SE"/>
              </w:rPr>
              <w:t>19,7</w:t>
            </w:r>
            <w:r w:rsidR="00DA48BB" w:rsidRPr="004A019F">
              <w:rPr>
                <w:lang w:val="sv-SE"/>
              </w:rPr>
              <w:t xml:space="preserve"> – </w:t>
            </w:r>
            <w:r w:rsidRPr="004A019F">
              <w:rPr>
                <w:lang w:val="sv-SE"/>
              </w:rPr>
              <w:t>23,2</w:t>
            </w:r>
          </w:p>
        </w:tc>
      </w:tr>
    </w:tbl>
    <w:p w14:paraId="5E147BA4" w14:textId="77777777" w:rsidR="001345BE" w:rsidRPr="00A74CC6" w:rsidRDefault="001345BE" w:rsidP="001341B2">
      <w:pPr>
        <w:pStyle w:val="Heading3"/>
        <w:keepNext w:val="0"/>
        <w:keepLines w:val="0"/>
        <w:spacing w:after="0" w:line="240" w:lineRule="auto"/>
        <w:ind w:left="0"/>
        <w:contextualSpacing/>
        <w:rPr>
          <w:u w:val="none"/>
          <w:lang w:val="sv-SE"/>
        </w:rPr>
      </w:pPr>
    </w:p>
    <w:p w14:paraId="52D83E49" w14:textId="77777777" w:rsidR="005027AB" w:rsidRPr="00A74CC6" w:rsidRDefault="00264096" w:rsidP="001341B2">
      <w:pPr>
        <w:pStyle w:val="Heading3"/>
        <w:spacing w:after="0" w:line="240" w:lineRule="auto"/>
        <w:ind w:left="0" w:hanging="11"/>
        <w:contextualSpacing/>
        <w:rPr>
          <w:i w:val="0"/>
          <w:lang w:val="sv-SE"/>
        </w:rPr>
      </w:pPr>
      <w:r w:rsidRPr="00A74CC6">
        <w:rPr>
          <w:i w:val="0"/>
          <w:lang w:val="sv-SE"/>
        </w:rPr>
        <w:t>Trastuzumabs washout-period</w:t>
      </w:r>
    </w:p>
    <w:p w14:paraId="4CDA4C16" w14:textId="77777777" w:rsidR="001D5307" w:rsidRPr="00A74CC6" w:rsidRDefault="001D5307" w:rsidP="001341B2">
      <w:pPr>
        <w:keepNext/>
        <w:spacing w:after="0" w:line="240" w:lineRule="auto"/>
        <w:ind w:left="0" w:hanging="6"/>
        <w:rPr>
          <w:lang w:val="sv-SE"/>
        </w:rPr>
      </w:pPr>
    </w:p>
    <w:p w14:paraId="6DA5D276" w14:textId="692A9DAD" w:rsidR="005027AB" w:rsidRPr="00A74CC6" w:rsidRDefault="00264096" w:rsidP="001341B2">
      <w:pPr>
        <w:spacing w:after="0" w:line="240" w:lineRule="auto"/>
        <w:ind w:left="0"/>
        <w:contextualSpacing/>
        <w:rPr>
          <w:lang w:val="sv-SE"/>
        </w:rPr>
      </w:pPr>
      <w:r w:rsidRPr="00A74CC6">
        <w:rPr>
          <w:lang w:val="sv-SE"/>
        </w:rPr>
        <w:t>Trastuzumabs washout-period utvärderades med den populationsfarmakokinetiska modellen efter intravenös administrering varje vecka eller var tredje vecka. Resultaten från dessa simuleringar tyder på att minst 95</w:t>
      </w:r>
      <w:r w:rsidR="00B268E6" w:rsidRPr="00A74CC6">
        <w:rPr>
          <w:lang w:val="sv-SE"/>
        </w:rPr>
        <w:t> %</w:t>
      </w:r>
      <w:r w:rsidRPr="00A74CC6">
        <w:rPr>
          <w:lang w:val="sv-SE"/>
        </w:rPr>
        <w:t xml:space="preserve"> av patienterna kommer att uppnå koncentrationer som är &lt;</w:t>
      </w:r>
      <w:r w:rsidR="00D84DBE" w:rsidRPr="00A74CC6">
        <w:rPr>
          <w:lang w:val="sv-SE"/>
        </w:rPr>
        <w:t> </w:t>
      </w:r>
      <w:r w:rsidRPr="00A74CC6">
        <w:rPr>
          <w:lang w:val="sv-SE"/>
        </w:rPr>
        <w:t>1</w:t>
      </w:r>
      <w:r w:rsidR="00D84DBE" w:rsidRPr="00A74CC6">
        <w:rPr>
          <w:lang w:val="sv-SE"/>
        </w:rPr>
        <w:t> </w:t>
      </w:r>
      <w:r w:rsidRPr="00A74CC6">
        <w:rPr>
          <w:lang w:val="sv-SE"/>
        </w:rPr>
        <w:t>μg/ml (ungefär 3</w:t>
      </w:r>
      <w:r w:rsidR="00092D6C" w:rsidRPr="00A74CC6">
        <w:rPr>
          <w:lang w:val="sv-SE"/>
        </w:rPr>
        <w:t> </w:t>
      </w:r>
      <w:r w:rsidRPr="00A74CC6">
        <w:rPr>
          <w:lang w:val="sv-SE"/>
        </w:rPr>
        <w:t>% av population</w:t>
      </w:r>
      <w:r w:rsidR="00EC30F5" w:rsidRPr="00A74CC6">
        <w:rPr>
          <w:lang w:val="sv-SE"/>
        </w:rPr>
        <w:t>s</w:t>
      </w:r>
      <w:r w:rsidRPr="00A74CC6">
        <w:rPr>
          <w:lang w:val="sv-SE"/>
        </w:rPr>
        <w:t>prediktera</w:t>
      </w:r>
      <w:r w:rsidR="00EC30F5" w:rsidRPr="00A74CC6">
        <w:rPr>
          <w:lang w:val="sv-SE"/>
        </w:rPr>
        <w:t>t</w:t>
      </w:r>
      <w:r w:rsidRPr="00A74CC6">
        <w:rPr>
          <w:lang w:val="sv-SE"/>
        </w:rPr>
        <w:t xml:space="preserve"> C</w:t>
      </w:r>
      <w:r w:rsidRPr="00A74CC6">
        <w:rPr>
          <w:vertAlign w:val="subscript"/>
          <w:lang w:val="sv-SE"/>
        </w:rPr>
        <w:t>min,ss</w:t>
      </w:r>
      <w:r w:rsidRPr="00A74CC6">
        <w:rPr>
          <w:lang w:val="sv-SE"/>
        </w:rPr>
        <w:t>, eller cirka 97</w:t>
      </w:r>
      <w:r w:rsidR="00092D6C" w:rsidRPr="00A74CC6">
        <w:rPr>
          <w:lang w:val="sv-SE"/>
        </w:rPr>
        <w:t> </w:t>
      </w:r>
      <w:r w:rsidRPr="00A74CC6">
        <w:rPr>
          <w:lang w:val="sv-SE"/>
        </w:rPr>
        <w:t>% washout) efter 7</w:t>
      </w:r>
      <w:r w:rsidR="00EC30F5" w:rsidRPr="00A74CC6">
        <w:rPr>
          <w:lang w:val="sv-SE"/>
        </w:rPr>
        <w:t> </w:t>
      </w:r>
      <w:r w:rsidRPr="00A74CC6">
        <w:rPr>
          <w:lang w:val="sv-SE"/>
        </w:rPr>
        <w:t>månader.</w:t>
      </w:r>
    </w:p>
    <w:p w14:paraId="0D87FD58" w14:textId="77777777" w:rsidR="00D84DBE" w:rsidRPr="00A74CC6" w:rsidRDefault="00D84DBE" w:rsidP="001341B2">
      <w:pPr>
        <w:spacing w:after="0" w:line="240" w:lineRule="auto"/>
        <w:ind w:left="0" w:firstLine="0"/>
        <w:contextualSpacing/>
        <w:rPr>
          <w:lang w:val="sv-SE"/>
        </w:rPr>
      </w:pPr>
    </w:p>
    <w:p w14:paraId="350ED1D7" w14:textId="6B3BA2EB" w:rsidR="005027AB" w:rsidRPr="00A74CC6" w:rsidRDefault="00264096" w:rsidP="001341B2">
      <w:pPr>
        <w:pStyle w:val="Heading3"/>
        <w:spacing w:after="0" w:line="240" w:lineRule="auto"/>
        <w:ind w:left="0" w:firstLine="0"/>
        <w:contextualSpacing/>
        <w:rPr>
          <w:i w:val="0"/>
          <w:lang w:val="sv-SE"/>
        </w:rPr>
      </w:pPr>
      <w:r w:rsidRPr="00A74CC6">
        <w:rPr>
          <w:i w:val="0"/>
          <w:lang w:val="sv-SE"/>
        </w:rPr>
        <w:t xml:space="preserve">Cirkulerande </w:t>
      </w:r>
      <w:r w:rsidR="00AD2AA3" w:rsidRPr="00A74CC6">
        <w:rPr>
          <w:i w:val="0"/>
          <w:lang w:val="sv-SE"/>
        </w:rPr>
        <w:t>utsöndrat</w:t>
      </w:r>
      <w:r w:rsidRPr="00A74CC6">
        <w:rPr>
          <w:i w:val="0"/>
          <w:lang w:val="sv-SE"/>
        </w:rPr>
        <w:t xml:space="preserve"> HER2</w:t>
      </w:r>
      <w:r w:rsidR="00AD2AA3" w:rsidRPr="00A74CC6">
        <w:rPr>
          <w:i w:val="0"/>
          <w:lang w:val="sv-SE"/>
        </w:rPr>
        <w:t>-</w:t>
      </w:r>
      <w:r w:rsidRPr="00A74CC6">
        <w:rPr>
          <w:i w:val="0"/>
          <w:lang w:val="sv-SE"/>
        </w:rPr>
        <w:t>ECD</w:t>
      </w:r>
    </w:p>
    <w:p w14:paraId="1494F9C7" w14:textId="77777777" w:rsidR="001D5307" w:rsidRPr="00A74CC6" w:rsidRDefault="001D5307" w:rsidP="001341B2">
      <w:pPr>
        <w:keepNext/>
        <w:spacing w:after="0" w:line="240" w:lineRule="auto"/>
        <w:ind w:left="0" w:firstLine="0"/>
        <w:rPr>
          <w:lang w:val="sv-SE"/>
        </w:rPr>
      </w:pPr>
    </w:p>
    <w:p w14:paraId="323F0483" w14:textId="3B9B8288" w:rsidR="005027AB" w:rsidRPr="00A74CC6" w:rsidRDefault="00264096" w:rsidP="001341B2">
      <w:pPr>
        <w:spacing w:after="0" w:line="240" w:lineRule="auto"/>
        <w:ind w:left="0" w:firstLine="0"/>
        <w:contextualSpacing/>
        <w:rPr>
          <w:lang w:val="sv-SE"/>
        </w:rPr>
      </w:pPr>
      <w:r w:rsidRPr="00A74CC6">
        <w:rPr>
          <w:lang w:val="sv-SE"/>
        </w:rPr>
        <w:t xml:space="preserve">Exploratoriska analyser av </w:t>
      </w:r>
      <w:r w:rsidR="00AD2AA3" w:rsidRPr="00A74CC6">
        <w:rPr>
          <w:lang w:val="sv-SE"/>
        </w:rPr>
        <w:t>k</w:t>
      </w:r>
      <w:r w:rsidRPr="00A74CC6">
        <w:rPr>
          <w:lang w:val="sv-SE"/>
        </w:rPr>
        <w:t xml:space="preserve">ovariater med information </w:t>
      </w:r>
      <w:r w:rsidR="00AD2AA3" w:rsidRPr="00A74CC6">
        <w:rPr>
          <w:lang w:val="sv-SE"/>
        </w:rPr>
        <w:t>från</w:t>
      </w:r>
      <w:r w:rsidRPr="00A74CC6">
        <w:rPr>
          <w:lang w:val="sv-SE"/>
        </w:rPr>
        <w:t xml:space="preserve"> bara en subgrupp av patienterna tyder på att patienter med högre </w:t>
      </w:r>
      <w:r w:rsidR="00AD2AA3" w:rsidRPr="00A74CC6">
        <w:rPr>
          <w:lang w:val="sv-SE"/>
        </w:rPr>
        <w:t>nivå av utsöndrat</w:t>
      </w:r>
      <w:r w:rsidRPr="00A74CC6">
        <w:rPr>
          <w:lang w:val="sv-SE"/>
        </w:rPr>
        <w:t xml:space="preserve"> HER2-ECD hade snabbare icke-linjärt clearance (lägre K</w:t>
      </w:r>
      <w:r w:rsidRPr="00A74CC6">
        <w:rPr>
          <w:vertAlign w:val="subscript"/>
          <w:lang w:val="sv-SE"/>
        </w:rPr>
        <w:t>m</w:t>
      </w:r>
      <w:r w:rsidRPr="00A74CC6">
        <w:rPr>
          <w:lang w:val="sv-SE"/>
        </w:rPr>
        <w:t>) (</w:t>
      </w:r>
      <w:r w:rsidR="00AD2AA3" w:rsidRPr="00A74CC6">
        <w:rPr>
          <w:lang w:val="sv-SE"/>
        </w:rPr>
        <w:t>p</w:t>
      </w:r>
      <w:r w:rsidR="003063D1">
        <w:rPr>
          <w:lang w:val="sv-SE"/>
        </w:rPr>
        <w:t> </w:t>
      </w:r>
      <w:r w:rsidR="00D84DBE" w:rsidRPr="00A74CC6">
        <w:rPr>
          <w:rFonts w:eastAsia="Segoe UI Symbol"/>
          <w:lang w:val="sv-SE"/>
        </w:rPr>
        <w:t>&lt; </w:t>
      </w:r>
      <w:r w:rsidRPr="00A74CC6">
        <w:rPr>
          <w:lang w:val="sv-SE"/>
        </w:rPr>
        <w:t xml:space="preserve">0,001). Det fanns en korrelation mellan </w:t>
      </w:r>
      <w:r w:rsidR="00AD2AA3" w:rsidRPr="00A74CC6">
        <w:rPr>
          <w:lang w:val="sv-SE"/>
        </w:rPr>
        <w:t>utsöndrat</w:t>
      </w:r>
      <w:r w:rsidRPr="00A74CC6">
        <w:rPr>
          <w:lang w:val="sv-SE"/>
        </w:rPr>
        <w:t xml:space="preserve"> antigen och SGOT/ASAT- nivåer; en del av </w:t>
      </w:r>
      <w:r w:rsidR="00AD2AA3" w:rsidRPr="00A74CC6">
        <w:rPr>
          <w:lang w:val="sv-SE"/>
        </w:rPr>
        <w:t>utsöndrat</w:t>
      </w:r>
      <w:r w:rsidRPr="00A74CC6">
        <w:rPr>
          <w:lang w:val="sv-SE"/>
        </w:rPr>
        <w:t xml:space="preserve"> antigen</w:t>
      </w:r>
      <w:r w:rsidR="00AD2AA3" w:rsidRPr="00A74CC6">
        <w:rPr>
          <w:lang w:val="sv-SE"/>
        </w:rPr>
        <w:t>s påverkan</w:t>
      </w:r>
      <w:r w:rsidRPr="00A74CC6">
        <w:rPr>
          <w:lang w:val="sv-SE"/>
        </w:rPr>
        <w:t xml:space="preserve"> på clearance kan ha berott på SGOT/ASAT-nivåer.</w:t>
      </w:r>
    </w:p>
    <w:p w14:paraId="369CD86D" w14:textId="77777777" w:rsidR="00D84DBE" w:rsidRPr="00A74CC6" w:rsidRDefault="00D84DBE" w:rsidP="001341B2">
      <w:pPr>
        <w:spacing w:after="0" w:line="240" w:lineRule="auto"/>
        <w:ind w:left="0" w:firstLine="0"/>
        <w:contextualSpacing/>
        <w:rPr>
          <w:lang w:val="sv-SE"/>
        </w:rPr>
      </w:pPr>
    </w:p>
    <w:p w14:paraId="3A27A856" w14:textId="471958BA" w:rsidR="005027AB" w:rsidRPr="00A74CC6" w:rsidRDefault="00264096" w:rsidP="001341B2">
      <w:pPr>
        <w:spacing w:after="0" w:line="240" w:lineRule="auto"/>
        <w:ind w:left="0" w:firstLine="0"/>
        <w:contextualSpacing/>
        <w:rPr>
          <w:lang w:val="sv-SE"/>
        </w:rPr>
      </w:pPr>
      <w:r w:rsidRPr="00A74CC6">
        <w:rPr>
          <w:lang w:val="sv-SE"/>
        </w:rPr>
        <w:t xml:space="preserve">Nivåerna av </w:t>
      </w:r>
      <w:r w:rsidR="00AD2AA3" w:rsidRPr="00A74CC6">
        <w:rPr>
          <w:lang w:val="sv-SE"/>
        </w:rPr>
        <w:t>utsöndrat</w:t>
      </w:r>
      <w:r w:rsidRPr="00A74CC6">
        <w:rPr>
          <w:lang w:val="sv-SE"/>
        </w:rPr>
        <w:t xml:space="preserve"> HER2-ECD </w:t>
      </w:r>
      <w:r w:rsidR="00AD2AA3" w:rsidRPr="00A74CC6">
        <w:rPr>
          <w:lang w:val="sv-SE"/>
        </w:rPr>
        <w:t xml:space="preserve">före behandling </w:t>
      </w:r>
      <w:r w:rsidRPr="00A74CC6">
        <w:rPr>
          <w:lang w:val="sv-SE"/>
        </w:rPr>
        <w:t xml:space="preserve">som observerades hos patienter med metastaserad ventrikelcancer var jämförbara med dem </w:t>
      </w:r>
      <w:r w:rsidR="00AD2AA3" w:rsidRPr="00A74CC6">
        <w:rPr>
          <w:lang w:val="sv-SE"/>
        </w:rPr>
        <w:t xml:space="preserve">hos patienter med </w:t>
      </w:r>
      <w:r w:rsidRPr="00A74CC6">
        <w:rPr>
          <w:lang w:val="sv-SE"/>
        </w:rPr>
        <w:t xml:space="preserve">metastaserad bröstcancer och tidig bröstcancer, och ingen märkbar påverkan på clearance </w:t>
      </w:r>
      <w:r w:rsidR="00AD2AA3" w:rsidRPr="00A74CC6">
        <w:rPr>
          <w:lang w:val="sv-SE"/>
        </w:rPr>
        <w:t>av</w:t>
      </w:r>
      <w:r w:rsidRPr="00A74CC6">
        <w:rPr>
          <w:lang w:val="sv-SE"/>
        </w:rPr>
        <w:t xml:space="preserve"> trastuzumab har observerats.</w:t>
      </w:r>
    </w:p>
    <w:p w14:paraId="1E71C3CF" w14:textId="77777777" w:rsidR="00092F31" w:rsidRPr="00A74CC6" w:rsidRDefault="00092F31" w:rsidP="001341B2">
      <w:pPr>
        <w:spacing w:after="0" w:line="240" w:lineRule="auto"/>
        <w:ind w:left="0" w:firstLine="0"/>
        <w:contextualSpacing/>
        <w:rPr>
          <w:lang w:val="sv-SE"/>
        </w:rPr>
      </w:pPr>
    </w:p>
    <w:p w14:paraId="0D71AA81" w14:textId="77777777" w:rsidR="005027AB" w:rsidRPr="00A74CC6" w:rsidRDefault="00264096" w:rsidP="001E7238">
      <w:pPr>
        <w:pStyle w:val="Heading4"/>
        <w:tabs>
          <w:tab w:val="center" w:pos="2034"/>
        </w:tabs>
        <w:spacing w:after="0" w:line="240" w:lineRule="auto"/>
        <w:ind w:left="567" w:hanging="567"/>
        <w:contextualSpacing/>
        <w:rPr>
          <w:lang w:val="sv-SE"/>
        </w:rPr>
      </w:pPr>
      <w:r w:rsidRPr="00A74CC6">
        <w:rPr>
          <w:b/>
          <w:i w:val="0"/>
          <w:lang w:val="sv-SE"/>
        </w:rPr>
        <w:t>5.3</w:t>
      </w:r>
      <w:r w:rsidRPr="00A74CC6">
        <w:rPr>
          <w:b/>
          <w:i w:val="0"/>
          <w:lang w:val="sv-SE"/>
        </w:rPr>
        <w:tab/>
        <w:t>Prekliniska säkerhetsuppgifter</w:t>
      </w:r>
    </w:p>
    <w:p w14:paraId="5CA6C338" w14:textId="77777777" w:rsidR="00092F31" w:rsidRPr="00A74CC6" w:rsidRDefault="00092F31" w:rsidP="001341B2">
      <w:pPr>
        <w:keepNext/>
        <w:keepLines/>
        <w:spacing w:after="0" w:line="240" w:lineRule="auto"/>
        <w:ind w:left="4" w:right="13"/>
        <w:contextualSpacing/>
        <w:rPr>
          <w:lang w:val="sv-SE"/>
        </w:rPr>
      </w:pPr>
    </w:p>
    <w:p w14:paraId="049C2991" w14:textId="60CDD0CC" w:rsidR="005027AB" w:rsidRPr="00A74CC6" w:rsidRDefault="00AD2AA3" w:rsidP="001341B2">
      <w:pPr>
        <w:spacing w:after="0" w:line="240" w:lineRule="auto"/>
        <w:ind w:left="4" w:right="13"/>
        <w:contextualSpacing/>
        <w:rPr>
          <w:lang w:val="sv-SE"/>
        </w:rPr>
      </w:pPr>
      <w:r w:rsidRPr="00A74CC6">
        <w:rPr>
          <w:lang w:val="sv-SE"/>
        </w:rPr>
        <w:t xml:space="preserve">Studier i upp till 6 månader visade </w:t>
      </w:r>
      <w:r w:rsidR="00264096" w:rsidRPr="00A74CC6">
        <w:rPr>
          <w:lang w:val="sv-SE"/>
        </w:rPr>
        <w:t xml:space="preserve">inga tecken på </w:t>
      </w:r>
      <w:r w:rsidRPr="00A74CC6">
        <w:rPr>
          <w:lang w:val="sv-SE"/>
        </w:rPr>
        <w:t xml:space="preserve">toxicitet vid singeldoser eller upprepad dosering </w:t>
      </w:r>
      <w:r w:rsidR="00264096" w:rsidRPr="00A74CC6">
        <w:rPr>
          <w:lang w:val="sv-SE"/>
        </w:rPr>
        <w:t xml:space="preserve">och </w:t>
      </w:r>
      <w:r w:rsidRPr="00A74CC6">
        <w:rPr>
          <w:lang w:val="sv-SE"/>
        </w:rPr>
        <w:t xml:space="preserve">studier av </w:t>
      </w:r>
      <w:r w:rsidR="00264096" w:rsidRPr="00A74CC6">
        <w:rPr>
          <w:lang w:val="sv-SE"/>
        </w:rPr>
        <w:t>teratogenicitet, kvinnlig fertilitet eller sen graviditetstoxicitet/placentaöverföring</w:t>
      </w:r>
      <w:r w:rsidRPr="00A74CC6">
        <w:rPr>
          <w:lang w:val="sv-SE"/>
        </w:rPr>
        <w:t xml:space="preserve"> gav inga belägg för reproduktionstoxi</w:t>
      </w:r>
      <w:r w:rsidR="00703506">
        <w:rPr>
          <w:lang w:val="sv-SE"/>
        </w:rPr>
        <w:t>k</w:t>
      </w:r>
      <w:r w:rsidRPr="00A74CC6">
        <w:rPr>
          <w:lang w:val="sv-SE"/>
        </w:rPr>
        <w:t>ologiska effekter</w:t>
      </w:r>
      <w:r w:rsidR="00264096" w:rsidRPr="00A74CC6">
        <w:rPr>
          <w:lang w:val="sv-SE"/>
        </w:rPr>
        <w:t xml:space="preserve">. </w:t>
      </w:r>
      <w:r w:rsidR="00342D88" w:rsidRPr="00A74CC6">
        <w:rPr>
          <w:lang w:val="sv-SE"/>
        </w:rPr>
        <w:t xml:space="preserve">Trastuzumab </w:t>
      </w:r>
      <w:r w:rsidR="00264096" w:rsidRPr="00A74CC6">
        <w:rPr>
          <w:lang w:val="sv-SE"/>
        </w:rPr>
        <w:t xml:space="preserve">är inte gentoxiskt. I en studie med trehalos, som är ett </w:t>
      </w:r>
      <w:r w:rsidRPr="00A74CC6">
        <w:rPr>
          <w:lang w:val="sv-SE"/>
        </w:rPr>
        <w:t>viktigt</w:t>
      </w:r>
      <w:r w:rsidR="00264096" w:rsidRPr="00A74CC6">
        <w:rPr>
          <w:lang w:val="sv-SE"/>
        </w:rPr>
        <w:t xml:space="preserve"> hjälpämne i läkemedlet, visades ingen toxicitet.</w:t>
      </w:r>
    </w:p>
    <w:p w14:paraId="75F35A91" w14:textId="77777777" w:rsidR="00D84DBE" w:rsidRPr="00A74CC6" w:rsidRDefault="00D84DBE" w:rsidP="001341B2">
      <w:pPr>
        <w:spacing w:after="0" w:line="240" w:lineRule="auto"/>
        <w:ind w:left="4" w:right="13"/>
        <w:contextualSpacing/>
        <w:rPr>
          <w:lang w:val="sv-SE"/>
        </w:rPr>
      </w:pPr>
    </w:p>
    <w:p w14:paraId="13E6640A" w14:textId="132646BE" w:rsidR="005027AB" w:rsidRPr="00A74CC6" w:rsidRDefault="00264096" w:rsidP="001341B2">
      <w:pPr>
        <w:spacing w:after="0" w:line="240" w:lineRule="auto"/>
        <w:ind w:left="4" w:right="13"/>
        <w:contextualSpacing/>
        <w:rPr>
          <w:lang w:val="sv-SE"/>
        </w:rPr>
      </w:pPr>
      <w:r w:rsidRPr="00A74CC6">
        <w:rPr>
          <w:lang w:val="sv-SE"/>
        </w:rPr>
        <w:t xml:space="preserve">Inga långtidsstudier på djur har utförts för att bestämma </w:t>
      </w:r>
      <w:r w:rsidR="00342D88" w:rsidRPr="00A74CC6">
        <w:rPr>
          <w:lang w:val="sv-SE"/>
        </w:rPr>
        <w:t xml:space="preserve">trastuzumabs </w:t>
      </w:r>
      <w:r w:rsidRPr="00A74CC6">
        <w:rPr>
          <w:lang w:val="sv-SE"/>
        </w:rPr>
        <w:t xml:space="preserve">potentiella </w:t>
      </w:r>
      <w:r w:rsidR="00AD2AA3" w:rsidRPr="00A74CC6">
        <w:rPr>
          <w:lang w:val="sv-SE"/>
        </w:rPr>
        <w:t>k</w:t>
      </w:r>
      <w:r w:rsidRPr="00A74CC6">
        <w:rPr>
          <w:lang w:val="sv-SE"/>
        </w:rPr>
        <w:t>arcinogenicitet eller för att bestämma dess påverkan på manlig fertilitet.</w:t>
      </w:r>
    </w:p>
    <w:p w14:paraId="089894C0" w14:textId="77777777" w:rsidR="00092F31" w:rsidRPr="00A74CC6" w:rsidRDefault="00092F31" w:rsidP="001341B2">
      <w:pPr>
        <w:pStyle w:val="Heading1"/>
        <w:keepNext w:val="0"/>
        <w:keepLines w:val="0"/>
        <w:tabs>
          <w:tab w:val="center" w:pos="2229"/>
        </w:tabs>
        <w:spacing w:after="0" w:line="240" w:lineRule="auto"/>
        <w:ind w:left="-1" w:firstLine="0"/>
        <w:contextualSpacing/>
        <w:rPr>
          <w:b w:val="0"/>
          <w:lang w:val="sv-SE"/>
        </w:rPr>
      </w:pPr>
    </w:p>
    <w:p w14:paraId="608F374E" w14:textId="77777777" w:rsidR="00092F31" w:rsidRPr="00A74CC6" w:rsidRDefault="00092F31" w:rsidP="001341B2">
      <w:pPr>
        <w:pStyle w:val="Heading1"/>
        <w:keepNext w:val="0"/>
        <w:keepLines w:val="0"/>
        <w:tabs>
          <w:tab w:val="center" w:pos="2229"/>
        </w:tabs>
        <w:spacing w:after="0" w:line="240" w:lineRule="auto"/>
        <w:ind w:left="-1" w:firstLine="0"/>
        <w:contextualSpacing/>
        <w:rPr>
          <w:b w:val="0"/>
          <w:lang w:val="sv-SE"/>
        </w:rPr>
      </w:pPr>
    </w:p>
    <w:p w14:paraId="714995F5" w14:textId="77777777" w:rsidR="005027AB" w:rsidRPr="00A74CC6" w:rsidRDefault="00264096" w:rsidP="001E7238">
      <w:pPr>
        <w:pStyle w:val="Heading1"/>
        <w:tabs>
          <w:tab w:val="center" w:pos="2229"/>
        </w:tabs>
        <w:spacing w:after="0" w:line="240" w:lineRule="auto"/>
        <w:ind w:left="567" w:hanging="567"/>
        <w:contextualSpacing/>
        <w:rPr>
          <w:lang w:val="sv-SE"/>
        </w:rPr>
      </w:pPr>
      <w:r w:rsidRPr="00A74CC6">
        <w:rPr>
          <w:lang w:val="sv-SE"/>
        </w:rPr>
        <w:t>6.</w:t>
      </w:r>
      <w:r w:rsidRPr="00A74CC6">
        <w:rPr>
          <w:lang w:val="sv-SE"/>
        </w:rPr>
        <w:tab/>
        <w:t>FARMACEUTISKA UPPGIFTER</w:t>
      </w:r>
    </w:p>
    <w:p w14:paraId="2F0AC40D" w14:textId="77777777" w:rsidR="00092F31" w:rsidRPr="00A74CC6" w:rsidRDefault="00092F31" w:rsidP="001E7238">
      <w:pPr>
        <w:keepNext/>
        <w:keepLines/>
        <w:spacing w:after="0" w:line="240" w:lineRule="auto"/>
        <w:contextualSpacing/>
        <w:rPr>
          <w:lang w:val="sv-SE"/>
        </w:rPr>
      </w:pPr>
    </w:p>
    <w:p w14:paraId="4B0FFDDD" w14:textId="77777777" w:rsidR="005027AB" w:rsidRPr="00A74CC6" w:rsidRDefault="00264096" w:rsidP="001E7238">
      <w:pPr>
        <w:pStyle w:val="Heading2"/>
        <w:tabs>
          <w:tab w:val="center" w:pos="1981"/>
        </w:tabs>
        <w:spacing w:after="0" w:line="240" w:lineRule="auto"/>
        <w:ind w:left="567" w:hanging="567"/>
        <w:contextualSpacing/>
        <w:rPr>
          <w:b/>
          <w:u w:val="none"/>
          <w:lang w:val="sv-SE"/>
        </w:rPr>
      </w:pPr>
      <w:r w:rsidRPr="00A74CC6">
        <w:rPr>
          <w:b/>
          <w:u w:val="none"/>
          <w:lang w:val="sv-SE"/>
        </w:rPr>
        <w:t>6.1</w:t>
      </w:r>
      <w:r w:rsidRPr="00A74CC6">
        <w:rPr>
          <w:b/>
          <w:u w:val="none"/>
          <w:lang w:val="sv-SE"/>
        </w:rPr>
        <w:tab/>
        <w:t>Förteckning över hjälpämnen</w:t>
      </w:r>
    </w:p>
    <w:p w14:paraId="3F8AEAA4" w14:textId="77777777" w:rsidR="00092F31" w:rsidRPr="00A74CC6" w:rsidRDefault="00092F31" w:rsidP="001341B2">
      <w:pPr>
        <w:keepNext/>
        <w:keepLines/>
        <w:spacing w:after="0" w:line="240" w:lineRule="auto"/>
        <w:contextualSpacing/>
        <w:rPr>
          <w:lang w:val="sv-SE"/>
        </w:rPr>
      </w:pPr>
    </w:p>
    <w:p w14:paraId="17BDB9B3" w14:textId="77777777" w:rsidR="001772CD" w:rsidRPr="00A74CC6" w:rsidRDefault="001772CD" w:rsidP="001772CD">
      <w:pPr>
        <w:keepNext/>
        <w:spacing w:after="0" w:line="240" w:lineRule="auto"/>
        <w:ind w:left="6" w:right="13" w:hanging="6"/>
        <w:contextualSpacing/>
        <w:rPr>
          <w:lang w:val="sv-SE"/>
        </w:rPr>
      </w:pPr>
      <w:r>
        <w:rPr>
          <w:lang w:val="sv-SE"/>
        </w:rPr>
        <w:t>H</w:t>
      </w:r>
      <w:r w:rsidRPr="00A74CC6">
        <w:rPr>
          <w:lang w:val="sv-SE"/>
        </w:rPr>
        <w:t>istidin</w:t>
      </w:r>
    </w:p>
    <w:p w14:paraId="6489D799" w14:textId="69E6E7D0" w:rsidR="001772CD" w:rsidRPr="00A74CC6" w:rsidRDefault="006E2536" w:rsidP="001772CD">
      <w:pPr>
        <w:keepNext/>
        <w:keepLines/>
        <w:spacing w:after="0" w:line="240" w:lineRule="auto"/>
        <w:ind w:left="4" w:right="13"/>
        <w:contextualSpacing/>
        <w:rPr>
          <w:lang w:val="sv-SE"/>
        </w:rPr>
      </w:pPr>
      <w:r>
        <w:rPr>
          <w:lang w:val="sv-SE"/>
        </w:rPr>
        <w:t>Histidinhydrokloridmonohydrat</w:t>
      </w:r>
    </w:p>
    <w:p w14:paraId="24144C5B" w14:textId="77777777" w:rsidR="002E498F" w:rsidRDefault="001772CD" w:rsidP="001341B2">
      <w:pPr>
        <w:keepNext/>
        <w:spacing w:after="0" w:line="240" w:lineRule="auto"/>
        <w:ind w:left="6" w:right="6308" w:hanging="6"/>
        <w:contextualSpacing/>
        <w:rPr>
          <w:lang w:val="sv-SE"/>
        </w:rPr>
      </w:pPr>
      <w:r>
        <w:rPr>
          <w:lang w:val="sv-SE"/>
        </w:rPr>
        <w:t>T</w:t>
      </w:r>
      <w:r w:rsidRPr="00A74CC6">
        <w:rPr>
          <w:lang w:val="sv-SE"/>
        </w:rPr>
        <w:t>rehalosdihydrat</w:t>
      </w:r>
    </w:p>
    <w:p w14:paraId="44006AFA" w14:textId="5A26C5EA" w:rsidR="005027AB" w:rsidRPr="00A74CC6" w:rsidRDefault="00342D88" w:rsidP="001341B2">
      <w:pPr>
        <w:keepNext/>
        <w:spacing w:after="0" w:line="240" w:lineRule="auto"/>
        <w:ind w:left="6" w:right="6308" w:hanging="6"/>
        <w:contextualSpacing/>
        <w:rPr>
          <w:lang w:val="sv-SE"/>
        </w:rPr>
      </w:pPr>
      <w:r w:rsidRPr="00A74CC6">
        <w:rPr>
          <w:lang w:val="sv-SE"/>
        </w:rPr>
        <w:t>P</w:t>
      </w:r>
      <w:r w:rsidR="00264096" w:rsidRPr="00A74CC6">
        <w:rPr>
          <w:lang w:val="sv-SE"/>
        </w:rPr>
        <w:t>olysorbat</w:t>
      </w:r>
      <w:r w:rsidR="00B60881" w:rsidRPr="00A74CC6">
        <w:rPr>
          <w:lang w:val="sv-SE"/>
        </w:rPr>
        <w:t> </w:t>
      </w:r>
      <w:r w:rsidR="00264096" w:rsidRPr="00A74CC6">
        <w:rPr>
          <w:lang w:val="sv-SE"/>
        </w:rPr>
        <w:t>20</w:t>
      </w:r>
    </w:p>
    <w:p w14:paraId="5F14D1AF" w14:textId="77777777" w:rsidR="00092F31" w:rsidRPr="00E5647A" w:rsidRDefault="00092F31" w:rsidP="001341B2">
      <w:pPr>
        <w:pStyle w:val="Heading2"/>
        <w:keepNext w:val="0"/>
        <w:keepLines w:val="0"/>
        <w:tabs>
          <w:tab w:val="center" w:pos="1450"/>
        </w:tabs>
        <w:spacing w:after="0" w:line="240" w:lineRule="auto"/>
        <w:ind w:left="-1" w:firstLine="0"/>
        <w:contextualSpacing/>
        <w:rPr>
          <w:bCs/>
          <w:u w:val="none"/>
          <w:lang w:val="sv-SE"/>
        </w:rPr>
      </w:pPr>
    </w:p>
    <w:p w14:paraId="3CBD10C0" w14:textId="77777777" w:rsidR="005027AB" w:rsidRPr="00A74CC6" w:rsidRDefault="00264096" w:rsidP="001E7238">
      <w:pPr>
        <w:pStyle w:val="Heading2"/>
        <w:tabs>
          <w:tab w:val="center" w:pos="1450"/>
        </w:tabs>
        <w:spacing w:after="0" w:line="240" w:lineRule="auto"/>
        <w:ind w:left="567" w:hanging="567"/>
        <w:contextualSpacing/>
        <w:rPr>
          <w:b/>
          <w:u w:val="none"/>
          <w:lang w:val="sv-SE"/>
        </w:rPr>
      </w:pPr>
      <w:r w:rsidRPr="00A74CC6">
        <w:rPr>
          <w:b/>
          <w:u w:val="none"/>
          <w:lang w:val="sv-SE"/>
        </w:rPr>
        <w:t>6.2</w:t>
      </w:r>
      <w:r w:rsidRPr="00A74CC6">
        <w:rPr>
          <w:b/>
          <w:u w:val="none"/>
          <w:lang w:val="sv-SE"/>
        </w:rPr>
        <w:tab/>
        <w:t>Inkompatibiliteter</w:t>
      </w:r>
    </w:p>
    <w:p w14:paraId="3C3857FD" w14:textId="77777777" w:rsidR="00D84DBE" w:rsidRPr="00A74CC6" w:rsidRDefault="00D84DBE" w:rsidP="001D5307">
      <w:pPr>
        <w:keepNext/>
        <w:keepLines/>
        <w:spacing w:after="0" w:line="240" w:lineRule="auto"/>
        <w:ind w:left="0" w:firstLine="0"/>
        <w:contextualSpacing/>
        <w:rPr>
          <w:lang w:val="sv-SE"/>
        </w:rPr>
      </w:pPr>
    </w:p>
    <w:p w14:paraId="58944E44" w14:textId="7ACB074E" w:rsidR="005027AB" w:rsidRPr="00A74CC6" w:rsidRDefault="00264096" w:rsidP="001D5307">
      <w:pPr>
        <w:spacing w:after="0" w:line="240" w:lineRule="auto"/>
        <w:ind w:left="0" w:firstLine="0"/>
        <w:contextualSpacing/>
        <w:rPr>
          <w:lang w:val="sv-SE"/>
        </w:rPr>
      </w:pPr>
      <w:r w:rsidRPr="00A74CC6">
        <w:rPr>
          <w:lang w:val="sv-SE"/>
        </w:rPr>
        <w:t>Detta läkemedel får inte blandas eller spädas med andra läkemedel förutom de som nämns i avsnitt</w:t>
      </w:r>
      <w:r w:rsidR="006D0419" w:rsidRPr="00A74CC6">
        <w:rPr>
          <w:lang w:val="sv-SE"/>
        </w:rPr>
        <w:t> </w:t>
      </w:r>
      <w:r w:rsidRPr="00A74CC6">
        <w:rPr>
          <w:lang w:val="sv-SE"/>
        </w:rPr>
        <w:t>6.6.</w:t>
      </w:r>
    </w:p>
    <w:p w14:paraId="4C8B59E0" w14:textId="77777777" w:rsidR="00092F31" w:rsidRPr="00A74CC6" w:rsidRDefault="00092F31" w:rsidP="001D5307">
      <w:pPr>
        <w:spacing w:after="0" w:line="240" w:lineRule="auto"/>
        <w:ind w:left="0" w:firstLine="0"/>
        <w:contextualSpacing/>
        <w:rPr>
          <w:lang w:val="sv-SE"/>
        </w:rPr>
      </w:pPr>
    </w:p>
    <w:p w14:paraId="1903B1AE" w14:textId="59E42B0E" w:rsidR="005027AB" w:rsidRPr="00A74CC6" w:rsidRDefault="00342D88" w:rsidP="001D5307">
      <w:pPr>
        <w:spacing w:after="0" w:line="240" w:lineRule="auto"/>
        <w:ind w:left="0" w:firstLine="0"/>
        <w:contextualSpacing/>
        <w:rPr>
          <w:lang w:val="sv-SE"/>
        </w:rPr>
      </w:pPr>
      <w:r w:rsidRPr="00A74CC6">
        <w:rPr>
          <w:lang w:val="sv-SE"/>
        </w:rPr>
        <w:t>KANJINTI ska inte b</w:t>
      </w:r>
      <w:r w:rsidR="00264096" w:rsidRPr="00A74CC6">
        <w:rPr>
          <w:lang w:val="sv-SE"/>
        </w:rPr>
        <w:t>landa</w:t>
      </w:r>
      <w:r w:rsidRPr="00A74CC6">
        <w:rPr>
          <w:lang w:val="sv-SE"/>
        </w:rPr>
        <w:t>s</w:t>
      </w:r>
      <w:r w:rsidR="00264096" w:rsidRPr="00A74CC6">
        <w:rPr>
          <w:lang w:val="sv-SE"/>
        </w:rPr>
        <w:t xml:space="preserve"> inte med glukoslösningar eftersom dessa orsakar aggregation av proteinet.</w:t>
      </w:r>
    </w:p>
    <w:p w14:paraId="3DC428BE" w14:textId="77777777" w:rsidR="00092F31" w:rsidRPr="00E5647A" w:rsidRDefault="00092F31" w:rsidP="001D5307">
      <w:pPr>
        <w:pStyle w:val="Heading2"/>
        <w:keepNext w:val="0"/>
        <w:keepLines w:val="0"/>
        <w:tabs>
          <w:tab w:val="center" w:pos="1095"/>
        </w:tabs>
        <w:spacing w:after="0" w:line="240" w:lineRule="auto"/>
        <w:ind w:left="0" w:firstLine="0"/>
        <w:contextualSpacing/>
        <w:rPr>
          <w:bCs/>
          <w:u w:val="none"/>
          <w:lang w:val="sv-SE"/>
        </w:rPr>
      </w:pPr>
    </w:p>
    <w:p w14:paraId="295BD445" w14:textId="77777777" w:rsidR="005027AB" w:rsidRPr="00A74CC6" w:rsidRDefault="00264096" w:rsidP="001E7238">
      <w:pPr>
        <w:pStyle w:val="Heading2"/>
        <w:tabs>
          <w:tab w:val="center" w:pos="1095"/>
        </w:tabs>
        <w:spacing w:after="0" w:line="240" w:lineRule="auto"/>
        <w:ind w:left="567" w:hanging="567"/>
        <w:contextualSpacing/>
        <w:rPr>
          <w:lang w:val="sv-SE"/>
        </w:rPr>
      </w:pPr>
      <w:r w:rsidRPr="00A74CC6">
        <w:rPr>
          <w:b/>
          <w:u w:val="none"/>
          <w:lang w:val="sv-SE"/>
        </w:rPr>
        <w:t>6.3</w:t>
      </w:r>
      <w:r w:rsidRPr="00A74CC6">
        <w:rPr>
          <w:b/>
          <w:u w:val="none"/>
          <w:lang w:val="sv-SE"/>
        </w:rPr>
        <w:tab/>
        <w:t>Hållbarhet</w:t>
      </w:r>
    </w:p>
    <w:p w14:paraId="08BDBD85" w14:textId="77777777" w:rsidR="0001716D" w:rsidRDefault="0001716D" w:rsidP="001E7238">
      <w:pPr>
        <w:keepNext/>
        <w:keepLines/>
        <w:spacing w:after="0" w:line="240" w:lineRule="auto"/>
        <w:ind w:left="4" w:right="13"/>
        <w:contextualSpacing/>
        <w:rPr>
          <w:lang w:val="sv-SE"/>
        </w:rPr>
      </w:pPr>
    </w:p>
    <w:p w14:paraId="42EB2D56" w14:textId="14DD4C1D" w:rsidR="00092F31" w:rsidRPr="00CE0099" w:rsidRDefault="0001716D" w:rsidP="001E7238">
      <w:pPr>
        <w:keepNext/>
        <w:keepLines/>
        <w:spacing w:after="0" w:line="240" w:lineRule="auto"/>
        <w:ind w:left="4" w:right="13"/>
        <w:contextualSpacing/>
        <w:rPr>
          <w:u w:val="single"/>
          <w:lang w:val="sv-SE"/>
        </w:rPr>
      </w:pPr>
      <w:r w:rsidRPr="00CE0099">
        <w:rPr>
          <w:u w:val="single"/>
          <w:lang w:val="sv-SE"/>
        </w:rPr>
        <w:t>Oöppnad injektionsflaska</w:t>
      </w:r>
    </w:p>
    <w:p w14:paraId="5345C98A" w14:textId="77777777" w:rsidR="0001716D" w:rsidRPr="00A74CC6" w:rsidRDefault="0001716D" w:rsidP="001E7238">
      <w:pPr>
        <w:keepNext/>
        <w:keepLines/>
        <w:spacing w:after="0" w:line="240" w:lineRule="auto"/>
        <w:ind w:left="4" w:right="13"/>
        <w:contextualSpacing/>
        <w:rPr>
          <w:lang w:val="sv-SE"/>
        </w:rPr>
      </w:pPr>
    </w:p>
    <w:p w14:paraId="53372704" w14:textId="19A833A8" w:rsidR="005027AB" w:rsidRPr="00A74CC6" w:rsidRDefault="000B783C" w:rsidP="001E7238">
      <w:pPr>
        <w:spacing w:after="0" w:line="240" w:lineRule="auto"/>
        <w:ind w:left="4" w:right="13"/>
        <w:contextualSpacing/>
        <w:rPr>
          <w:lang w:val="sv-SE"/>
        </w:rPr>
      </w:pPr>
      <w:r w:rsidRPr="0093020C">
        <w:rPr>
          <w:lang w:val="sv-SE"/>
        </w:rPr>
        <w:t>3 år</w:t>
      </w:r>
      <w:r w:rsidR="006D0419" w:rsidRPr="00A74CC6">
        <w:rPr>
          <w:lang w:val="sv-SE"/>
        </w:rPr>
        <w:t>.</w:t>
      </w:r>
    </w:p>
    <w:p w14:paraId="05E09814" w14:textId="41F564DA" w:rsidR="00092F31" w:rsidRDefault="00092F31" w:rsidP="001E7238">
      <w:pPr>
        <w:spacing w:after="0" w:line="240" w:lineRule="auto"/>
        <w:ind w:left="4" w:right="13"/>
        <w:contextualSpacing/>
        <w:rPr>
          <w:lang w:val="sv-SE"/>
        </w:rPr>
      </w:pPr>
    </w:p>
    <w:p w14:paraId="7E2AC5D9" w14:textId="552671C8" w:rsidR="0001716D" w:rsidRDefault="0001716D" w:rsidP="001E7238">
      <w:pPr>
        <w:spacing w:after="0" w:line="240" w:lineRule="auto"/>
        <w:ind w:left="4" w:right="13"/>
        <w:contextualSpacing/>
        <w:rPr>
          <w:u w:val="single"/>
          <w:lang w:val="sv-SE"/>
        </w:rPr>
      </w:pPr>
      <w:r w:rsidRPr="00CE0099">
        <w:rPr>
          <w:u w:val="single"/>
          <w:lang w:val="sv-SE"/>
        </w:rPr>
        <w:t>Aseptisk beredning och utspädning</w:t>
      </w:r>
    </w:p>
    <w:p w14:paraId="12A042FA" w14:textId="77777777" w:rsidR="0001716D" w:rsidRPr="00CE0099" w:rsidRDefault="0001716D" w:rsidP="001E7238">
      <w:pPr>
        <w:spacing w:after="0" w:line="240" w:lineRule="auto"/>
        <w:ind w:left="4" w:right="13"/>
        <w:contextualSpacing/>
        <w:rPr>
          <w:u w:val="single"/>
          <w:lang w:val="sv-SE"/>
        </w:rPr>
      </w:pPr>
    </w:p>
    <w:p w14:paraId="1436DFA8" w14:textId="703094BB" w:rsidR="005027AB" w:rsidRPr="00A74CC6" w:rsidRDefault="00264096" w:rsidP="001E7238">
      <w:pPr>
        <w:spacing w:after="0" w:line="240" w:lineRule="auto"/>
        <w:ind w:left="4" w:right="13"/>
        <w:contextualSpacing/>
        <w:rPr>
          <w:lang w:val="sv-SE"/>
        </w:rPr>
      </w:pPr>
      <w:r w:rsidRPr="00A74CC6">
        <w:rPr>
          <w:lang w:val="sv-SE"/>
        </w:rPr>
        <w:t>Efter</w:t>
      </w:r>
      <w:r w:rsidR="0001716D">
        <w:rPr>
          <w:lang w:val="sv-SE"/>
        </w:rPr>
        <w:t xml:space="preserve"> aseptisk</w:t>
      </w:r>
      <w:r w:rsidRPr="00A74CC6">
        <w:rPr>
          <w:lang w:val="sv-SE"/>
        </w:rPr>
        <w:t xml:space="preserve"> beredning med sterilt vatten för injektionsvätskor</w:t>
      </w:r>
      <w:r w:rsidR="0001716D">
        <w:rPr>
          <w:lang w:val="sv-SE"/>
        </w:rPr>
        <w:t xml:space="preserve"> har den beredda lösningen visats vara kemiskt och fysikaliskt stabil</w:t>
      </w:r>
      <w:r w:rsidRPr="00A74CC6">
        <w:rPr>
          <w:lang w:val="sv-SE"/>
        </w:rPr>
        <w:t xml:space="preserve"> </w:t>
      </w:r>
      <w:r w:rsidR="00092F31" w:rsidRPr="00A74CC6">
        <w:rPr>
          <w:lang w:val="sv-SE"/>
        </w:rPr>
        <w:t>i 48</w:t>
      </w:r>
      <w:r w:rsidR="006D0419" w:rsidRPr="00A74CC6">
        <w:rPr>
          <w:lang w:val="sv-SE"/>
        </w:rPr>
        <w:t> </w:t>
      </w:r>
      <w:r w:rsidR="00092F31" w:rsidRPr="00A74CC6">
        <w:rPr>
          <w:lang w:val="sv-SE"/>
        </w:rPr>
        <w:t>timmar vid 2</w:t>
      </w:r>
      <w:r w:rsidR="006D0419" w:rsidRPr="00A74CC6">
        <w:rPr>
          <w:lang w:val="sv-SE"/>
        </w:rPr>
        <w:t> </w:t>
      </w:r>
      <w:r w:rsidR="00D84DBE" w:rsidRPr="00A74CC6">
        <w:rPr>
          <w:lang w:val="sv-SE"/>
        </w:rPr>
        <w:t>°</w:t>
      </w:r>
      <w:r w:rsidR="00092F31" w:rsidRPr="00A74CC6">
        <w:rPr>
          <w:lang w:val="sv-SE"/>
        </w:rPr>
        <w:t>C–8</w:t>
      </w:r>
      <w:r w:rsidR="006D0419" w:rsidRPr="00A74CC6">
        <w:rPr>
          <w:lang w:val="sv-SE"/>
        </w:rPr>
        <w:t> </w:t>
      </w:r>
      <w:r w:rsidR="00D84DBE" w:rsidRPr="00A74CC6">
        <w:rPr>
          <w:lang w:val="sv-SE"/>
        </w:rPr>
        <w:t>°</w:t>
      </w:r>
      <w:r w:rsidRPr="00A74CC6">
        <w:rPr>
          <w:lang w:val="sv-SE"/>
        </w:rPr>
        <w:t>C.</w:t>
      </w:r>
    </w:p>
    <w:p w14:paraId="182EDFD7" w14:textId="77777777" w:rsidR="00092F31" w:rsidRPr="00A74CC6" w:rsidRDefault="00092F31" w:rsidP="001E7238">
      <w:pPr>
        <w:spacing w:after="0" w:line="240" w:lineRule="auto"/>
        <w:ind w:left="4" w:right="13"/>
        <w:contextualSpacing/>
        <w:rPr>
          <w:lang w:val="sv-SE"/>
        </w:rPr>
      </w:pPr>
    </w:p>
    <w:p w14:paraId="594DEA3C" w14:textId="5635C9F0" w:rsidR="005027AB" w:rsidRPr="00A74CC6" w:rsidRDefault="0001716D" w:rsidP="001E7238">
      <w:pPr>
        <w:spacing w:after="0" w:line="240" w:lineRule="auto"/>
        <w:ind w:left="4" w:right="13"/>
        <w:contextualSpacing/>
        <w:rPr>
          <w:lang w:val="sv-SE"/>
        </w:rPr>
      </w:pPr>
      <w:r>
        <w:rPr>
          <w:lang w:val="sv-SE"/>
        </w:rPr>
        <w:t xml:space="preserve">Efter aseptisk utspädning </w:t>
      </w:r>
      <w:r w:rsidR="00264096" w:rsidRPr="00A74CC6">
        <w:rPr>
          <w:lang w:val="sv-SE"/>
        </w:rPr>
        <w:t>i polyvinylklorid-, polyetylen</w:t>
      </w:r>
      <w:r w:rsidR="006D0419" w:rsidRPr="00A74CC6">
        <w:rPr>
          <w:lang w:val="sv-SE"/>
        </w:rPr>
        <w:t xml:space="preserve">- </w:t>
      </w:r>
      <w:r w:rsidR="00264096" w:rsidRPr="00A74CC6">
        <w:rPr>
          <w:lang w:val="sv-SE"/>
        </w:rPr>
        <w:t>eller polypropylenpåsar som innehåller natriumklorid 9</w:t>
      </w:r>
      <w:r w:rsidR="00D84DBE" w:rsidRPr="00A74CC6">
        <w:rPr>
          <w:lang w:val="sv-SE"/>
        </w:rPr>
        <w:t> </w:t>
      </w:r>
      <w:r w:rsidR="00264096" w:rsidRPr="00A74CC6">
        <w:rPr>
          <w:lang w:val="sv-SE"/>
        </w:rPr>
        <w:t>mg/ml (0,9</w:t>
      </w:r>
      <w:r w:rsidR="00B268E6" w:rsidRPr="00A74CC6">
        <w:rPr>
          <w:lang w:val="sv-SE"/>
        </w:rPr>
        <w:t> %</w:t>
      </w:r>
      <w:r w:rsidR="00264096" w:rsidRPr="00A74CC6">
        <w:rPr>
          <w:lang w:val="sv-SE"/>
        </w:rPr>
        <w:t>) injektions</w:t>
      </w:r>
      <w:r w:rsidR="003063D1">
        <w:rPr>
          <w:lang w:val="sv-SE"/>
        </w:rPr>
        <w:t xml:space="preserve">vätska, </w:t>
      </w:r>
      <w:r w:rsidR="00264096" w:rsidRPr="00A74CC6">
        <w:rPr>
          <w:lang w:val="sv-SE"/>
        </w:rPr>
        <w:t>lösning</w:t>
      </w:r>
      <w:r w:rsidR="003063D1">
        <w:rPr>
          <w:lang w:val="sv-SE"/>
        </w:rPr>
        <w:t>,</w:t>
      </w:r>
      <w:r w:rsidR="00264096" w:rsidRPr="00A74CC6">
        <w:rPr>
          <w:lang w:val="sv-SE"/>
        </w:rPr>
        <w:t xml:space="preserve"> </w:t>
      </w:r>
      <w:r w:rsidR="00B001C0">
        <w:rPr>
          <w:lang w:val="sv-SE"/>
        </w:rPr>
        <w:t xml:space="preserve">har KANJINTI visats vara kemiskt och fysikaliskt stabil </w:t>
      </w:r>
      <w:r w:rsidR="00264096" w:rsidRPr="00A74CC6">
        <w:rPr>
          <w:lang w:val="sv-SE"/>
        </w:rPr>
        <w:t>i</w:t>
      </w:r>
      <w:r w:rsidR="00B001C0">
        <w:rPr>
          <w:lang w:val="sv-SE"/>
        </w:rPr>
        <w:t xml:space="preserve"> upp till 3</w:t>
      </w:r>
      <w:r w:rsidR="00B54089">
        <w:rPr>
          <w:lang w:val="sv-SE"/>
        </w:rPr>
        <w:t>0</w:t>
      </w:r>
      <w:r w:rsidR="003528FE">
        <w:rPr>
          <w:lang w:val="sv-SE"/>
        </w:rPr>
        <w:t> </w:t>
      </w:r>
      <w:r w:rsidR="00B001C0">
        <w:rPr>
          <w:lang w:val="sv-SE"/>
        </w:rPr>
        <w:t xml:space="preserve">dagar vid </w:t>
      </w:r>
      <w:r w:rsidR="00B001C0" w:rsidRPr="00A74CC6">
        <w:rPr>
          <w:lang w:val="sv-SE"/>
        </w:rPr>
        <w:t>2 °C–8 °C</w:t>
      </w:r>
      <w:r w:rsidR="00B001C0">
        <w:rPr>
          <w:lang w:val="sv-SE"/>
        </w:rPr>
        <w:t xml:space="preserve"> och</w:t>
      </w:r>
      <w:r w:rsidR="00264096" w:rsidRPr="00A74CC6">
        <w:rPr>
          <w:lang w:val="sv-SE"/>
        </w:rPr>
        <w:t xml:space="preserve"> </w:t>
      </w:r>
      <w:r w:rsidR="007D62A5">
        <w:rPr>
          <w:lang w:val="sv-SE"/>
        </w:rPr>
        <w:t xml:space="preserve">därefter </w:t>
      </w:r>
      <w:r w:rsidR="00EA7338">
        <w:rPr>
          <w:lang w:val="sv-SE"/>
        </w:rPr>
        <w:t xml:space="preserve">i </w:t>
      </w:r>
      <w:r w:rsidR="00264096" w:rsidRPr="00A74CC6">
        <w:rPr>
          <w:lang w:val="sv-SE"/>
        </w:rPr>
        <w:t>24</w:t>
      </w:r>
      <w:r w:rsidR="006D0419" w:rsidRPr="00A74CC6">
        <w:rPr>
          <w:lang w:val="sv-SE"/>
        </w:rPr>
        <w:t> </w:t>
      </w:r>
      <w:r w:rsidR="00264096" w:rsidRPr="00A74CC6">
        <w:rPr>
          <w:lang w:val="sv-SE"/>
        </w:rPr>
        <w:t>timmar i rumstemperatur vid högst 30</w:t>
      </w:r>
      <w:r w:rsidR="006D0419" w:rsidRPr="00A74CC6">
        <w:rPr>
          <w:lang w:val="sv-SE"/>
        </w:rPr>
        <w:t> </w:t>
      </w:r>
      <w:r w:rsidR="00D84DBE" w:rsidRPr="00A74CC6">
        <w:rPr>
          <w:lang w:val="sv-SE"/>
        </w:rPr>
        <w:t>°</w:t>
      </w:r>
      <w:r w:rsidR="00264096" w:rsidRPr="00A74CC6">
        <w:rPr>
          <w:lang w:val="sv-SE"/>
        </w:rPr>
        <w:t>C.</w:t>
      </w:r>
    </w:p>
    <w:p w14:paraId="1D1FE34E" w14:textId="77777777" w:rsidR="00092F31" w:rsidRPr="00A74CC6" w:rsidRDefault="00092F31" w:rsidP="001E7238">
      <w:pPr>
        <w:spacing w:after="0" w:line="240" w:lineRule="auto"/>
        <w:ind w:left="4" w:right="13"/>
        <w:contextualSpacing/>
        <w:rPr>
          <w:lang w:val="sv-SE"/>
        </w:rPr>
      </w:pPr>
    </w:p>
    <w:p w14:paraId="6B5FE334" w14:textId="17AED95F" w:rsidR="005027AB" w:rsidRPr="00A74CC6" w:rsidRDefault="00264096" w:rsidP="001E7238">
      <w:pPr>
        <w:spacing w:after="0" w:line="240" w:lineRule="auto"/>
        <w:ind w:left="4" w:right="13"/>
        <w:contextualSpacing/>
        <w:rPr>
          <w:lang w:val="sv-SE"/>
        </w:rPr>
      </w:pPr>
      <w:r w:rsidRPr="00A74CC6">
        <w:rPr>
          <w:lang w:val="sv-SE"/>
        </w:rPr>
        <w:t xml:space="preserve">Ur mikrobiologisk synpunkt ska den utspädda lösningen och </w:t>
      </w:r>
      <w:r w:rsidR="00342D88" w:rsidRPr="00A74CC6">
        <w:rPr>
          <w:lang w:val="sv-SE"/>
        </w:rPr>
        <w:t xml:space="preserve">KANJINTI </w:t>
      </w:r>
      <w:r w:rsidRPr="00A74CC6">
        <w:rPr>
          <w:lang w:val="sv-SE"/>
        </w:rPr>
        <w:t>infusionslösning användas omedelbart. Om inte lösning</w:t>
      </w:r>
      <w:r w:rsidR="004C7B19" w:rsidRPr="00A74CC6">
        <w:rPr>
          <w:lang w:val="sv-SE"/>
        </w:rPr>
        <w:t>en</w:t>
      </w:r>
      <w:r w:rsidRPr="00A74CC6">
        <w:rPr>
          <w:lang w:val="sv-SE"/>
        </w:rPr>
        <w:t xml:space="preserve"> med </w:t>
      </w:r>
      <w:r w:rsidR="004C7B19" w:rsidRPr="00A74CC6">
        <w:rPr>
          <w:lang w:val="sv-SE"/>
        </w:rPr>
        <w:t xml:space="preserve">KANJINTI </w:t>
      </w:r>
      <w:r w:rsidRPr="00A74CC6">
        <w:rPr>
          <w:lang w:val="sv-SE"/>
        </w:rPr>
        <w:t xml:space="preserve">används omedelbart är tillämpad förvaringstid och förvaringsbetingelser </w:t>
      </w:r>
      <w:r w:rsidR="003528FE">
        <w:rPr>
          <w:lang w:val="sv-SE"/>
        </w:rPr>
        <w:t xml:space="preserve">före användning </w:t>
      </w:r>
      <w:r w:rsidRPr="00A74CC6">
        <w:rPr>
          <w:lang w:val="sv-SE"/>
        </w:rPr>
        <w:t>användarens ansvar</w:t>
      </w:r>
      <w:r w:rsidR="003528FE">
        <w:rPr>
          <w:lang w:val="sv-SE"/>
        </w:rPr>
        <w:t xml:space="preserve">, och ska normalt inte vara längre än 24 timmar vid </w:t>
      </w:r>
      <w:r w:rsidR="003528FE" w:rsidRPr="00A74CC6">
        <w:rPr>
          <w:lang w:val="sv-SE"/>
        </w:rPr>
        <w:t>2 °C–8 °C</w:t>
      </w:r>
      <w:r w:rsidR="003528FE">
        <w:rPr>
          <w:lang w:val="sv-SE"/>
        </w:rPr>
        <w:t>, om inte beredning och utspädning har skett under kontrollerade och validerade aseptiska förhållande</w:t>
      </w:r>
      <w:r w:rsidR="00733473">
        <w:rPr>
          <w:lang w:val="sv-SE"/>
        </w:rPr>
        <w:t>n</w:t>
      </w:r>
      <w:r w:rsidRPr="00A74CC6">
        <w:rPr>
          <w:lang w:val="sv-SE"/>
        </w:rPr>
        <w:t>.</w:t>
      </w:r>
    </w:p>
    <w:p w14:paraId="589C20C0" w14:textId="77777777" w:rsidR="00092F31" w:rsidRPr="00A74CC6" w:rsidRDefault="00092F31" w:rsidP="001E7238">
      <w:pPr>
        <w:spacing w:after="0" w:line="240" w:lineRule="auto"/>
        <w:ind w:left="4" w:right="13"/>
        <w:contextualSpacing/>
        <w:rPr>
          <w:lang w:val="sv-SE"/>
        </w:rPr>
      </w:pPr>
    </w:p>
    <w:p w14:paraId="78A13E16" w14:textId="77777777" w:rsidR="005027AB" w:rsidRPr="00A74CC6" w:rsidRDefault="00264096" w:rsidP="009A6314">
      <w:pPr>
        <w:pStyle w:val="Heading2"/>
        <w:keepLines w:val="0"/>
        <w:tabs>
          <w:tab w:val="center" w:pos="2101"/>
        </w:tabs>
        <w:spacing w:after="0" w:line="240" w:lineRule="auto"/>
        <w:ind w:left="567" w:hanging="567"/>
        <w:contextualSpacing/>
        <w:rPr>
          <w:b/>
          <w:u w:val="none"/>
          <w:lang w:val="sv-SE"/>
        </w:rPr>
      </w:pPr>
      <w:r w:rsidRPr="00A74CC6">
        <w:rPr>
          <w:b/>
          <w:u w:val="none"/>
          <w:lang w:val="sv-SE"/>
        </w:rPr>
        <w:lastRenderedPageBreak/>
        <w:t>6.4</w:t>
      </w:r>
      <w:r w:rsidRPr="00A74CC6">
        <w:rPr>
          <w:b/>
          <w:u w:val="none"/>
          <w:lang w:val="sv-SE"/>
        </w:rPr>
        <w:tab/>
        <w:t>Särskilda förvaringsanvisningar</w:t>
      </w:r>
    </w:p>
    <w:p w14:paraId="5CD7D81D" w14:textId="77777777" w:rsidR="00092F31" w:rsidRPr="00A74CC6" w:rsidRDefault="00092F31" w:rsidP="009A6314">
      <w:pPr>
        <w:keepNext/>
        <w:spacing w:after="0" w:line="240" w:lineRule="auto"/>
        <w:ind w:left="0" w:right="13" w:firstLine="0"/>
        <w:contextualSpacing/>
        <w:rPr>
          <w:lang w:val="sv-SE"/>
        </w:rPr>
      </w:pPr>
    </w:p>
    <w:p w14:paraId="5F8AAFC4" w14:textId="26FCF534" w:rsidR="005027AB" w:rsidRDefault="00264096" w:rsidP="009A6314">
      <w:pPr>
        <w:keepNext/>
        <w:spacing w:after="0" w:line="240" w:lineRule="auto"/>
        <w:ind w:left="0" w:right="13" w:firstLine="0"/>
        <w:contextualSpacing/>
        <w:rPr>
          <w:lang w:val="sv-SE"/>
        </w:rPr>
      </w:pPr>
      <w:r w:rsidRPr="00A74CC6">
        <w:rPr>
          <w:lang w:val="sv-SE"/>
        </w:rPr>
        <w:t>Förvaras i kylskåp (2</w:t>
      </w:r>
      <w:r w:rsidR="006D0419" w:rsidRPr="00A74CC6">
        <w:rPr>
          <w:lang w:val="sv-SE"/>
        </w:rPr>
        <w:t> </w:t>
      </w:r>
      <w:r w:rsidR="001D5307" w:rsidRPr="00A74CC6">
        <w:rPr>
          <w:lang w:val="sv-SE"/>
        </w:rPr>
        <w:t>°</w:t>
      </w:r>
      <w:r w:rsidRPr="00A74CC6">
        <w:rPr>
          <w:lang w:val="sv-SE"/>
        </w:rPr>
        <w:t>C</w:t>
      </w:r>
      <w:r w:rsidR="00092F31" w:rsidRPr="00A74CC6">
        <w:rPr>
          <w:lang w:val="sv-SE"/>
        </w:rPr>
        <w:t>–</w:t>
      </w:r>
      <w:r w:rsidRPr="00A74CC6">
        <w:rPr>
          <w:lang w:val="sv-SE"/>
        </w:rPr>
        <w:t>8</w:t>
      </w:r>
      <w:r w:rsidR="006D0419" w:rsidRPr="00A74CC6">
        <w:rPr>
          <w:lang w:val="sv-SE"/>
        </w:rPr>
        <w:t> </w:t>
      </w:r>
      <w:r w:rsidR="001D5307" w:rsidRPr="00A74CC6">
        <w:rPr>
          <w:lang w:val="sv-SE"/>
        </w:rPr>
        <w:t>°</w:t>
      </w:r>
      <w:r w:rsidRPr="00A74CC6">
        <w:rPr>
          <w:lang w:val="sv-SE"/>
        </w:rPr>
        <w:t>C).</w:t>
      </w:r>
    </w:p>
    <w:p w14:paraId="778FAC26" w14:textId="29D5DCF7" w:rsidR="001772CD" w:rsidRDefault="003528FE" w:rsidP="009A6314">
      <w:pPr>
        <w:keepNext/>
        <w:spacing w:after="0" w:line="240" w:lineRule="auto"/>
        <w:ind w:left="0" w:right="13" w:firstLine="0"/>
        <w:contextualSpacing/>
        <w:rPr>
          <w:lang w:val="sv-SE"/>
        </w:rPr>
      </w:pPr>
      <w:r>
        <w:rPr>
          <w:lang w:val="sv-SE"/>
        </w:rPr>
        <w:t>Den beredda lösningen f</w:t>
      </w:r>
      <w:r w:rsidR="001772CD">
        <w:rPr>
          <w:lang w:val="sv-SE"/>
        </w:rPr>
        <w:t>år ej frysas.</w:t>
      </w:r>
    </w:p>
    <w:p w14:paraId="53772928" w14:textId="5DCC26BD" w:rsidR="001772CD" w:rsidRPr="00A74CC6" w:rsidRDefault="001772CD" w:rsidP="001772CD">
      <w:pPr>
        <w:spacing w:after="0" w:line="240" w:lineRule="auto"/>
        <w:ind w:left="0" w:right="13" w:firstLine="0"/>
        <w:contextualSpacing/>
        <w:rPr>
          <w:lang w:val="sv-SE"/>
        </w:rPr>
      </w:pPr>
      <w:r w:rsidRPr="009E5562">
        <w:rPr>
          <w:noProof/>
          <w:lang w:val="sv-SE"/>
        </w:rPr>
        <w:t>Förvaras i originalförpackningen</w:t>
      </w:r>
      <w:r>
        <w:rPr>
          <w:noProof/>
          <w:lang w:val="sv-SE"/>
        </w:rPr>
        <w:t>. Ljuskänsligt.</w:t>
      </w:r>
    </w:p>
    <w:p w14:paraId="6685ED3C" w14:textId="77777777" w:rsidR="00E670F3" w:rsidRPr="00A74CC6" w:rsidRDefault="00E670F3" w:rsidP="001E7238">
      <w:pPr>
        <w:spacing w:after="0" w:line="240" w:lineRule="auto"/>
        <w:ind w:left="0" w:right="13" w:firstLine="0"/>
        <w:contextualSpacing/>
        <w:rPr>
          <w:lang w:val="sv-SE"/>
        </w:rPr>
      </w:pPr>
    </w:p>
    <w:p w14:paraId="3AEAFA61" w14:textId="4C48037C" w:rsidR="005027AB" w:rsidRPr="00A74CC6" w:rsidRDefault="00264096" w:rsidP="001E7238">
      <w:pPr>
        <w:spacing w:after="0" w:line="240" w:lineRule="auto"/>
        <w:ind w:left="4" w:right="13"/>
        <w:contextualSpacing/>
        <w:rPr>
          <w:lang w:val="sv-SE"/>
        </w:rPr>
      </w:pPr>
      <w:r w:rsidRPr="00A74CC6">
        <w:rPr>
          <w:lang w:val="sv-SE"/>
        </w:rPr>
        <w:t xml:space="preserve">Förvaringsanvisningar </w:t>
      </w:r>
      <w:r w:rsidR="006D0419" w:rsidRPr="00A74CC6">
        <w:rPr>
          <w:lang w:val="sv-SE"/>
        </w:rPr>
        <w:t>för</w:t>
      </w:r>
      <w:r w:rsidR="00B60881" w:rsidRPr="00A74CC6">
        <w:rPr>
          <w:lang w:val="sv-SE"/>
        </w:rPr>
        <w:t xml:space="preserve"> </w:t>
      </w:r>
      <w:r w:rsidR="001772CD">
        <w:rPr>
          <w:lang w:val="sv-SE"/>
        </w:rPr>
        <w:t xml:space="preserve">det rekonstituerade </w:t>
      </w:r>
      <w:r w:rsidR="00B60881" w:rsidRPr="00A74CC6">
        <w:rPr>
          <w:lang w:val="sv-SE"/>
        </w:rPr>
        <w:t xml:space="preserve">läkemedlet </w:t>
      </w:r>
      <w:r w:rsidR="006D0419" w:rsidRPr="00A74CC6">
        <w:rPr>
          <w:lang w:val="sv-SE"/>
        </w:rPr>
        <w:t xml:space="preserve">finns i </w:t>
      </w:r>
      <w:r w:rsidRPr="00A74CC6">
        <w:rPr>
          <w:lang w:val="sv-SE"/>
        </w:rPr>
        <w:t>avsnitt</w:t>
      </w:r>
      <w:r w:rsidR="006D0419" w:rsidRPr="00A74CC6">
        <w:rPr>
          <w:lang w:val="sv-SE"/>
        </w:rPr>
        <w:t> </w:t>
      </w:r>
      <w:r w:rsidRPr="00A74CC6">
        <w:rPr>
          <w:lang w:val="sv-SE"/>
        </w:rPr>
        <w:t>6.3 och 6.6.</w:t>
      </w:r>
    </w:p>
    <w:p w14:paraId="63941E13" w14:textId="77777777" w:rsidR="00092F31" w:rsidRPr="00A74CC6" w:rsidRDefault="00092F31" w:rsidP="001E7238">
      <w:pPr>
        <w:spacing w:after="0" w:line="240" w:lineRule="auto"/>
        <w:ind w:left="4" w:right="13"/>
        <w:contextualSpacing/>
        <w:rPr>
          <w:lang w:val="sv-SE"/>
        </w:rPr>
      </w:pPr>
    </w:p>
    <w:p w14:paraId="445299A4" w14:textId="77777777" w:rsidR="005027AB" w:rsidRPr="00A74CC6" w:rsidRDefault="00264096" w:rsidP="001E7238">
      <w:pPr>
        <w:pStyle w:val="Heading2"/>
        <w:tabs>
          <w:tab w:val="center" w:pos="1982"/>
        </w:tabs>
        <w:spacing w:after="0" w:line="240" w:lineRule="auto"/>
        <w:ind w:left="567" w:hanging="567"/>
        <w:contextualSpacing/>
        <w:rPr>
          <w:b/>
          <w:u w:val="none"/>
          <w:lang w:val="sv-SE"/>
        </w:rPr>
      </w:pPr>
      <w:r w:rsidRPr="00A74CC6">
        <w:rPr>
          <w:b/>
          <w:u w:val="none"/>
          <w:lang w:val="sv-SE"/>
        </w:rPr>
        <w:t>6.5</w:t>
      </w:r>
      <w:r w:rsidRPr="00A74CC6">
        <w:rPr>
          <w:b/>
          <w:u w:val="none"/>
          <w:lang w:val="sv-SE"/>
        </w:rPr>
        <w:tab/>
        <w:t>Förpackningstyp och innehåll</w:t>
      </w:r>
    </w:p>
    <w:p w14:paraId="2FDD0125" w14:textId="77777777" w:rsidR="00092F31" w:rsidRPr="00A74CC6" w:rsidRDefault="00092F31" w:rsidP="001E7238">
      <w:pPr>
        <w:keepNext/>
        <w:keepLines/>
        <w:spacing w:after="0" w:line="240" w:lineRule="auto"/>
        <w:contextualSpacing/>
        <w:rPr>
          <w:lang w:val="sv-SE"/>
        </w:rPr>
      </w:pPr>
    </w:p>
    <w:p w14:paraId="4C81B6BE" w14:textId="6B674A5E" w:rsidR="005027AB" w:rsidRPr="00A74CC6" w:rsidRDefault="00C418D8" w:rsidP="001E7238">
      <w:pPr>
        <w:keepNext/>
        <w:keepLines/>
        <w:spacing w:after="0" w:line="240" w:lineRule="auto"/>
        <w:ind w:left="9" w:hanging="10"/>
        <w:contextualSpacing/>
        <w:rPr>
          <w:u w:val="single"/>
          <w:lang w:val="sv-SE"/>
        </w:rPr>
      </w:pPr>
      <w:r w:rsidRPr="00A74CC6">
        <w:rPr>
          <w:u w:val="single"/>
          <w:lang w:val="sv-SE"/>
        </w:rPr>
        <w:t>KANJINTI 150 mg pulver till koncentrat till infusionsvätska, lösning</w:t>
      </w:r>
    </w:p>
    <w:p w14:paraId="274C69BF" w14:textId="77777777" w:rsidR="001D5307" w:rsidRPr="00A74CC6" w:rsidRDefault="001D5307" w:rsidP="001E7238">
      <w:pPr>
        <w:keepNext/>
        <w:keepLines/>
        <w:spacing w:after="0" w:line="240" w:lineRule="auto"/>
        <w:ind w:left="9" w:hanging="10"/>
        <w:contextualSpacing/>
        <w:rPr>
          <w:u w:val="single"/>
          <w:lang w:val="sv-SE"/>
        </w:rPr>
      </w:pPr>
    </w:p>
    <w:p w14:paraId="39818C3E" w14:textId="0255C0CF" w:rsidR="005027AB" w:rsidRPr="00A74CC6" w:rsidRDefault="00C418D8" w:rsidP="001E7238">
      <w:pPr>
        <w:spacing w:after="0" w:line="240" w:lineRule="auto"/>
        <w:ind w:left="4" w:right="13"/>
        <w:contextualSpacing/>
        <w:rPr>
          <w:lang w:val="sv-SE"/>
        </w:rPr>
      </w:pPr>
      <w:r w:rsidRPr="00A74CC6">
        <w:rPr>
          <w:lang w:val="sv-SE"/>
        </w:rPr>
        <w:t>20</w:t>
      </w:r>
      <w:r w:rsidR="00092F31" w:rsidRPr="00A74CC6">
        <w:rPr>
          <w:lang w:val="sv-SE"/>
        </w:rPr>
        <w:t> </w:t>
      </w:r>
      <w:r w:rsidR="00264096" w:rsidRPr="00A74CC6">
        <w:rPr>
          <w:lang w:val="sv-SE"/>
        </w:rPr>
        <w:t xml:space="preserve">ml klar injektionsflaska av </w:t>
      </w:r>
      <w:r w:rsidR="006D0419" w:rsidRPr="00A74CC6">
        <w:rPr>
          <w:lang w:val="sv-SE"/>
        </w:rPr>
        <w:t>t</w:t>
      </w:r>
      <w:r w:rsidR="00264096" w:rsidRPr="00A74CC6">
        <w:rPr>
          <w:lang w:val="sv-SE"/>
        </w:rPr>
        <w:t>yp</w:t>
      </w:r>
      <w:r w:rsidR="006D0419" w:rsidRPr="00A74CC6">
        <w:rPr>
          <w:lang w:val="sv-SE"/>
        </w:rPr>
        <w:t> </w:t>
      </w:r>
      <w:r w:rsidR="00264096" w:rsidRPr="00A74CC6">
        <w:rPr>
          <w:lang w:val="sv-SE"/>
        </w:rPr>
        <w:t>I</w:t>
      </w:r>
      <w:r w:rsidR="006D0419" w:rsidRPr="00A74CC6">
        <w:rPr>
          <w:lang w:val="sv-SE"/>
        </w:rPr>
        <w:t>-</w:t>
      </w:r>
      <w:r w:rsidR="00264096" w:rsidRPr="00A74CC6">
        <w:rPr>
          <w:lang w:val="sv-SE"/>
        </w:rPr>
        <w:t>glas</w:t>
      </w:r>
      <w:r w:rsidR="006D0419" w:rsidRPr="00A74CC6">
        <w:rPr>
          <w:lang w:val="sv-SE"/>
        </w:rPr>
        <w:t>,</w:t>
      </w:r>
      <w:r w:rsidR="00264096" w:rsidRPr="00A74CC6">
        <w:rPr>
          <w:lang w:val="sv-SE"/>
        </w:rPr>
        <w:t xml:space="preserve"> med fluoro-resinfilmlaminerad but</w:t>
      </w:r>
      <w:r w:rsidR="00092F31" w:rsidRPr="00A74CC6">
        <w:rPr>
          <w:lang w:val="sv-SE"/>
        </w:rPr>
        <w:t xml:space="preserve">ylgummipropp </w:t>
      </w:r>
      <w:r w:rsidR="001772CD">
        <w:rPr>
          <w:lang w:val="sv-SE"/>
        </w:rPr>
        <w:t>samt flip-off-aluminiumförsegling som dammskydd,</w:t>
      </w:r>
      <w:r w:rsidR="001772CD" w:rsidRPr="00A74CC6">
        <w:rPr>
          <w:lang w:val="sv-SE"/>
        </w:rPr>
        <w:t xml:space="preserve"> </w:t>
      </w:r>
      <w:r w:rsidR="00092F31" w:rsidRPr="00A74CC6">
        <w:rPr>
          <w:lang w:val="sv-SE"/>
        </w:rPr>
        <w:t>som innehåller 150 </w:t>
      </w:r>
      <w:r w:rsidR="00264096" w:rsidRPr="00A74CC6">
        <w:rPr>
          <w:lang w:val="sv-SE"/>
        </w:rPr>
        <w:t>mg trastuzumab.</w:t>
      </w:r>
    </w:p>
    <w:p w14:paraId="39EE07C8" w14:textId="77777777" w:rsidR="00092F31" w:rsidRPr="00A74CC6" w:rsidRDefault="00092F31" w:rsidP="001E7238">
      <w:pPr>
        <w:spacing w:after="0" w:line="240" w:lineRule="auto"/>
        <w:ind w:left="4" w:right="13"/>
        <w:contextualSpacing/>
        <w:rPr>
          <w:lang w:val="sv-SE"/>
        </w:rPr>
      </w:pPr>
    </w:p>
    <w:p w14:paraId="7BAD54A7" w14:textId="77777777" w:rsidR="00C418D8" w:rsidRPr="00A74CC6" w:rsidRDefault="00264096" w:rsidP="001E7238">
      <w:pPr>
        <w:spacing w:after="0" w:line="240" w:lineRule="auto"/>
        <w:ind w:left="4" w:right="13"/>
        <w:contextualSpacing/>
        <w:rPr>
          <w:lang w:val="sv-SE"/>
        </w:rPr>
      </w:pPr>
      <w:r w:rsidRPr="00A74CC6">
        <w:rPr>
          <w:lang w:val="sv-SE"/>
        </w:rPr>
        <w:t>Varje förpackning innehåller en injektionsflaska.</w:t>
      </w:r>
    </w:p>
    <w:p w14:paraId="43957212" w14:textId="77777777" w:rsidR="00C418D8" w:rsidRPr="00A74CC6" w:rsidRDefault="00C418D8" w:rsidP="001E7238">
      <w:pPr>
        <w:spacing w:after="0" w:line="240" w:lineRule="auto"/>
        <w:ind w:left="4" w:right="13"/>
        <w:contextualSpacing/>
        <w:rPr>
          <w:lang w:val="sv-SE"/>
        </w:rPr>
      </w:pPr>
    </w:p>
    <w:p w14:paraId="5745E97D" w14:textId="77777777" w:rsidR="00C418D8" w:rsidRPr="00A74CC6" w:rsidRDefault="00C418D8" w:rsidP="00C418D8">
      <w:pPr>
        <w:keepNext/>
        <w:keepLines/>
        <w:spacing w:after="0" w:line="240" w:lineRule="auto"/>
        <w:ind w:left="9" w:hanging="10"/>
        <w:contextualSpacing/>
        <w:rPr>
          <w:u w:val="single"/>
          <w:lang w:val="sv-SE"/>
        </w:rPr>
      </w:pPr>
      <w:r w:rsidRPr="00A74CC6">
        <w:rPr>
          <w:u w:val="single"/>
          <w:lang w:val="sv-SE"/>
        </w:rPr>
        <w:t>KANJINTI 420 mg pulver till koncentrat till infusionsvätska, lösning</w:t>
      </w:r>
    </w:p>
    <w:p w14:paraId="301B4F28" w14:textId="77777777" w:rsidR="00C418D8" w:rsidRPr="00A74CC6" w:rsidRDefault="00C418D8" w:rsidP="00C418D8">
      <w:pPr>
        <w:keepNext/>
        <w:keepLines/>
        <w:spacing w:after="0" w:line="240" w:lineRule="auto"/>
        <w:ind w:left="9" w:hanging="10"/>
        <w:contextualSpacing/>
        <w:rPr>
          <w:u w:val="single"/>
          <w:lang w:val="sv-SE"/>
        </w:rPr>
      </w:pPr>
    </w:p>
    <w:p w14:paraId="22B876D8" w14:textId="64F36A61" w:rsidR="00C418D8" w:rsidRPr="00A74CC6" w:rsidRDefault="00C418D8" w:rsidP="00E5647A">
      <w:pPr>
        <w:spacing w:after="0" w:line="240" w:lineRule="auto"/>
        <w:ind w:left="6" w:right="11" w:hanging="6"/>
        <w:contextualSpacing/>
        <w:rPr>
          <w:lang w:val="sv-SE"/>
        </w:rPr>
      </w:pPr>
      <w:r w:rsidRPr="00A74CC6">
        <w:rPr>
          <w:lang w:val="sv-SE"/>
        </w:rPr>
        <w:t xml:space="preserve">50 ml klar injektionsflaska av </w:t>
      </w:r>
      <w:r w:rsidR="006D0419" w:rsidRPr="00A74CC6">
        <w:rPr>
          <w:lang w:val="sv-SE"/>
        </w:rPr>
        <w:t>t</w:t>
      </w:r>
      <w:r w:rsidRPr="00A74CC6">
        <w:rPr>
          <w:lang w:val="sv-SE"/>
        </w:rPr>
        <w:t>yp</w:t>
      </w:r>
      <w:r w:rsidR="006D0419" w:rsidRPr="00A74CC6">
        <w:rPr>
          <w:lang w:val="sv-SE"/>
        </w:rPr>
        <w:t> </w:t>
      </w:r>
      <w:r w:rsidRPr="00A74CC6">
        <w:rPr>
          <w:lang w:val="sv-SE"/>
        </w:rPr>
        <w:t>I</w:t>
      </w:r>
      <w:r w:rsidR="006D0419" w:rsidRPr="00A74CC6">
        <w:rPr>
          <w:lang w:val="sv-SE"/>
        </w:rPr>
        <w:t>-</w:t>
      </w:r>
      <w:r w:rsidRPr="00A74CC6">
        <w:rPr>
          <w:lang w:val="sv-SE"/>
        </w:rPr>
        <w:t>glas</w:t>
      </w:r>
      <w:r w:rsidR="006D0419" w:rsidRPr="00A74CC6">
        <w:rPr>
          <w:lang w:val="sv-SE"/>
        </w:rPr>
        <w:t>,</w:t>
      </w:r>
      <w:r w:rsidRPr="00A74CC6">
        <w:rPr>
          <w:lang w:val="sv-SE"/>
        </w:rPr>
        <w:t xml:space="preserve"> med fluoro-resinfilmlaminerad butylgummipropp</w:t>
      </w:r>
      <w:r w:rsidR="001772CD">
        <w:rPr>
          <w:lang w:val="sv-SE"/>
        </w:rPr>
        <w:t xml:space="preserve"> samt flip-off-aluminiumförsegling som dammskydd,</w:t>
      </w:r>
      <w:r w:rsidRPr="00A74CC6">
        <w:rPr>
          <w:lang w:val="sv-SE"/>
        </w:rPr>
        <w:t xml:space="preserve"> som innehåller 420 mg trastuzumab.</w:t>
      </w:r>
    </w:p>
    <w:p w14:paraId="19B3F09F" w14:textId="77777777" w:rsidR="00C418D8" w:rsidRPr="00A74CC6" w:rsidRDefault="00C418D8" w:rsidP="00C418D8">
      <w:pPr>
        <w:spacing w:after="0" w:line="240" w:lineRule="auto"/>
        <w:ind w:left="4" w:right="13"/>
        <w:contextualSpacing/>
        <w:rPr>
          <w:lang w:val="sv-SE"/>
        </w:rPr>
      </w:pPr>
    </w:p>
    <w:p w14:paraId="2722C76C" w14:textId="77777777" w:rsidR="00C418D8" w:rsidRPr="00A74CC6" w:rsidRDefault="00C418D8" w:rsidP="00C418D8">
      <w:pPr>
        <w:spacing w:after="0" w:line="240" w:lineRule="auto"/>
        <w:ind w:left="4" w:right="13"/>
        <w:contextualSpacing/>
        <w:rPr>
          <w:lang w:val="sv-SE"/>
        </w:rPr>
      </w:pPr>
      <w:r w:rsidRPr="00A74CC6">
        <w:rPr>
          <w:lang w:val="sv-SE"/>
        </w:rPr>
        <w:t>Varje förpackning innehåller en injektionsflaska.</w:t>
      </w:r>
    </w:p>
    <w:p w14:paraId="244ACD27" w14:textId="77777777" w:rsidR="00092F31" w:rsidRPr="00A74CC6" w:rsidRDefault="00092F31" w:rsidP="001E7238">
      <w:pPr>
        <w:spacing w:after="0" w:line="240" w:lineRule="auto"/>
        <w:ind w:left="4" w:right="13"/>
        <w:contextualSpacing/>
        <w:rPr>
          <w:lang w:val="sv-SE"/>
        </w:rPr>
      </w:pPr>
    </w:p>
    <w:p w14:paraId="64AD23A9" w14:textId="77777777" w:rsidR="00092F31" w:rsidRPr="00A74CC6" w:rsidRDefault="00264096" w:rsidP="001E7238">
      <w:pPr>
        <w:pStyle w:val="Heading2"/>
        <w:tabs>
          <w:tab w:val="center" w:pos="3306"/>
        </w:tabs>
        <w:spacing w:after="0" w:line="240" w:lineRule="auto"/>
        <w:ind w:left="567" w:hanging="567"/>
        <w:contextualSpacing/>
        <w:rPr>
          <w:b/>
          <w:u w:val="none"/>
          <w:lang w:val="sv-SE"/>
        </w:rPr>
      </w:pPr>
      <w:r w:rsidRPr="00A74CC6">
        <w:rPr>
          <w:b/>
          <w:u w:val="none"/>
          <w:lang w:val="sv-SE"/>
        </w:rPr>
        <w:t>6.6</w:t>
      </w:r>
      <w:r w:rsidRPr="00A74CC6">
        <w:rPr>
          <w:b/>
          <w:u w:val="none"/>
          <w:lang w:val="sv-SE"/>
        </w:rPr>
        <w:tab/>
        <w:t>Särskilda anvisningar för destruktion och övrig hantering</w:t>
      </w:r>
    </w:p>
    <w:p w14:paraId="4378A106" w14:textId="77777777" w:rsidR="0027245B" w:rsidRPr="00A74CC6" w:rsidRDefault="0027245B" w:rsidP="001E7238">
      <w:pPr>
        <w:spacing w:after="0" w:line="240" w:lineRule="auto"/>
        <w:ind w:left="4" w:right="13"/>
        <w:contextualSpacing/>
        <w:rPr>
          <w:lang w:val="sv-SE"/>
        </w:rPr>
      </w:pPr>
    </w:p>
    <w:p w14:paraId="33ECE125" w14:textId="1C839686" w:rsidR="00365F00" w:rsidRDefault="00365F00" w:rsidP="00E5647A">
      <w:pPr>
        <w:spacing w:after="0" w:line="240" w:lineRule="auto"/>
        <w:ind w:left="6" w:right="11" w:hanging="6"/>
        <w:rPr>
          <w:lang w:val="sv-SE"/>
        </w:rPr>
      </w:pPr>
      <w:r>
        <w:rPr>
          <w:lang w:val="sv-SE"/>
        </w:rPr>
        <w:t xml:space="preserve">Lämplig aseptisk teknik ska användas för beredning och utspädning. Noggrannhet måste iakttas för att säkerställa steriliteten på beredda lösningar. </w:t>
      </w:r>
      <w:r w:rsidRPr="0013429F">
        <w:rPr>
          <w:lang w:val="sv-SE"/>
        </w:rPr>
        <w:t xml:space="preserve">Eftersom läkemedlet inte innehåller några antimikrobiella konserveringsmedel eller </w:t>
      </w:r>
      <w:r w:rsidRPr="007C651B">
        <w:rPr>
          <w:lang w:val="sv-SE"/>
        </w:rPr>
        <w:t>bak</w:t>
      </w:r>
      <w:r>
        <w:rPr>
          <w:lang w:val="sv-SE"/>
        </w:rPr>
        <w:t>t</w:t>
      </w:r>
      <w:r w:rsidRPr="0013429F">
        <w:rPr>
          <w:lang w:val="sv-SE"/>
        </w:rPr>
        <w:t>e</w:t>
      </w:r>
      <w:r>
        <w:rPr>
          <w:lang w:val="sv-SE"/>
        </w:rPr>
        <w:t>r</w:t>
      </w:r>
      <w:r w:rsidRPr="007C651B">
        <w:rPr>
          <w:lang w:val="sv-SE"/>
        </w:rPr>
        <w:t>i</w:t>
      </w:r>
      <w:r>
        <w:rPr>
          <w:lang w:val="sv-SE"/>
        </w:rPr>
        <w:t>o</w:t>
      </w:r>
      <w:r w:rsidRPr="007C651B">
        <w:rPr>
          <w:lang w:val="sv-SE"/>
        </w:rPr>
        <w:t>statiska medel måste aseptisk teknik användas.</w:t>
      </w:r>
    </w:p>
    <w:p w14:paraId="17D2BFCF" w14:textId="77777777" w:rsidR="005B63AC" w:rsidRDefault="005B63AC" w:rsidP="00E5647A">
      <w:pPr>
        <w:spacing w:after="0" w:line="240" w:lineRule="auto"/>
        <w:ind w:left="6" w:right="11" w:hanging="6"/>
        <w:rPr>
          <w:u w:val="single"/>
          <w:lang w:val="sv-SE"/>
        </w:rPr>
      </w:pPr>
    </w:p>
    <w:p w14:paraId="3325A716" w14:textId="3EE7D95A" w:rsidR="00365F00" w:rsidRPr="00CE0099" w:rsidRDefault="00365F00" w:rsidP="00E5647A">
      <w:pPr>
        <w:spacing w:after="0" w:line="240" w:lineRule="auto"/>
        <w:ind w:left="6" w:right="11" w:hanging="6"/>
        <w:rPr>
          <w:u w:val="single"/>
          <w:lang w:val="sv-SE"/>
        </w:rPr>
      </w:pPr>
      <w:r w:rsidRPr="00CE0099">
        <w:rPr>
          <w:u w:val="single"/>
          <w:lang w:val="sv-SE"/>
        </w:rPr>
        <w:t>Aseptisk beredning, hantering och förvaring</w:t>
      </w:r>
    </w:p>
    <w:p w14:paraId="04CCDA4C" w14:textId="77777777" w:rsidR="005B63AC" w:rsidRDefault="005B63AC" w:rsidP="00CE0099">
      <w:pPr>
        <w:autoSpaceDE w:val="0"/>
        <w:autoSpaceDN w:val="0"/>
        <w:adjustRightInd w:val="0"/>
        <w:spacing w:after="0" w:line="240" w:lineRule="auto"/>
        <w:ind w:left="0" w:firstLine="0"/>
        <w:rPr>
          <w:lang w:val="sv-SE"/>
        </w:rPr>
      </w:pPr>
    </w:p>
    <w:p w14:paraId="2BC3B7F7" w14:textId="33635551" w:rsidR="00185D37" w:rsidRPr="00CE0099" w:rsidRDefault="00365F00" w:rsidP="00CE0099">
      <w:pPr>
        <w:autoSpaceDE w:val="0"/>
        <w:autoSpaceDN w:val="0"/>
        <w:adjustRightInd w:val="0"/>
        <w:spacing w:after="0" w:line="240" w:lineRule="auto"/>
        <w:ind w:left="0" w:firstLine="0"/>
        <w:rPr>
          <w:rFonts w:eastAsia="Calibri"/>
          <w:lang w:val="sv-SE"/>
        </w:rPr>
      </w:pPr>
      <w:r w:rsidRPr="00970B99">
        <w:rPr>
          <w:lang w:val="sv-SE"/>
        </w:rPr>
        <w:t xml:space="preserve">Aseptisk hantering måste garanteras vid </w:t>
      </w:r>
      <w:r w:rsidRPr="00CE0099">
        <w:rPr>
          <w:rFonts w:eastAsia="Calibri"/>
          <w:lang w:val="sv-SE"/>
        </w:rPr>
        <w:t>beredning av infusionen. Beredningen ska vara:</w:t>
      </w:r>
    </w:p>
    <w:p w14:paraId="61E7DE1F" w14:textId="569EF902" w:rsidR="00365F00" w:rsidRPr="00CE0099" w:rsidRDefault="00365F00" w:rsidP="00CE0099">
      <w:pPr>
        <w:autoSpaceDE w:val="0"/>
        <w:autoSpaceDN w:val="0"/>
        <w:adjustRightInd w:val="0"/>
        <w:spacing w:after="0" w:line="240" w:lineRule="auto"/>
        <w:ind w:left="567" w:hanging="567"/>
        <w:rPr>
          <w:rFonts w:eastAsia="Calibri"/>
          <w:lang w:val="sv-SE"/>
        </w:rPr>
      </w:pPr>
      <w:r w:rsidRPr="00CE0099">
        <w:rPr>
          <w:rFonts w:eastAsia="Calibri"/>
          <w:lang w:val="en-GB"/>
        </w:rPr>
        <w:sym w:font="Symbol" w:char="F0B7"/>
      </w:r>
      <w:r w:rsidRPr="00CE0099">
        <w:rPr>
          <w:rFonts w:eastAsia="Calibri"/>
          <w:lang w:val="sv-SE"/>
        </w:rPr>
        <w:tab/>
        <w:t>utförd under aseptiska förhållanden med tränad personal i enlighet med god beredningssed särskilt med avseende på aseptisk beredning av parenterala produkter.</w:t>
      </w:r>
    </w:p>
    <w:p w14:paraId="17412B8C" w14:textId="28AE40DA" w:rsidR="00365F00" w:rsidRPr="00CE0099" w:rsidRDefault="00365F00" w:rsidP="00CE0099">
      <w:pPr>
        <w:autoSpaceDE w:val="0"/>
        <w:autoSpaceDN w:val="0"/>
        <w:adjustRightInd w:val="0"/>
        <w:spacing w:after="0" w:line="240" w:lineRule="auto"/>
        <w:ind w:left="567" w:hanging="567"/>
        <w:rPr>
          <w:rFonts w:eastAsia="Calibri"/>
          <w:lang w:val="sv-SE"/>
        </w:rPr>
      </w:pPr>
      <w:r>
        <w:rPr>
          <w:lang w:val="sv-SE"/>
        </w:rPr>
        <w:sym w:font="Symbol" w:char="F0B7"/>
      </w:r>
      <w:r>
        <w:rPr>
          <w:lang w:val="sv-SE"/>
        </w:rPr>
        <w:tab/>
      </w:r>
      <w:r w:rsidRPr="00CE0099">
        <w:rPr>
          <w:rFonts w:eastAsia="Calibri"/>
          <w:lang w:val="sv-SE"/>
        </w:rPr>
        <w:t>beredd i e</w:t>
      </w:r>
      <w:r w:rsidR="00FD5981">
        <w:rPr>
          <w:rFonts w:eastAsia="Calibri"/>
          <w:lang w:val="sv-SE"/>
        </w:rPr>
        <w:t xml:space="preserve">n </w:t>
      </w:r>
      <w:r w:rsidR="00FD5981" w:rsidRPr="00CE0099">
        <w:rPr>
          <w:rFonts w:eastAsia="Calibri"/>
          <w:lang w:val="sv-SE"/>
        </w:rPr>
        <w:t>LA</w:t>
      </w:r>
      <w:r w:rsidR="00FD5981">
        <w:rPr>
          <w:rFonts w:eastAsia="Calibri"/>
          <w:lang w:val="sv-SE"/>
        </w:rPr>
        <w:t>F-bänk</w:t>
      </w:r>
      <w:r w:rsidRPr="00CE0099">
        <w:rPr>
          <w:rFonts w:eastAsia="Calibri"/>
          <w:lang w:val="sv-SE"/>
        </w:rPr>
        <w:t xml:space="preserve"> eller biologiskt säkerhetsskåp med användande av gängse försiktighetsmått för säker hantering av intravenösa läkemedel.</w:t>
      </w:r>
    </w:p>
    <w:p w14:paraId="3A305CFF" w14:textId="2F6D3CEE" w:rsidR="00365F00" w:rsidRPr="00CE0099" w:rsidRDefault="00365F00" w:rsidP="00185D37">
      <w:pPr>
        <w:autoSpaceDE w:val="0"/>
        <w:autoSpaceDN w:val="0"/>
        <w:adjustRightInd w:val="0"/>
        <w:spacing w:after="0" w:line="240" w:lineRule="auto"/>
        <w:ind w:left="567" w:hanging="567"/>
        <w:rPr>
          <w:rFonts w:eastAsia="Calibri"/>
          <w:lang w:val="sv-SE"/>
        </w:rPr>
      </w:pPr>
      <w:r w:rsidRPr="00CE0099">
        <w:rPr>
          <w:rFonts w:eastAsia="Calibri"/>
          <w:lang w:val="en-GB"/>
        </w:rPr>
        <w:sym w:font="Symbol" w:char="F0B7"/>
      </w:r>
      <w:r w:rsidRPr="00CE0099">
        <w:rPr>
          <w:rFonts w:eastAsia="Calibri"/>
          <w:lang w:val="sv-SE"/>
        </w:rPr>
        <w:tab/>
        <w:t>följt av adekvat förvaring av beredd lösning för intravenös infusion för att säkerställa att aseptiska förhållanden bibehålls</w:t>
      </w:r>
      <w:r w:rsidR="00F06C96" w:rsidRPr="00CE0099">
        <w:rPr>
          <w:rFonts w:eastAsia="Calibri"/>
          <w:lang w:val="sv-SE"/>
        </w:rPr>
        <w:t>.</w:t>
      </w:r>
    </w:p>
    <w:p w14:paraId="2C25A273" w14:textId="77777777" w:rsidR="00185D37" w:rsidRPr="00CE0099" w:rsidRDefault="00185D37" w:rsidP="00CE0099">
      <w:pPr>
        <w:autoSpaceDE w:val="0"/>
        <w:autoSpaceDN w:val="0"/>
        <w:adjustRightInd w:val="0"/>
        <w:spacing w:after="0" w:line="240" w:lineRule="auto"/>
        <w:ind w:left="567" w:hanging="567"/>
        <w:rPr>
          <w:rFonts w:eastAsia="Calibri"/>
          <w:lang w:val="sv-SE"/>
        </w:rPr>
      </w:pPr>
    </w:p>
    <w:p w14:paraId="05C64C4F" w14:textId="4116C638" w:rsidR="005027AB" w:rsidRPr="00A74CC6" w:rsidRDefault="00C418D8" w:rsidP="001341B2">
      <w:pPr>
        <w:spacing w:after="0" w:line="240" w:lineRule="auto"/>
        <w:ind w:left="4" w:right="13"/>
        <w:contextualSpacing/>
        <w:rPr>
          <w:lang w:val="sv-SE"/>
        </w:rPr>
      </w:pPr>
      <w:r w:rsidRPr="00A74CC6">
        <w:rPr>
          <w:lang w:val="sv-SE"/>
        </w:rPr>
        <w:t xml:space="preserve">KANJINTI </w:t>
      </w:r>
      <w:r w:rsidR="00264096" w:rsidRPr="00A74CC6">
        <w:rPr>
          <w:lang w:val="sv-SE"/>
        </w:rPr>
        <w:t xml:space="preserve">ska hanteras försiktigt under beredningen. </w:t>
      </w:r>
      <w:r w:rsidR="006D0419" w:rsidRPr="00A74CC6">
        <w:rPr>
          <w:lang w:val="sv-SE"/>
        </w:rPr>
        <w:t>Om s</w:t>
      </w:r>
      <w:r w:rsidR="00264096" w:rsidRPr="00A74CC6">
        <w:rPr>
          <w:lang w:val="sv-SE"/>
        </w:rPr>
        <w:t xml:space="preserve">tark skumbildning </w:t>
      </w:r>
      <w:r w:rsidR="006D0419" w:rsidRPr="00A74CC6">
        <w:rPr>
          <w:lang w:val="sv-SE"/>
        </w:rPr>
        <w:t xml:space="preserve">orsakas </w:t>
      </w:r>
      <w:r w:rsidR="00264096" w:rsidRPr="00A74CC6">
        <w:rPr>
          <w:lang w:val="sv-SE"/>
        </w:rPr>
        <w:t xml:space="preserve">under beredningen eller </w:t>
      </w:r>
      <w:r w:rsidR="006D0419" w:rsidRPr="00A74CC6">
        <w:rPr>
          <w:lang w:val="sv-SE"/>
        </w:rPr>
        <w:t>om</w:t>
      </w:r>
      <w:r w:rsidR="00264096" w:rsidRPr="00A74CC6">
        <w:rPr>
          <w:lang w:val="sv-SE"/>
        </w:rPr>
        <w:t xml:space="preserve"> den färdigberedda lösningen </w:t>
      </w:r>
      <w:r w:rsidR="006D0419" w:rsidRPr="00A74CC6">
        <w:rPr>
          <w:lang w:val="sv-SE"/>
        </w:rPr>
        <w:t xml:space="preserve">skakas </w:t>
      </w:r>
      <w:r w:rsidR="00264096" w:rsidRPr="00A74CC6">
        <w:rPr>
          <w:lang w:val="sv-SE"/>
        </w:rPr>
        <w:t xml:space="preserve">kan </w:t>
      </w:r>
      <w:r w:rsidR="006D0419" w:rsidRPr="00A74CC6">
        <w:rPr>
          <w:lang w:val="sv-SE"/>
        </w:rPr>
        <w:t xml:space="preserve">problem uppstå med den </w:t>
      </w:r>
      <w:r w:rsidR="00264096" w:rsidRPr="00A74CC6">
        <w:rPr>
          <w:lang w:val="sv-SE"/>
        </w:rPr>
        <w:t xml:space="preserve">mängd </w:t>
      </w:r>
      <w:r w:rsidRPr="00A74CC6">
        <w:rPr>
          <w:lang w:val="sv-SE"/>
        </w:rPr>
        <w:t xml:space="preserve">KANJINTI </w:t>
      </w:r>
      <w:r w:rsidR="006D0419" w:rsidRPr="00A74CC6">
        <w:rPr>
          <w:lang w:val="sv-SE"/>
        </w:rPr>
        <w:t xml:space="preserve">som kan dras upp </w:t>
      </w:r>
      <w:r w:rsidR="00264096" w:rsidRPr="00A74CC6">
        <w:rPr>
          <w:lang w:val="sv-SE"/>
        </w:rPr>
        <w:t>ur injektionsflaskan.</w:t>
      </w:r>
    </w:p>
    <w:p w14:paraId="236A201C" w14:textId="77777777" w:rsidR="0027245B" w:rsidRPr="00A74CC6" w:rsidRDefault="0027245B" w:rsidP="001341B2">
      <w:pPr>
        <w:spacing w:after="0" w:line="240" w:lineRule="auto"/>
        <w:ind w:left="4" w:right="13"/>
        <w:contextualSpacing/>
        <w:rPr>
          <w:lang w:val="sv-SE"/>
        </w:rPr>
      </w:pPr>
    </w:p>
    <w:p w14:paraId="395E887F" w14:textId="77777777" w:rsidR="005027AB" w:rsidRPr="00A74CC6" w:rsidRDefault="00264096" w:rsidP="001341B2">
      <w:pPr>
        <w:spacing w:after="0" w:line="240" w:lineRule="auto"/>
        <w:ind w:left="4" w:right="13"/>
        <w:contextualSpacing/>
        <w:rPr>
          <w:lang w:val="sv-SE"/>
        </w:rPr>
      </w:pPr>
      <w:r w:rsidRPr="00A74CC6">
        <w:rPr>
          <w:lang w:val="sv-SE"/>
        </w:rPr>
        <w:t>Den färdigberedda lösningen får ej frysas.</w:t>
      </w:r>
    </w:p>
    <w:p w14:paraId="7AA73E0F" w14:textId="77777777" w:rsidR="0027245B" w:rsidRPr="00A74CC6" w:rsidRDefault="0027245B" w:rsidP="001341B2">
      <w:pPr>
        <w:spacing w:after="0" w:line="240" w:lineRule="auto"/>
        <w:ind w:left="4" w:right="13"/>
        <w:contextualSpacing/>
        <w:rPr>
          <w:lang w:val="sv-SE"/>
        </w:rPr>
      </w:pPr>
    </w:p>
    <w:p w14:paraId="7D04C20D" w14:textId="77777777" w:rsidR="00C418D8" w:rsidRPr="006D36D2" w:rsidRDefault="00C418D8" w:rsidP="00C418D8">
      <w:pPr>
        <w:keepNext/>
        <w:keepLines/>
        <w:spacing w:after="0" w:line="240" w:lineRule="auto"/>
        <w:ind w:left="9" w:hanging="10"/>
        <w:contextualSpacing/>
        <w:rPr>
          <w:i/>
          <w:iCs/>
          <w:u w:val="single"/>
          <w:lang w:val="sv-SE"/>
        </w:rPr>
      </w:pPr>
      <w:r w:rsidRPr="006D36D2">
        <w:rPr>
          <w:i/>
          <w:iCs/>
          <w:u w:val="single"/>
          <w:lang w:val="sv-SE"/>
        </w:rPr>
        <w:t>KANJINTI 150 mg pulver till koncentrat till infusionsvätska, lösning</w:t>
      </w:r>
    </w:p>
    <w:p w14:paraId="3A956F9F" w14:textId="77777777" w:rsidR="00C418D8" w:rsidRPr="00A74CC6" w:rsidRDefault="00C418D8" w:rsidP="001341B2">
      <w:pPr>
        <w:spacing w:after="0" w:line="240" w:lineRule="auto"/>
        <w:ind w:left="4" w:right="13"/>
        <w:contextualSpacing/>
        <w:rPr>
          <w:lang w:val="sv-SE"/>
        </w:rPr>
      </w:pPr>
    </w:p>
    <w:p w14:paraId="11E80D31" w14:textId="49524054" w:rsidR="00C418D8" w:rsidRPr="00A74CC6" w:rsidRDefault="00C418D8" w:rsidP="00C418D8">
      <w:pPr>
        <w:spacing w:after="0" w:line="240" w:lineRule="auto"/>
        <w:ind w:left="4" w:right="13"/>
        <w:contextualSpacing/>
        <w:rPr>
          <w:lang w:val="sv-SE"/>
        </w:rPr>
      </w:pPr>
      <w:r w:rsidRPr="00A74CC6">
        <w:rPr>
          <w:lang w:val="sv-SE"/>
        </w:rPr>
        <w:t>Varje injektionsflaska med 150 mg KANJINTI ska spädas med 7,2 ml sterilt vatten för injektionsvätskor (</w:t>
      </w:r>
      <w:r w:rsidR="006D0419" w:rsidRPr="00A74CC6">
        <w:rPr>
          <w:lang w:val="sv-SE"/>
        </w:rPr>
        <w:t>medföljer ej</w:t>
      </w:r>
      <w:r w:rsidRPr="00A74CC6">
        <w:rPr>
          <w:lang w:val="sv-SE"/>
        </w:rPr>
        <w:t>). Användning av andra spädningsmedel ska undvikas.</w:t>
      </w:r>
    </w:p>
    <w:p w14:paraId="0E4ECFE5" w14:textId="77777777" w:rsidR="00C418D8" w:rsidRPr="00A74CC6" w:rsidRDefault="00C418D8" w:rsidP="00C418D8">
      <w:pPr>
        <w:spacing w:after="0" w:line="240" w:lineRule="auto"/>
        <w:ind w:left="4" w:right="13"/>
        <w:contextualSpacing/>
        <w:rPr>
          <w:lang w:val="sv-SE"/>
        </w:rPr>
      </w:pPr>
    </w:p>
    <w:p w14:paraId="008A356C" w14:textId="737AB718" w:rsidR="00C418D8" w:rsidRPr="00A74CC6" w:rsidRDefault="00C418D8" w:rsidP="00C418D8">
      <w:pPr>
        <w:spacing w:after="0" w:line="240" w:lineRule="auto"/>
        <w:ind w:left="4" w:right="13"/>
        <w:contextualSpacing/>
        <w:rPr>
          <w:lang w:val="sv-SE"/>
        </w:rPr>
      </w:pPr>
      <w:r w:rsidRPr="00A74CC6">
        <w:rPr>
          <w:lang w:val="sv-SE"/>
        </w:rPr>
        <w:t>Den erhållna lösningen på 7,4 ml är avsedd för engångsanvändning och innehåller ungefär 21 mg/ml trastuzumab med ungefärligt pH 6,1. En övers</w:t>
      </w:r>
      <w:r w:rsidR="00175E96" w:rsidRPr="00A74CC6">
        <w:rPr>
          <w:lang w:val="sv-SE"/>
        </w:rPr>
        <w:t>kotts</w:t>
      </w:r>
      <w:r w:rsidRPr="00A74CC6">
        <w:rPr>
          <w:lang w:val="sv-SE"/>
        </w:rPr>
        <w:t xml:space="preserve">volym på 4 % säkerställer att den föreskrivna dosen på 150 mg kan dras </w:t>
      </w:r>
      <w:r w:rsidR="006D0419" w:rsidRPr="00A74CC6">
        <w:rPr>
          <w:lang w:val="sv-SE"/>
        </w:rPr>
        <w:t>upp från</w:t>
      </w:r>
      <w:r w:rsidRPr="00A74CC6">
        <w:rPr>
          <w:lang w:val="sv-SE"/>
        </w:rPr>
        <w:t xml:space="preserve"> varje injektionsflaska.</w:t>
      </w:r>
    </w:p>
    <w:p w14:paraId="513030AC" w14:textId="77777777" w:rsidR="00C418D8" w:rsidRPr="00A74CC6" w:rsidRDefault="00C418D8" w:rsidP="001341B2">
      <w:pPr>
        <w:spacing w:after="0" w:line="240" w:lineRule="auto"/>
        <w:ind w:left="4" w:right="13"/>
        <w:contextualSpacing/>
        <w:rPr>
          <w:lang w:val="sv-SE"/>
        </w:rPr>
      </w:pPr>
    </w:p>
    <w:p w14:paraId="40C8186B" w14:textId="77777777" w:rsidR="00C418D8" w:rsidRPr="006D36D2" w:rsidRDefault="00C418D8" w:rsidP="00146149">
      <w:pPr>
        <w:keepNext/>
        <w:keepLines/>
        <w:spacing w:after="0" w:line="240" w:lineRule="auto"/>
        <w:ind w:left="9" w:hanging="10"/>
        <w:contextualSpacing/>
        <w:rPr>
          <w:i/>
          <w:iCs/>
          <w:u w:val="single"/>
          <w:lang w:val="sv-SE"/>
        </w:rPr>
      </w:pPr>
      <w:r w:rsidRPr="006D36D2">
        <w:rPr>
          <w:i/>
          <w:iCs/>
          <w:u w:val="single"/>
          <w:lang w:val="sv-SE"/>
        </w:rPr>
        <w:lastRenderedPageBreak/>
        <w:t>KANJINTI 420 mg pulver till koncentrat till infusionsvätska, lösning</w:t>
      </w:r>
    </w:p>
    <w:p w14:paraId="575D8F52" w14:textId="77777777" w:rsidR="00C418D8" w:rsidRPr="00A74CC6" w:rsidRDefault="00C418D8" w:rsidP="00146149">
      <w:pPr>
        <w:keepNext/>
        <w:spacing w:after="0" w:line="240" w:lineRule="auto"/>
        <w:ind w:left="4" w:right="13"/>
        <w:contextualSpacing/>
        <w:rPr>
          <w:lang w:val="sv-SE"/>
        </w:rPr>
      </w:pPr>
    </w:p>
    <w:p w14:paraId="3B501D72" w14:textId="45CF1917" w:rsidR="00C418D8" w:rsidRPr="00A74CC6" w:rsidRDefault="00C418D8" w:rsidP="00146149">
      <w:pPr>
        <w:keepNext/>
        <w:spacing w:after="0" w:line="240" w:lineRule="auto"/>
        <w:ind w:left="4" w:right="13"/>
        <w:contextualSpacing/>
        <w:rPr>
          <w:lang w:val="sv-SE"/>
        </w:rPr>
      </w:pPr>
      <w:r w:rsidRPr="00A74CC6">
        <w:rPr>
          <w:lang w:val="sv-SE"/>
        </w:rPr>
        <w:t>Varje injektionsflaska med 420 mg KANJINTI ska spädas med 20 ml sterilt vatten för injektionsvätskor (</w:t>
      </w:r>
      <w:r w:rsidR="006D0419" w:rsidRPr="00A74CC6">
        <w:rPr>
          <w:lang w:val="sv-SE"/>
        </w:rPr>
        <w:t>medföljer ej</w:t>
      </w:r>
      <w:r w:rsidRPr="00A74CC6">
        <w:rPr>
          <w:lang w:val="sv-SE"/>
        </w:rPr>
        <w:t>). Användning av andra spädningsmedel ska undvikas.</w:t>
      </w:r>
    </w:p>
    <w:p w14:paraId="0B868465" w14:textId="77777777" w:rsidR="00C418D8" w:rsidRPr="00A74CC6" w:rsidRDefault="00C418D8" w:rsidP="00C418D8">
      <w:pPr>
        <w:spacing w:after="0" w:line="240" w:lineRule="auto"/>
        <w:ind w:left="4" w:right="13"/>
        <w:contextualSpacing/>
        <w:rPr>
          <w:lang w:val="sv-SE"/>
        </w:rPr>
      </w:pPr>
    </w:p>
    <w:p w14:paraId="4291D256" w14:textId="46016E55" w:rsidR="00C418D8" w:rsidRPr="00A74CC6" w:rsidRDefault="00C418D8" w:rsidP="00C418D8">
      <w:pPr>
        <w:spacing w:after="0" w:line="240" w:lineRule="auto"/>
        <w:ind w:left="4" w:right="13"/>
        <w:contextualSpacing/>
        <w:rPr>
          <w:lang w:val="sv-SE"/>
        </w:rPr>
      </w:pPr>
      <w:r w:rsidRPr="00A74CC6">
        <w:rPr>
          <w:lang w:val="sv-SE"/>
        </w:rPr>
        <w:t>Den erhållna lösningen på 21 ml är avsedd för engångsanvändning och innehåller ungefär 21 mg/ml trastuzumab med ungefärligt pH</w:t>
      </w:r>
      <w:r w:rsidR="00DA48BB">
        <w:rPr>
          <w:lang w:val="sv-SE"/>
        </w:rPr>
        <w:t> </w:t>
      </w:r>
      <w:r w:rsidRPr="00A74CC6">
        <w:rPr>
          <w:lang w:val="sv-SE"/>
        </w:rPr>
        <w:t>6,1. E</w:t>
      </w:r>
      <w:r w:rsidR="00175E96" w:rsidRPr="00A74CC6">
        <w:rPr>
          <w:lang w:val="sv-SE"/>
        </w:rPr>
        <w:t>n överskottsvolym</w:t>
      </w:r>
      <w:r w:rsidRPr="00A74CC6">
        <w:rPr>
          <w:lang w:val="sv-SE"/>
        </w:rPr>
        <w:t xml:space="preserve"> på 5 % säkerställer att den föreskrivna dosen på 420 mg kan dras </w:t>
      </w:r>
      <w:r w:rsidR="006D0419" w:rsidRPr="00A74CC6">
        <w:rPr>
          <w:lang w:val="sv-SE"/>
        </w:rPr>
        <w:t>upp från</w:t>
      </w:r>
      <w:r w:rsidRPr="00A74CC6">
        <w:rPr>
          <w:lang w:val="sv-SE"/>
        </w:rPr>
        <w:t xml:space="preserve"> varje injektionsflaska.</w:t>
      </w:r>
    </w:p>
    <w:p w14:paraId="6F3EF732" w14:textId="77777777" w:rsidR="00C418D8" w:rsidRPr="00A74CC6" w:rsidRDefault="00C418D8" w:rsidP="008763E6">
      <w:pPr>
        <w:spacing w:after="0" w:line="240" w:lineRule="auto"/>
        <w:ind w:left="4" w:right="13" w:hanging="6"/>
        <w:contextualSpacing/>
        <w:rPr>
          <w:lang w:val="sv-SE"/>
        </w:rPr>
      </w:pP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42"/>
        <w:gridCol w:w="3432"/>
        <w:gridCol w:w="342"/>
        <w:gridCol w:w="2766"/>
      </w:tblGrid>
      <w:tr w:rsidR="00AD14F8" w:rsidRPr="00A74CC6" w14:paraId="48B7574A" w14:textId="77777777" w:rsidTr="004A019F">
        <w:tc>
          <w:tcPr>
            <w:tcW w:w="2381" w:type="dxa"/>
            <w:shd w:val="clear" w:color="auto" w:fill="auto"/>
          </w:tcPr>
          <w:p w14:paraId="5D9E1DB7" w14:textId="77777777" w:rsidR="00C418D8" w:rsidRPr="004A019F" w:rsidRDefault="00C418D8" w:rsidP="004A019F">
            <w:pPr>
              <w:autoSpaceDE w:val="0"/>
              <w:autoSpaceDN w:val="0"/>
              <w:adjustRightInd w:val="0"/>
              <w:spacing w:after="0" w:line="240" w:lineRule="auto"/>
              <w:ind w:hanging="6"/>
              <w:rPr>
                <w:rFonts w:eastAsia="Calibri"/>
                <w:sz w:val="20"/>
                <w:szCs w:val="20"/>
                <w:lang w:val="sv-SE"/>
              </w:rPr>
            </w:pPr>
            <w:r w:rsidRPr="004A019F">
              <w:rPr>
                <w:rFonts w:eastAsia="Calibri"/>
                <w:sz w:val="20"/>
                <w:szCs w:val="20"/>
                <w:lang w:val="sv-SE"/>
              </w:rPr>
              <w:t>KANJINTI injektionsflaska</w:t>
            </w:r>
          </w:p>
        </w:tc>
        <w:tc>
          <w:tcPr>
            <w:tcW w:w="0" w:type="auto"/>
            <w:shd w:val="clear" w:color="auto" w:fill="auto"/>
          </w:tcPr>
          <w:p w14:paraId="15E6ECB2" w14:textId="77777777" w:rsidR="00C418D8" w:rsidRPr="004A019F" w:rsidRDefault="00C418D8" w:rsidP="004A019F">
            <w:pPr>
              <w:autoSpaceDE w:val="0"/>
              <w:autoSpaceDN w:val="0"/>
              <w:adjustRightInd w:val="0"/>
              <w:spacing w:after="0" w:line="240" w:lineRule="auto"/>
              <w:ind w:hanging="6"/>
              <w:rPr>
                <w:rFonts w:eastAsia="Calibri"/>
                <w:sz w:val="20"/>
                <w:szCs w:val="20"/>
                <w:lang w:val="sv-SE"/>
              </w:rPr>
            </w:pPr>
          </w:p>
        </w:tc>
        <w:tc>
          <w:tcPr>
            <w:tcW w:w="0" w:type="auto"/>
            <w:shd w:val="clear" w:color="auto" w:fill="auto"/>
          </w:tcPr>
          <w:p w14:paraId="57131BC4" w14:textId="77777777" w:rsidR="00C418D8" w:rsidRPr="004A019F" w:rsidRDefault="00C418D8" w:rsidP="004A019F">
            <w:pPr>
              <w:autoSpaceDE w:val="0"/>
              <w:autoSpaceDN w:val="0"/>
              <w:adjustRightInd w:val="0"/>
              <w:spacing w:after="0" w:line="240" w:lineRule="auto"/>
              <w:ind w:hanging="6"/>
              <w:rPr>
                <w:rFonts w:eastAsia="Calibri"/>
                <w:sz w:val="20"/>
                <w:szCs w:val="20"/>
                <w:lang w:val="sv-SE"/>
              </w:rPr>
            </w:pPr>
            <w:r w:rsidRPr="004A019F">
              <w:rPr>
                <w:rFonts w:eastAsia="Calibri"/>
                <w:sz w:val="20"/>
                <w:szCs w:val="20"/>
                <w:lang w:val="sv-SE"/>
              </w:rPr>
              <w:t>Volym sterilt vatten för injektion</w:t>
            </w:r>
            <w:r w:rsidR="006E6248" w:rsidRPr="004A019F">
              <w:rPr>
                <w:rFonts w:eastAsia="Calibri"/>
                <w:sz w:val="20"/>
                <w:szCs w:val="20"/>
                <w:lang w:val="sv-SE"/>
              </w:rPr>
              <w:t>svätskor</w:t>
            </w:r>
          </w:p>
        </w:tc>
        <w:tc>
          <w:tcPr>
            <w:tcW w:w="0" w:type="auto"/>
            <w:shd w:val="clear" w:color="auto" w:fill="auto"/>
          </w:tcPr>
          <w:p w14:paraId="131D0366" w14:textId="77777777" w:rsidR="00C418D8" w:rsidRPr="004A019F" w:rsidRDefault="00C418D8" w:rsidP="004A019F">
            <w:pPr>
              <w:autoSpaceDE w:val="0"/>
              <w:autoSpaceDN w:val="0"/>
              <w:adjustRightInd w:val="0"/>
              <w:spacing w:after="0" w:line="240" w:lineRule="auto"/>
              <w:ind w:hanging="6"/>
              <w:rPr>
                <w:rFonts w:eastAsia="Calibri"/>
                <w:sz w:val="20"/>
                <w:szCs w:val="20"/>
                <w:lang w:val="sv-SE"/>
              </w:rPr>
            </w:pPr>
          </w:p>
        </w:tc>
        <w:tc>
          <w:tcPr>
            <w:tcW w:w="2766" w:type="dxa"/>
            <w:shd w:val="clear" w:color="auto" w:fill="auto"/>
          </w:tcPr>
          <w:p w14:paraId="5B1827AF" w14:textId="77777777" w:rsidR="00C418D8" w:rsidRPr="004A019F" w:rsidRDefault="00C418D8" w:rsidP="004A019F">
            <w:pPr>
              <w:autoSpaceDE w:val="0"/>
              <w:autoSpaceDN w:val="0"/>
              <w:adjustRightInd w:val="0"/>
              <w:spacing w:after="0" w:line="240" w:lineRule="auto"/>
              <w:ind w:hanging="6"/>
              <w:rPr>
                <w:rFonts w:eastAsia="Calibri"/>
                <w:sz w:val="20"/>
                <w:szCs w:val="20"/>
                <w:lang w:val="sv-SE"/>
              </w:rPr>
            </w:pPr>
            <w:r w:rsidRPr="004A019F">
              <w:rPr>
                <w:rFonts w:eastAsia="Calibri"/>
                <w:sz w:val="20"/>
                <w:szCs w:val="20"/>
                <w:lang w:val="sv-SE"/>
              </w:rPr>
              <w:t>Slutlig koncentration</w:t>
            </w:r>
          </w:p>
        </w:tc>
      </w:tr>
      <w:tr w:rsidR="00AD14F8" w:rsidRPr="00A74CC6" w14:paraId="2C6973E1" w14:textId="77777777" w:rsidTr="004A019F">
        <w:tc>
          <w:tcPr>
            <w:tcW w:w="2381" w:type="dxa"/>
            <w:shd w:val="clear" w:color="auto" w:fill="auto"/>
          </w:tcPr>
          <w:p w14:paraId="3C9C8F3E" w14:textId="3FF29C3A" w:rsidR="00C418D8" w:rsidRPr="004A019F" w:rsidRDefault="00C418D8" w:rsidP="004A019F">
            <w:pPr>
              <w:autoSpaceDE w:val="0"/>
              <w:autoSpaceDN w:val="0"/>
              <w:adjustRightInd w:val="0"/>
              <w:spacing w:after="0" w:line="240" w:lineRule="auto"/>
              <w:ind w:hanging="6"/>
              <w:rPr>
                <w:rFonts w:eastAsia="Calibri"/>
                <w:sz w:val="20"/>
                <w:szCs w:val="20"/>
                <w:lang w:val="sv-SE"/>
              </w:rPr>
            </w:pPr>
            <w:r w:rsidRPr="004A019F">
              <w:rPr>
                <w:rFonts w:eastAsia="Calibri"/>
                <w:sz w:val="20"/>
                <w:szCs w:val="20"/>
                <w:lang w:val="sv-SE"/>
              </w:rPr>
              <w:t>150</w:t>
            </w:r>
            <w:r w:rsidR="006D0419" w:rsidRPr="004A019F">
              <w:rPr>
                <w:rFonts w:eastAsia="Calibri"/>
                <w:sz w:val="20"/>
                <w:szCs w:val="20"/>
                <w:lang w:val="sv-SE"/>
              </w:rPr>
              <w:t> </w:t>
            </w:r>
            <w:r w:rsidRPr="004A019F">
              <w:rPr>
                <w:rFonts w:eastAsia="Calibri"/>
                <w:sz w:val="20"/>
                <w:szCs w:val="20"/>
                <w:lang w:val="sv-SE"/>
              </w:rPr>
              <w:t>mg injektionsflaska</w:t>
            </w:r>
          </w:p>
        </w:tc>
        <w:tc>
          <w:tcPr>
            <w:tcW w:w="0" w:type="auto"/>
            <w:shd w:val="clear" w:color="auto" w:fill="auto"/>
          </w:tcPr>
          <w:p w14:paraId="5D3023CD" w14:textId="77777777" w:rsidR="00C418D8" w:rsidRPr="004A019F" w:rsidRDefault="00C418D8" w:rsidP="004A019F">
            <w:pPr>
              <w:autoSpaceDE w:val="0"/>
              <w:autoSpaceDN w:val="0"/>
              <w:adjustRightInd w:val="0"/>
              <w:spacing w:after="0" w:line="240" w:lineRule="auto"/>
              <w:ind w:hanging="6"/>
              <w:rPr>
                <w:rFonts w:eastAsia="Calibri"/>
                <w:sz w:val="20"/>
                <w:szCs w:val="20"/>
                <w:lang w:val="sv-SE"/>
              </w:rPr>
            </w:pPr>
            <w:r w:rsidRPr="004A019F">
              <w:rPr>
                <w:rFonts w:eastAsia="Calibri"/>
                <w:sz w:val="20"/>
                <w:szCs w:val="20"/>
                <w:lang w:val="sv-SE"/>
              </w:rPr>
              <w:t>+</w:t>
            </w:r>
          </w:p>
        </w:tc>
        <w:tc>
          <w:tcPr>
            <w:tcW w:w="0" w:type="auto"/>
            <w:shd w:val="clear" w:color="auto" w:fill="auto"/>
          </w:tcPr>
          <w:p w14:paraId="1ADA46FE" w14:textId="77777777" w:rsidR="00C418D8" w:rsidRPr="004A019F" w:rsidRDefault="00C418D8" w:rsidP="004A019F">
            <w:pPr>
              <w:autoSpaceDE w:val="0"/>
              <w:autoSpaceDN w:val="0"/>
              <w:adjustRightInd w:val="0"/>
              <w:spacing w:after="0" w:line="240" w:lineRule="auto"/>
              <w:ind w:hanging="6"/>
              <w:rPr>
                <w:rFonts w:eastAsia="Calibri"/>
                <w:sz w:val="20"/>
                <w:szCs w:val="20"/>
                <w:lang w:val="sv-SE"/>
              </w:rPr>
            </w:pPr>
            <w:r w:rsidRPr="004A019F">
              <w:rPr>
                <w:rFonts w:eastAsia="Calibri"/>
                <w:sz w:val="20"/>
                <w:szCs w:val="20"/>
                <w:lang w:val="sv-SE"/>
              </w:rPr>
              <w:t>7,2 ml</w:t>
            </w:r>
          </w:p>
        </w:tc>
        <w:tc>
          <w:tcPr>
            <w:tcW w:w="0" w:type="auto"/>
            <w:shd w:val="clear" w:color="auto" w:fill="auto"/>
          </w:tcPr>
          <w:p w14:paraId="42E237BE" w14:textId="77777777" w:rsidR="00C418D8" w:rsidRPr="004A019F" w:rsidRDefault="00C418D8" w:rsidP="004A019F">
            <w:pPr>
              <w:autoSpaceDE w:val="0"/>
              <w:autoSpaceDN w:val="0"/>
              <w:adjustRightInd w:val="0"/>
              <w:spacing w:after="0" w:line="240" w:lineRule="auto"/>
              <w:ind w:hanging="6"/>
              <w:rPr>
                <w:rFonts w:eastAsia="Calibri"/>
                <w:sz w:val="20"/>
                <w:szCs w:val="20"/>
                <w:lang w:val="sv-SE"/>
              </w:rPr>
            </w:pPr>
            <w:r w:rsidRPr="004A019F">
              <w:rPr>
                <w:rFonts w:eastAsia="Calibri"/>
                <w:sz w:val="20"/>
                <w:szCs w:val="20"/>
                <w:lang w:val="sv-SE"/>
              </w:rPr>
              <w:t>=</w:t>
            </w:r>
          </w:p>
        </w:tc>
        <w:tc>
          <w:tcPr>
            <w:tcW w:w="2766" w:type="dxa"/>
            <w:shd w:val="clear" w:color="auto" w:fill="auto"/>
          </w:tcPr>
          <w:p w14:paraId="7B815A13" w14:textId="77777777" w:rsidR="00C418D8" w:rsidRPr="004A019F" w:rsidRDefault="00C418D8" w:rsidP="004A019F">
            <w:pPr>
              <w:autoSpaceDE w:val="0"/>
              <w:autoSpaceDN w:val="0"/>
              <w:adjustRightInd w:val="0"/>
              <w:spacing w:after="0" w:line="240" w:lineRule="auto"/>
              <w:ind w:hanging="6"/>
              <w:rPr>
                <w:rFonts w:eastAsia="Calibri"/>
                <w:sz w:val="20"/>
                <w:szCs w:val="20"/>
                <w:lang w:val="sv-SE"/>
              </w:rPr>
            </w:pPr>
            <w:r w:rsidRPr="004A019F">
              <w:rPr>
                <w:rFonts w:eastAsia="Calibri"/>
                <w:sz w:val="20"/>
                <w:szCs w:val="20"/>
                <w:lang w:val="sv-SE"/>
              </w:rPr>
              <w:t>21 mg/ml</w:t>
            </w:r>
          </w:p>
        </w:tc>
      </w:tr>
      <w:tr w:rsidR="00AD14F8" w:rsidRPr="00A74CC6" w14:paraId="497420E8" w14:textId="77777777" w:rsidTr="004A019F">
        <w:tc>
          <w:tcPr>
            <w:tcW w:w="2381" w:type="dxa"/>
            <w:shd w:val="clear" w:color="auto" w:fill="auto"/>
          </w:tcPr>
          <w:p w14:paraId="648F44A5" w14:textId="596045BE" w:rsidR="00C418D8" w:rsidRPr="004A019F" w:rsidRDefault="00C418D8" w:rsidP="004A019F">
            <w:pPr>
              <w:autoSpaceDE w:val="0"/>
              <w:autoSpaceDN w:val="0"/>
              <w:adjustRightInd w:val="0"/>
              <w:spacing w:after="0" w:line="240" w:lineRule="auto"/>
              <w:ind w:hanging="6"/>
              <w:rPr>
                <w:rFonts w:eastAsia="Calibri"/>
                <w:sz w:val="20"/>
                <w:szCs w:val="20"/>
                <w:lang w:val="sv-SE"/>
              </w:rPr>
            </w:pPr>
            <w:r w:rsidRPr="004A019F">
              <w:rPr>
                <w:rFonts w:eastAsia="Calibri"/>
                <w:sz w:val="20"/>
                <w:szCs w:val="20"/>
                <w:lang w:val="sv-SE"/>
              </w:rPr>
              <w:t>420</w:t>
            </w:r>
            <w:r w:rsidR="006D0419" w:rsidRPr="004A019F">
              <w:rPr>
                <w:rFonts w:eastAsia="Calibri"/>
                <w:sz w:val="20"/>
                <w:szCs w:val="20"/>
                <w:lang w:val="sv-SE"/>
              </w:rPr>
              <w:t> </w:t>
            </w:r>
            <w:r w:rsidRPr="004A019F">
              <w:rPr>
                <w:rFonts w:eastAsia="Calibri"/>
                <w:sz w:val="20"/>
                <w:szCs w:val="20"/>
                <w:lang w:val="sv-SE"/>
              </w:rPr>
              <w:t>mg injektionsflaska</w:t>
            </w:r>
          </w:p>
        </w:tc>
        <w:tc>
          <w:tcPr>
            <w:tcW w:w="0" w:type="auto"/>
            <w:shd w:val="clear" w:color="auto" w:fill="auto"/>
          </w:tcPr>
          <w:p w14:paraId="674959D6" w14:textId="77777777" w:rsidR="00C418D8" w:rsidRPr="004A019F" w:rsidRDefault="00C418D8" w:rsidP="004A019F">
            <w:pPr>
              <w:autoSpaceDE w:val="0"/>
              <w:autoSpaceDN w:val="0"/>
              <w:adjustRightInd w:val="0"/>
              <w:spacing w:after="0" w:line="240" w:lineRule="auto"/>
              <w:ind w:hanging="6"/>
              <w:rPr>
                <w:rFonts w:eastAsia="Calibri"/>
                <w:sz w:val="20"/>
                <w:szCs w:val="20"/>
                <w:lang w:val="sv-SE"/>
              </w:rPr>
            </w:pPr>
            <w:r w:rsidRPr="004A019F">
              <w:rPr>
                <w:rFonts w:eastAsia="Calibri"/>
                <w:sz w:val="20"/>
                <w:szCs w:val="20"/>
                <w:lang w:val="sv-SE"/>
              </w:rPr>
              <w:t>+</w:t>
            </w:r>
          </w:p>
        </w:tc>
        <w:tc>
          <w:tcPr>
            <w:tcW w:w="0" w:type="auto"/>
            <w:shd w:val="clear" w:color="auto" w:fill="auto"/>
          </w:tcPr>
          <w:p w14:paraId="0408562A" w14:textId="77777777" w:rsidR="00C418D8" w:rsidRPr="004A019F" w:rsidRDefault="00C418D8" w:rsidP="004A019F">
            <w:pPr>
              <w:autoSpaceDE w:val="0"/>
              <w:autoSpaceDN w:val="0"/>
              <w:adjustRightInd w:val="0"/>
              <w:spacing w:after="0" w:line="240" w:lineRule="auto"/>
              <w:ind w:hanging="6"/>
              <w:rPr>
                <w:rFonts w:eastAsia="Calibri"/>
                <w:sz w:val="20"/>
                <w:szCs w:val="20"/>
                <w:lang w:val="sv-SE"/>
              </w:rPr>
            </w:pPr>
            <w:r w:rsidRPr="004A019F">
              <w:rPr>
                <w:rFonts w:eastAsia="Calibri"/>
                <w:sz w:val="20"/>
                <w:szCs w:val="20"/>
                <w:lang w:val="sv-SE"/>
              </w:rPr>
              <w:t>20 ml</w:t>
            </w:r>
          </w:p>
        </w:tc>
        <w:tc>
          <w:tcPr>
            <w:tcW w:w="0" w:type="auto"/>
            <w:shd w:val="clear" w:color="auto" w:fill="auto"/>
          </w:tcPr>
          <w:p w14:paraId="4EDE408E" w14:textId="77777777" w:rsidR="00C418D8" w:rsidRPr="004A019F" w:rsidRDefault="00C418D8" w:rsidP="004A019F">
            <w:pPr>
              <w:autoSpaceDE w:val="0"/>
              <w:autoSpaceDN w:val="0"/>
              <w:adjustRightInd w:val="0"/>
              <w:spacing w:after="0" w:line="240" w:lineRule="auto"/>
              <w:ind w:hanging="6"/>
              <w:rPr>
                <w:rFonts w:eastAsia="Calibri"/>
                <w:sz w:val="20"/>
                <w:szCs w:val="20"/>
                <w:lang w:val="sv-SE"/>
              </w:rPr>
            </w:pPr>
            <w:r w:rsidRPr="004A019F">
              <w:rPr>
                <w:rFonts w:eastAsia="Calibri"/>
                <w:sz w:val="20"/>
                <w:szCs w:val="20"/>
                <w:lang w:val="sv-SE"/>
              </w:rPr>
              <w:t>=</w:t>
            </w:r>
          </w:p>
        </w:tc>
        <w:tc>
          <w:tcPr>
            <w:tcW w:w="2766" w:type="dxa"/>
            <w:shd w:val="clear" w:color="auto" w:fill="auto"/>
          </w:tcPr>
          <w:p w14:paraId="3F5F6360" w14:textId="77777777" w:rsidR="00C418D8" w:rsidRPr="004A019F" w:rsidRDefault="00C418D8" w:rsidP="004A019F">
            <w:pPr>
              <w:autoSpaceDE w:val="0"/>
              <w:autoSpaceDN w:val="0"/>
              <w:adjustRightInd w:val="0"/>
              <w:spacing w:after="0" w:line="240" w:lineRule="auto"/>
              <w:ind w:hanging="6"/>
              <w:rPr>
                <w:rFonts w:eastAsia="Calibri"/>
                <w:sz w:val="20"/>
                <w:szCs w:val="20"/>
                <w:lang w:val="sv-SE"/>
              </w:rPr>
            </w:pPr>
            <w:r w:rsidRPr="004A019F">
              <w:rPr>
                <w:rFonts w:eastAsia="Calibri"/>
                <w:sz w:val="20"/>
                <w:szCs w:val="20"/>
                <w:lang w:val="sv-SE"/>
              </w:rPr>
              <w:t>21 mg/ml</w:t>
            </w:r>
          </w:p>
        </w:tc>
      </w:tr>
    </w:tbl>
    <w:p w14:paraId="071F459E" w14:textId="77777777" w:rsidR="00C418D8" w:rsidRPr="00A74CC6" w:rsidRDefault="00C418D8" w:rsidP="001341B2">
      <w:pPr>
        <w:spacing w:after="0" w:line="240" w:lineRule="auto"/>
        <w:ind w:left="4" w:right="13"/>
        <w:contextualSpacing/>
        <w:rPr>
          <w:lang w:val="sv-SE"/>
        </w:rPr>
      </w:pPr>
    </w:p>
    <w:p w14:paraId="55BE7000" w14:textId="012AFD6E" w:rsidR="005027AB" w:rsidRPr="00A74CC6" w:rsidRDefault="00185D37" w:rsidP="001341B2">
      <w:pPr>
        <w:keepNext/>
        <w:keepLines/>
        <w:spacing w:after="0" w:line="240" w:lineRule="auto"/>
        <w:ind w:left="11" w:hanging="11"/>
        <w:contextualSpacing/>
        <w:rPr>
          <w:u w:val="single" w:color="000000"/>
          <w:lang w:val="sv-SE"/>
        </w:rPr>
      </w:pPr>
      <w:r>
        <w:rPr>
          <w:u w:val="single" w:color="000000"/>
          <w:lang w:val="sv-SE"/>
        </w:rPr>
        <w:t>Aseptisk b</w:t>
      </w:r>
      <w:r w:rsidR="001D5307" w:rsidRPr="00A74CC6">
        <w:rPr>
          <w:u w:val="single" w:color="000000"/>
          <w:lang w:val="sv-SE"/>
        </w:rPr>
        <w:t>eredningsanvisning</w:t>
      </w:r>
    </w:p>
    <w:p w14:paraId="05DB9349" w14:textId="77777777" w:rsidR="00C418D8" w:rsidRPr="00A74CC6" w:rsidRDefault="00C418D8" w:rsidP="001341B2">
      <w:pPr>
        <w:keepNext/>
        <w:keepLines/>
        <w:spacing w:after="0" w:line="240" w:lineRule="auto"/>
        <w:ind w:left="11" w:hanging="11"/>
        <w:contextualSpacing/>
        <w:rPr>
          <w:lang w:val="sv-SE"/>
        </w:rPr>
      </w:pPr>
    </w:p>
    <w:p w14:paraId="53ADFE7B" w14:textId="35026D7C" w:rsidR="00F53C3A" w:rsidRPr="00A74CC6" w:rsidRDefault="00264096" w:rsidP="00360C8E">
      <w:pPr>
        <w:spacing w:after="0" w:line="240" w:lineRule="auto"/>
        <w:ind w:left="6" w:right="454" w:hanging="6"/>
        <w:contextualSpacing/>
        <w:rPr>
          <w:lang w:val="sv-SE"/>
        </w:rPr>
      </w:pPr>
      <w:r w:rsidRPr="00A74CC6">
        <w:rPr>
          <w:lang w:val="sv-SE"/>
        </w:rPr>
        <w:t>1). Använd en steril sp</w:t>
      </w:r>
      <w:r w:rsidR="00E670F3" w:rsidRPr="00A74CC6">
        <w:rPr>
          <w:lang w:val="sv-SE"/>
        </w:rPr>
        <w:t xml:space="preserve">ruta, och injicera långsamt </w:t>
      </w:r>
      <w:r w:rsidR="00427179" w:rsidRPr="00A74CC6">
        <w:rPr>
          <w:lang w:val="sv-SE"/>
        </w:rPr>
        <w:t>korrekt volym (anges ovan)</w:t>
      </w:r>
      <w:r w:rsidRPr="00A74CC6">
        <w:rPr>
          <w:lang w:val="sv-SE"/>
        </w:rPr>
        <w:t xml:space="preserve"> sterilt vatten för injektionsvätskor i injektionsflaskan som innehåller frystorkat </w:t>
      </w:r>
      <w:r w:rsidR="00427179" w:rsidRPr="00A74CC6">
        <w:rPr>
          <w:lang w:val="sv-SE"/>
        </w:rPr>
        <w:t>KANJINTI</w:t>
      </w:r>
      <w:r w:rsidRPr="00A74CC6">
        <w:rPr>
          <w:lang w:val="sv-SE"/>
        </w:rPr>
        <w:t>. Rikta strålen mot den frystorkade kakan.</w:t>
      </w:r>
    </w:p>
    <w:p w14:paraId="55089FE8" w14:textId="77777777" w:rsidR="00F53C3A" w:rsidRPr="00A74CC6" w:rsidRDefault="00F53C3A" w:rsidP="001341B2">
      <w:pPr>
        <w:spacing w:after="0" w:line="240" w:lineRule="auto"/>
        <w:ind w:left="6" w:right="454" w:hanging="6"/>
        <w:contextualSpacing/>
        <w:rPr>
          <w:lang w:val="sv-SE"/>
        </w:rPr>
      </w:pPr>
    </w:p>
    <w:p w14:paraId="46EB5E59" w14:textId="3E37A643" w:rsidR="005027AB" w:rsidRPr="00A74CC6" w:rsidRDefault="00264096" w:rsidP="001341B2">
      <w:pPr>
        <w:spacing w:after="0" w:line="240" w:lineRule="auto"/>
        <w:ind w:left="6" w:right="454" w:hanging="6"/>
        <w:contextualSpacing/>
        <w:rPr>
          <w:lang w:val="sv-SE"/>
        </w:rPr>
      </w:pPr>
      <w:r w:rsidRPr="00A74CC6">
        <w:rPr>
          <w:lang w:val="sv-SE"/>
        </w:rPr>
        <w:t>2). Snurra injektionsflaskan försiktigt för att underlätta upp</w:t>
      </w:r>
      <w:r w:rsidR="00DA0C85" w:rsidRPr="00A74CC6">
        <w:rPr>
          <w:lang w:val="sv-SE"/>
        </w:rPr>
        <w:t>lösning</w:t>
      </w:r>
      <w:r w:rsidR="0079288B" w:rsidRPr="00A74CC6">
        <w:rPr>
          <w:lang w:val="sv-SE"/>
        </w:rPr>
        <w:t xml:space="preserve"> av pulvret</w:t>
      </w:r>
      <w:r w:rsidRPr="00A74CC6">
        <w:rPr>
          <w:lang w:val="sv-SE"/>
        </w:rPr>
        <w:t>. SKAKA EJ</w:t>
      </w:r>
      <w:r w:rsidR="00427179" w:rsidRPr="00A74CC6">
        <w:rPr>
          <w:lang w:val="sv-SE"/>
        </w:rPr>
        <w:t>.</w:t>
      </w:r>
    </w:p>
    <w:p w14:paraId="4E8F58B8" w14:textId="77777777" w:rsidR="0027245B" w:rsidRPr="00A74CC6" w:rsidRDefault="0027245B" w:rsidP="001341B2">
      <w:pPr>
        <w:spacing w:after="0" w:line="240" w:lineRule="auto"/>
        <w:ind w:left="4" w:right="455"/>
        <w:contextualSpacing/>
        <w:rPr>
          <w:lang w:val="sv-SE"/>
        </w:rPr>
      </w:pPr>
    </w:p>
    <w:p w14:paraId="6C4B6342" w14:textId="392EF7A1" w:rsidR="005027AB" w:rsidRPr="00A74CC6" w:rsidRDefault="00264096" w:rsidP="001341B2">
      <w:pPr>
        <w:spacing w:after="0" w:line="240" w:lineRule="auto"/>
        <w:ind w:left="4" w:right="13"/>
        <w:contextualSpacing/>
        <w:rPr>
          <w:lang w:val="sv-SE"/>
        </w:rPr>
      </w:pPr>
      <w:r w:rsidRPr="00A74CC6">
        <w:rPr>
          <w:lang w:val="sv-SE"/>
        </w:rPr>
        <w:t>Det är inte ovanligt att produkten skummar lätt i samband med beredningen. Låt injektionsflaskan stå ca 5</w:t>
      </w:r>
      <w:r w:rsidR="00DA0C85" w:rsidRPr="00A74CC6">
        <w:rPr>
          <w:lang w:val="sv-SE"/>
        </w:rPr>
        <w:t> </w:t>
      </w:r>
      <w:r w:rsidRPr="00A74CC6">
        <w:rPr>
          <w:lang w:val="sv-SE"/>
        </w:rPr>
        <w:t xml:space="preserve">minuter. Den erhållna beredningen av </w:t>
      </w:r>
      <w:r w:rsidR="00427179" w:rsidRPr="00A74CC6">
        <w:rPr>
          <w:lang w:val="sv-SE"/>
        </w:rPr>
        <w:t xml:space="preserve">KANJINTI </w:t>
      </w:r>
      <w:r w:rsidRPr="00A74CC6">
        <w:rPr>
          <w:lang w:val="sv-SE"/>
        </w:rPr>
        <w:t>är en färglös till svagt gulfärgad transparent lösning som ska vara väsentligen fri från synliga partiklar.</w:t>
      </w:r>
    </w:p>
    <w:p w14:paraId="21B7DAB8" w14:textId="77777777" w:rsidR="00185D37" w:rsidRDefault="00185D37" w:rsidP="001341B2">
      <w:pPr>
        <w:spacing w:after="0" w:line="240" w:lineRule="auto"/>
        <w:ind w:left="4" w:right="13"/>
        <w:contextualSpacing/>
        <w:rPr>
          <w:lang w:val="sv-SE"/>
        </w:rPr>
      </w:pPr>
    </w:p>
    <w:p w14:paraId="232BC1B5" w14:textId="254E77DF" w:rsidR="0027245B" w:rsidRPr="00CE0099" w:rsidRDefault="00185D37" w:rsidP="001341B2">
      <w:pPr>
        <w:spacing w:after="0" w:line="240" w:lineRule="auto"/>
        <w:ind w:left="4" w:right="13"/>
        <w:contextualSpacing/>
        <w:rPr>
          <w:u w:val="single"/>
          <w:lang w:val="sv-SE"/>
        </w:rPr>
      </w:pPr>
      <w:r w:rsidRPr="00CE0099">
        <w:rPr>
          <w:u w:val="single"/>
          <w:lang w:val="sv-SE"/>
        </w:rPr>
        <w:t>Instruktioner för aseptisk spädning av beredd lösning</w:t>
      </w:r>
    </w:p>
    <w:p w14:paraId="4E59743C" w14:textId="77777777" w:rsidR="00185D37" w:rsidRPr="00A74CC6" w:rsidRDefault="00185D37" w:rsidP="001341B2">
      <w:pPr>
        <w:spacing w:after="0" w:line="240" w:lineRule="auto"/>
        <w:ind w:left="4" w:right="13"/>
        <w:contextualSpacing/>
        <w:rPr>
          <w:lang w:val="sv-SE"/>
        </w:rPr>
      </w:pPr>
    </w:p>
    <w:p w14:paraId="60B2F16D" w14:textId="211A59D2" w:rsidR="005027AB" w:rsidRPr="00A74CC6" w:rsidRDefault="00264096" w:rsidP="001341B2">
      <w:pPr>
        <w:keepNext/>
        <w:spacing w:after="0" w:line="240" w:lineRule="auto"/>
        <w:ind w:left="4" w:right="13"/>
        <w:contextualSpacing/>
        <w:rPr>
          <w:lang w:val="sv-SE"/>
        </w:rPr>
      </w:pPr>
      <w:r w:rsidRPr="00A74CC6">
        <w:rPr>
          <w:lang w:val="sv-SE"/>
        </w:rPr>
        <w:t xml:space="preserve">Bestäm </w:t>
      </w:r>
      <w:r w:rsidR="00DA0C85" w:rsidRPr="00A74CC6">
        <w:rPr>
          <w:lang w:val="sv-SE"/>
        </w:rPr>
        <w:t xml:space="preserve">den </w:t>
      </w:r>
      <w:r w:rsidRPr="00A74CC6">
        <w:rPr>
          <w:lang w:val="sv-SE"/>
        </w:rPr>
        <w:t>volym av lösningen som behövs:</w:t>
      </w:r>
    </w:p>
    <w:p w14:paraId="4BE4D709" w14:textId="0AF47F92" w:rsidR="005027AB" w:rsidRPr="00A74CC6" w:rsidRDefault="00264096" w:rsidP="003D3E23">
      <w:pPr>
        <w:pStyle w:val="ListParagraph"/>
        <w:keepNext/>
        <w:numPr>
          <w:ilvl w:val="0"/>
          <w:numId w:val="27"/>
        </w:numPr>
        <w:spacing w:after="0" w:line="240" w:lineRule="auto"/>
        <w:ind w:left="567" w:hanging="567"/>
        <w:rPr>
          <w:lang w:val="sv-SE"/>
        </w:rPr>
      </w:pPr>
      <w:r w:rsidRPr="00A74CC6">
        <w:rPr>
          <w:lang w:val="sv-SE"/>
        </w:rPr>
        <w:t>för att få en startdos av 4</w:t>
      </w:r>
      <w:r w:rsidR="00F53C3A" w:rsidRPr="00A74CC6">
        <w:rPr>
          <w:lang w:val="sv-SE"/>
        </w:rPr>
        <w:t> </w:t>
      </w:r>
      <w:r w:rsidRPr="00A74CC6">
        <w:rPr>
          <w:lang w:val="sv-SE"/>
        </w:rPr>
        <w:t>mg trastuzumab/kg kroppsvikt, eller efterföljande veckovis dos på 2</w:t>
      </w:r>
      <w:r w:rsidR="00F53C3A" w:rsidRPr="00A74CC6">
        <w:rPr>
          <w:lang w:val="sv-SE"/>
        </w:rPr>
        <w:t> </w:t>
      </w:r>
      <w:r w:rsidRPr="00A74CC6">
        <w:rPr>
          <w:lang w:val="sv-SE"/>
        </w:rPr>
        <w:t>mg trastuzumab/kg kroppsvikt:</w:t>
      </w:r>
    </w:p>
    <w:p w14:paraId="251A5873" w14:textId="77777777" w:rsidR="005227DD" w:rsidRPr="00A74CC6" w:rsidRDefault="005227DD" w:rsidP="001341B2">
      <w:pPr>
        <w:keepNext/>
        <w:spacing w:after="0" w:line="240" w:lineRule="auto"/>
        <w:ind w:right="13"/>
        <w:rPr>
          <w:lang w:val="sv-SE"/>
        </w:rPr>
      </w:pPr>
    </w:p>
    <w:p w14:paraId="7EC007FE" w14:textId="5F8A2769" w:rsidR="005027AB" w:rsidRPr="00A74CC6" w:rsidRDefault="00264096" w:rsidP="0093020C">
      <w:pPr>
        <w:pStyle w:val="Heading2"/>
        <w:keepLines w:val="0"/>
        <w:spacing w:after="0" w:line="240" w:lineRule="auto"/>
        <w:ind w:left="9"/>
        <w:contextualSpacing/>
        <w:rPr>
          <w:lang w:val="sv-SE"/>
        </w:rPr>
      </w:pPr>
      <w:r w:rsidRPr="00A74CC6">
        <w:rPr>
          <w:b/>
          <w:u w:val="none"/>
          <w:lang w:val="sv-SE"/>
        </w:rPr>
        <w:t xml:space="preserve">Volym </w:t>
      </w:r>
      <w:r w:rsidR="00E36A8F" w:rsidRPr="00A74CC6">
        <w:rPr>
          <w:u w:val="none"/>
          <w:lang w:val="sv-SE"/>
        </w:rPr>
        <w:t>(ml) = </w:t>
      </w:r>
      <w:r w:rsidRPr="00A74CC6">
        <w:rPr>
          <w:b/>
          <w:lang w:val="sv-SE"/>
        </w:rPr>
        <w:t xml:space="preserve">Kroppsvikt </w:t>
      </w:r>
      <w:r w:rsidRPr="00A74CC6">
        <w:rPr>
          <w:lang w:val="sv-SE"/>
        </w:rPr>
        <w:t xml:space="preserve">(kg) </w:t>
      </w:r>
      <w:r w:rsidR="00397E0C" w:rsidRPr="009E7EB8">
        <w:rPr>
          <w:rFonts w:eastAsia="Calibri"/>
          <w:lang w:val="sv-SE"/>
        </w:rPr>
        <w:t>×</w:t>
      </w:r>
      <w:r w:rsidRPr="00A74CC6">
        <w:rPr>
          <w:lang w:val="sv-SE"/>
        </w:rPr>
        <w:t xml:space="preserve"> </w:t>
      </w:r>
      <w:r w:rsidRPr="00A74CC6">
        <w:rPr>
          <w:b/>
          <w:lang w:val="sv-SE"/>
        </w:rPr>
        <w:t xml:space="preserve">dos </w:t>
      </w:r>
      <w:r w:rsidRPr="00A74CC6">
        <w:rPr>
          <w:lang w:val="sv-SE"/>
        </w:rPr>
        <w:t>(</w:t>
      </w:r>
      <w:r w:rsidR="004239C8" w:rsidRPr="00A74CC6">
        <w:rPr>
          <w:b/>
          <w:lang w:val="sv-SE"/>
        </w:rPr>
        <w:t>4 </w:t>
      </w:r>
      <w:r w:rsidRPr="00A74CC6">
        <w:rPr>
          <w:lang w:val="sv-SE"/>
        </w:rPr>
        <w:t xml:space="preserve">mg/kg för startdos eller </w:t>
      </w:r>
      <w:r w:rsidR="004239C8" w:rsidRPr="00A74CC6">
        <w:rPr>
          <w:b/>
          <w:lang w:val="sv-SE"/>
        </w:rPr>
        <w:t>2 </w:t>
      </w:r>
      <w:r w:rsidRPr="00A74CC6">
        <w:rPr>
          <w:lang w:val="sv-SE"/>
        </w:rPr>
        <w:t>mg/kg för underhållsdos)</w:t>
      </w:r>
    </w:p>
    <w:p w14:paraId="27FFA1C6" w14:textId="77777777" w:rsidR="005027AB" w:rsidRPr="00A74CC6" w:rsidRDefault="004239C8" w:rsidP="0093020C">
      <w:pPr>
        <w:keepNext/>
        <w:spacing w:after="0" w:line="240" w:lineRule="auto"/>
        <w:ind w:left="2004" w:right="13"/>
        <w:contextualSpacing/>
        <w:rPr>
          <w:lang w:val="sv-SE"/>
        </w:rPr>
      </w:pPr>
      <w:r w:rsidRPr="00A74CC6">
        <w:rPr>
          <w:b/>
          <w:lang w:val="sv-SE"/>
        </w:rPr>
        <w:t>21 </w:t>
      </w:r>
      <w:r w:rsidR="00264096" w:rsidRPr="00A74CC6">
        <w:rPr>
          <w:lang w:val="sv-SE"/>
        </w:rPr>
        <w:t>(mg/ml, koncentration hos utspädd lösning)</w:t>
      </w:r>
    </w:p>
    <w:p w14:paraId="14EDDE35" w14:textId="77777777" w:rsidR="005227DD" w:rsidRPr="00A74CC6" w:rsidRDefault="005227DD" w:rsidP="001341B2">
      <w:pPr>
        <w:spacing w:after="0" w:line="240" w:lineRule="auto"/>
        <w:ind w:left="0" w:right="13" w:firstLine="0"/>
        <w:contextualSpacing/>
        <w:rPr>
          <w:lang w:val="sv-SE"/>
        </w:rPr>
      </w:pPr>
    </w:p>
    <w:p w14:paraId="0472505A" w14:textId="77777777" w:rsidR="005027AB" w:rsidRPr="00A74CC6" w:rsidRDefault="004239C8" w:rsidP="00664DEB">
      <w:pPr>
        <w:pStyle w:val="ListParagraph"/>
        <w:keepNext/>
        <w:numPr>
          <w:ilvl w:val="0"/>
          <w:numId w:val="27"/>
        </w:numPr>
        <w:spacing w:after="0" w:line="240" w:lineRule="auto"/>
        <w:ind w:left="567" w:hanging="567"/>
        <w:rPr>
          <w:lang w:val="sv-SE"/>
        </w:rPr>
      </w:pPr>
      <w:r w:rsidRPr="00A74CC6">
        <w:rPr>
          <w:lang w:val="sv-SE"/>
        </w:rPr>
        <w:t>för att få en startdos av 8 </w:t>
      </w:r>
      <w:r w:rsidR="00264096" w:rsidRPr="00A74CC6">
        <w:rPr>
          <w:lang w:val="sv-SE"/>
        </w:rPr>
        <w:t>mg trastuzumab/kg kroppsvik</w:t>
      </w:r>
      <w:r w:rsidR="00F4044E" w:rsidRPr="00A74CC6">
        <w:rPr>
          <w:lang w:val="sv-SE"/>
        </w:rPr>
        <w:t>t, eller efterföljande dos av 6 </w:t>
      </w:r>
      <w:r w:rsidR="00264096" w:rsidRPr="00A74CC6">
        <w:rPr>
          <w:lang w:val="sv-SE"/>
        </w:rPr>
        <w:t>mg trastuzumab/kg kroppsvikt var tredje vecka:</w:t>
      </w:r>
    </w:p>
    <w:p w14:paraId="30814FE8" w14:textId="77777777" w:rsidR="005227DD" w:rsidRPr="00A74CC6" w:rsidRDefault="005227DD" w:rsidP="001341B2">
      <w:pPr>
        <w:keepNext/>
        <w:spacing w:after="0" w:line="240" w:lineRule="auto"/>
        <w:ind w:right="13"/>
        <w:rPr>
          <w:lang w:val="sv-SE"/>
        </w:rPr>
      </w:pPr>
    </w:p>
    <w:p w14:paraId="6BE34E7F" w14:textId="5216DF8E" w:rsidR="005027AB" w:rsidRPr="00A74CC6" w:rsidRDefault="00264096" w:rsidP="001341B2">
      <w:pPr>
        <w:pStyle w:val="Heading2"/>
        <w:keepNext w:val="0"/>
        <w:keepLines w:val="0"/>
        <w:spacing w:after="0" w:line="240" w:lineRule="auto"/>
        <w:ind w:left="9"/>
        <w:contextualSpacing/>
        <w:rPr>
          <w:lang w:val="sv-SE"/>
        </w:rPr>
      </w:pPr>
      <w:r w:rsidRPr="00A74CC6">
        <w:rPr>
          <w:b/>
          <w:u w:val="none"/>
          <w:lang w:val="sv-SE"/>
        </w:rPr>
        <w:t xml:space="preserve">Volym </w:t>
      </w:r>
      <w:r w:rsidR="00E36A8F" w:rsidRPr="00A74CC6">
        <w:rPr>
          <w:u w:val="none"/>
          <w:lang w:val="sv-SE"/>
        </w:rPr>
        <w:t>(ml) </w:t>
      </w:r>
      <w:r w:rsidRPr="00A74CC6">
        <w:rPr>
          <w:u w:val="none"/>
          <w:lang w:val="sv-SE"/>
        </w:rPr>
        <w:t>=</w:t>
      </w:r>
      <w:r w:rsidR="00E36A8F" w:rsidRPr="00A74CC6">
        <w:rPr>
          <w:u w:val="none"/>
          <w:lang w:val="sv-SE"/>
        </w:rPr>
        <w:t> </w:t>
      </w:r>
      <w:r w:rsidRPr="00A74CC6">
        <w:rPr>
          <w:b/>
          <w:lang w:val="sv-SE"/>
        </w:rPr>
        <w:t xml:space="preserve">Kroppsvikt </w:t>
      </w:r>
      <w:r w:rsidRPr="00A74CC6">
        <w:rPr>
          <w:lang w:val="sv-SE"/>
        </w:rPr>
        <w:t xml:space="preserve">(kg) </w:t>
      </w:r>
      <w:r w:rsidR="00397E0C" w:rsidRPr="009E7EB8">
        <w:rPr>
          <w:rFonts w:eastAsia="Calibri"/>
          <w:lang w:val="sv-SE"/>
        </w:rPr>
        <w:t>×</w:t>
      </w:r>
      <w:r w:rsidRPr="00A74CC6">
        <w:rPr>
          <w:lang w:val="sv-SE"/>
        </w:rPr>
        <w:t xml:space="preserve"> </w:t>
      </w:r>
      <w:r w:rsidRPr="00A74CC6">
        <w:rPr>
          <w:b/>
          <w:lang w:val="sv-SE"/>
        </w:rPr>
        <w:t xml:space="preserve">dos </w:t>
      </w:r>
      <w:r w:rsidRPr="00A74CC6">
        <w:rPr>
          <w:lang w:val="sv-SE"/>
        </w:rPr>
        <w:t>(</w:t>
      </w:r>
      <w:r w:rsidR="004239C8" w:rsidRPr="00A74CC6">
        <w:rPr>
          <w:b/>
          <w:lang w:val="sv-SE"/>
        </w:rPr>
        <w:t>8 </w:t>
      </w:r>
      <w:r w:rsidRPr="00A74CC6">
        <w:rPr>
          <w:lang w:val="sv-SE"/>
        </w:rPr>
        <w:t xml:space="preserve">mg/kg för startdos eller </w:t>
      </w:r>
      <w:r w:rsidRPr="00A74CC6">
        <w:rPr>
          <w:b/>
          <w:lang w:val="sv-SE"/>
        </w:rPr>
        <w:t>6</w:t>
      </w:r>
      <w:r w:rsidR="004239C8" w:rsidRPr="00A74CC6">
        <w:rPr>
          <w:b/>
          <w:lang w:val="sv-SE"/>
        </w:rPr>
        <w:t> </w:t>
      </w:r>
      <w:r w:rsidRPr="00A74CC6">
        <w:rPr>
          <w:lang w:val="sv-SE"/>
        </w:rPr>
        <w:t>mg/kg för underhållsdos)</w:t>
      </w:r>
    </w:p>
    <w:p w14:paraId="0A474877" w14:textId="77777777" w:rsidR="005027AB" w:rsidRPr="00A74CC6" w:rsidRDefault="004239C8" w:rsidP="001341B2">
      <w:pPr>
        <w:spacing w:after="0" w:line="240" w:lineRule="auto"/>
        <w:ind w:left="2004" w:right="13"/>
        <w:contextualSpacing/>
        <w:rPr>
          <w:lang w:val="sv-SE"/>
        </w:rPr>
      </w:pPr>
      <w:r w:rsidRPr="00A74CC6">
        <w:rPr>
          <w:b/>
          <w:lang w:val="sv-SE"/>
        </w:rPr>
        <w:t>21 </w:t>
      </w:r>
      <w:r w:rsidR="00264096" w:rsidRPr="00A74CC6">
        <w:rPr>
          <w:lang w:val="sv-SE"/>
        </w:rPr>
        <w:t>(mg/ml, koncentration hos utspädd lösning)</w:t>
      </w:r>
    </w:p>
    <w:p w14:paraId="6BB3A71D" w14:textId="77777777" w:rsidR="005227DD" w:rsidRPr="00A74CC6" w:rsidRDefault="005227DD" w:rsidP="001341B2">
      <w:pPr>
        <w:spacing w:after="0" w:line="240" w:lineRule="auto"/>
        <w:ind w:left="0" w:right="13" w:firstLine="0"/>
        <w:contextualSpacing/>
        <w:rPr>
          <w:lang w:val="sv-SE"/>
        </w:rPr>
      </w:pPr>
    </w:p>
    <w:p w14:paraId="661EF1FA" w14:textId="2AE685B3" w:rsidR="005027AB" w:rsidRPr="00A74CC6" w:rsidRDefault="00264096" w:rsidP="001341B2">
      <w:pPr>
        <w:spacing w:after="0" w:line="240" w:lineRule="auto"/>
        <w:ind w:left="4" w:right="13"/>
        <w:contextualSpacing/>
        <w:rPr>
          <w:lang w:val="sv-SE"/>
        </w:rPr>
      </w:pPr>
      <w:r w:rsidRPr="00A74CC6">
        <w:rPr>
          <w:lang w:val="sv-SE"/>
        </w:rPr>
        <w:t xml:space="preserve">Erforderlig mängd av lösningen ska dras upp från injektionsflaskan </w:t>
      </w:r>
      <w:r w:rsidR="007A090A" w:rsidRPr="007A090A">
        <w:rPr>
          <w:lang w:val="sv-SE"/>
        </w:rPr>
        <w:t xml:space="preserve">med en steril kanyl och spruta </w:t>
      </w:r>
      <w:r w:rsidRPr="00A74CC6">
        <w:rPr>
          <w:lang w:val="sv-SE"/>
        </w:rPr>
        <w:t>och sättas till en i</w:t>
      </w:r>
      <w:r w:rsidR="004239C8" w:rsidRPr="00A74CC6">
        <w:rPr>
          <w:lang w:val="sv-SE"/>
        </w:rPr>
        <w:t>nfusionspåse som innehåller 250 </w:t>
      </w:r>
      <w:r w:rsidRPr="00A74CC6">
        <w:rPr>
          <w:lang w:val="sv-SE"/>
        </w:rPr>
        <w:t xml:space="preserve">ml </w:t>
      </w:r>
      <w:r w:rsidR="00F2647C" w:rsidRPr="00A74CC6">
        <w:rPr>
          <w:lang w:val="sv-SE"/>
        </w:rPr>
        <w:t>natriumklorid</w:t>
      </w:r>
      <w:r w:rsidR="00427179" w:rsidRPr="00A74CC6">
        <w:rPr>
          <w:lang w:val="sv-SE"/>
        </w:rPr>
        <w:t xml:space="preserve"> 9 mg/ml (</w:t>
      </w:r>
      <w:r w:rsidRPr="00A74CC6">
        <w:rPr>
          <w:lang w:val="sv-SE"/>
        </w:rPr>
        <w:t>0,9</w:t>
      </w:r>
      <w:r w:rsidR="00B268E6" w:rsidRPr="00A74CC6">
        <w:rPr>
          <w:lang w:val="sv-SE"/>
        </w:rPr>
        <w:t> %</w:t>
      </w:r>
      <w:r w:rsidR="00427179" w:rsidRPr="00A74CC6">
        <w:rPr>
          <w:lang w:val="sv-SE"/>
        </w:rPr>
        <w:t>) injektion</w:t>
      </w:r>
      <w:r w:rsidR="006E6248">
        <w:rPr>
          <w:lang w:val="sv-SE"/>
        </w:rPr>
        <w:t xml:space="preserve">svätska, </w:t>
      </w:r>
      <w:r w:rsidR="006E6248" w:rsidRPr="00A74CC6">
        <w:rPr>
          <w:lang w:val="sv-SE"/>
        </w:rPr>
        <w:t>lösning</w:t>
      </w:r>
      <w:r w:rsidRPr="00A74CC6">
        <w:rPr>
          <w:lang w:val="sv-SE"/>
        </w:rPr>
        <w:t>. Använd inte g</w:t>
      </w:r>
      <w:r w:rsidR="004239C8" w:rsidRPr="00A74CC6">
        <w:rPr>
          <w:lang w:val="sv-SE"/>
        </w:rPr>
        <w:t>lukosinnehållande lösningar (se</w:t>
      </w:r>
      <w:r w:rsidR="00DA0C85" w:rsidRPr="00A74CC6">
        <w:rPr>
          <w:lang w:val="sv-SE"/>
        </w:rPr>
        <w:t xml:space="preserve"> </w:t>
      </w:r>
      <w:r w:rsidRPr="00A74CC6">
        <w:rPr>
          <w:lang w:val="sv-SE"/>
        </w:rPr>
        <w:t>avsnitt</w:t>
      </w:r>
      <w:r w:rsidR="00DA0C85" w:rsidRPr="00A74CC6">
        <w:rPr>
          <w:lang w:val="sv-SE"/>
        </w:rPr>
        <w:t> </w:t>
      </w:r>
      <w:r w:rsidRPr="00A74CC6">
        <w:rPr>
          <w:lang w:val="sv-SE"/>
        </w:rPr>
        <w:t xml:space="preserve">6.2). </w:t>
      </w:r>
      <w:r w:rsidR="00DA0C85" w:rsidRPr="00A74CC6">
        <w:rPr>
          <w:lang w:val="sv-SE"/>
        </w:rPr>
        <w:t>Blanda lösningen genom att</w:t>
      </w:r>
      <w:r w:rsidRPr="00A74CC6">
        <w:rPr>
          <w:lang w:val="sv-SE"/>
        </w:rPr>
        <w:t xml:space="preserve"> sakta vända påsen</w:t>
      </w:r>
      <w:r w:rsidR="00DA0C85" w:rsidRPr="00A74CC6">
        <w:rPr>
          <w:lang w:val="sv-SE"/>
        </w:rPr>
        <w:t xml:space="preserve"> för att undvika skumbildning</w:t>
      </w:r>
      <w:r w:rsidRPr="00A74CC6">
        <w:rPr>
          <w:lang w:val="sv-SE"/>
        </w:rPr>
        <w:t>.</w:t>
      </w:r>
    </w:p>
    <w:p w14:paraId="4C35FA22" w14:textId="77777777" w:rsidR="004239C8" w:rsidRPr="00A74CC6" w:rsidRDefault="004239C8" w:rsidP="001341B2">
      <w:pPr>
        <w:spacing w:after="0" w:line="240" w:lineRule="auto"/>
        <w:ind w:left="4" w:right="13"/>
        <w:contextualSpacing/>
        <w:rPr>
          <w:lang w:val="sv-SE"/>
        </w:rPr>
      </w:pPr>
    </w:p>
    <w:p w14:paraId="4DC9BCEC" w14:textId="27272D49" w:rsidR="005027AB" w:rsidRPr="00A74CC6" w:rsidRDefault="00264096" w:rsidP="001341B2">
      <w:pPr>
        <w:spacing w:after="0" w:line="240" w:lineRule="auto"/>
        <w:ind w:left="4" w:right="13"/>
        <w:contextualSpacing/>
        <w:rPr>
          <w:lang w:val="sv-SE"/>
        </w:rPr>
      </w:pPr>
      <w:r w:rsidRPr="00A74CC6">
        <w:rPr>
          <w:lang w:val="sv-SE"/>
        </w:rPr>
        <w:t>Parenterala läkemedelslösningar ska inspekteras visuellt med avseende på partiklar och missfärgningar före administrering.</w:t>
      </w:r>
    </w:p>
    <w:p w14:paraId="4F618A04" w14:textId="77777777" w:rsidR="004239C8" w:rsidRPr="00A74CC6" w:rsidRDefault="004239C8" w:rsidP="001341B2">
      <w:pPr>
        <w:spacing w:after="0" w:line="240" w:lineRule="auto"/>
        <w:ind w:left="4" w:right="13"/>
        <w:contextualSpacing/>
        <w:rPr>
          <w:lang w:val="sv-SE"/>
        </w:rPr>
      </w:pPr>
    </w:p>
    <w:p w14:paraId="03AB96FD" w14:textId="1975F0C5" w:rsidR="005027AB" w:rsidRDefault="00264096" w:rsidP="001341B2">
      <w:pPr>
        <w:spacing w:after="0" w:line="240" w:lineRule="auto"/>
        <w:ind w:left="4" w:right="13"/>
        <w:contextualSpacing/>
        <w:rPr>
          <w:lang w:val="sv-SE"/>
        </w:rPr>
      </w:pPr>
      <w:r w:rsidRPr="00A74CC6">
        <w:rPr>
          <w:lang w:val="sv-SE"/>
        </w:rPr>
        <w:t xml:space="preserve">Ingen inkompatibilitet har observerats mellan </w:t>
      </w:r>
      <w:r w:rsidR="00427179" w:rsidRPr="00A74CC6">
        <w:rPr>
          <w:lang w:val="sv-SE"/>
        </w:rPr>
        <w:t xml:space="preserve">KANJINTI </w:t>
      </w:r>
      <w:r w:rsidRPr="00A74CC6">
        <w:rPr>
          <w:lang w:val="sv-SE"/>
        </w:rPr>
        <w:t>och polyvinylklorid-, polyetylen- eller polypropylenpåsar.</w:t>
      </w:r>
    </w:p>
    <w:p w14:paraId="68CC1850" w14:textId="77777777" w:rsidR="00B84530" w:rsidRDefault="00B84530" w:rsidP="001341B2">
      <w:pPr>
        <w:spacing w:after="0" w:line="240" w:lineRule="auto"/>
        <w:ind w:left="4" w:right="13"/>
        <w:contextualSpacing/>
        <w:rPr>
          <w:lang w:val="sv-SE"/>
        </w:rPr>
      </w:pPr>
    </w:p>
    <w:p w14:paraId="78CD9BF0" w14:textId="77777777" w:rsidR="00B84530" w:rsidRPr="00A74CC6" w:rsidRDefault="00B84530" w:rsidP="001341B2">
      <w:pPr>
        <w:spacing w:after="0" w:line="240" w:lineRule="auto"/>
        <w:ind w:left="4" w:right="13"/>
        <w:contextualSpacing/>
        <w:rPr>
          <w:lang w:val="sv-SE"/>
        </w:rPr>
      </w:pPr>
      <w:r w:rsidRPr="00A74CC6">
        <w:rPr>
          <w:lang w:val="sv-SE"/>
        </w:rPr>
        <w:t>KANJINTI är endast avsett för engångsanvändning eftersom de</w:t>
      </w:r>
      <w:r w:rsidR="00095E44">
        <w:rPr>
          <w:lang w:val="sv-SE"/>
        </w:rPr>
        <w:t>t</w:t>
      </w:r>
      <w:r w:rsidRPr="00A74CC6">
        <w:rPr>
          <w:lang w:val="sv-SE"/>
        </w:rPr>
        <w:t xml:space="preserve"> inte innehåller konserveringsmedel. Ej använt läkemedel och avfall ska kasseras enligt gällande anvisningar.</w:t>
      </w:r>
    </w:p>
    <w:p w14:paraId="02E42F17" w14:textId="77777777" w:rsidR="004239C8" w:rsidRPr="00A74CC6" w:rsidRDefault="004239C8" w:rsidP="001341B2">
      <w:pPr>
        <w:spacing w:after="0" w:line="240" w:lineRule="auto"/>
        <w:ind w:left="4" w:right="13"/>
        <w:contextualSpacing/>
        <w:rPr>
          <w:lang w:val="sv-SE"/>
        </w:rPr>
      </w:pPr>
    </w:p>
    <w:p w14:paraId="06EF4439" w14:textId="77777777" w:rsidR="00804953" w:rsidRPr="00A74CC6" w:rsidRDefault="00804953" w:rsidP="001341B2">
      <w:pPr>
        <w:spacing w:after="0" w:line="240" w:lineRule="auto"/>
        <w:ind w:left="4" w:right="13"/>
        <w:contextualSpacing/>
        <w:rPr>
          <w:lang w:val="sv-SE"/>
        </w:rPr>
      </w:pPr>
    </w:p>
    <w:p w14:paraId="24190166" w14:textId="77777777" w:rsidR="005027AB" w:rsidRPr="00A74CC6" w:rsidRDefault="00264096" w:rsidP="001341B2">
      <w:pPr>
        <w:pStyle w:val="Heading1"/>
        <w:tabs>
          <w:tab w:val="center" w:pos="3509"/>
        </w:tabs>
        <w:spacing w:after="0" w:line="240" w:lineRule="auto"/>
        <w:ind w:left="567" w:hanging="567"/>
        <w:contextualSpacing/>
        <w:rPr>
          <w:lang w:val="sv-SE"/>
        </w:rPr>
      </w:pPr>
      <w:r w:rsidRPr="00A74CC6">
        <w:rPr>
          <w:lang w:val="sv-SE"/>
        </w:rPr>
        <w:lastRenderedPageBreak/>
        <w:t>7.</w:t>
      </w:r>
      <w:r w:rsidRPr="00A74CC6">
        <w:rPr>
          <w:lang w:val="sv-SE"/>
        </w:rPr>
        <w:tab/>
        <w:t>INNEHAVARE AV GODKÄNNANDE FÖR FÖRSÄLJNING</w:t>
      </w:r>
    </w:p>
    <w:p w14:paraId="6E57637C" w14:textId="77777777" w:rsidR="004239C8" w:rsidRPr="00A74CC6" w:rsidRDefault="004239C8" w:rsidP="008763E6">
      <w:pPr>
        <w:keepNext/>
        <w:keepLines/>
        <w:spacing w:after="0" w:line="240" w:lineRule="auto"/>
        <w:ind w:left="4" w:right="13" w:hanging="6"/>
        <w:contextualSpacing/>
        <w:rPr>
          <w:lang w:val="sv-SE"/>
        </w:rPr>
      </w:pPr>
    </w:p>
    <w:p w14:paraId="29907AE8" w14:textId="77777777" w:rsidR="00427179" w:rsidRPr="00A74CC6" w:rsidRDefault="00427179" w:rsidP="008763E6">
      <w:pPr>
        <w:spacing w:after="0" w:line="240" w:lineRule="auto"/>
        <w:ind w:hanging="6"/>
        <w:rPr>
          <w:lang w:val="sv-SE"/>
        </w:rPr>
      </w:pPr>
      <w:r w:rsidRPr="00A74CC6">
        <w:rPr>
          <w:lang w:val="sv-SE"/>
        </w:rPr>
        <w:t>Amgen Europe B.V.</w:t>
      </w:r>
    </w:p>
    <w:p w14:paraId="26C7D2E6" w14:textId="77777777" w:rsidR="00427179" w:rsidRPr="00A74CC6" w:rsidRDefault="00427179" w:rsidP="008763E6">
      <w:pPr>
        <w:spacing w:after="0" w:line="240" w:lineRule="auto"/>
        <w:ind w:hanging="6"/>
        <w:rPr>
          <w:lang w:val="sv-SE"/>
        </w:rPr>
      </w:pPr>
      <w:r w:rsidRPr="00A74CC6">
        <w:rPr>
          <w:lang w:val="sv-SE"/>
        </w:rPr>
        <w:t>Minervum 7061</w:t>
      </w:r>
    </w:p>
    <w:p w14:paraId="5AF2995F" w14:textId="77777777" w:rsidR="00427179" w:rsidRPr="00A74CC6" w:rsidRDefault="00427179" w:rsidP="008763E6">
      <w:pPr>
        <w:spacing w:after="0" w:line="240" w:lineRule="auto"/>
        <w:ind w:left="4" w:right="13" w:hanging="6"/>
        <w:contextualSpacing/>
        <w:rPr>
          <w:lang w:val="sv-SE"/>
        </w:rPr>
      </w:pPr>
      <w:r w:rsidRPr="00A74CC6">
        <w:rPr>
          <w:lang w:val="sv-SE"/>
        </w:rPr>
        <w:t>NL</w:t>
      </w:r>
      <w:r w:rsidRPr="00A74CC6">
        <w:rPr>
          <w:lang w:val="sv-SE"/>
        </w:rPr>
        <w:noBreakHyphen/>
        <w:t>4817 ZK Breda</w:t>
      </w:r>
    </w:p>
    <w:p w14:paraId="27F2A6DB" w14:textId="77777777" w:rsidR="00427179" w:rsidRPr="00A74CC6" w:rsidRDefault="00427179" w:rsidP="008763E6">
      <w:pPr>
        <w:spacing w:after="0" w:line="240" w:lineRule="auto"/>
        <w:ind w:left="4" w:right="13" w:hanging="6"/>
        <w:contextualSpacing/>
        <w:rPr>
          <w:lang w:val="sv-SE"/>
        </w:rPr>
      </w:pPr>
      <w:r w:rsidRPr="00A74CC6">
        <w:rPr>
          <w:lang w:val="sv-SE"/>
        </w:rPr>
        <w:t>Nederländerna</w:t>
      </w:r>
    </w:p>
    <w:p w14:paraId="030C7A68" w14:textId="77777777" w:rsidR="004239C8" w:rsidRPr="00A74CC6" w:rsidRDefault="004239C8" w:rsidP="008763E6">
      <w:pPr>
        <w:spacing w:after="0" w:line="240" w:lineRule="auto"/>
        <w:ind w:left="4" w:right="13" w:hanging="6"/>
        <w:contextualSpacing/>
        <w:rPr>
          <w:lang w:val="sv-SE"/>
        </w:rPr>
      </w:pPr>
    </w:p>
    <w:p w14:paraId="10C09C29" w14:textId="77777777" w:rsidR="00804953" w:rsidRPr="00A74CC6" w:rsidRDefault="00804953" w:rsidP="001341B2">
      <w:pPr>
        <w:spacing w:after="0" w:line="240" w:lineRule="auto"/>
        <w:ind w:left="4" w:right="13"/>
        <w:contextualSpacing/>
        <w:rPr>
          <w:lang w:val="sv-SE"/>
        </w:rPr>
      </w:pPr>
    </w:p>
    <w:p w14:paraId="48338319" w14:textId="77777777" w:rsidR="005027AB" w:rsidRPr="00A74CC6" w:rsidRDefault="00264096" w:rsidP="001E7238">
      <w:pPr>
        <w:keepNext/>
        <w:keepLines/>
        <w:tabs>
          <w:tab w:val="center" w:pos="3263"/>
        </w:tabs>
        <w:spacing w:after="0" w:line="240" w:lineRule="auto"/>
        <w:ind w:left="567" w:hanging="567"/>
        <w:contextualSpacing/>
        <w:rPr>
          <w:lang w:val="sv-SE"/>
        </w:rPr>
      </w:pPr>
      <w:r w:rsidRPr="00A74CC6">
        <w:rPr>
          <w:b/>
          <w:lang w:val="sv-SE"/>
        </w:rPr>
        <w:t>8.</w:t>
      </w:r>
      <w:r w:rsidRPr="00A74CC6">
        <w:rPr>
          <w:b/>
          <w:lang w:val="sv-SE"/>
        </w:rPr>
        <w:tab/>
        <w:t xml:space="preserve">NUMMER PÅ GODKÄNNANDE FÖR FÖRSÄLJNING </w:t>
      </w:r>
    </w:p>
    <w:p w14:paraId="7B393B62" w14:textId="77777777" w:rsidR="004239C8" w:rsidRPr="00A74CC6" w:rsidRDefault="004239C8" w:rsidP="001E7238">
      <w:pPr>
        <w:keepNext/>
        <w:keepLines/>
        <w:spacing w:after="0" w:line="240" w:lineRule="auto"/>
        <w:ind w:left="4" w:right="13"/>
        <w:contextualSpacing/>
        <w:rPr>
          <w:lang w:val="sv-SE"/>
        </w:rPr>
      </w:pPr>
    </w:p>
    <w:p w14:paraId="3FA7EB18" w14:textId="77777777" w:rsidR="004A6BAA" w:rsidRPr="004A6BAA" w:rsidRDefault="004A6BAA" w:rsidP="004A6BAA">
      <w:pPr>
        <w:keepNext/>
        <w:keepLines/>
        <w:spacing w:after="0" w:line="240" w:lineRule="auto"/>
        <w:ind w:left="4" w:right="13"/>
        <w:contextualSpacing/>
        <w:rPr>
          <w:lang w:val="sv-SE"/>
        </w:rPr>
      </w:pPr>
      <w:r w:rsidRPr="004A6BAA">
        <w:rPr>
          <w:lang w:val="sv-SE"/>
        </w:rPr>
        <w:t>EU/1/18/1281/001</w:t>
      </w:r>
    </w:p>
    <w:p w14:paraId="27E59D91" w14:textId="77777777" w:rsidR="004A6BAA" w:rsidRDefault="004A6BAA" w:rsidP="001E7238">
      <w:pPr>
        <w:spacing w:after="0" w:line="240" w:lineRule="auto"/>
        <w:contextualSpacing/>
        <w:rPr>
          <w:lang w:val="sv-SE"/>
        </w:rPr>
      </w:pPr>
      <w:r w:rsidRPr="004A6BAA">
        <w:rPr>
          <w:lang w:val="sv-SE"/>
        </w:rPr>
        <w:t>EU/1/18/1281/002</w:t>
      </w:r>
    </w:p>
    <w:p w14:paraId="0E7300D6" w14:textId="77777777" w:rsidR="004A6BAA" w:rsidRDefault="004A6BAA" w:rsidP="001E7238">
      <w:pPr>
        <w:spacing w:after="0" w:line="240" w:lineRule="auto"/>
        <w:contextualSpacing/>
        <w:rPr>
          <w:lang w:val="sv-SE"/>
        </w:rPr>
      </w:pPr>
    </w:p>
    <w:p w14:paraId="73DE5A1A" w14:textId="77777777" w:rsidR="00804953" w:rsidRPr="00A74CC6" w:rsidRDefault="00804953" w:rsidP="001E7238">
      <w:pPr>
        <w:spacing w:after="0" w:line="240" w:lineRule="auto"/>
        <w:contextualSpacing/>
        <w:rPr>
          <w:lang w:val="sv-SE"/>
        </w:rPr>
      </w:pPr>
    </w:p>
    <w:p w14:paraId="343383B8" w14:textId="77777777" w:rsidR="005027AB" w:rsidRPr="00A74CC6" w:rsidRDefault="00264096" w:rsidP="001E7238">
      <w:pPr>
        <w:pStyle w:val="Heading1"/>
        <w:tabs>
          <w:tab w:val="center" w:pos="4131"/>
        </w:tabs>
        <w:spacing w:after="0" w:line="240" w:lineRule="auto"/>
        <w:ind w:left="567" w:hanging="567"/>
        <w:contextualSpacing/>
        <w:rPr>
          <w:lang w:val="sv-SE"/>
        </w:rPr>
      </w:pPr>
      <w:r w:rsidRPr="00A74CC6">
        <w:rPr>
          <w:lang w:val="sv-SE"/>
        </w:rPr>
        <w:t>9.</w:t>
      </w:r>
      <w:r w:rsidRPr="00A74CC6">
        <w:rPr>
          <w:lang w:val="sv-SE"/>
        </w:rPr>
        <w:tab/>
        <w:t>DATUM FÖR FÖRSTA GODKÄNNANDE/FÖRNYAT GODKÄNNANDE</w:t>
      </w:r>
    </w:p>
    <w:p w14:paraId="3750EF74" w14:textId="77777777" w:rsidR="004239C8" w:rsidRPr="00A74CC6" w:rsidRDefault="004239C8" w:rsidP="001E7238">
      <w:pPr>
        <w:keepNext/>
        <w:keepLines/>
        <w:spacing w:after="0" w:line="240" w:lineRule="auto"/>
        <w:ind w:left="4" w:right="13"/>
        <w:contextualSpacing/>
        <w:rPr>
          <w:lang w:val="sv-SE"/>
        </w:rPr>
      </w:pPr>
    </w:p>
    <w:p w14:paraId="61F6B39B" w14:textId="020DDA69" w:rsidR="002E42C4" w:rsidRDefault="002E42C4" w:rsidP="002E42C4">
      <w:pPr>
        <w:spacing w:after="0" w:line="240" w:lineRule="auto"/>
        <w:ind w:left="0" w:firstLine="0"/>
        <w:rPr>
          <w:color w:val="auto"/>
          <w:lang w:val="sv-SE" w:eastAsia="en-IN"/>
        </w:rPr>
      </w:pPr>
      <w:r w:rsidRPr="0093020C">
        <w:rPr>
          <w:lang w:val="sv-SE"/>
        </w:rPr>
        <w:t xml:space="preserve">Datum för det första godkännandet: </w:t>
      </w:r>
      <w:r w:rsidRPr="0093020C">
        <w:rPr>
          <w:color w:val="auto"/>
          <w:lang w:val="sv-SE" w:eastAsia="en-IN"/>
        </w:rPr>
        <w:t>16 maj 2018</w:t>
      </w:r>
    </w:p>
    <w:p w14:paraId="66ED0F8E" w14:textId="2CBEC59D" w:rsidR="005C3D1C" w:rsidRPr="0093020C" w:rsidRDefault="005C3D1C" w:rsidP="002E42C4">
      <w:pPr>
        <w:spacing w:after="0" w:line="240" w:lineRule="auto"/>
        <w:ind w:left="0" w:firstLine="0"/>
        <w:rPr>
          <w:color w:val="auto"/>
          <w:lang w:val="sv-SE" w:eastAsia="en-IN"/>
        </w:rPr>
      </w:pPr>
      <w:r>
        <w:rPr>
          <w:color w:val="auto"/>
          <w:lang w:val="sv-SE" w:eastAsia="en-IN"/>
        </w:rPr>
        <w:t xml:space="preserve">Datum för </w:t>
      </w:r>
      <w:r w:rsidR="00FE003B">
        <w:rPr>
          <w:color w:val="auto"/>
          <w:lang w:val="sv-SE" w:eastAsia="en-IN"/>
        </w:rPr>
        <w:t>den senaste förnyelsen:</w:t>
      </w:r>
    </w:p>
    <w:p w14:paraId="19B09418" w14:textId="74477765" w:rsidR="00804953" w:rsidRPr="0093020C" w:rsidRDefault="00804953" w:rsidP="001E7238">
      <w:pPr>
        <w:spacing w:after="0" w:line="240" w:lineRule="auto"/>
        <w:ind w:left="4" w:right="13"/>
        <w:contextualSpacing/>
        <w:rPr>
          <w:lang w:val="sv-SE"/>
        </w:rPr>
      </w:pPr>
    </w:p>
    <w:p w14:paraId="74BC52E0" w14:textId="77777777" w:rsidR="002E42C4" w:rsidRPr="00A74CC6" w:rsidRDefault="002E42C4" w:rsidP="001E7238">
      <w:pPr>
        <w:spacing w:after="0" w:line="240" w:lineRule="auto"/>
        <w:ind w:left="4" w:right="13"/>
        <w:contextualSpacing/>
        <w:rPr>
          <w:lang w:val="sv-SE"/>
        </w:rPr>
      </w:pPr>
    </w:p>
    <w:p w14:paraId="262E1118" w14:textId="77777777" w:rsidR="005027AB" w:rsidRPr="00A74CC6" w:rsidRDefault="00264096" w:rsidP="001E7238">
      <w:pPr>
        <w:pStyle w:val="Heading1"/>
        <w:tabs>
          <w:tab w:val="center" w:pos="3136"/>
        </w:tabs>
        <w:spacing w:after="0" w:line="240" w:lineRule="auto"/>
        <w:ind w:left="567" w:hanging="567"/>
        <w:contextualSpacing/>
        <w:rPr>
          <w:lang w:val="sv-SE"/>
        </w:rPr>
      </w:pPr>
      <w:r w:rsidRPr="00A74CC6">
        <w:rPr>
          <w:lang w:val="sv-SE"/>
        </w:rPr>
        <w:t>10.</w:t>
      </w:r>
      <w:r w:rsidRPr="00A74CC6">
        <w:rPr>
          <w:lang w:val="sv-SE"/>
        </w:rPr>
        <w:tab/>
        <w:t>DATUM FÖR ÖVERSYN AV PRODUKTRESUMÉN</w:t>
      </w:r>
    </w:p>
    <w:p w14:paraId="50529E49" w14:textId="7A7F646B" w:rsidR="004239C8" w:rsidRDefault="004239C8" w:rsidP="001E7238">
      <w:pPr>
        <w:keepNext/>
        <w:keepLines/>
        <w:spacing w:after="0" w:line="240" w:lineRule="auto"/>
        <w:ind w:left="4" w:right="13"/>
        <w:contextualSpacing/>
        <w:rPr>
          <w:lang w:val="sv-SE"/>
        </w:rPr>
      </w:pPr>
    </w:p>
    <w:p w14:paraId="043C5E93" w14:textId="77777777" w:rsidR="00BA0E58" w:rsidRPr="00A74CC6" w:rsidRDefault="00BA0E58" w:rsidP="001E7238">
      <w:pPr>
        <w:keepNext/>
        <w:keepLines/>
        <w:spacing w:after="0" w:line="240" w:lineRule="auto"/>
        <w:ind w:left="4" w:right="13"/>
        <w:contextualSpacing/>
        <w:rPr>
          <w:lang w:val="sv-SE"/>
        </w:rPr>
      </w:pPr>
    </w:p>
    <w:p w14:paraId="6A845F02" w14:textId="53952D9B" w:rsidR="00450D71" w:rsidRPr="00A74CC6" w:rsidRDefault="00264096" w:rsidP="0093020C">
      <w:pPr>
        <w:spacing w:after="0" w:line="240" w:lineRule="auto"/>
        <w:ind w:left="4" w:right="13"/>
        <w:contextualSpacing/>
        <w:rPr>
          <w:lang w:val="sv-SE"/>
        </w:rPr>
      </w:pPr>
      <w:r w:rsidRPr="00A74CC6">
        <w:rPr>
          <w:lang w:val="sv-SE"/>
        </w:rPr>
        <w:t xml:space="preserve">Ytterligare information om detta läkemedel finns på Europeiska läkemedelsmyndighetens webbplats </w:t>
      </w:r>
      <w:hyperlink r:id="rId9">
        <w:r w:rsidRPr="00A74CC6">
          <w:rPr>
            <w:color w:val="0000FF"/>
            <w:u w:val="single" w:color="0000FF"/>
            <w:lang w:val="sv-SE"/>
          </w:rPr>
          <w:t>http://www.ema.europa.eu</w:t>
        </w:r>
      </w:hyperlink>
      <w:hyperlink r:id="rId10">
        <w:r w:rsidRPr="00A74CC6">
          <w:rPr>
            <w:lang w:val="sv-SE"/>
          </w:rPr>
          <w:t>.</w:t>
        </w:r>
      </w:hyperlink>
      <w:r w:rsidR="00450D71" w:rsidRPr="00A74CC6">
        <w:rPr>
          <w:lang w:val="sv-SE"/>
        </w:rPr>
        <w:br w:type="page"/>
      </w:r>
    </w:p>
    <w:p w14:paraId="733DBDF1" w14:textId="77777777" w:rsidR="005027AB" w:rsidRPr="00A74CC6" w:rsidRDefault="005027AB" w:rsidP="003674D6">
      <w:pPr>
        <w:spacing w:after="0" w:line="240" w:lineRule="auto"/>
        <w:ind w:left="0" w:firstLine="0"/>
        <w:contextualSpacing/>
        <w:jc w:val="center"/>
        <w:rPr>
          <w:lang w:val="sv-SE"/>
        </w:rPr>
      </w:pPr>
    </w:p>
    <w:p w14:paraId="2B9FB054" w14:textId="77777777" w:rsidR="004A6BAA" w:rsidRPr="008763E6" w:rsidRDefault="004A6BAA" w:rsidP="003674D6">
      <w:pPr>
        <w:widowControl w:val="0"/>
        <w:autoSpaceDE w:val="0"/>
        <w:autoSpaceDN w:val="0"/>
        <w:adjustRightInd w:val="0"/>
        <w:spacing w:after="0" w:line="240" w:lineRule="auto"/>
        <w:ind w:left="0" w:firstLine="0"/>
        <w:jc w:val="center"/>
        <w:rPr>
          <w:rFonts w:cs="Verdana"/>
          <w:lang w:val="sv-SE"/>
        </w:rPr>
      </w:pPr>
    </w:p>
    <w:p w14:paraId="283C5B69" w14:textId="77777777" w:rsidR="004A6BAA" w:rsidRPr="008763E6" w:rsidRDefault="004A6BAA" w:rsidP="003674D6">
      <w:pPr>
        <w:widowControl w:val="0"/>
        <w:autoSpaceDE w:val="0"/>
        <w:autoSpaceDN w:val="0"/>
        <w:adjustRightInd w:val="0"/>
        <w:spacing w:after="0" w:line="240" w:lineRule="auto"/>
        <w:ind w:left="0" w:firstLine="0"/>
        <w:jc w:val="center"/>
        <w:rPr>
          <w:rFonts w:cs="Verdana"/>
          <w:lang w:val="sv-SE"/>
        </w:rPr>
      </w:pPr>
    </w:p>
    <w:p w14:paraId="2E8B9D44" w14:textId="77777777" w:rsidR="004A6BAA" w:rsidRPr="008763E6" w:rsidRDefault="004A6BAA" w:rsidP="003674D6">
      <w:pPr>
        <w:widowControl w:val="0"/>
        <w:autoSpaceDE w:val="0"/>
        <w:autoSpaceDN w:val="0"/>
        <w:adjustRightInd w:val="0"/>
        <w:spacing w:after="0" w:line="240" w:lineRule="auto"/>
        <w:ind w:left="0" w:firstLine="0"/>
        <w:jc w:val="center"/>
        <w:rPr>
          <w:rFonts w:cs="Verdana"/>
          <w:lang w:val="sv-SE"/>
        </w:rPr>
      </w:pPr>
    </w:p>
    <w:p w14:paraId="3D1D168A" w14:textId="77777777" w:rsidR="004A6BAA" w:rsidRPr="008763E6" w:rsidRDefault="004A6BAA" w:rsidP="003674D6">
      <w:pPr>
        <w:widowControl w:val="0"/>
        <w:autoSpaceDE w:val="0"/>
        <w:autoSpaceDN w:val="0"/>
        <w:adjustRightInd w:val="0"/>
        <w:spacing w:after="0" w:line="240" w:lineRule="auto"/>
        <w:ind w:left="0" w:firstLine="0"/>
        <w:jc w:val="center"/>
        <w:rPr>
          <w:rFonts w:cs="Verdana"/>
          <w:lang w:val="sv-SE"/>
        </w:rPr>
      </w:pPr>
    </w:p>
    <w:p w14:paraId="1FF687FF" w14:textId="77777777" w:rsidR="004A6BAA" w:rsidRPr="008763E6" w:rsidRDefault="004A6BAA" w:rsidP="003674D6">
      <w:pPr>
        <w:widowControl w:val="0"/>
        <w:autoSpaceDE w:val="0"/>
        <w:autoSpaceDN w:val="0"/>
        <w:adjustRightInd w:val="0"/>
        <w:spacing w:after="0" w:line="240" w:lineRule="auto"/>
        <w:ind w:left="0" w:firstLine="0"/>
        <w:jc w:val="center"/>
        <w:rPr>
          <w:rFonts w:cs="Verdana"/>
          <w:lang w:val="sv-SE"/>
        </w:rPr>
      </w:pPr>
    </w:p>
    <w:p w14:paraId="2057EF37" w14:textId="77777777" w:rsidR="004A6BAA" w:rsidRPr="008763E6" w:rsidRDefault="004A6BAA" w:rsidP="003674D6">
      <w:pPr>
        <w:widowControl w:val="0"/>
        <w:autoSpaceDE w:val="0"/>
        <w:autoSpaceDN w:val="0"/>
        <w:adjustRightInd w:val="0"/>
        <w:spacing w:after="0" w:line="240" w:lineRule="auto"/>
        <w:ind w:left="0" w:firstLine="0"/>
        <w:jc w:val="center"/>
        <w:rPr>
          <w:rFonts w:cs="Verdana"/>
          <w:lang w:val="sv-SE"/>
        </w:rPr>
      </w:pPr>
    </w:p>
    <w:p w14:paraId="6880E3B3" w14:textId="77777777" w:rsidR="004A6BAA" w:rsidRPr="008763E6" w:rsidRDefault="004A6BAA" w:rsidP="003674D6">
      <w:pPr>
        <w:widowControl w:val="0"/>
        <w:autoSpaceDE w:val="0"/>
        <w:autoSpaceDN w:val="0"/>
        <w:adjustRightInd w:val="0"/>
        <w:spacing w:after="0" w:line="240" w:lineRule="auto"/>
        <w:ind w:left="0" w:firstLine="0"/>
        <w:jc w:val="center"/>
        <w:rPr>
          <w:rFonts w:cs="Verdana"/>
          <w:lang w:val="sv-SE"/>
        </w:rPr>
      </w:pPr>
    </w:p>
    <w:p w14:paraId="33AC383F" w14:textId="17C70142" w:rsidR="004A6BAA" w:rsidRDefault="004A6BAA" w:rsidP="003674D6">
      <w:pPr>
        <w:widowControl w:val="0"/>
        <w:autoSpaceDE w:val="0"/>
        <w:autoSpaceDN w:val="0"/>
        <w:adjustRightInd w:val="0"/>
        <w:spacing w:after="0" w:line="240" w:lineRule="auto"/>
        <w:ind w:left="0" w:firstLine="0"/>
        <w:jc w:val="center"/>
        <w:rPr>
          <w:rFonts w:cs="Verdana"/>
          <w:lang w:val="sv-SE"/>
        </w:rPr>
      </w:pPr>
    </w:p>
    <w:p w14:paraId="4887FB45" w14:textId="64E70576" w:rsidR="003674D6" w:rsidRDefault="003674D6" w:rsidP="003674D6">
      <w:pPr>
        <w:widowControl w:val="0"/>
        <w:autoSpaceDE w:val="0"/>
        <w:autoSpaceDN w:val="0"/>
        <w:adjustRightInd w:val="0"/>
        <w:spacing w:after="0" w:line="240" w:lineRule="auto"/>
        <w:ind w:left="0" w:firstLine="0"/>
        <w:jc w:val="center"/>
        <w:rPr>
          <w:rFonts w:cs="Verdana"/>
          <w:lang w:val="sv-SE"/>
        </w:rPr>
      </w:pPr>
    </w:p>
    <w:p w14:paraId="0DC97296" w14:textId="55A084C4" w:rsidR="003674D6" w:rsidRDefault="003674D6" w:rsidP="003674D6">
      <w:pPr>
        <w:widowControl w:val="0"/>
        <w:autoSpaceDE w:val="0"/>
        <w:autoSpaceDN w:val="0"/>
        <w:adjustRightInd w:val="0"/>
        <w:spacing w:after="0" w:line="240" w:lineRule="auto"/>
        <w:ind w:left="0" w:firstLine="0"/>
        <w:jc w:val="center"/>
        <w:rPr>
          <w:rFonts w:cs="Verdana"/>
          <w:lang w:val="sv-SE"/>
        </w:rPr>
      </w:pPr>
    </w:p>
    <w:p w14:paraId="0A122A6C" w14:textId="02325A8D" w:rsidR="003674D6" w:rsidRDefault="003674D6" w:rsidP="003674D6">
      <w:pPr>
        <w:widowControl w:val="0"/>
        <w:autoSpaceDE w:val="0"/>
        <w:autoSpaceDN w:val="0"/>
        <w:adjustRightInd w:val="0"/>
        <w:spacing w:after="0" w:line="240" w:lineRule="auto"/>
        <w:ind w:left="0" w:firstLine="0"/>
        <w:jc w:val="center"/>
        <w:rPr>
          <w:rFonts w:cs="Verdana"/>
          <w:lang w:val="sv-SE"/>
        </w:rPr>
      </w:pPr>
    </w:p>
    <w:p w14:paraId="60C89156" w14:textId="48ED8E62" w:rsidR="003674D6" w:rsidRDefault="003674D6" w:rsidP="003674D6">
      <w:pPr>
        <w:widowControl w:val="0"/>
        <w:autoSpaceDE w:val="0"/>
        <w:autoSpaceDN w:val="0"/>
        <w:adjustRightInd w:val="0"/>
        <w:spacing w:after="0" w:line="240" w:lineRule="auto"/>
        <w:ind w:left="0" w:firstLine="0"/>
        <w:jc w:val="center"/>
        <w:rPr>
          <w:rFonts w:cs="Verdana"/>
          <w:lang w:val="sv-SE"/>
        </w:rPr>
      </w:pPr>
    </w:p>
    <w:p w14:paraId="5C7C280E" w14:textId="1AF9567A" w:rsidR="003674D6" w:rsidRDefault="003674D6" w:rsidP="003674D6">
      <w:pPr>
        <w:widowControl w:val="0"/>
        <w:autoSpaceDE w:val="0"/>
        <w:autoSpaceDN w:val="0"/>
        <w:adjustRightInd w:val="0"/>
        <w:spacing w:after="0" w:line="240" w:lineRule="auto"/>
        <w:ind w:left="0" w:firstLine="0"/>
        <w:jc w:val="center"/>
        <w:rPr>
          <w:rFonts w:cs="Verdana"/>
          <w:lang w:val="sv-SE"/>
        </w:rPr>
      </w:pPr>
    </w:p>
    <w:p w14:paraId="6A7734A0" w14:textId="12123C56" w:rsidR="003674D6" w:rsidRDefault="003674D6" w:rsidP="003674D6">
      <w:pPr>
        <w:widowControl w:val="0"/>
        <w:autoSpaceDE w:val="0"/>
        <w:autoSpaceDN w:val="0"/>
        <w:adjustRightInd w:val="0"/>
        <w:spacing w:after="0" w:line="240" w:lineRule="auto"/>
        <w:ind w:left="0" w:firstLine="0"/>
        <w:jc w:val="center"/>
        <w:rPr>
          <w:rFonts w:cs="Verdana"/>
          <w:lang w:val="sv-SE"/>
        </w:rPr>
      </w:pPr>
    </w:p>
    <w:p w14:paraId="60A17BAB" w14:textId="59B9D34B" w:rsidR="003674D6" w:rsidRDefault="003674D6" w:rsidP="003674D6">
      <w:pPr>
        <w:widowControl w:val="0"/>
        <w:autoSpaceDE w:val="0"/>
        <w:autoSpaceDN w:val="0"/>
        <w:adjustRightInd w:val="0"/>
        <w:spacing w:after="0" w:line="240" w:lineRule="auto"/>
        <w:ind w:left="0" w:firstLine="0"/>
        <w:jc w:val="center"/>
        <w:rPr>
          <w:rFonts w:cs="Verdana"/>
          <w:lang w:val="sv-SE"/>
        </w:rPr>
      </w:pPr>
    </w:p>
    <w:p w14:paraId="48EBD3AA" w14:textId="17921911" w:rsidR="003674D6" w:rsidRDefault="003674D6" w:rsidP="003674D6">
      <w:pPr>
        <w:widowControl w:val="0"/>
        <w:autoSpaceDE w:val="0"/>
        <w:autoSpaceDN w:val="0"/>
        <w:adjustRightInd w:val="0"/>
        <w:spacing w:after="0" w:line="240" w:lineRule="auto"/>
        <w:ind w:left="0" w:firstLine="0"/>
        <w:jc w:val="center"/>
        <w:rPr>
          <w:rFonts w:cs="Verdana"/>
          <w:lang w:val="sv-SE"/>
        </w:rPr>
      </w:pPr>
    </w:p>
    <w:p w14:paraId="5AD86609" w14:textId="28835E44" w:rsidR="003674D6" w:rsidRDefault="003674D6" w:rsidP="003674D6">
      <w:pPr>
        <w:widowControl w:val="0"/>
        <w:autoSpaceDE w:val="0"/>
        <w:autoSpaceDN w:val="0"/>
        <w:adjustRightInd w:val="0"/>
        <w:spacing w:after="0" w:line="240" w:lineRule="auto"/>
        <w:ind w:left="0" w:firstLine="0"/>
        <w:jc w:val="center"/>
        <w:rPr>
          <w:rFonts w:cs="Verdana"/>
          <w:lang w:val="sv-SE"/>
        </w:rPr>
      </w:pPr>
    </w:p>
    <w:p w14:paraId="52C42A8C" w14:textId="3AF1C190" w:rsidR="003674D6" w:rsidRDefault="003674D6" w:rsidP="003674D6">
      <w:pPr>
        <w:widowControl w:val="0"/>
        <w:autoSpaceDE w:val="0"/>
        <w:autoSpaceDN w:val="0"/>
        <w:adjustRightInd w:val="0"/>
        <w:spacing w:after="0" w:line="240" w:lineRule="auto"/>
        <w:ind w:left="0" w:firstLine="0"/>
        <w:jc w:val="center"/>
        <w:rPr>
          <w:rFonts w:cs="Verdana"/>
          <w:lang w:val="sv-SE"/>
        </w:rPr>
      </w:pPr>
    </w:p>
    <w:p w14:paraId="679B7665" w14:textId="051AD63E" w:rsidR="003674D6" w:rsidRDefault="003674D6" w:rsidP="003674D6">
      <w:pPr>
        <w:widowControl w:val="0"/>
        <w:autoSpaceDE w:val="0"/>
        <w:autoSpaceDN w:val="0"/>
        <w:adjustRightInd w:val="0"/>
        <w:spacing w:after="0" w:line="240" w:lineRule="auto"/>
        <w:ind w:left="0" w:firstLine="0"/>
        <w:jc w:val="center"/>
        <w:rPr>
          <w:rFonts w:cs="Verdana"/>
          <w:lang w:val="sv-SE"/>
        </w:rPr>
      </w:pPr>
    </w:p>
    <w:p w14:paraId="7199CDAE" w14:textId="6669298D" w:rsidR="003674D6" w:rsidRDefault="003674D6" w:rsidP="003674D6">
      <w:pPr>
        <w:widowControl w:val="0"/>
        <w:autoSpaceDE w:val="0"/>
        <w:autoSpaceDN w:val="0"/>
        <w:adjustRightInd w:val="0"/>
        <w:spacing w:after="0" w:line="240" w:lineRule="auto"/>
        <w:ind w:left="0" w:firstLine="0"/>
        <w:jc w:val="center"/>
        <w:rPr>
          <w:rFonts w:cs="Verdana"/>
          <w:lang w:val="sv-SE"/>
        </w:rPr>
      </w:pPr>
    </w:p>
    <w:p w14:paraId="6B6BE7A1" w14:textId="5FCA64BF" w:rsidR="003674D6" w:rsidRDefault="003674D6" w:rsidP="003674D6">
      <w:pPr>
        <w:widowControl w:val="0"/>
        <w:autoSpaceDE w:val="0"/>
        <w:autoSpaceDN w:val="0"/>
        <w:adjustRightInd w:val="0"/>
        <w:spacing w:after="0" w:line="240" w:lineRule="auto"/>
        <w:ind w:left="0" w:firstLine="0"/>
        <w:jc w:val="center"/>
        <w:rPr>
          <w:rFonts w:cs="Verdana"/>
          <w:lang w:val="sv-SE"/>
        </w:rPr>
      </w:pPr>
    </w:p>
    <w:p w14:paraId="41EA1E70" w14:textId="344A32DF" w:rsidR="004A6BAA" w:rsidRDefault="004A6BAA" w:rsidP="001C3090">
      <w:pPr>
        <w:keepNext/>
        <w:widowControl w:val="0"/>
        <w:autoSpaceDE w:val="0"/>
        <w:autoSpaceDN w:val="0"/>
        <w:adjustRightInd w:val="0"/>
        <w:spacing w:after="0" w:line="240" w:lineRule="auto"/>
        <w:ind w:left="0" w:firstLine="0"/>
        <w:jc w:val="center"/>
        <w:rPr>
          <w:b/>
          <w:lang w:val="sv-SE"/>
        </w:rPr>
      </w:pPr>
      <w:r w:rsidRPr="008763E6">
        <w:rPr>
          <w:b/>
          <w:lang w:val="sv-SE"/>
        </w:rPr>
        <w:t>BILAGA II</w:t>
      </w:r>
    </w:p>
    <w:p w14:paraId="1D8E51A2" w14:textId="77777777" w:rsidR="00790D9B" w:rsidRPr="008763E6" w:rsidRDefault="00790D9B" w:rsidP="00790D9B">
      <w:pPr>
        <w:keepNext/>
        <w:widowControl w:val="0"/>
        <w:autoSpaceDE w:val="0"/>
        <w:autoSpaceDN w:val="0"/>
        <w:adjustRightInd w:val="0"/>
        <w:spacing w:after="0" w:line="240" w:lineRule="auto"/>
        <w:ind w:left="0" w:right="119" w:firstLine="0"/>
        <w:jc w:val="center"/>
        <w:rPr>
          <w:rFonts w:cs="Verdana"/>
          <w:b/>
          <w:bCs/>
          <w:lang w:val="sv-SE"/>
        </w:rPr>
      </w:pPr>
    </w:p>
    <w:p w14:paraId="57F39D2D" w14:textId="5C5986B1" w:rsidR="004A6BAA" w:rsidRDefault="004A6BAA" w:rsidP="001C3090">
      <w:pPr>
        <w:keepNext/>
        <w:widowControl w:val="0"/>
        <w:tabs>
          <w:tab w:val="left" w:pos="1701"/>
        </w:tabs>
        <w:autoSpaceDE w:val="0"/>
        <w:autoSpaceDN w:val="0"/>
        <w:adjustRightInd w:val="0"/>
        <w:spacing w:after="0" w:line="240" w:lineRule="auto"/>
        <w:ind w:left="1701" w:right="1418" w:hanging="709"/>
        <w:rPr>
          <w:b/>
          <w:lang w:val="sv-SE"/>
        </w:rPr>
      </w:pPr>
      <w:r w:rsidRPr="008763E6">
        <w:rPr>
          <w:b/>
          <w:lang w:val="sv-SE"/>
        </w:rPr>
        <w:t>A.</w:t>
      </w:r>
      <w:r w:rsidRPr="008763E6">
        <w:rPr>
          <w:lang w:val="sv-SE"/>
        </w:rPr>
        <w:tab/>
      </w:r>
      <w:r w:rsidRPr="008763E6">
        <w:rPr>
          <w:b/>
          <w:lang w:val="sv-SE"/>
        </w:rPr>
        <w:t xml:space="preserve">TILLVERKARE AV DEN </w:t>
      </w:r>
      <w:del w:id="1" w:author="Author">
        <w:r w:rsidRPr="008763E6" w:rsidDel="006D36D2">
          <w:rPr>
            <w:b/>
            <w:lang w:val="sv-SE"/>
          </w:rPr>
          <w:delText xml:space="preserve">(DE) </w:delText>
        </w:r>
      </w:del>
      <w:r w:rsidRPr="008763E6">
        <w:rPr>
          <w:b/>
          <w:lang w:val="sv-SE"/>
        </w:rPr>
        <w:t xml:space="preserve">AKTIVA SUBSTANSEN </w:t>
      </w:r>
      <w:del w:id="2" w:author="Author">
        <w:r w:rsidRPr="008763E6" w:rsidDel="006D36D2">
          <w:rPr>
            <w:b/>
            <w:lang w:val="sv-SE"/>
          </w:rPr>
          <w:delText xml:space="preserve">(SUBSTANSERNA) </w:delText>
        </w:r>
      </w:del>
      <w:r w:rsidRPr="008763E6">
        <w:rPr>
          <w:b/>
          <w:lang w:val="sv-SE"/>
        </w:rPr>
        <w:t>AV BIOLOGISKT URSPRUNG OCH TILLVERKARE SOM ANSVARAR FÖR FRISLÄPPANDE AV TILLVERKNINGSSATS</w:t>
      </w:r>
    </w:p>
    <w:p w14:paraId="698DC4C7" w14:textId="77777777" w:rsidR="00790D9B" w:rsidRPr="008763E6" w:rsidRDefault="00790D9B" w:rsidP="001C3090">
      <w:pPr>
        <w:keepNext/>
        <w:widowControl w:val="0"/>
        <w:tabs>
          <w:tab w:val="left" w:pos="1701"/>
        </w:tabs>
        <w:autoSpaceDE w:val="0"/>
        <w:autoSpaceDN w:val="0"/>
        <w:adjustRightInd w:val="0"/>
        <w:spacing w:after="0" w:line="240" w:lineRule="auto"/>
        <w:ind w:left="1701" w:right="1418" w:hanging="709"/>
        <w:rPr>
          <w:rFonts w:cs="Verdana"/>
          <w:b/>
          <w:bCs/>
          <w:lang w:val="sv-SE"/>
        </w:rPr>
      </w:pPr>
    </w:p>
    <w:p w14:paraId="68756323" w14:textId="7EC2EAEB" w:rsidR="004A6BAA" w:rsidRDefault="004A6BAA" w:rsidP="001C3090">
      <w:pPr>
        <w:keepNext/>
        <w:widowControl w:val="0"/>
        <w:tabs>
          <w:tab w:val="left" w:pos="1701"/>
        </w:tabs>
        <w:autoSpaceDE w:val="0"/>
        <w:autoSpaceDN w:val="0"/>
        <w:adjustRightInd w:val="0"/>
        <w:spacing w:after="0" w:line="240" w:lineRule="auto"/>
        <w:ind w:left="1701" w:right="1418" w:hanging="709"/>
        <w:rPr>
          <w:b/>
          <w:lang w:val="sv-SE"/>
        </w:rPr>
      </w:pPr>
      <w:r w:rsidRPr="008763E6">
        <w:rPr>
          <w:b/>
          <w:lang w:val="sv-SE"/>
        </w:rPr>
        <w:t>B.</w:t>
      </w:r>
      <w:r w:rsidRPr="008763E6">
        <w:rPr>
          <w:lang w:val="sv-SE"/>
        </w:rPr>
        <w:tab/>
      </w:r>
      <w:r w:rsidRPr="008763E6">
        <w:rPr>
          <w:b/>
          <w:lang w:val="sv-SE"/>
        </w:rPr>
        <w:t>VILLKOR ELLER BEGRÄNSNINGAR FÖR TILLHANDAHÅLLANDE OCH ANVÄNDNING</w:t>
      </w:r>
    </w:p>
    <w:p w14:paraId="16BB3767" w14:textId="77777777" w:rsidR="00790D9B" w:rsidRPr="008763E6" w:rsidRDefault="00790D9B" w:rsidP="001C3090">
      <w:pPr>
        <w:keepNext/>
        <w:widowControl w:val="0"/>
        <w:tabs>
          <w:tab w:val="left" w:pos="1701"/>
        </w:tabs>
        <w:autoSpaceDE w:val="0"/>
        <w:autoSpaceDN w:val="0"/>
        <w:adjustRightInd w:val="0"/>
        <w:spacing w:after="0" w:line="240" w:lineRule="auto"/>
        <w:ind w:left="1701" w:right="1418" w:hanging="709"/>
        <w:rPr>
          <w:rFonts w:cs="Verdana"/>
          <w:b/>
          <w:bCs/>
          <w:lang w:val="sv-SE"/>
        </w:rPr>
      </w:pPr>
    </w:p>
    <w:p w14:paraId="30D90EF5" w14:textId="274931FA" w:rsidR="004A6BAA" w:rsidRDefault="004A6BAA" w:rsidP="001C3090">
      <w:pPr>
        <w:keepNext/>
        <w:widowControl w:val="0"/>
        <w:tabs>
          <w:tab w:val="left" w:pos="1134"/>
        </w:tabs>
        <w:autoSpaceDE w:val="0"/>
        <w:autoSpaceDN w:val="0"/>
        <w:adjustRightInd w:val="0"/>
        <w:spacing w:after="0" w:line="240" w:lineRule="auto"/>
        <w:ind w:left="1701" w:right="1418" w:hanging="709"/>
        <w:rPr>
          <w:b/>
          <w:lang w:val="sv-SE"/>
        </w:rPr>
      </w:pPr>
      <w:r w:rsidRPr="008763E6">
        <w:rPr>
          <w:b/>
          <w:lang w:val="sv-SE"/>
        </w:rPr>
        <w:t>C.</w:t>
      </w:r>
      <w:r w:rsidRPr="008763E6">
        <w:rPr>
          <w:lang w:val="sv-SE"/>
        </w:rPr>
        <w:tab/>
      </w:r>
      <w:r w:rsidRPr="008763E6">
        <w:rPr>
          <w:b/>
          <w:lang w:val="sv-SE"/>
        </w:rPr>
        <w:t>ÖVRIGA VILLKOR OCH KRAV FÖR GODKÄNNANDET FÖR FÖRSÄLJNING</w:t>
      </w:r>
    </w:p>
    <w:p w14:paraId="3E0F0934" w14:textId="77777777" w:rsidR="00790D9B" w:rsidRPr="008763E6" w:rsidRDefault="00790D9B" w:rsidP="001C3090">
      <w:pPr>
        <w:keepNext/>
        <w:widowControl w:val="0"/>
        <w:tabs>
          <w:tab w:val="left" w:pos="1134"/>
        </w:tabs>
        <w:autoSpaceDE w:val="0"/>
        <w:autoSpaceDN w:val="0"/>
        <w:adjustRightInd w:val="0"/>
        <w:spacing w:after="0" w:line="240" w:lineRule="auto"/>
        <w:ind w:left="1701" w:right="1418" w:hanging="709"/>
        <w:rPr>
          <w:rFonts w:cs="Verdana"/>
          <w:b/>
          <w:bCs/>
          <w:lang w:val="sv-SE"/>
        </w:rPr>
      </w:pPr>
    </w:p>
    <w:p w14:paraId="121FA98B" w14:textId="77777777" w:rsidR="004A6BAA" w:rsidRPr="008763E6" w:rsidRDefault="004A6BAA" w:rsidP="001C3090">
      <w:pPr>
        <w:keepNext/>
        <w:widowControl w:val="0"/>
        <w:tabs>
          <w:tab w:val="left" w:pos="1134"/>
        </w:tabs>
        <w:autoSpaceDE w:val="0"/>
        <w:autoSpaceDN w:val="0"/>
        <w:adjustRightInd w:val="0"/>
        <w:spacing w:after="0" w:line="240" w:lineRule="auto"/>
        <w:ind w:left="1701" w:right="1418" w:hanging="709"/>
        <w:rPr>
          <w:rFonts w:cs="Verdana"/>
          <w:b/>
          <w:bCs/>
          <w:lang w:val="sv-SE"/>
        </w:rPr>
      </w:pPr>
      <w:r w:rsidRPr="008763E6">
        <w:rPr>
          <w:b/>
          <w:lang w:val="sv-SE"/>
        </w:rPr>
        <w:t>D.</w:t>
      </w:r>
      <w:r w:rsidRPr="008763E6">
        <w:rPr>
          <w:lang w:val="sv-SE"/>
        </w:rPr>
        <w:tab/>
      </w:r>
      <w:r w:rsidRPr="008763E6">
        <w:rPr>
          <w:b/>
          <w:lang w:val="sv-SE"/>
        </w:rPr>
        <w:t>VILLKOR ELLER BEGRÄNSNINGAR AVSEENDE EN SÄKER OCH EFFEKTIV ANVÄNDNING AV LÄKEMEDLET</w:t>
      </w:r>
    </w:p>
    <w:p w14:paraId="63B7F97C" w14:textId="77777777" w:rsidR="004A6BAA" w:rsidRPr="008763E6" w:rsidRDefault="004A6BAA" w:rsidP="004A6BAA">
      <w:pPr>
        <w:widowControl w:val="0"/>
        <w:autoSpaceDE w:val="0"/>
        <w:autoSpaceDN w:val="0"/>
        <w:adjustRightInd w:val="0"/>
        <w:spacing w:line="240" w:lineRule="auto"/>
        <w:ind w:left="127" w:right="120"/>
        <w:jc w:val="center"/>
        <w:rPr>
          <w:rFonts w:cs="Verdana"/>
          <w:lang w:val="sv-SE"/>
        </w:rPr>
      </w:pPr>
    </w:p>
    <w:p w14:paraId="23EAE889" w14:textId="77777777" w:rsidR="004A6BAA" w:rsidRPr="008763E6" w:rsidRDefault="004A6BAA" w:rsidP="004A6BAA">
      <w:pPr>
        <w:spacing w:line="240" w:lineRule="auto"/>
        <w:rPr>
          <w:lang w:val="sv-SE"/>
        </w:rPr>
      </w:pPr>
      <w:r w:rsidRPr="008763E6">
        <w:rPr>
          <w:lang w:val="sv-SE"/>
        </w:rPr>
        <w:br w:type="page"/>
      </w:r>
    </w:p>
    <w:p w14:paraId="1DEAB654" w14:textId="212E3484" w:rsidR="004A6BAA" w:rsidRPr="008763E6" w:rsidRDefault="004A6BAA" w:rsidP="0014721F">
      <w:pPr>
        <w:pStyle w:val="TitleB"/>
        <w:spacing w:after="0"/>
        <w:ind w:right="0"/>
        <w:rPr>
          <w:rFonts w:cs="Verdana"/>
          <w:bCs/>
        </w:rPr>
      </w:pPr>
      <w:r w:rsidRPr="00831B26">
        <w:t>A.</w:t>
      </w:r>
      <w:r w:rsidRPr="00831B26">
        <w:tab/>
        <w:t xml:space="preserve">TILLVERKARE AV DEN </w:t>
      </w:r>
      <w:del w:id="3" w:author="Author">
        <w:r w:rsidRPr="00831B26" w:rsidDel="006D36D2">
          <w:delText xml:space="preserve">(DE) </w:delText>
        </w:r>
      </w:del>
      <w:r w:rsidRPr="00831B26">
        <w:t xml:space="preserve">AKTIVA SUBSTANSEN </w:t>
      </w:r>
      <w:del w:id="4" w:author="Author">
        <w:r w:rsidRPr="00831B26" w:rsidDel="006D36D2">
          <w:delText xml:space="preserve">(SUBSTANSERNA) </w:delText>
        </w:r>
      </w:del>
      <w:r w:rsidRPr="00831B26">
        <w:t>AV BIOLOGISKT URSPRUNG OCH TILLVERKARE SOM ANSVARAR FÖR FRISLÄPPANDE AV TILLVERKNINGSSATS</w:t>
      </w:r>
    </w:p>
    <w:p w14:paraId="7A45D832" w14:textId="77777777" w:rsidR="0014721F" w:rsidRDefault="0014721F" w:rsidP="0014721F">
      <w:pPr>
        <w:widowControl w:val="0"/>
        <w:autoSpaceDE w:val="0"/>
        <w:autoSpaceDN w:val="0"/>
        <w:adjustRightInd w:val="0"/>
        <w:spacing w:after="0" w:line="240" w:lineRule="auto"/>
        <w:ind w:left="0" w:firstLine="0"/>
        <w:rPr>
          <w:u w:val="single"/>
          <w:lang w:val="sv-SE"/>
        </w:rPr>
      </w:pPr>
    </w:p>
    <w:p w14:paraId="459CD8E6" w14:textId="592AB832" w:rsidR="004A6BAA" w:rsidRPr="008763E6" w:rsidRDefault="004A6BAA" w:rsidP="0014721F">
      <w:pPr>
        <w:widowControl w:val="0"/>
        <w:autoSpaceDE w:val="0"/>
        <w:autoSpaceDN w:val="0"/>
        <w:adjustRightInd w:val="0"/>
        <w:spacing w:after="0" w:line="240" w:lineRule="auto"/>
        <w:ind w:left="0" w:firstLine="0"/>
        <w:rPr>
          <w:rFonts w:cs="Verdana"/>
          <w:lang w:val="sv-SE"/>
        </w:rPr>
      </w:pPr>
      <w:r w:rsidRPr="008763E6">
        <w:rPr>
          <w:u w:val="single"/>
          <w:lang w:val="sv-SE"/>
        </w:rPr>
        <w:t>Namn och adress till tillverkare av aktiv</w:t>
      </w:r>
      <w:del w:id="5" w:author="Author">
        <w:r w:rsidRPr="008763E6" w:rsidDel="006D36D2">
          <w:rPr>
            <w:u w:val="single"/>
            <w:lang w:val="sv-SE"/>
          </w:rPr>
          <w:delText>(a)</w:delText>
        </w:r>
      </w:del>
      <w:r w:rsidRPr="008763E6">
        <w:rPr>
          <w:u w:val="single"/>
          <w:lang w:val="sv-SE"/>
        </w:rPr>
        <w:t xml:space="preserve"> substans</w:t>
      </w:r>
      <w:del w:id="6" w:author="Author">
        <w:r w:rsidRPr="008763E6" w:rsidDel="006D36D2">
          <w:rPr>
            <w:u w:val="single"/>
            <w:lang w:val="sv-SE"/>
          </w:rPr>
          <w:delText>(er)</w:delText>
        </w:r>
      </w:del>
      <w:r w:rsidRPr="008763E6">
        <w:rPr>
          <w:u w:val="single"/>
          <w:lang w:val="sv-SE"/>
        </w:rPr>
        <w:t xml:space="preserve"> av biologiskt ursprung</w:t>
      </w:r>
      <w:r w:rsidRPr="008763E6">
        <w:rPr>
          <w:lang w:val="sv-SE"/>
        </w:rPr>
        <w:t xml:space="preserve"> </w:t>
      </w:r>
    </w:p>
    <w:p w14:paraId="1EE142FE" w14:textId="512B2B4E" w:rsidR="004A6BAA" w:rsidRPr="00472A6C" w:rsidDel="006D36D2" w:rsidRDefault="004A6BAA" w:rsidP="0014721F">
      <w:pPr>
        <w:tabs>
          <w:tab w:val="left" w:pos="2835"/>
          <w:tab w:val="left" w:pos="4680"/>
        </w:tabs>
        <w:spacing w:after="0" w:line="240" w:lineRule="auto"/>
        <w:ind w:left="0" w:firstLine="0"/>
        <w:rPr>
          <w:del w:id="7" w:author="Author"/>
          <w:lang w:val="sv-SE"/>
        </w:rPr>
      </w:pPr>
      <w:del w:id="8" w:author="Author">
        <w:r w:rsidRPr="00472A6C" w:rsidDel="006D36D2">
          <w:rPr>
            <w:lang w:val="sv-SE"/>
          </w:rPr>
          <w:delText>Patheon Biologics BV</w:delText>
        </w:r>
        <w:r w:rsidRPr="00472A6C" w:rsidDel="006D36D2">
          <w:rPr>
            <w:rFonts w:cs="Verdana"/>
            <w:lang w:val="sv-SE"/>
          </w:rPr>
          <w:br/>
        </w:r>
        <w:r w:rsidRPr="00472A6C" w:rsidDel="006D36D2">
          <w:rPr>
            <w:lang w:val="sv-SE"/>
          </w:rPr>
          <w:delText>Zuiderweg 72/2</w:delText>
        </w:r>
        <w:r w:rsidRPr="00472A6C" w:rsidDel="006D36D2">
          <w:rPr>
            <w:rFonts w:cs="Verdana"/>
            <w:lang w:val="sv-SE"/>
          </w:rPr>
          <w:br/>
        </w:r>
        <w:r w:rsidRPr="00472A6C" w:rsidDel="006D36D2">
          <w:rPr>
            <w:lang w:val="sv-SE"/>
          </w:rPr>
          <w:delText>9744 AP Groningen</w:delText>
        </w:r>
        <w:r w:rsidRPr="00472A6C" w:rsidDel="006D36D2">
          <w:rPr>
            <w:rFonts w:cs="Verdana"/>
            <w:lang w:val="sv-SE"/>
          </w:rPr>
          <w:br/>
        </w:r>
        <w:r w:rsidRPr="00472A6C" w:rsidDel="006D36D2">
          <w:rPr>
            <w:lang w:val="sv-SE"/>
          </w:rPr>
          <w:delText>Nederländerna</w:delText>
        </w:r>
      </w:del>
    </w:p>
    <w:p w14:paraId="7CBFD9D5" w14:textId="77777777" w:rsidR="004459E9" w:rsidRDefault="004459E9" w:rsidP="004459E9">
      <w:pPr>
        <w:widowControl w:val="0"/>
        <w:autoSpaceDE w:val="0"/>
        <w:autoSpaceDN w:val="0"/>
        <w:adjustRightInd w:val="0"/>
        <w:spacing w:after="0" w:line="240" w:lineRule="auto"/>
        <w:ind w:left="0" w:firstLine="0"/>
        <w:rPr>
          <w:u w:val="single"/>
          <w:lang w:val="sv-SE"/>
        </w:rPr>
      </w:pPr>
    </w:p>
    <w:p w14:paraId="6714BE2E" w14:textId="77777777" w:rsidR="004459E9" w:rsidRPr="00472A6C" w:rsidRDefault="004459E9" w:rsidP="004459E9">
      <w:pPr>
        <w:spacing w:after="0" w:line="240" w:lineRule="auto"/>
        <w:ind w:left="0" w:firstLine="0"/>
      </w:pPr>
      <w:proofErr w:type="spellStart"/>
      <w:r w:rsidRPr="00472A6C">
        <w:t>Immunex</w:t>
      </w:r>
      <w:proofErr w:type="spellEnd"/>
      <w:r w:rsidRPr="00472A6C">
        <w:t xml:space="preserve"> Rhode Island Corporation</w:t>
      </w:r>
    </w:p>
    <w:p w14:paraId="21D0EA04" w14:textId="77777777" w:rsidR="004459E9" w:rsidRPr="00472A6C" w:rsidRDefault="004459E9" w:rsidP="004459E9">
      <w:pPr>
        <w:spacing w:after="0" w:line="240" w:lineRule="auto"/>
        <w:ind w:left="0" w:firstLine="0"/>
      </w:pPr>
      <w:r w:rsidRPr="00472A6C">
        <w:t>40 Technology Way</w:t>
      </w:r>
    </w:p>
    <w:p w14:paraId="66AE663B" w14:textId="77777777" w:rsidR="004459E9" w:rsidRPr="00472A6C" w:rsidRDefault="004459E9" w:rsidP="004459E9">
      <w:pPr>
        <w:spacing w:after="0" w:line="240" w:lineRule="auto"/>
        <w:ind w:left="0" w:firstLine="0"/>
        <w:rPr>
          <w:lang w:val="sv-SE"/>
        </w:rPr>
      </w:pPr>
      <w:r w:rsidRPr="00472A6C">
        <w:rPr>
          <w:lang w:val="sv-SE"/>
        </w:rPr>
        <w:t>West Greenwich</w:t>
      </w:r>
    </w:p>
    <w:p w14:paraId="4B94C9E9" w14:textId="77777777" w:rsidR="004459E9" w:rsidRPr="00472A6C" w:rsidRDefault="004459E9" w:rsidP="004459E9">
      <w:pPr>
        <w:spacing w:after="0" w:line="240" w:lineRule="auto"/>
        <w:ind w:left="0" w:firstLine="0"/>
        <w:rPr>
          <w:lang w:val="sv-SE"/>
        </w:rPr>
      </w:pPr>
      <w:r w:rsidRPr="00472A6C">
        <w:rPr>
          <w:lang w:val="sv-SE"/>
        </w:rPr>
        <w:t>Rhode Island, 02817</w:t>
      </w:r>
    </w:p>
    <w:p w14:paraId="2612DFBD" w14:textId="77777777" w:rsidR="004459E9" w:rsidRPr="00472A6C" w:rsidRDefault="004459E9" w:rsidP="004459E9">
      <w:pPr>
        <w:widowControl w:val="0"/>
        <w:autoSpaceDE w:val="0"/>
        <w:autoSpaceDN w:val="0"/>
        <w:adjustRightInd w:val="0"/>
        <w:spacing w:after="0" w:line="240" w:lineRule="auto"/>
        <w:ind w:left="0" w:firstLine="0"/>
        <w:rPr>
          <w:lang w:val="sv-SE"/>
        </w:rPr>
      </w:pPr>
      <w:r w:rsidRPr="00472A6C">
        <w:rPr>
          <w:lang w:val="sv-SE"/>
        </w:rPr>
        <w:t>USA</w:t>
      </w:r>
    </w:p>
    <w:p w14:paraId="4EC4E1B5" w14:textId="77777777" w:rsidR="0014721F" w:rsidRPr="004459E9" w:rsidRDefault="0014721F" w:rsidP="0014721F">
      <w:pPr>
        <w:widowControl w:val="0"/>
        <w:autoSpaceDE w:val="0"/>
        <w:autoSpaceDN w:val="0"/>
        <w:adjustRightInd w:val="0"/>
        <w:spacing w:after="0" w:line="240" w:lineRule="auto"/>
        <w:ind w:left="0" w:firstLine="0"/>
        <w:rPr>
          <w:u w:val="single"/>
          <w:lang w:val="sv-SE"/>
        </w:rPr>
      </w:pPr>
    </w:p>
    <w:p w14:paraId="527645A7" w14:textId="5F9769DB" w:rsidR="004A6BAA" w:rsidRPr="008763E6" w:rsidRDefault="004A6BAA" w:rsidP="0014721F">
      <w:pPr>
        <w:widowControl w:val="0"/>
        <w:autoSpaceDE w:val="0"/>
        <w:autoSpaceDN w:val="0"/>
        <w:adjustRightInd w:val="0"/>
        <w:spacing w:after="0" w:line="240" w:lineRule="auto"/>
        <w:ind w:left="0" w:firstLine="0"/>
        <w:rPr>
          <w:rFonts w:cs="Verdana"/>
          <w:u w:val="single"/>
          <w:lang w:val="sv-SE"/>
        </w:rPr>
      </w:pPr>
      <w:r w:rsidRPr="008763E6">
        <w:rPr>
          <w:u w:val="single"/>
          <w:lang w:val="sv-SE"/>
        </w:rPr>
        <w:t>Namn och adress till tillverkare som ansvarar för frisläppande av tillverkningssats</w:t>
      </w:r>
    </w:p>
    <w:p w14:paraId="2F27A917" w14:textId="77777777" w:rsidR="0014721F" w:rsidRDefault="0014721F" w:rsidP="0014721F">
      <w:pPr>
        <w:tabs>
          <w:tab w:val="left" w:pos="2835"/>
          <w:tab w:val="left" w:pos="4680"/>
        </w:tabs>
        <w:spacing w:after="0" w:line="240" w:lineRule="auto"/>
        <w:ind w:left="0" w:firstLine="0"/>
        <w:rPr>
          <w:lang w:val="sv-SE"/>
        </w:rPr>
      </w:pPr>
    </w:p>
    <w:p w14:paraId="2082CA53" w14:textId="5947B640" w:rsidR="004A6BAA" w:rsidRDefault="004A6BAA" w:rsidP="0014721F">
      <w:pPr>
        <w:tabs>
          <w:tab w:val="left" w:pos="2835"/>
          <w:tab w:val="left" w:pos="4680"/>
        </w:tabs>
        <w:spacing w:after="0" w:line="240" w:lineRule="auto"/>
        <w:ind w:left="0" w:firstLine="0"/>
        <w:rPr>
          <w:lang w:val="sv-SE"/>
        </w:rPr>
      </w:pPr>
      <w:r w:rsidRPr="008763E6">
        <w:rPr>
          <w:lang w:val="sv-SE"/>
        </w:rPr>
        <w:t>Amgen Europe B.V.</w:t>
      </w:r>
      <w:r w:rsidRPr="008763E6">
        <w:rPr>
          <w:rFonts w:cs="Verdana"/>
          <w:lang w:val="sv-SE"/>
        </w:rPr>
        <w:br/>
      </w:r>
      <w:r w:rsidRPr="008763E6">
        <w:rPr>
          <w:lang w:val="sv-SE"/>
        </w:rPr>
        <w:t>Minervum 7061</w:t>
      </w:r>
      <w:r w:rsidRPr="008763E6">
        <w:rPr>
          <w:rFonts w:cs="Verdana"/>
          <w:lang w:val="sv-SE"/>
        </w:rPr>
        <w:br/>
      </w:r>
      <w:r w:rsidRPr="008763E6">
        <w:rPr>
          <w:lang w:val="sv-SE"/>
        </w:rPr>
        <w:t>NL-4817 ZK Breda</w:t>
      </w:r>
      <w:r w:rsidRPr="008763E6">
        <w:rPr>
          <w:rFonts w:cs="Verdana"/>
          <w:lang w:val="sv-SE"/>
        </w:rPr>
        <w:br/>
      </w:r>
      <w:r w:rsidRPr="008763E6">
        <w:rPr>
          <w:lang w:val="sv-SE"/>
        </w:rPr>
        <w:t>Nederländerna</w:t>
      </w:r>
    </w:p>
    <w:p w14:paraId="2C541FB0" w14:textId="77777777" w:rsidR="009A581D" w:rsidRDefault="009A581D" w:rsidP="0014721F">
      <w:pPr>
        <w:tabs>
          <w:tab w:val="left" w:pos="2835"/>
          <w:tab w:val="left" w:pos="4680"/>
        </w:tabs>
        <w:spacing w:after="0" w:line="240" w:lineRule="auto"/>
        <w:ind w:left="0" w:firstLine="0"/>
        <w:rPr>
          <w:lang w:val="sv-SE"/>
        </w:rPr>
      </w:pPr>
    </w:p>
    <w:p w14:paraId="6D0ADDD8" w14:textId="729C2774" w:rsidR="009A581D" w:rsidRPr="0093020C" w:rsidRDefault="009A581D" w:rsidP="0014721F">
      <w:pPr>
        <w:widowControl w:val="0"/>
        <w:autoSpaceDE w:val="0"/>
        <w:autoSpaceDN w:val="0"/>
        <w:adjustRightInd w:val="0"/>
        <w:spacing w:after="0" w:line="240" w:lineRule="auto"/>
        <w:ind w:left="0" w:firstLine="0"/>
        <w:rPr>
          <w:lang w:val="sv-SE"/>
        </w:rPr>
      </w:pPr>
      <w:r w:rsidRPr="0093020C">
        <w:rPr>
          <w:lang w:val="sv-SE"/>
        </w:rPr>
        <w:t>Amgen NV</w:t>
      </w:r>
    </w:p>
    <w:p w14:paraId="54ED9311" w14:textId="61937FD6" w:rsidR="009A581D" w:rsidRPr="0093020C" w:rsidRDefault="009A581D" w:rsidP="0014721F">
      <w:pPr>
        <w:widowControl w:val="0"/>
        <w:autoSpaceDE w:val="0"/>
        <w:autoSpaceDN w:val="0"/>
        <w:adjustRightInd w:val="0"/>
        <w:spacing w:after="0" w:line="240" w:lineRule="auto"/>
        <w:ind w:left="0" w:firstLine="0"/>
        <w:rPr>
          <w:lang w:val="sv-SE"/>
        </w:rPr>
      </w:pPr>
      <w:r w:rsidRPr="0093020C">
        <w:rPr>
          <w:lang w:val="sv-SE"/>
        </w:rPr>
        <w:t>Telecomlaan 5-7</w:t>
      </w:r>
    </w:p>
    <w:p w14:paraId="392FC6B9" w14:textId="61890BB8" w:rsidR="009A581D" w:rsidRPr="0093020C" w:rsidRDefault="009A581D" w:rsidP="0014721F">
      <w:pPr>
        <w:widowControl w:val="0"/>
        <w:autoSpaceDE w:val="0"/>
        <w:autoSpaceDN w:val="0"/>
        <w:adjustRightInd w:val="0"/>
        <w:spacing w:after="0" w:line="240" w:lineRule="auto"/>
        <w:ind w:left="0" w:firstLine="0"/>
        <w:rPr>
          <w:lang w:val="sv-SE"/>
        </w:rPr>
      </w:pPr>
      <w:r w:rsidRPr="0093020C">
        <w:rPr>
          <w:lang w:val="sv-SE"/>
        </w:rPr>
        <w:t>1831 Diegem</w:t>
      </w:r>
    </w:p>
    <w:p w14:paraId="201F54F4" w14:textId="6AF9F3CC" w:rsidR="009A581D" w:rsidRPr="0093020C" w:rsidRDefault="009A581D" w:rsidP="0014721F">
      <w:pPr>
        <w:tabs>
          <w:tab w:val="left" w:pos="2835"/>
          <w:tab w:val="left" w:pos="4680"/>
        </w:tabs>
        <w:spacing w:after="0" w:line="240" w:lineRule="auto"/>
        <w:ind w:left="0" w:firstLine="0"/>
        <w:rPr>
          <w:lang w:val="sv-SE" w:eastAsia="ja-JP"/>
        </w:rPr>
      </w:pPr>
      <w:r w:rsidRPr="0093020C">
        <w:rPr>
          <w:lang w:val="sv-SE" w:eastAsia="ja-JP"/>
        </w:rPr>
        <w:t>Belgien</w:t>
      </w:r>
    </w:p>
    <w:p w14:paraId="120ABD37" w14:textId="77777777" w:rsidR="009A581D" w:rsidRPr="008763E6" w:rsidRDefault="009A581D" w:rsidP="0014721F">
      <w:pPr>
        <w:tabs>
          <w:tab w:val="left" w:pos="2835"/>
          <w:tab w:val="left" w:pos="4680"/>
        </w:tabs>
        <w:spacing w:after="0" w:line="240" w:lineRule="auto"/>
        <w:ind w:left="0" w:firstLine="0"/>
        <w:rPr>
          <w:lang w:val="sv-SE"/>
        </w:rPr>
      </w:pPr>
    </w:p>
    <w:p w14:paraId="54989DD4" w14:textId="77777777" w:rsidR="004A6BAA" w:rsidRPr="008763E6" w:rsidRDefault="004A6BAA" w:rsidP="0014721F">
      <w:pPr>
        <w:widowControl w:val="0"/>
        <w:autoSpaceDE w:val="0"/>
        <w:autoSpaceDN w:val="0"/>
        <w:adjustRightInd w:val="0"/>
        <w:spacing w:after="0" w:line="240" w:lineRule="auto"/>
        <w:ind w:left="0" w:firstLine="0"/>
        <w:rPr>
          <w:rFonts w:cs="Verdana"/>
          <w:lang w:val="sv-SE"/>
        </w:rPr>
      </w:pPr>
      <w:r w:rsidRPr="008763E6">
        <w:rPr>
          <w:lang w:val="sv-SE"/>
        </w:rPr>
        <w:t>I läkemedlets tryckta bipacksedel ska namn och adress till tillverkaren som ansvarar för frisläppandet av den relevanta tillverkningssatsen anges.</w:t>
      </w:r>
    </w:p>
    <w:p w14:paraId="5733EFF8" w14:textId="662C2D1C" w:rsidR="004A6BAA" w:rsidRDefault="004A6BAA" w:rsidP="0014721F">
      <w:pPr>
        <w:keepNext/>
        <w:widowControl w:val="0"/>
        <w:autoSpaceDE w:val="0"/>
        <w:autoSpaceDN w:val="0"/>
        <w:adjustRightInd w:val="0"/>
        <w:spacing w:after="0" w:line="240" w:lineRule="auto"/>
        <w:ind w:left="0" w:firstLine="0"/>
        <w:rPr>
          <w:rFonts w:cs="Verdana"/>
          <w:b/>
          <w:bCs/>
          <w:lang w:val="sv-SE"/>
        </w:rPr>
      </w:pPr>
    </w:p>
    <w:p w14:paraId="47CB75CB" w14:textId="77777777" w:rsidR="0014721F" w:rsidRPr="008763E6" w:rsidRDefault="0014721F" w:rsidP="0014721F">
      <w:pPr>
        <w:keepNext/>
        <w:widowControl w:val="0"/>
        <w:autoSpaceDE w:val="0"/>
        <w:autoSpaceDN w:val="0"/>
        <w:adjustRightInd w:val="0"/>
        <w:spacing w:after="0" w:line="240" w:lineRule="auto"/>
        <w:ind w:left="0" w:firstLine="0"/>
        <w:rPr>
          <w:rFonts w:cs="Verdana"/>
          <w:b/>
          <w:bCs/>
          <w:lang w:val="sv-SE"/>
        </w:rPr>
      </w:pPr>
    </w:p>
    <w:p w14:paraId="082CEA54" w14:textId="6F95EAB3" w:rsidR="004A6BAA" w:rsidRPr="00831B26" w:rsidRDefault="004A6BAA" w:rsidP="0014721F">
      <w:pPr>
        <w:pStyle w:val="TitleB"/>
        <w:spacing w:after="0"/>
        <w:ind w:right="0"/>
        <w:rPr>
          <w:rFonts w:cs="Verdana"/>
          <w:bCs/>
        </w:rPr>
      </w:pPr>
      <w:r w:rsidRPr="00831B26">
        <w:t>B.</w:t>
      </w:r>
      <w:r w:rsidRPr="00831B26">
        <w:tab/>
        <w:t>VILLKOR ELLER BEGRÄNSNINGAR FÖR TILLHANDAHÅLLANDE OCH ANVÄNDNING</w:t>
      </w:r>
    </w:p>
    <w:p w14:paraId="2503780B" w14:textId="77777777" w:rsidR="0014721F" w:rsidRDefault="0014721F" w:rsidP="0014721F">
      <w:pPr>
        <w:widowControl w:val="0"/>
        <w:autoSpaceDE w:val="0"/>
        <w:autoSpaceDN w:val="0"/>
        <w:adjustRightInd w:val="0"/>
        <w:spacing w:after="0" w:line="240" w:lineRule="auto"/>
        <w:ind w:left="0" w:firstLine="0"/>
        <w:rPr>
          <w:lang w:val="sv-SE"/>
        </w:rPr>
      </w:pPr>
    </w:p>
    <w:p w14:paraId="5F241699" w14:textId="43FF4A5D" w:rsidR="004A6BAA" w:rsidRPr="008763E6" w:rsidRDefault="004A6BAA" w:rsidP="0014721F">
      <w:pPr>
        <w:widowControl w:val="0"/>
        <w:autoSpaceDE w:val="0"/>
        <w:autoSpaceDN w:val="0"/>
        <w:adjustRightInd w:val="0"/>
        <w:spacing w:after="0" w:line="240" w:lineRule="auto"/>
        <w:ind w:left="0" w:firstLine="0"/>
        <w:rPr>
          <w:rFonts w:cs="Verdana"/>
          <w:lang w:val="sv-SE"/>
        </w:rPr>
      </w:pPr>
      <w:r w:rsidRPr="008763E6">
        <w:rPr>
          <w:lang w:val="sv-SE"/>
        </w:rPr>
        <w:t>Läkemedel som med begränsningar lämnas ut mot recept (se bilaga I: Produktresumén, avsnitt</w:t>
      </w:r>
      <w:r w:rsidR="003C4FBF">
        <w:rPr>
          <w:lang w:val="sv-SE"/>
        </w:rPr>
        <w:t> </w:t>
      </w:r>
      <w:r w:rsidRPr="008763E6">
        <w:rPr>
          <w:lang w:val="sv-SE"/>
        </w:rPr>
        <w:t>4.2).</w:t>
      </w:r>
    </w:p>
    <w:p w14:paraId="0683D48F" w14:textId="5438BAD8" w:rsidR="004A6BAA" w:rsidRDefault="004A6BAA" w:rsidP="0014721F">
      <w:pPr>
        <w:widowControl w:val="0"/>
        <w:autoSpaceDE w:val="0"/>
        <w:autoSpaceDN w:val="0"/>
        <w:adjustRightInd w:val="0"/>
        <w:spacing w:after="0" w:line="240" w:lineRule="auto"/>
        <w:ind w:left="0" w:firstLine="0"/>
        <w:rPr>
          <w:rFonts w:cs="Verdana"/>
          <w:lang w:val="sv-SE"/>
        </w:rPr>
      </w:pPr>
    </w:p>
    <w:p w14:paraId="1F64E49C" w14:textId="77777777" w:rsidR="0014721F" w:rsidRPr="008763E6" w:rsidRDefault="0014721F" w:rsidP="0014721F">
      <w:pPr>
        <w:widowControl w:val="0"/>
        <w:autoSpaceDE w:val="0"/>
        <w:autoSpaceDN w:val="0"/>
        <w:adjustRightInd w:val="0"/>
        <w:spacing w:after="0" w:line="240" w:lineRule="auto"/>
        <w:ind w:left="0" w:firstLine="0"/>
        <w:rPr>
          <w:rFonts w:cs="Verdana"/>
          <w:lang w:val="sv-SE"/>
        </w:rPr>
      </w:pPr>
    </w:p>
    <w:p w14:paraId="272ED896" w14:textId="68BAAD02" w:rsidR="004A6BAA" w:rsidRDefault="004A6BAA" w:rsidP="00790D9B">
      <w:pPr>
        <w:pStyle w:val="TitleB"/>
        <w:keepNext w:val="0"/>
        <w:spacing w:after="0"/>
        <w:ind w:left="720" w:right="0" w:hanging="720"/>
      </w:pPr>
      <w:r w:rsidRPr="00831B26">
        <w:t>C.</w:t>
      </w:r>
      <w:r w:rsidRPr="00831B26">
        <w:tab/>
        <w:t xml:space="preserve">ÖVRIGA VILLKOR OCH KRAV FÖR GODKÄNNANDET FÖR FÖRSÄLJNING </w:t>
      </w:r>
    </w:p>
    <w:p w14:paraId="5C8C04A9" w14:textId="77777777" w:rsidR="0014721F" w:rsidRPr="0014721F" w:rsidRDefault="0014721F" w:rsidP="0014721F">
      <w:pPr>
        <w:widowControl w:val="0"/>
        <w:spacing w:after="0" w:line="240" w:lineRule="auto"/>
        <w:ind w:left="0" w:firstLine="0"/>
        <w:rPr>
          <w:lang w:val="sv-SE"/>
        </w:rPr>
      </w:pPr>
    </w:p>
    <w:p w14:paraId="4B37BFAB" w14:textId="77777777" w:rsidR="004A6BAA" w:rsidRPr="008A47B3" w:rsidRDefault="004A6BAA" w:rsidP="0014721F">
      <w:pPr>
        <w:widowControl w:val="0"/>
        <w:numPr>
          <w:ilvl w:val="0"/>
          <w:numId w:val="33"/>
        </w:numPr>
        <w:tabs>
          <w:tab w:val="left" w:pos="468"/>
        </w:tabs>
        <w:autoSpaceDE w:val="0"/>
        <w:autoSpaceDN w:val="0"/>
        <w:adjustRightInd w:val="0"/>
        <w:spacing w:after="0" w:line="240" w:lineRule="auto"/>
        <w:ind w:left="0" w:firstLine="0"/>
        <w:rPr>
          <w:rFonts w:cs="Verdana"/>
        </w:rPr>
      </w:pPr>
      <w:proofErr w:type="spellStart"/>
      <w:r>
        <w:rPr>
          <w:b/>
        </w:rPr>
        <w:t>Periodiska</w:t>
      </w:r>
      <w:proofErr w:type="spellEnd"/>
      <w:r>
        <w:rPr>
          <w:b/>
        </w:rPr>
        <w:t xml:space="preserve"> </w:t>
      </w:r>
      <w:proofErr w:type="spellStart"/>
      <w:r>
        <w:rPr>
          <w:b/>
        </w:rPr>
        <w:t>säkerhetsrapporter</w:t>
      </w:r>
      <w:proofErr w:type="spellEnd"/>
      <w:r>
        <w:rPr>
          <w:b/>
        </w:rPr>
        <w:t xml:space="preserve"> </w:t>
      </w:r>
    </w:p>
    <w:p w14:paraId="34C0E068" w14:textId="77777777" w:rsidR="004A6BAA" w:rsidRPr="008A47B3" w:rsidRDefault="004A6BAA" w:rsidP="008763E6">
      <w:pPr>
        <w:widowControl w:val="0"/>
        <w:autoSpaceDE w:val="0"/>
        <w:autoSpaceDN w:val="0"/>
        <w:adjustRightInd w:val="0"/>
        <w:spacing w:after="0" w:line="240" w:lineRule="auto"/>
        <w:ind w:left="0" w:right="120" w:firstLine="0"/>
        <w:rPr>
          <w:rFonts w:cs="Verdana"/>
        </w:rPr>
      </w:pPr>
    </w:p>
    <w:p w14:paraId="1E94AEFF" w14:textId="5602A0F9" w:rsidR="004A6BAA" w:rsidRPr="008763E6" w:rsidRDefault="004A6BAA" w:rsidP="008763E6">
      <w:pPr>
        <w:widowControl w:val="0"/>
        <w:autoSpaceDE w:val="0"/>
        <w:autoSpaceDN w:val="0"/>
        <w:adjustRightInd w:val="0"/>
        <w:spacing w:after="0" w:line="240" w:lineRule="auto"/>
        <w:ind w:left="17" w:right="119" w:hanging="6"/>
        <w:rPr>
          <w:rFonts w:cs="Verdana"/>
          <w:lang w:val="sv-SE"/>
        </w:rPr>
      </w:pPr>
      <w:r w:rsidRPr="008763E6">
        <w:rPr>
          <w:lang w:val="sv-SE"/>
        </w:rPr>
        <w:t>Kraven för att lämna in periodiska säkerhetsrapporter för detta läkemedel anges i den förteckning över referensdatum för unionen (EURD-listan) som föreskrivs i artikel 107c.7 i direktiv 2001/83/EG och eventuella uppdateringar och som offentliggjorts på webbportalen för europeiska läkemedel.</w:t>
      </w:r>
    </w:p>
    <w:p w14:paraId="490A25BB" w14:textId="27B3CED5" w:rsidR="004A6BAA" w:rsidRDefault="004A6BAA" w:rsidP="0014721F">
      <w:pPr>
        <w:keepNext/>
        <w:widowControl w:val="0"/>
        <w:autoSpaceDE w:val="0"/>
        <w:autoSpaceDN w:val="0"/>
        <w:adjustRightInd w:val="0"/>
        <w:spacing w:after="0" w:line="240" w:lineRule="auto"/>
        <w:ind w:left="0" w:firstLine="0"/>
        <w:rPr>
          <w:rFonts w:cs="Verdana"/>
          <w:b/>
          <w:bCs/>
          <w:lang w:val="sv-SE"/>
        </w:rPr>
      </w:pPr>
    </w:p>
    <w:p w14:paraId="38129021" w14:textId="77777777" w:rsidR="0014721F" w:rsidRPr="008763E6" w:rsidRDefault="0014721F" w:rsidP="0031506B">
      <w:pPr>
        <w:widowControl w:val="0"/>
        <w:autoSpaceDE w:val="0"/>
        <w:autoSpaceDN w:val="0"/>
        <w:adjustRightInd w:val="0"/>
        <w:spacing w:after="0" w:line="240" w:lineRule="auto"/>
        <w:ind w:left="0" w:firstLine="0"/>
        <w:rPr>
          <w:rFonts w:cs="Verdana"/>
          <w:b/>
          <w:bCs/>
          <w:lang w:val="sv-SE"/>
        </w:rPr>
      </w:pPr>
    </w:p>
    <w:p w14:paraId="7DC13271" w14:textId="6B1616B7" w:rsidR="004A6BAA" w:rsidRDefault="004A6BAA" w:rsidP="00D4467F">
      <w:pPr>
        <w:pStyle w:val="TitleB"/>
        <w:keepNext w:val="0"/>
        <w:spacing w:after="0"/>
        <w:ind w:left="709" w:right="0" w:hanging="709"/>
      </w:pPr>
      <w:r w:rsidRPr="00831B26">
        <w:t>D.</w:t>
      </w:r>
      <w:r w:rsidRPr="00831B26">
        <w:tab/>
        <w:t>VILLKOR ELLER BEGRÄNSNINGAR AVSEENDE EN SÄKER OCH EFFEKTIV ANVÄNDNING AV LÄKEMEDLET</w:t>
      </w:r>
    </w:p>
    <w:p w14:paraId="49724D50" w14:textId="77777777" w:rsidR="0014721F" w:rsidRPr="0014721F" w:rsidRDefault="0014721F" w:rsidP="00D4467F">
      <w:pPr>
        <w:spacing w:after="0" w:line="240" w:lineRule="auto"/>
        <w:ind w:left="0" w:firstLine="0"/>
        <w:rPr>
          <w:lang w:val="sv-SE"/>
        </w:rPr>
      </w:pPr>
    </w:p>
    <w:p w14:paraId="0FC34A20" w14:textId="09E88682" w:rsidR="004A6BAA" w:rsidRDefault="004A6BAA" w:rsidP="00D4467F">
      <w:pPr>
        <w:widowControl w:val="0"/>
        <w:numPr>
          <w:ilvl w:val="0"/>
          <w:numId w:val="33"/>
        </w:numPr>
        <w:tabs>
          <w:tab w:val="left" w:pos="468"/>
        </w:tabs>
        <w:autoSpaceDE w:val="0"/>
        <w:autoSpaceDN w:val="0"/>
        <w:adjustRightInd w:val="0"/>
        <w:spacing w:after="0" w:line="240" w:lineRule="auto"/>
        <w:ind w:left="0" w:firstLine="0"/>
        <w:rPr>
          <w:rFonts w:cs="Verdana"/>
        </w:rPr>
      </w:pPr>
      <w:proofErr w:type="spellStart"/>
      <w:r>
        <w:rPr>
          <w:b/>
        </w:rPr>
        <w:t>Riskhanteringsplan</w:t>
      </w:r>
      <w:proofErr w:type="spellEnd"/>
    </w:p>
    <w:p w14:paraId="387CEC4A" w14:textId="77777777" w:rsidR="00820E3F" w:rsidRPr="00820E3F" w:rsidRDefault="00820E3F" w:rsidP="00D4467F">
      <w:pPr>
        <w:widowControl w:val="0"/>
        <w:autoSpaceDE w:val="0"/>
        <w:autoSpaceDN w:val="0"/>
        <w:adjustRightInd w:val="0"/>
        <w:spacing w:after="0" w:line="240" w:lineRule="auto"/>
        <w:ind w:left="0" w:firstLine="0"/>
        <w:rPr>
          <w:rFonts w:cs="Verdana"/>
        </w:rPr>
      </w:pPr>
    </w:p>
    <w:p w14:paraId="5056506C" w14:textId="1BF1A8B9" w:rsidR="004A6BAA" w:rsidRDefault="004A6BAA" w:rsidP="00D4467F">
      <w:pPr>
        <w:widowControl w:val="0"/>
        <w:autoSpaceDE w:val="0"/>
        <w:autoSpaceDN w:val="0"/>
        <w:adjustRightInd w:val="0"/>
        <w:spacing w:after="0" w:line="240" w:lineRule="auto"/>
        <w:ind w:left="17" w:right="-6" w:hanging="6"/>
        <w:rPr>
          <w:lang w:val="sv-SE"/>
        </w:rPr>
      </w:pPr>
      <w:r w:rsidRPr="008763E6">
        <w:rPr>
          <w:lang w:val="sv-SE"/>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068034B6" w14:textId="77777777" w:rsidR="0031506B" w:rsidRPr="008763E6" w:rsidRDefault="0031506B" w:rsidP="0031506B">
      <w:pPr>
        <w:keepNext/>
        <w:keepLines/>
        <w:widowControl w:val="0"/>
        <w:autoSpaceDE w:val="0"/>
        <w:autoSpaceDN w:val="0"/>
        <w:adjustRightInd w:val="0"/>
        <w:spacing w:after="0" w:line="240" w:lineRule="auto"/>
        <w:ind w:left="17" w:right="-6" w:hanging="6"/>
        <w:rPr>
          <w:rFonts w:cs="Verdana"/>
          <w:lang w:val="sv-SE"/>
        </w:rPr>
      </w:pPr>
    </w:p>
    <w:p w14:paraId="1A58261D" w14:textId="77777777" w:rsidR="004A6BAA" w:rsidRPr="008763E6" w:rsidRDefault="004A6BAA" w:rsidP="00D4467F">
      <w:pPr>
        <w:keepNext/>
        <w:keepLines/>
        <w:widowControl w:val="0"/>
        <w:autoSpaceDE w:val="0"/>
        <w:autoSpaceDN w:val="0"/>
        <w:adjustRightInd w:val="0"/>
        <w:spacing w:after="0" w:line="240" w:lineRule="auto"/>
        <w:ind w:left="17" w:right="119" w:hanging="6"/>
        <w:rPr>
          <w:rFonts w:cs="Verdana"/>
          <w:lang w:val="sv-SE"/>
        </w:rPr>
      </w:pPr>
      <w:r w:rsidRPr="008763E6">
        <w:rPr>
          <w:lang w:val="sv-SE"/>
        </w:rPr>
        <w:t>En uppdaterad riskhanteringsplan ska lämnas in:</w:t>
      </w:r>
    </w:p>
    <w:p w14:paraId="42BAE912" w14:textId="77777777" w:rsidR="004A6BAA" w:rsidRPr="00472A6C" w:rsidRDefault="004A6BAA" w:rsidP="00D4467F">
      <w:pPr>
        <w:keepNext/>
        <w:keepLines/>
        <w:numPr>
          <w:ilvl w:val="0"/>
          <w:numId w:val="33"/>
        </w:numPr>
        <w:spacing w:after="0" w:line="240" w:lineRule="auto"/>
        <w:ind w:left="567" w:hanging="567"/>
        <w:rPr>
          <w:lang w:val="sv-SE"/>
        </w:rPr>
      </w:pPr>
      <w:r w:rsidRPr="00472A6C">
        <w:rPr>
          <w:lang w:val="sv-SE"/>
        </w:rPr>
        <w:t>på begäran av Europeiska läkemedelsmyndigheten,</w:t>
      </w:r>
    </w:p>
    <w:p w14:paraId="178C3CC5" w14:textId="77777777" w:rsidR="004A6BAA" w:rsidRPr="008763E6" w:rsidRDefault="004A6BAA" w:rsidP="00D4467F">
      <w:pPr>
        <w:keepNext/>
        <w:keepLines/>
        <w:numPr>
          <w:ilvl w:val="0"/>
          <w:numId w:val="33"/>
        </w:numPr>
        <w:spacing w:after="0" w:line="240" w:lineRule="auto"/>
        <w:ind w:left="454" w:hanging="454"/>
        <w:rPr>
          <w:lang w:val="sv-SE"/>
        </w:rPr>
      </w:pPr>
      <w:r w:rsidRPr="00472A6C">
        <w:rPr>
          <w:lang w:val="sv-SE"/>
        </w:rPr>
        <w:t>när riskhanteringssystemet ändras, särskilt efter att ny information framkommit som kan leda till betydande ändringar i läkemedlets nytta-riskprofil eller efter att en viktig milstolpe (för farmakovigilans</w:t>
      </w:r>
      <w:r w:rsidRPr="008763E6">
        <w:rPr>
          <w:lang w:val="sv-SE"/>
        </w:rPr>
        <w:t xml:space="preserve"> eller riskminimering) har nåtts. </w:t>
      </w:r>
    </w:p>
    <w:p w14:paraId="5A6E3F21" w14:textId="05D67746" w:rsidR="009A2261" w:rsidRDefault="009A2261">
      <w:pPr>
        <w:spacing w:after="160" w:line="259" w:lineRule="auto"/>
        <w:ind w:left="0" w:firstLine="0"/>
        <w:rPr>
          <w:lang w:val="sv-SE"/>
        </w:rPr>
      </w:pPr>
      <w:r>
        <w:rPr>
          <w:lang w:val="sv-SE"/>
        </w:rPr>
        <w:br w:type="page"/>
      </w:r>
    </w:p>
    <w:p w14:paraId="7E414027" w14:textId="77777777" w:rsidR="009147BB" w:rsidRPr="00A74CC6" w:rsidRDefault="009147BB" w:rsidP="001341B2">
      <w:pPr>
        <w:spacing w:after="0" w:line="240" w:lineRule="auto"/>
        <w:ind w:left="0" w:firstLine="0"/>
        <w:contextualSpacing/>
        <w:jc w:val="center"/>
        <w:rPr>
          <w:lang w:val="sv-SE"/>
        </w:rPr>
      </w:pPr>
    </w:p>
    <w:p w14:paraId="28471633" w14:textId="77777777" w:rsidR="009147BB" w:rsidRPr="00A74CC6" w:rsidRDefault="009147BB" w:rsidP="001341B2">
      <w:pPr>
        <w:spacing w:after="0" w:line="240" w:lineRule="auto"/>
        <w:ind w:left="0" w:firstLine="0"/>
        <w:contextualSpacing/>
        <w:jc w:val="center"/>
        <w:rPr>
          <w:lang w:val="sv-SE"/>
        </w:rPr>
      </w:pPr>
    </w:p>
    <w:p w14:paraId="4A2B6A15" w14:textId="77777777" w:rsidR="009147BB" w:rsidRPr="00A74CC6" w:rsidRDefault="009147BB" w:rsidP="001341B2">
      <w:pPr>
        <w:spacing w:after="0" w:line="240" w:lineRule="auto"/>
        <w:ind w:left="0" w:firstLine="0"/>
        <w:contextualSpacing/>
        <w:jc w:val="center"/>
        <w:rPr>
          <w:lang w:val="sv-SE"/>
        </w:rPr>
      </w:pPr>
    </w:p>
    <w:p w14:paraId="7E91935F" w14:textId="77777777" w:rsidR="009147BB" w:rsidRPr="00A74CC6" w:rsidRDefault="009147BB" w:rsidP="001341B2">
      <w:pPr>
        <w:spacing w:after="0" w:line="240" w:lineRule="auto"/>
        <w:ind w:left="0" w:firstLine="0"/>
        <w:contextualSpacing/>
        <w:jc w:val="center"/>
        <w:rPr>
          <w:lang w:val="sv-SE"/>
        </w:rPr>
      </w:pPr>
    </w:p>
    <w:p w14:paraId="31CFAB5C" w14:textId="77777777" w:rsidR="009147BB" w:rsidRPr="00A74CC6" w:rsidRDefault="009147BB" w:rsidP="001341B2">
      <w:pPr>
        <w:spacing w:after="0" w:line="240" w:lineRule="auto"/>
        <w:ind w:left="0" w:firstLine="0"/>
        <w:contextualSpacing/>
        <w:jc w:val="center"/>
        <w:rPr>
          <w:lang w:val="sv-SE"/>
        </w:rPr>
      </w:pPr>
    </w:p>
    <w:p w14:paraId="06EDA80A" w14:textId="77777777" w:rsidR="009147BB" w:rsidRPr="00A74CC6" w:rsidRDefault="009147BB" w:rsidP="001341B2">
      <w:pPr>
        <w:spacing w:after="0" w:line="240" w:lineRule="auto"/>
        <w:ind w:left="0" w:firstLine="0"/>
        <w:contextualSpacing/>
        <w:jc w:val="center"/>
        <w:rPr>
          <w:lang w:val="sv-SE"/>
        </w:rPr>
      </w:pPr>
    </w:p>
    <w:p w14:paraId="66544346" w14:textId="77777777" w:rsidR="009147BB" w:rsidRPr="00A74CC6" w:rsidRDefault="009147BB" w:rsidP="001341B2">
      <w:pPr>
        <w:spacing w:after="0" w:line="240" w:lineRule="auto"/>
        <w:ind w:left="0" w:firstLine="0"/>
        <w:contextualSpacing/>
        <w:jc w:val="center"/>
        <w:rPr>
          <w:lang w:val="sv-SE"/>
        </w:rPr>
      </w:pPr>
    </w:p>
    <w:p w14:paraId="49A5C4BF" w14:textId="77777777" w:rsidR="009147BB" w:rsidRPr="00A74CC6" w:rsidRDefault="009147BB" w:rsidP="001341B2">
      <w:pPr>
        <w:spacing w:after="0" w:line="240" w:lineRule="auto"/>
        <w:ind w:left="0" w:firstLine="0"/>
        <w:contextualSpacing/>
        <w:jc w:val="center"/>
        <w:rPr>
          <w:lang w:val="sv-SE"/>
        </w:rPr>
      </w:pPr>
    </w:p>
    <w:p w14:paraId="7779B7F0" w14:textId="77777777" w:rsidR="009147BB" w:rsidRPr="00A74CC6" w:rsidRDefault="009147BB" w:rsidP="001341B2">
      <w:pPr>
        <w:spacing w:after="0" w:line="240" w:lineRule="auto"/>
        <w:ind w:left="0" w:firstLine="0"/>
        <w:contextualSpacing/>
        <w:jc w:val="center"/>
        <w:rPr>
          <w:lang w:val="sv-SE"/>
        </w:rPr>
      </w:pPr>
    </w:p>
    <w:p w14:paraId="13926940" w14:textId="77777777" w:rsidR="009147BB" w:rsidRPr="00A74CC6" w:rsidRDefault="009147BB" w:rsidP="001341B2">
      <w:pPr>
        <w:spacing w:after="0" w:line="240" w:lineRule="auto"/>
        <w:ind w:left="0" w:firstLine="0"/>
        <w:contextualSpacing/>
        <w:jc w:val="center"/>
        <w:rPr>
          <w:lang w:val="sv-SE"/>
        </w:rPr>
      </w:pPr>
    </w:p>
    <w:p w14:paraId="72DC87DA" w14:textId="77777777" w:rsidR="009147BB" w:rsidRPr="00A74CC6" w:rsidRDefault="009147BB" w:rsidP="001341B2">
      <w:pPr>
        <w:spacing w:after="0" w:line="240" w:lineRule="auto"/>
        <w:ind w:left="0" w:firstLine="0"/>
        <w:contextualSpacing/>
        <w:jc w:val="center"/>
        <w:rPr>
          <w:lang w:val="sv-SE"/>
        </w:rPr>
      </w:pPr>
    </w:p>
    <w:p w14:paraId="11549A9A" w14:textId="77777777" w:rsidR="009147BB" w:rsidRPr="00A74CC6" w:rsidRDefault="009147BB" w:rsidP="001341B2">
      <w:pPr>
        <w:spacing w:after="0" w:line="240" w:lineRule="auto"/>
        <w:ind w:left="0" w:firstLine="0"/>
        <w:contextualSpacing/>
        <w:jc w:val="center"/>
        <w:rPr>
          <w:lang w:val="sv-SE"/>
        </w:rPr>
      </w:pPr>
    </w:p>
    <w:p w14:paraId="75BBC8B4" w14:textId="77777777" w:rsidR="009147BB" w:rsidRPr="00A74CC6" w:rsidRDefault="009147BB" w:rsidP="001341B2">
      <w:pPr>
        <w:spacing w:after="0" w:line="240" w:lineRule="auto"/>
        <w:ind w:left="0" w:firstLine="0"/>
        <w:contextualSpacing/>
        <w:jc w:val="center"/>
        <w:rPr>
          <w:lang w:val="sv-SE"/>
        </w:rPr>
      </w:pPr>
    </w:p>
    <w:p w14:paraId="400F9B86" w14:textId="77777777" w:rsidR="009147BB" w:rsidRPr="00A74CC6" w:rsidRDefault="009147BB" w:rsidP="001341B2">
      <w:pPr>
        <w:spacing w:after="0" w:line="240" w:lineRule="auto"/>
        <w:ind w:left="0" w:firstLine="0"/>
        <w:contextualSpacing/>
        <w:jc w:val="center"/>
        <w:rPr>
          <w:lang w:val="sv-SE"/>
        </w:rPr>
      </w:pPr>
    </w:p>
    <w:p w14:paraId="31CE4084" w14:textId="77777777" w:rsidR="009147BB" w:rsidRPr="00A74CC6" w:rsidRDefault="009147BB" w:rsidP="001341B2">
      <w:pPr>
        <w:spacing w:after="0" w:line="240" w:lineRule="auto"/>
        <w:ind w:left="0" w:firstLine="0"/>
        <w:contextualSpacing/>
        <w:jc w:val="center"/>
        <w:rPr>
          <w:lang w:val="sv-SE"/>
        </w:rPr>
      </w:pPr>
    </w:p>
    <w:p w14:paraId="508DE3D1" w14:textId="77777777" w:rsidR="009147BB" w:rsidRPr="00A74CC6" w:rsidRDefault="009147BB" w:rsidP="001341B2">
      <w:pPr>
        <w:spacing w:after="0" w:line="240" w:lineRule="auto"/>
        <w:ind w:left="0" w:firstLine="0"/>
        <w:contextualSpacing/>
        <w:jc w:val="center"/>
        <w:rPr>
          <w:lang w:val="sv-SE"/>
        </w:rPr>
      </w:pPr>
    </w:p>
    <w:p w14:paraId="6E6996EC" w14:textId="77777777" w:rsidR="009147BB" w:rsidRPr="00A74CC6" w:rsidRDefault="009147BB" w:rsidP="001341B2">
      <w:pPr>
        <w:spacing w:after="0" w:line="240" w:lineRule="auto"/>
        <w:ind w:left="0" w:firstLine="0"/>
        <w:contextualSpacing/>
        <w:jc w:val="center"/>
        <w:rPr>
          <w:lang w:val="sv-SE"/>
        </w:rPr>
      </w:pPr>
    </w:p>
    <w:p w14:paraId="2B819C2A" w14:textId="77777777" w:rsidR="00820E3F" w:rsidRDefault="00820E3F" w:rsidP="001341B2">
      <w:pPr>
        <w:spacing w:after="0" w:line="240" w:lineRule="auto"/>
        <w:ind w:left="0" w:firstLine="0"/>
        <w:contextualSpacing/>
        <w:jc w:val="center"/>
        <w:rPr>
          <w:b/>
          <w:lang w:val="sv-SE"/>
        </w:rPr>
      </w:pPr>
    </w:p>
    <w:p w14:paraId="2650C376" w14:textId="77777777" w:rsidR="00820E3F" w:rsidRDefault="00820E3F" w:rsidP="001341B2">
      <w:pPr>
        <w:spacing w:after="0" w:line="240" w:lineRule="auto"/>
        <w:ind w:left="0" w:firstLine="0"/>
        <w:contextualSpacing/>
        <w:jc w:val="center"/>
        <w:rPr>
          <w:b/>
          <w:lang w:val="sv-SE"/>
        </w:rPr>
      </w:pPr>
    </w:p>
    <w:p w14:paraId="0367554C" w14:textId="77777777" w:rsidR="00820E3F" w:rsidRDefault="00820E3F" w:rsidP="001341B2">
      <w:pPr>
        <w:spacing w:after="0" w:line="240" w:lineRule="auto"/>
        <w:ind w:left="0" w:firstLine="0"/>
        <w:contextualSpacing/>
        <w:jc w:val="center"/>
        <w:rPr>
          <w:b/>
          <w:lang w:val="sv-SE"/>
        </w:rPr>
      </w:pPr>
    </w:p>
    <w:p w14:paraId="03E3078E" w14:textId="5C14E456" w:rsidR="00064222" w:rsidRDefault="00064222" w:rsidP="001341B2">
      <w:pPr>
        <w:spacing w:after="0" w:line="240" w:lineRule="auto"/>
        <w:ind w:left="0" w:firstLine="0"/>
        <w:contextualSpacing/>
        <w:jc w:val="center"/>
        <w:rPr>
          <w:b/>
          <w:lang w:val="sv-SE"/>
        </w:rPr>
      </w:pPr>
    </w:p>
    <w:p w14:paraId="2888932E" w14:textId="05C75E8A" w:rsidR="009A2261" w:rsidRDefault="009A2261" w:rsidP="001341B2">
      <w:pPr>
        <w:spacing w:after="0" w:line="240" w:lineRule="auto"/>
        <w:ind w:left="0" w:firstLine="0"/>
        <w:contextualSpacing/>
        <w:jc w:val="center"/>
        <w:rPr>
          <w:b/>
          <w:lang w:val="sv-SE"/>
        </w:rPr>
      </w:pPr>
    </w:p>
    <w:p w14:paraId="63CFDF4E" w14:textId="77777777" w:rsidR="005027AB" w:rsidRPr="00A74CC6" w:rsidRDefault="00264096" w:rsidP="001341B2">
      <w:pPr>
        <w:spacing w:after="0" w:line="240" w:lineRule="auto"/>
        <w:ind w:left="0" w:firstLine="0"/>
        <w:contextualSpacing/>
        <w:jc w:val="center"/>
        <w:rPr>
          <w:b/>
          <w:lang w:val="sv-SE"/>
        </w:rPr>
      </w:pPr>
      <w:r w:rsidRPr="00A74CC6">
        <w:rPr>
          <w:b/>
          <w:lang w:val="sv-SE"/>
        </w:rPr>
        <w:t>BILAGA III</w:t>
      </w:r>
    </w:p>
    <w:p w14:paraId="38B6B20A" w14:textId="77777777" w:rsidR="009147BB" w:rsidRPr="00A74CC6" w:rsidRDefault="009147BB" w:rsidP="001341B2">
      <w:pPr>
        <w:spacing w:after="0" w:line="240" w:lineRule="auto"/>
        <w:ind w:left="0" w:firstLine="0"/>
        <w:contextualSpacing/>
        <w:jc w:val="center"/>
        <w:rPr>
          <w:lang w:val="sv-SE"/>
        </w:rPr>
      </w:pPr>
    </w:p>
    <w:p w14:paraId="53D90964" w14:textId="77777777" w:rsidR="009147BB" w:rsidRPr="00A74CC6" w:rsidRDefault="00264096" w:rsidP="001341B2">
      <w:pPr>
        <w:spacing w:after="0" w:line="240" w:lineRule="auto"/>
        <w:ind w:left="0" w:firstLine="0"/>
        <w:contextualSpacing/>
        <w:jc w:val="center"/>
        <w:rPr>
          <w:b/>
          <w:lang w:val="sv-SE"/>
        </w:rPr>
      </w:pPr>
      <w:r w:rsidRPr="00A74CC6">
        <w:rPr>
          <w:b/>
          <w:lang w:val="sv-SE"/>
        </w:rPr>
        <w:t>MÄRKNING OCH BIPACKSEDEL</w:t>
      </w:r>
    </w:p>
    <w:p w14:paraId="484A2069" w14:textId="77777777" w:rsidR="005027AB" w:rsidRPr="00A74CC6" w:rsidRDefault="00264096" w:rsidP="001E7238">
      <w:pPr>
        <w:spacing w:after="0" w:line="240" w:lineRule="auto"/>
        <w:ind w:left="2830" w:hanging="10"/>
        <w:contextualSpacing/>
        <w:rPr>
          <w:lang w:val="sv-SE"/>
        </w:rPr>
      </w:pPr>
      <w:r w:rsidRPr="00A74CC6">
        <w:rPr>
          <w:lang w:val="sv-SE"/>
        </w:rPr>
        <w:br w:type="page"/>
      </w:r>
    </w:p>
    <w:p w14:paraId="5ECA493D" w14:textId="77777777" w:rsidR="009147BB" w:rsidRPr="00A74CC6" w:rsidRDefault="009147BB" w:rsidP="001E7238">
      <w:pPr>
        <w:spacing w:after="0" w:line="240" w:lineRule="auto"/>
        <w:ind w:left="4" w:right="13"/>
        <w:contextualSpacing/>
        <w:jc w:val="center"/>
        <w:rPr>
          <w:lang w:val="sv-SE"/>
        </w:rPr>
      </w:pPr>
    </w:p>
    <w:p w14:paraId="116894FC" w14:textId="77777777" w:rsidR="009147BB" w:rsidRPr="00A74CC6" w:rsidRDefault="009147BB" w:rsidP="001E7238">
      <w:pPr>
        <w:spacing w:after="0" w:line="240" w:lineRule="auto"/>
        <w:ind w:left="4" w:right="13"/>
        <w:contextualSpacing/>
        <w:jc w:val="center"/>
        <w:rPr>
          <w:lang w:val="sv-SE"/>
        </w:rPr>
      </w:pPr>
    </w:p>
    <w:p w14:paraId="742849A1" w14:textId="77777777" w:rsidR="009147BB" w:rsidRPr="00A74CC6" w:rsidRDefault="009147BB" w:rsidP="001E7238">
      <w:pPr>
        <w:spacing w:after="0" w:line="240" w:lineRule="auto"/>
        <w:ind w:left="4" w:right="13"/>
        <w:contextualSpacing/>
        <w:jc w:val="center"/>
        <w:rPr>
          <w:lang w:val="sv-SE"/>
        </w:rPr>
      </w:pPr>
    </w:p>
    <w:p w14:paraId="489DADA2" w14:textId="77777777" w:rsidR="009147BB" w:rsidRPr="00A74CC6" w:rsidRDefault="009147BB" w:rsidP="001E7238">
      <w:pPr>
        <w:spacing w:after="0" w:line="240" w:lineRule="auto"/>
        <w:ind w:left="4" w:right="13"/>
        <w:contextualSpacing/>
        <w:jc w:val="center"/>
        <w:rPr>
          <w:lang w:val="sv-SE"/>
        </w:rPr>
      </w:pPr>
    </w:p>
    <w:p w14:paraId="641AFB56" w14:textId="77777777" w:rsidR="009147BB" w:rsidRPr="00A74CC6" w:rsidRDefault="009147BB" w:rsidP="001E7238">
      <w:pPr>
        <w:spacing w:after="0" w:line="240" w:lineRule="auto"/>
        <w:ind w:left="4" w:right="13"/>
        <w:contextualSpacing/>
        <w:jc w:val="center"/>
        <w:rPr>
          <w:lang w:val="sv-SE"/>
        </w:rPr>
      </w:pPr>
    </w:p>
    <w:p w14:paraId="7A290A20" w14:textId="77777777" w:rsidR="009147BB" w:rsidRPr="00A74CC6" w:rsidRDefault="009147BB" w:rsidP="001E7238">
      <w:pPr>
        <w:spacing w:after="0" w:line="240" w:lineRule="auto"/>
        <w:ind w:left="4" w:right="13"/>
        <w:contextualSpacing/>
        <w:jc w:val="center"/>
        <w:rPr>
          <w:lang w:val="sv-SE"/>
        </w:rPr>
      </w:pPr>
    </w:p>
    <w:p w14:paraId="13765F72" w14:textId="77777777" w:rsidR="009147BB" w:rsidRPr="00A74CC6" w:rsidRDefault="009147BB" w:rsidP="001E7238">
      <w:pPr>
        <w:spacing w:after="0" w:line="240" w:lineRule="auto"/>
        <w:ind w:left="4" w:right="13"/>
        <w:contextualSpacing/>
        <w:jc w:val="center"/>
        <w:rPr>
          <w:lang w:val="sv-SE"/>
        </w:rPr>
      </w:pPr>
    </w:p>
    <w:p w14:paraId="3F384898" w14:textId="77777777" w:rsidR="009147BB" w:rsidRPr="00A74CC6" w:rsidRDefault="009147BB" w:rsidP="001E7238">
      <w:pPr>
        <w:spacing w:after="0" w:line="240" w:lineRule="auto"/>
        <w:ind w:left="4" w:right="13"/>
        <w:contextualSpacing/>
        <w:jc w:val="center"/>
        <w:rPr>
          <w:lang w:val="sv-SE"/>
        </w:rPr>
      </w:pPr>
    </w:p>
    <w:p w14:paraId="6D45C130" w14:textId="77777777" w:rsidR="009147BB" w:rsidRPr="00A74CC6" w:rsidRDefault="009147BB" w:rsidP="001E7238">
      <w:pPr>
        <w:spacing w:after="0" w:line="240" w:lineRule="auto"/>
        <w:ind w:left="4" w:right="13"/>
        <w:contextualSpacing/>
        <w:jc w:val="center"/>
        <w:rPr>
          <w:lang w:val="sv-SE"/>
        </w:rPr>
      </w:pPr>
    </w:p>
    <w:p w14:paraId="281143B4" w14:textId="77777777" w:rsidR="009147BB" w:rsidRPr="00A74CC6" w:rsidRDefault="009147BB" w:rsidP="001E7238">
      <w:pPr>
        <w:spacing w:after="0" w:line="240" w:lineRule="auto"/>
        <w:ind w:left="4" w:right="13"/>
        <w:contextualSpacing/>
        <w:jc w:val="center"/>
        <w:rPr>
          <w:lang w:val="sv-SE"/>
        </w:rPr>
      </w:pPr>
    </w:p>
    <w:p w14:paraId="395F0E35" w14:textId="77777777" w:rsidR="009147BB" w:rsidRPr="00A74CC6" w:rsidRDefault="009147BB" w:rsidP="001E7238">
      <w:pPr>
        <w:spacing w:after="0" w:line="240" w:lineRule="auto"/>
        <w:ind w:left="4" w:right="13"/>
        <w:contextualSpacing/>
        <w:jc w:val="center"/>
        <w:rPr>
          <w:lang w:val="sv-SE"/>
        </w:rPr>
      </w:pPr>
    </w:p>
    <w:p w14:paraId="0EB0DB7A" w14:textId="77777777" w:rsidR="009147BB" w:rsidRPr="00A74CC6" w:rsidRDefault="009147BB" w:rsidP="001E7238">
      <w:pPr>
        <w:spacing w:after="0" w:line="240" w:lineRule="auto"/>
        <w:ind w:left="4" w:right="13"/>
        <w:contextualSpacing/>
        <w:jc w:val="center"/>
        <w:rPr>
          <w:lang w:val="sv-SE"/>
        </w:rPr>
      </w:pPr>
    </w:p>
    <w:p w14:paraId="31E09117" w14:textId="77777777" w:rsidR="009147BB" w:rsidRPr="00A74CC6" w:rsidRDefault="009147BB" w:rsidP="001E7238">
      <w:pPr>
        <w:spacing w:after="0" w:line="240" w:lineRule="auto"/>
        <w:ind w:left="4" w:right="13"/>
        <w:contextualSpacing/>
        <w:jc w:val="center"/>
        <w:rPr>
          <w:lang w:val="sv-SE"/>
        </w:rPr>
      </w:pPr>
    </w:p>
    <w:p w14:paraId="0F2AFAEC" w14:textId="77777777" w:rsidR="009147BB" w:rsidRPr="00A74CC6" w:rsidRDefault="009147BB" w:rsidP="001E7238">
      <w:pPr>
        <w:spacing w:after="0" w:line="240" w:lineRule="auto"/>
        <w:ind w:left="4" w:right="13"/>
        <w:contextualSpacing/>
        <w:jc w:val="center"/>
        <w:rPr>
          <w:lang w:val="sv-SE"/>
        </w:rPr>
      </w:pPr>
    </w:p>
    <w:p w14:paraId="7EE8E1DC" w14:textId="77777777" w:rsidR="009147BB" w:rsidRPr="00A74CC6" w:rsidRDefault="009147BB" w:rsidP="001E7238">
      <w:pPr>
        <w:spacing w:after="0" w:line="240" w:lineRule="auto"/>
        <w:ind w:left="4" w:right="13"/>
        <w:contextualSpacing/>
        <w:jc w:val="center"/>
        <w:rPr>
          <w:lang w:val="sv-SE"/>
        </w:rPr>
      </w:pPr>
    </w:p>
    <w:p w14:paraId="472DA29E" w14:textId="77777777" w:rsidR="009147BB" w:rsidRPr="00A74CC6" w:rsidRDefault="009147BB" w:rsidP="001E7238">
      <w:pPr>
        <w:spacing w:after="0" w:line="240" w:lineRule="auto"/>
        <w:ind w:left="4" w:right="13"/>
        <w:contextualSpacing/>
        <w:jc w:val="center"/>
        <w:rPr>
          <w:lang w:val="sv-SE"/>
        </w:rPr>
      </w:pPr>
    </w:p>
    <w:p w14:paraId="3CC45E3E" w14:textId="77777777" w:rsidR="009147BB" w:rsidRPr="00A74CC6" w:rsidRDefault="009147BB" w:rsidP="001E7238">
      <w:pPr>
        <w:spacing w:after="0" w:line="240" w:lineRule="auto"/>
        <w:ind w:left="4" w:right="13"/>
        <w:contextualSpacing/>
        <w:jc w:val="center"/>
        <w:rPr>
          <w:lang w:val="sv-SE"/>
        </w:rPr>
      </w:pPr>
    </w:p>
    <w:p w14:paraId="54603801" w14:textId="77777777" w:rsidR="009147BB" w:rsidRPr="00A74CC6" w:rsidRDefault="009147BB" w:rsidP="001E7238">
      <w:pPr>
        <w:spacing w:after="0" w:line="240" w:lineRule="auto"/>
        <w:ind w:left="4" w:right="13"/>
        <w:contextualSpacing/>
        <w:jc w:val="center"/>
        <w:rPr>
          <w:lang w:val="sv-SE"/>
        </w:rPr>
      </w:pPr>
    </w:p>
    <w:p w14:paraId="0A516325" w14:textId="77777777" w:rsidR="009147BB" w:rsidRPr="00A74CC6" w:rsidRDefault="009147BB" w:rsidP="001E7238">
      <w:pPr>
        <w:spacing w:after="0" w:line="240" w:lineRule="auto"/>
        <w:ind w:left="4" w:right="13"/>
        <w:contextualSpacing/>
        <w:jc w:val="center"/>
        <w:rPr>
          <w:lang w:val="sv-SE"/>
        </w:rPr>
      </w:pPr>
    </w:p>
    <w:p w14:paraId="34C595BD" w14:textId="77777777" w:rsidR="009147BB" w:rsidRPr="00A74CC6" w:rsidRDefault="009147BB" w:rsidP="001E7238">
      <w:pPr>
        <w:spacing w:after="0" w:line="240" w:lineRule="auto"/>
        <w:ind w:left="4" w:right="13"/>
        <w:contextualSpacing/>
        <w:jc w:val="center"/>
        <w:rPr>
          <w:lang w:val="sv-SE"/>
        </w:rPr>
      </w:pPr>
    </w:p>
    <w:p w14:paraId="1B0E524C" w14:textId="77777777" w:rsidR="009147BB" w:rsidRPr="00A74CC6" w:rsidRDefault="009147BB" w:rsidP="001E7238">
      <w:pPr>
        <w:spacing w:after="0" w:line="240" w:lineRule="auto"/>
        <w:ind w:left="4" w:right="13"/>
        <w:contextualSpacing/>
        <w:jc w:val="center"/>
        <w:rPr>
          <w:lang w:val="sv-SE"/>
        </w:rPr>
      </w:pPr>
    </w:p>
    <w:p w14:paraId="0F77F0E6" w14:textId="1D2D7411" w:rsidR="009147BB" w:rsidRDefault="009147BB" w:rsidP="001E7238">
      <w:pPr>
        <w:spacing w:after="0" w:line="240" w:lineRule="auto"/>
        <w:ind w:left="4" w:right="13"/>
        <w:contextualSpacing/>
        <w:jc w:val="center"/>
        <w:rPr>
          <w:lang w:val="sv-SE"/>
        </w:rPr>
      </w:pPr>
    </w:p>
    <w:p w14:paraId="07615F61" w14:textId="77777777" w:rsidR="00A7251E" w:rsidRPr="00A74CC6" w:rsidRDefault="001341B2" w:rsidP="001341B2">
      <w:pPr>
        <w:pStyle w:val="TitleA"/>
        <w:widowControl/>
        <w:ind w:left="3888" w:firstLine="0"/>
      </w:pPr>
      <w:r w:rsidRPr="00A74CC6">
        <w:t xml:space="preserve">A. </w:t>
      </w:r>
      <w:r w:rsidR="00264096" w:rsidRPr="00A74CC6">
        <w:t>MÄRKNING</w:t>
      </w:r>
    </w:p>
    <w:p w14:paraId="3D94CC14" w14:textId="5D0AD8CE" w:rsidR="005027AB" w:rsidRPr="00A74CC6" w:rsidRDefault="005027AB" w:rsidP="00BD1FEA">
      <w:pPr>
        <w:pStyle w:val="TitleA"/>
        <w:pageBreakBefore/>
        <w:widowControl/>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22942" w:rsidRPr="00A74CC6" w14:paraId="7FF243FB" w14:textId="77777777" w:rsidTr="004A019F">
        <w:tc>
          <w:tcPr>
            <w:tcW w:w="9061" w:type="dxa"/>
            <w:shd w:val="clear" w:color="auto" w:fill="auto"/>
          </w:tcPr>
          <w:p w14:paraId="1065EBD1" w14:textId="4C7437F3" w:rsidR="00722942" w:rsidRPr="004A019F" w:rsidRDefault="00722942" w:rsidP="00BD1FEA">
            <w:pPr>
              <w:pStyle w:val="ListParagraph"/>
              <w:spacing w:after="0" w:line="240" w:lineRule="auto"/>
              <w:ind w:left="0" w:firstLine="0"/>
              <w:rPr>
                <w:b/>
                <w:bCs/>
                <w:lang w:val="sv-SE"/>
              </w:rPr>
            </w:pPr>
            <w:r w:rsidRPr="004A019F">
              <w:rPr>
                <w:b/>
                <w:bCs/>
                <w:lang w:val="sv-SE"/>
              </w:rPr>
              <w:t>UPPGIFTER SOM SKA FINNAS PÅ YTTRE FÖRPACKNINGEN</w:t>
            </w:r>
          </w:p>
          <w:p w14:paraId="31146E85" w14:textId="77777777" w:rsidR="00722942" w:rsidRPr="004A019F" w:rsidRDefault="00722942" w:rsidP="00BD1FEA">
            <w:pPr>
              <w:pStyle w:val="ListParagraph"/>
              <w:spacing w:after="0" w:line="240" w:lineRule="auto"/>
              <w:ind w:left="0" w:firstLine="0"/>
              <w:rPr>
                <w:b/>
                <w:bCs/>
                <w:lang w:val="sv-SE"/>
              </w:rPr>
            </w:pPr>
          </w:p>
          <w:p w14:paraId="77E0A3A1" w14:textId="77777777" w:rsidR="00722942" w:rsidRPr="004A019F" w:rsidRDefault="00722942" w:rsidP="00BD1FEA">
            <w:pPr>
              <w:pStyle w:val="ListParagraph"/>
              <w:spacing w:after="0" w:line="240" w:lineRule="auto"/>
              <w:ind w:left="0" w:firstLine="0"/>
              <w:rPr>
                <w:lang w:val="sv-SE"/>
              </w:rPr>
            </w:pPr>
            <w:r w:rsidRPr="004A019F">
              <w:rPr>
                <w:b/>
                <w:bCs/>
                <w:lang w:val="sv-SE"/>
              </w:rPr>
              <w:t>KARTONG</w:t>
            </w:r>
          </w:p>
        </w:tc>
      </w:tr>
    </w:tbl>
    <w:p w14:paraId="0C26F4FD" w14:textId="77777777" w:rsidR="00722942" w:rsidRPr="00A74CC6" w:rsidRDefault="00722942" w:rsidP="00BD1FEA">
      <w:pPr>
        <w:spacing w:after="0" w:line="240" w:lineRule="auto"/>
        <w:rPr>
          <w:lang w:val="sv-SE"/>
        </w:rPr>
      </w:pPr>
    </w:p>
    <w:p w14:paraId="4D914AAD" w14:textId="77777777" w:rsidR="00722942" w:rsidRPr="00A74CC6" w:rsidRDefault="00722942"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22942" w:rsidRPr="00A74CC6" w14:paraId="1C1F450D" w14:textId="77777777" w:rsidTr="004A019F">
        <w:tc>
          <w:tcPr>
            <w:tcW w:w="9061" w:type="dxa"/>
            <w:shd w:val="clear" w:color="auto" w:fill="auto"/>
          </w:tcPr>
          <w:p w14:paraId="59EAB499" w14:textId="77777777" w:rsidR="00722942" w:rsidRPr="004A019F" w:rsidRDefault="00722942" w:rsidP="00BD1FEA">
            <w:pPr>
              <w:keepNext/>
              <w:spacing w:after="0" w:line="240" w:lineRule="auto"/>
              <w:ind w:left="567" w:hanging="567"/>
              <w:rPr>
                <w:b/>
                <w:lang w:val="sv-SE"/>
              </w:rPr>
            </w:pPr>
            <w:r w:rsidRPr="004A019F">
              <w:rPr>
                <w:b/>
                <w:lang w:val="sv-SE"/>
              </w:rPr>
              <w:t>1.</w:t>
            </w:r>
            <w:r w:rsidRPr="004A019F">
              <w:rPr>
                <w:b/>
                <w:lang w:val="sv-SE"/>
              </w:rPr>
              <w:tab/>
              <w:t>LÄKEMEDLETS NAMN</w:t>
            </w:r>
          </w:p>
        </w:tc>
      </w:tr>
    </w:tbl>
    <w:p w14:paraId="76A8B3AC" w14:textId="77777777" w:rsidR="00722942" w:rsidRPr="00A74CC6" w:rsidRDefault="00722942" w:rsidP="00BD1FEA">
      <w:pPr>
        <w:keepNext/>
        <w:spacing w:after="0" w:line="240" w:lineRule="auto"/>
        <w:rPr>
          <w:lang w:val="sv-SE"/>
        </w:rPr>
      </w:pPr>
    </w:p>
    <w:p w14:paraId="4101D747" w14:textId="21933D52" w:rsidR="00722942" w:rsidRPr="00A74CC6" w:rsidRDefault="00427179" w:rsidP="00BD1FEA">
      <w:pPr>
        <w:spacing w:after="0" w:line="240" w:lineRule="auto"/>
        <w:ind w:left="4" w:right="13"/>
        <w:contextualSpacing/>
        <w:rPr>
          <w:lang w:val="sv-SE"/>
        </w:rPr>
      </w:pPr>
      <w:r w:rsidRPr="00A74CC6">
        <w:rPr>
          <w:lang w:val="sv-SE"/>
        </w:rPr>
        <w:t xml:space="preserve">KANJINTI </w:t>
      </w:r>
      <w:r w:rsidR="00722942" w:rsidRPr="00A74CC6">
        <w:rPr>
          <w:lang w:val="sv-SE"/>
        </w:rPr>
        <w:t>150 mg pulver till koncentrat till infusionsvätska, lösning</w:t>
      </w:r>
    </w:p>
    <w:p w14:paraId="7EAC9A21" w14:textId="28A436AD" w:rsidR="00722942" w:rsidRPr="00A74CC6" w:rsidRDefault="00DA0C85" w:rsidP="00BD1FEA">
      <w:pPr>
        <w:spacing w:after="0" w:line="240" w:lineRule="auto"/>
        <w:rPr>
          <w:lang w:val="sv-SE"/>
        </w:rPr>
      </w:pPr>
      <w:r w:rsidRPr="00A74CC6">
        <w:rPr>
          <w:lang w:val="sv-SE"/>
        </w:rPr>
        <w:t>t</w:t>
      </w:r>
      <w:r w:rsidR="00722942" w:rsidRPr="00A74CC6">
        <w:rPr>
          <w:lang w:val="sv-SE"/>
        </w:rPr>
        <w:t>rastuzumab</w:t>
      </w:r>
    </w:p>
    <w:p w14:paraId="3EA1CDF0" w14:textId="77777777" w:rsidR="00722942" w:rsidRPr="00A74CC6" w:rsidRDefault="00722942" w:rsidP="00BD1FEA">
      <w:pPr>
        <w:spacing w:after="0" w:line="240" w:lineRule="auto"/>
        <w:rPr>
          <w:lang w:val="sv-SE"/>
        </w:rPr>
      </w:pPr>
    </w:p>
    <w:p w14:paraId="60664408" w14:textId="77777777" w:rsidR="00722942" w:rsidRPr="00A74CC6" w:rsidRDefault="00722942"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22942" w:rsidRPr="0049523A" w14:paraId="7303C01D" w14:textId="77777777" w:rsidTr="004A019F">
        <w:tc>
          <w:tcPr>
            <w:tcW w:w="9061" w:type="dxa"/>
            <w:shd w:val="clear" w:color="auto" w:fill="auto"/>
          </w:tcPr>
          <w:p w14:paraId="4E4CCA8F" w14:textId="77777777" w:rsidR="00722942" w:rsidRPr="004A019F" w:rsidRDefault="00722942" w:rsidP="00BD1FEA">
            <w:pPr>
              <w:keepNext/>
              <w:spacing w:after="0" w:line="240" w:lineRule="auto"/>
              <w:ind w:left="567" w:hanging="567"/>
              <w:rPr>
                <w:b/>
                <w:lang w:val="nb-NO"/>
              </w:rPr>
            </w:pPr>
            <w:r w:rsidRPr="004A019F">
              <w:rPr>
                <w:b/>
                <w:lang w:val="nb-NO"/>
              </w:rPr>
              <w:t>2.</w:t>
            </w:r>
            <w:r w:rsidRPr="004A019F">
              <w:rPr>
                <w:b/>
                <w:lang w:val="nb-NO"/>
              </w:rPr>
              <w:tab/>
              <w:t>DEKLARATION AV AKTIV(A) SUBSTANS(ER)</w:t>
            </w:r>
          </w:p>
        </w:tc>
      </w:tr>
    </w:tbl>
    <w:p w14:paraId="71EE1583" w14:textId="77777777" w:rsidR="00722942" w:rsidRPr="008763E6" w:rsidRDefault="00722942" w:rsidP="00BD1FEA">
      <w:pPr>
        <w:keepNext/>
        <w:spacing w:after="0" w:line="240" w:lineRule="auto"/>
        <w:rPr>
          <w:lang w:val="nb-NO"/>
        </w:rPr>
      </w:pPr>
    </w:p>
    <w:p w14:paraId="55BC41E4" w14:textId="77777777" w:rsidR="000A1A3C" w:rsidRPr="00A74CC6" w:rsidRDefault="00722942" w:rsidP="00BD1FEA">
      <w:pPr>
        <w:spacing w:after="0" w:line="240" w:lineRule="auto"/>
        <w:rPr>
          <w:lang w:val="sv-SE"/>
        </w:rPr>
      </w:pPr>
      <w:r w:rsidRPr="00A74CC6">
        <w:rPr>
          <w:lang w:val="sv-SE"/>
        </w:rPr>
        <w:t>Injektionsflaskan innehåller 150 mg trastuzumab.</w:t>
      </w:r>
    </w:p>
    <w:p w14:paraId="3238B90C" w14:textId="3ED2540E" w:rsidR="00722942" w:rsidRPr="00A74CC6" w:rsidRDefault="00722942" w:rsidP="00BD1FEA">
      <w:pPr>
        <w:spacing w:after="0" w:line="240" w:lineRule="auto"/>
        <w:rPr>
          <w:lang w:val="sv-SE"/>
        </w:rPr>
      </w:pPr>
      <w:r w:rsidRPr="00A74CC6">
        <w:rPr>
          <w:lang w:val="sv-SE"/>
        </w:rPr>
        <w:t xml:space="preserve">1 ml koncentrat innehåller efter </w:t>
      </w:r>
      <w:r w:rsidR="00427179" w:rsidRPr="00A74CC6">
        <w:rPr>
          <w:lang w:val="sv-SE"/>
        </w:rPr>
        <w:t xml:space="preserve">beredning </w:t>
      </w:r>
      <w:r w:rsidRPr="00A74CC6">
        <w:rPr>
          <w:lang w:val="sv-SE"/>
        </w:rPr>
        <w:t>21 mg trastuzumab.</w:t>
      </w:r>
    </w:p>
    <w:p w14:paraId="451FC671" w14:textId="77777777" w:rsidR="00722942" w:rsidRPr="00A74CC6" w:rsidRDefault="00722942" w:rsidP="00BD1FEA">
      <w:pPr>
        <w:spacing w:after="0" w:line="240" w:lineRule="auto"/>
        <w:rPr>
          <w:lang w:val="sv-SE"/>
        </w:rPr>
      </w:pPr>
    </w:p>
    <w:p w14:paraId="6F0CC905" w14:textId="77777777" w:rsidR="00722942" w:rsidRPr="00A74CC6" w:rsidRDefault="00722942"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22942" w:rsidRPr="00A74CC6" w14:paraId="1082936F" w14:textId="77777777" w:rsidTr="004A019F">
        <w:tc>
          <w:tcPr>
            <w:tcW w:w="9061" w:type="dxa"/>
            <w:shd w:val="clear" w:color="auto" w:fill="auto"/>
          </w:tcPr>
          <w:p w14:paraId="5888BB34" w14:textId="77777777" w:rsidR="00722942" w:rsidRPr="004A019F" w:rsidRDefault="00722942" w:rsidP="00BD1FEA">
            <w:pPr>
              <w:keepNext/>
              <w:spacing w:after="0" w:line="240" w:lineRule="auto"/>
              <w:ind w:left="567" w:hanging="567"/>
              <w:rPr>
                <w:b/>
                <w:lang w:val="sv-SE"/>
              </w:rPr>
            </w:pPr>
            <w:r w:rsidRPr="004A019F">
              <w:rPr>
                <w:b/>
                <w:lang w:val="sv-SE"/>
              </w:rPr>
              <w:t>3.</w:t>
            </w:r>
            <w:r w:rsidRPr="004A019F">
              <w:rPr>
                <w:b/>
                <w:lang w:val="sv-SE"/>
              </w:rPr>
              <w:tab/>
              <w:t>FÖRTECKNING ÖVER HJÄLPÄMNEN</w:t>
            </w:r>
          </w:p>
        </w:tc>
      </w:tr>
    </w:tbl>
    <w:p w14:paraId="7C5EBF1F" w14:textId="77777777" w:rsidR="00722942" w:rsidRPr="00A74CC6" w:rsidRDefault="00722942" w:rsidP="00BD1FEA">
      <w:pPr>
        <w:keepNext/>
        <w:spacing w:after="0" w:line="240" w:lineRule="auto"/>
        <w:rPr>
          <w:lang w:val="sv-SE"/>
        </w:rPr>
      </w:pPr>
    </w:p>
    <w:p w14:paraId="59D6F222" w14:textId="3A5D3128" w:rsidR="00722942" w:rsidRPr="00A74CC6" w:rsidRDefault="00427179" w:rsidP="00BD1FEA">
      <w:pPr>
        <w:spacing w:after="0" w:line="240" w:lineRule="auto"/>
        <w:rPr>
          <w:lang w:val="sv-SE"/>
        </w:rPr>
      </w:pPr>
      <w:r w:rsidRPr="00A74CC6">
        <w:rPr>
          <w:lang w:val="sv-SE"/>
        </w:rPr>
        <w:t xml:space="preserve">Hjälpämnen: </w:t>
      </w:r>
      <w:r w:rsidR="001E775B">
        <w:rPr>
          <w:lang w:val="sv-SE"/>
        </w:rPr>
        <w:t xml:space="preserve">histidin, </w:t>
      </w:r>
      <w:r w:rsidR="00AB5B0D">
        <w:rPr>
          <w:lang w:val="sv-SE"/>
        </w:rPr>
        <w:t>histidinhydrokloridmonohydrat</w:t>
      </w:r>
      <w:r w:rsidR="001E775B">
        <w:rPr>
          <w:lang w:val="sv-SE"/>
        </w:rPr>
        <w:t xml:space="preserve">, </w:t>
      </w:r>
      <w:r w:rsidR="001E775B" w:rsidRPr="00A74CC6">
        <w:rPr>
          <w:lang w:val="sv-SE"/>
        </w:rPr>
        <w:t>trehalosdihydrat</w:t>
      </w:r>
      <w:r w:rsidRPr="00A74CC6">
        <w:rPr>
          <w:lang w:val="sv-SE"/>
        </w:rPr>
        <w:t>, polysorbat</w:t>
      </w:r>
      <w:r w:rsidR="00DA0C85" w:rsidRPr="00A74CC6">
        <w:rPr>
          <w:lang w:val="sv-SE"/>
        </w:rPr>
        <w:t> </w:t>
      </w:r>
      <w:r w:rsidRPr="00A74CC6">
        <w:rPr>
          <w:lang w:val="sv-SE"/>
        </w:rPr>
        <w:t>20</w:t>
      </w:r>
      <w:r w:rsidR="00722942" w:rsidRPr="00A74CC6">
        <w:rPr>
          <w:lang w:val="sv-SE"/>
        </w:rPr>
        <w:t>.</w:t>
      </w:r>
    </w:p>
    <w:p w14:paraId="2613F585" w14:textId="77777777" w:rsidR="00722942" w:rsidRPr="00A74CC6" w:rsidRDefault="00722942" w:rsidP="00BD1FEA">
      <w:pPr>
        <w:spacing w:after="0" w:line="240" w:lineRule="auto"/>
        <w:rPr>
          <w:lang w:val="sv-SE"/>
        </w:rPr>
      </w:pPr>
    </w:p>
    <w:p w14:paraId="66BEA9C2" w14:textId="77777777" w:rsidR="00722942" w:rsidRPr="00A74CC6" w:rsidRDefault="00722942"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22942" w:rsidRPr="00A74CC6" w14:paraId="3BBBB518" w14:textId="77777777" w:rsidTr="004A019F">
        <w:tc>
          <w:tcPr>
            <w:tcW w:w="9061" w:type="dxa"/>
            <w:shd w:val="clear" w:color="auto" w:fill="auto"/>
          </w:tcPr>
          <w:p w14:paraId="3B836B64" w14:textId="77777777" w:rsidR="00722942" w:rsidRPr="004A019F" w:rsidRDefault="00722942" w:rsidP="00BD1FEA">
            <w:pPr>
              <w:keepNext/>
              <w:spacing w:after="0" w:line="240" w:lineRule="auto"/>
              <w:ind w:left="567" w:hanging="567"/>
              <w:rPr>
                <w:b/>
                <w:lang w:val="sv-SE"/>
              </w:rPr>
            </w:pPr>
            <w:r w:rsidRPr="004A019F">
              <w:rPr>
                <w:b/>
                <w:lang w:val="sv-SE"/>
              </w:rPr>
              <w:t>4.</w:t>
            </w:r>
            <w:r w:rsidRPr="004A019F">
              <w:rPr>
                <w:b/>
                <w:lang w:val="sv-SE"/>
              </w:rPr>
              <w:tab/>
              <w:t>LÄKEMEDELSFORM OCH FÖRPACKNINGSSTORLEK</w:t>
            </w:r>
          </w:p>
        </w:tc>
      </w:tr>
    </w:tbl>
    <w:p w14:paraId="2B1F246D" w14:textId="77777777" w:rsidR="00722942" w:rsidRPr="00A74CC6" w:rsidRDefault="00722942" w:rsidP="00BD1FEA">
      <w:pPr>
        <w:keepNext/>
        <w:spacing w:after="0" w:line="240" w:lineRule="auto"/>
        <w:rPr>
          <w:lang w:val="sv-SE"/>
        </w:rPr>
      </w:pPr>
    </w:p>
    <w:p w14:paraId="64C520BE" w14:textId="77777777" w:rsidR="00722942" w:rsidRPr="00A74CC6" w:rsidRDefault="00722942" w:rsidP="00BD1FEA">
      <w:pPr>
        <w:spacing w:after="0" w:line="240" w:lineRule="auto"/>
        <w:ind w:left="0" w:right="13" w:firstLine="0"/>
        <w:contextualSpacing/>
        <w:rPr>
          <w:lang w:val="sv-SE"/>
        </w:rPr>
      </w:pPr>
      <w:r>
        <w:rPr>
          <w:highlight w:val="lightGray"/>
          <w:lang w:val="sv-SE"/>
        </w:rPr>
        <w:t>Pulver till koncentrat till infusionsvätska, lösning</w:t>
      </w:r>
    </w:p>
    <w:p w14:paraId="79860D3C" w14:textId="4FD52606" w:rsidR="00722942" w:rsidRPr="00A74CC6" w:rsidRDefault="00722942" w:rsidP="00BD1FEA">
      <w:pPr>
        <w:spacing w:after="0" w:line="240" w:lineRule="auto"/>
        <w:ind w:left="0" w:right="13" w:firstLine="0"/>
        <w:contextualSpacing/>
        <w:rPr>
          <w:lang w:val="sv-SE"/>
        </w:rPr>
      </w:pPr>
      <w:r w:rsidRPr="00A74CC6">
        <w:rPr>
          <w:lang w:val="sv-SE"/>
        </w:rPr>
        <w:t>1</w:t>
      </w:r>
      <w:r w:rsidR="00DA0C85" w:rsidRPr="00A74CC6">
        <w:rPr>
          <w:lang w:val="sv-SE"/>
        </w:rPr>
        <w:t> </w:t>
      </w:r>
      <w:r w:rsidRPr="00A74CC6">
        <w:rPr>
          <w:lang w:val="sv-SE"/>
        </w:rPr>
        <w:t xml:space="preserve">injektionsflaska </w:t>
      </w:r>
    </w:p>
    <w:p w14:paraId="26B6AC70" w14:textId="77777777" w:rsidR="00722942" w:rsidRPr="00A74CC6" w:rsidRDefault="00722942" w:rsidP="00BD1FEA">
      <w:pPr>
        <w:spacing w:after="0" w:line="240" w:lineRule="auto"/>
        <w:rPr>
          <w:lang w:val="sv-SE"/>
        </w:rPr>
      </w:pPr>
    </w:p>
    <w:p w14:paraId="4901FF0E" w14:textId="77777777" w:rsidR="00722942" w:rsidRPr="00A74CC6" w:rsidRDefault="00722942"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22942" w:rsidRPr="00A74CC6" w14:paraId="373B75CB" w14:textId="77777777" w:rsidTr="004A019F">
        <w:tc>
          <w:tcPr>
            <w:tcW w:w="9061" w:type="dxa"/>
            <w:shd w:val="clear" w:color="auto" w:fill="auto"/>
          </w:tcPr>
          <w:p w14:paraId="6CA2A907" w14:textId="77777777" w:rsidR="00722942" w:rsidRPr="004A019F" w:rsidRDefault="00722942" w:rsidP="00BD1FEA">
            <w:pPr>
              <w:keepNext/>
              <w:spacing w:after="0" w:line="240" w:lineRule="auto"/>
              <w:ind w:left="567" w:hanging="567"/>
              <w:rPr>
                <w:b/>
                <w:lang w:val="sv-SE"/>
              </w:rPr>
            </w:pPr>
            <w:r w:rsidRPr="004A019F">
              <w:rPr>
                <w:b/>
                <w:lang w:val="sv-SE"/>
              </w:rPr>
              <w:t>5.</w:t>
            </w:r>
            <w:r w:rsidRPr="004A019F">
              <w:rPr>
                <w:b/>
                <w:lang w:val="sv-SE"/>
              </w:rPr>
              <w:tab/>
              <w:t>ADMINISTRERINGSSÄTT OCH ADMINISTRERINGSVÄG</w:t>
            </w:r>
          </w:p>
        </w:tc>
      </w:tr>
    </w:tbl>
    <w:p w14:paraId="7F22B725" w14:textId="77777777" w:rsidR="00722942" w:rsidRPr="00A74CC6" w:rsidRDefault="00722942" w:rsidP="00BD1FEA">
      <w:pPr>
        <w:keepNext/>
        <w:spacing w:after="0" w:line="240" w:lineRule="auto"/>
        <w:rPr>
          <w:lang w:val="sv-SE"/>
        </w:rPr>
      </w:pPr>
    </w:p>
    <w:p w14:paraId="71D914CD" w14:textId="0D68BDD8" w:rsidR="00722942" w:rsidRPr="00A74CC6" w:rsidRDefault="00427179" w:rsidP="00BD1FEA">
      <w:pPr>
        <w:spacing w:after="0" w:line="240" w:lineRule="auto"/>
        <w:ind w:left="4" w:right="13"/>
        <w:contextualSpacing/>
        <w:rPr>
          <w:lang w:val="sv-SE"/>
        </w:rPr>
      </w:pPr>
      <w:r w:rsidRPr="00A74CC6">
        <w:rPr>
          <w:lang w:val="sv-SE"/>
        </w:rPr>
        <w:t>F</w:t>
      </w:r>
      <w:r w:rsidR="00722942" w:rsidRPr="00A74CC6">
        <w:rPr>
          <w:lang w:val="sv-SE"/>
        </w:rPr>
        <w:t>ör intravenös användning efter beredning och spädning</w:t>
      </w:r>
      <w:r w:rsidR="00500529" w:rsidRPr="00A74CC6">
        <w:rPr>
          <w:lang w:val="sv-SE"/>
        </w:rPr>
        <w:t>.</w:t>
      </w:r>
    </w:p>
    <w:p w14:paraId="3000012C" w14:textId="77777777" w:rsidR="00722942" w:rsidRPr="00A74CC6" w:rsidRDefault="00722942" w:rsidP="00BD1FEA">
      <w:pPr>
        <w:spacing w:after="0" w:line="240" w:lineRule="auto"/>
        <w:ind w:left="4" w:right="13"/>
        <w:contextualSpacing/>
        <w:rPr>
          <w:lang w:val="sv-SE"/>
        </w:rPr>
      </w:pPr>
      <w:r w:rsidRPr="00A74CC6">
        <w:rPr>
          <w:lang w:val="sv-SE"/>
        </w:rPr>
        <w:t>Läs bipacksedeln före användning</w:t>
      </w:r>
      <w:r w:rsidR="00500529" w:rsidRPr="00A74CC6">
        <w:rPr>
          <w:lang w:val="sv-SE"/>
        </w:rPr>
        <w:t>.</w:t>
      </w:r>
    </w:p>
    <w:p w14:paraId="0B39C2D7" w14:textId="77777777" w:rsidR="00722942" w:rsidRPr="00A74CC6" w:rsidRDefault="00722942" w:rsidP="00BD1FEA">
      <w:pPr>
        <w:spacing w:after="0" w:line="240" w:lineRule="auto"/>
        <w:rPr>
          <w:lang w:val="sv-SE"/>
        </w:rPr>
      </w:pPr>
    </w:p>
    <w:p w14:paraId="41F45B04" w14:textId="77777777" w:rsidR="00722942" w:rsidRPr="00A74CC6" w:rsidRDefault="00722942"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22942" w:rsidRPr="00472A6C" w14:paraId="0419FD48" w14:textId="77777777" w:rsidTr="004A019F">
        <w:tc>
          <w:tcPr>
            <w:tcW w:w="9061" w:type="dxa"/>
            <w:shd w:val="clear" w:color="auto" w:fill="auto"/>
          </w:tcPr>
          <w:p w14:paraId="56548909" w14:textId="77777777" w:rsidR="00722942" w:rsidRPr="004A019F" w:rsidRDefault="00722942" w:rsidP="00BD1FEA">
            <w:pPr>
              <w:keepNext/>
              <w:spacing w:after="0" w:line="240" w:lineRule="auto"/>
              <w:ind w:left="567" w:hanging="567"/>
              <w:rPr>
                <w:b/>
                <w:lang w:val="sv-SE"/>
              </w:rPr>
            </w:pPr>
            <w:r w:rsidRPr="004A019F">
              <w:rPr>
                <w:b/>
                <w:lang w:val="sv-SE"/>
              </w:rPr>
              <w:t>6.</w:t>
            </w:r>
            <w:r w:rsidRPr="004A019F">
              <w:rPr>
                <w:b/>
                <w:lang w:val="sv-SE"/>
              </w:rPr>
              <w:tab/>
              <w:t>SÄRSKILD VARNING OM ATT LÄKEMEDLET MÅSTE FÖRVARAS UTOM SYN-OCH RÄCKHÅLL FÖR BARN</w:t>
            </w:r>
          </w:p>
        </w:tc>
      </w:tr>
    </w:tbl>
    <w:p w14:paraId="741672EB" w14:textId="77777777" w:rsidR="00722942" w:rsidRPr="00A74CC6" w:rsidRDefault="00722942" w:rsidP="00BD1FEA">
      <w:pPr>
        <w:keepNext/>
        <w:spacing w:after="0" w:line="240" w:lineRule="auto"/>
        <w:rPr>
          <w:lang w:val="sv-SE"/>
        </w:rPr>
      </w:pPr>
    </w:p>
    <w:p w14:paraId="1C439151" w14:textId="77777777" w:rsidR="00722942" w:rsidRPr="00A74CC6" w:rsidRDefault="00722942" w:rsidP="00BD1FEA">
      <w:pPr>
        <w:spacing w:after="0" w:line="240" w:lineRule="auto"/>
        <w:rPr>
          <w:lang w:val="sv-SE"/>
        </w:rPr>
      </w:pPr>
      <w:r w:rsidRPr="00A74CC6">
        <w:rPr>
          <w:lang w:val="sv-SE"/>
        </w:rPr>
        <w:t>Förvaras utom syn- och räckhåll för barn</w:t>
      </w:r>
      <w:r w:rsidR="00DA0C85" w:rsidRPr="00A74CC6">
        <w:rPr>
          <w:lang w:val="sv-SE"/>
        </w:rPr>
        <w:t>.</w:t>
      </w:r>
    </w:p>
    <w:p w14:paraId="672A9249" w14:textId="77777777" w:rsidR="00722942" w:rsidRPr="00A74CC6" w:rsidRDefault="00722942" w:rsidP="00BD1FEA">
      <w:pPr>
        <w:spacing w:after="0" w:line="240" w:lineRule="auto"/>
        <w:rPr>
          <w:lang w:val="sv-SE"/>
        </w:rPr>
      </w:pPr>
    </w:p>
    <w:p w14:paraId="673AEDC2" w14:textId="77777777" w:rsidR="00722942" w:rsidRPr="00A74CC6" w:rsidRDefault="00722942"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22942" w:rsidRPr="00B54089" w14:paraId="061D7624" w14:textId="77777777" w:rsidTr="004A019F">
        <w:tc>
          <w:tcPr>
            <w:tcW w:w="9061" w:type="dxa"/>
            <w:shd w:val="clear" w:color="auto" w:fill="auto"/>
          </w:tcPr>
          <w:p w14:paraId="5AC01340" w14:textId="77777777" w:rsidR="00722942" w:rsidRPr="004A019F" w:rsidRDefault="00722942" w:rsidP="00BD1FEA">
            <w:pPr>
              <w:keepNext/>
              <w:spacing w:after="0" w:line="240" w:lineRule="auto"/>
              <w:ind w:left="567" w:hanging="567"/>
              <w:rPr>
                <w:b/>
                <w:lang w:val="sv-SE"/>
              </w:rPr>
            </w:pPr>
            <w:r w:rsidRPr="004A019F">
              <w:rPr>
                <w:b/>
                <w:lang w:val="sv-SE"/>
              </w:rPr>
              <w:t>7.</w:t>
            </w:r>
            <w:r w:rsidRPr="004A019F">
              <w:rPr>
                <w:b/>
                <w:lang w:val="sv-SE"/>
              </w:rPr>
              <w:tab/>
              <w:t>ÖVRIGA SÄRSKILDA VARNINGAR I FÖREKOMMANDE FALL OM SÅ ÄR</w:t>
            </w:r>
          </w:p>
          <w:p w14:paraId="15AF6E0C" w14:textId="77777777" w:rsidR="00722942" w:rsidRPr="004A019F" w:rsidRDefault="00722942" w:rsidP="00BD1FEA">
            <w:pPr>
              <w:keepNext/>
              <w:spacing w:after="0" w:line="240" w:lineRule="auto"/>
              <w:ind w:left="567" w:firstLine="30"/>
              <w:rPr>
                <w:b/>
                <w:lang w:val="sv-SE"/>
              </w:rPr>
            </w:pPr>
            <w:r w:rsidRPr="004A019F">
              <w:rPr>
                <w:b/>
                <w:lang w:val="sv-SE"/>
              </w:rPr>
              <w:t>NÖDVÄNDIGT</w:t>
            </w:r>
          </w:p>
        </w:tc>
      </w:tr>
    </w:tbl>
    <w:p w14:paraId="3349E3E6" w14:textId="77777777" w:rsidR="00722942" w:rsidRPr="00A74CC6" w:rsidRDefault="00722942" w:rsidP="00BD1FEA">
      <w:pPr>
        <w:keepNext/>
        <w:spacing w:after="0" w:line="240" w:lineRule="auto"/>
        <w:rPr>
          <w:lang w:val="sv-SE"/>
        </w:rPr>
      </w:pPr>
    </w:p>
    <w:p w14:paraId="490DF9E2" w14:textId="77777777" w:rsidR="00427179" w:rsidRPr="00A74CC6" w:rsidRDefault="00427179"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22942" w:rsidRPr="00A74CC6" w14:paraId="60F26AC3" w14:textId="77777777" w:rsidTr="004A019F">
        <w:tc>
          <w:tcPr>
            <w:tcW w:w="9061" w:type="dxa"/>
            <w:shd w:val="clear" w:color="auto" w:fill="auto"/>
          </w:tcPr>
          <w:p w14:paraId="38383FC0" w14:textId="77777777" w:rsidR="00722942" w:rsidRPr="004A019F" w:rsidRDefault="00722942" w:rsidP="00BD1FEA">
            <w:pPr>
              <w:keepNext/>
              <w:spacing w:after="0" w:line="240" w:lineRule="auto"/>
              <w:ind w:left="567" w:hanging="567"/>
              <w:rPr>
                <w:b/>
                <w:lang w:val="sv-SE"/>
              </w:rPr>
            </w:pPr>
            <w:r w:rsidRPr="004A019F">
              <w:rPr>
                <w:b/>
                <w:lang w:val="sv-SE"/>
              </w:rPr>
              <w:t>8.</w:t>
            </w:r>
            <w:r w:rsidRPr="004A019F">
              <w:rPr>
                <w:b/>
                <w:lang w:val="sv-SE"/>
              </w:rPr>
              <w:tab/>
              <w:t>UTGÅNGSDATUM</w:t>
            </w:r>
          </w:p>
        </w:tc>
      </w:tr>
    </w:tbl>
    <w:p w14:paraId="4EF695A7" w14:textId="77777777" w:rsidR="00722942" w:rsidRPr="00A74CC6" w:rsidRDefault="00722942" w:rsidP="00BD1FEA">
      <w:pPr>
        <w:keepNext/>
        <w:spacing w:after="0" w:line="240" w:lineRule="auto"/>
        <w:rPr>
          <w:lang w:val="sv-SE"/>
        </w:rPr>
      </w:pPr>
    </w:p>
    <w:p w14:paraId="64D80733" w14:textId="702C0EEC" w:rsidR="00722942" w:rsidRPr="00A74CC6" w:rsidRDefault="000C4B65" w:rsidP="00BD1FEA">
      <w:pPr>
        <w:spacing w:after="0" w:line="240" w:lineRule="auto"/>
        <w:rPr>
          <w:lang w:val="sv-SE"/>
        </w:rPr>
      </w:pPr>
      <w:r>
        <w:rPr>
          <w:lang w:val="sv-SE"/>
        </w:rPr>
        <w:t>EXP</w:t>
      </w:r>
    </w:p>
    <w:p w14:paraId="4E992012" w14:textId="77777777" w:rsidR="00722942" w:rsidRPr="00A74CC6" w:rsidRDefault="00722942" w:rsidP="00BD1FEA">
      <w:pPr>
        <w:spacing w:after="0" w:line="240" w:lineRule="auto"/>
        <w:rPr>
          <w:lang w:val="sv-SE"/>
        </w:rPr>
      </w:pPr>
    </w:p>
    <w:p w14:paraId="637025A2" w14:textId="77777777" w:rsidR="00722942" w:rsidRPr="00A74CC6" w:rsidRDefault="00722942"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22942" w:rsidRPr="00A74CC6" w14:paraId="7648C7DF" w14:textId="77777777" w:rsidTr="004A019F">
        <w:tc>
          <w:tcPr>
            <w:tcW w:w="9061" w:type="dxa"/>
            <w:shd w:val="clear" w:color="auto" w:fill="auto"/>
          </w:tcPr>
          <w:p w14:paraId="6060A28C" w14:textId="77777777" w:rsidR="00722942" w:rsidRPr="004A019F" w:rsidRDefault="00722942" w:rsidP="00BD1FEA">
            <w:pPr>
              <w:keepNext/>
              <w:spacing w:after="0" w:line="240" w:lineRule="auto"/>
              <w:ind w:left="567" w:hanging="567"/>
              <w:rPr>
                <w:b/>
                <w:lang w:val="sv-SE"/>
              </w:rPr>
            </w:pPr>
            <w:r w:rsidRPr="004A019F">
              <w:rPr>
                <w:b/>
                <w:lang w:val="sv-SE"/>
              </w:rPr>
              <w:t>9.</w:t>
            </w:r>
            <w:r w:rsidRPr="004A019F">
              <w:rPr>
                <w:b/>
                <w:lang w:val="sv-SE"/>
              </w:rPr>
              <w:tab/>
              <w:t>SÄRSKILDA FÖRVARINGSANVISNINGAR</w:t>
            </w:r>
          </w:p>
        </w:tc>
      </w:tr>
    </w:tbl>
    <w:p w14:paraId="6128AF3E" w14:textId="77777777" w:rsidR="00722942" w:rsidRPr="00A74CC6" w:rsidRDefault="00722942" w:rsidP="00BD1FEA">
      <w:pPr>
        <w:keepNext/>
        <w:spacing w:after="0" w:line="240" w:lineRule="auto"/>
        <w:rPr>
          <w:lang w:val="sv-SE"/>
        </w:rPr>
      </w:pPr>
    </w:p>
    <w:p w14:paraId="70D7D9D4" w14:textId="016CC36E" w:rsidR="00722942" w:rsidRPr="00A74CC6" w:rsidRDefault="00722942" w:rsidP="00BD1FEA">
      <w:pPr>
        <w:spacing w:after="0" w:line="240" w:lineRule="auto"/>
        <w:rPr>
          <w:lang w:val="sv-SE"/>
        </w:rPr>
      </w:pPr>
      <w:r w:rsidRPr="00A74CC6">
        <w:rPr>
          <w:lang w:val="sv-SE"/>
        </w:rPr>
        <w:t>Förvaras i kylskåp</w:t>
      </w:r>
      <w:r w:rsidR="00427179" w:rsidRPr="00A74CC6">
        <w:rPr>
          <w:lang w:val="sv-SE"/>
        </w:rPr>
        <w:t>.</w:t>
      </w:r>
      <w:r w:rsidR="001E775B">
        <w:rPr>
          <w:lang w:val="sv-SE"/>
        </w:rPr>
        <w:t xml:space="preserve"> Förvaras i originalförpackningen. Ljuskänsligt.</w:t>
      </w:r>
    </w:p>
    <w:p w14:paraId="23CC80F8" w14:textId="77777777" w:rsidR="00722942" w:rsidRPr="00A74CC6" w:rsidRDefault="00722942" w:rsidP="00BD1FEA">
      <w:pPr>
        <w:spacing w:after="0" w:line="240" w:lineRule="auto"/>
        <w:rPr>
          <w:lang w:val="sv-SE"/>
        </w:rPr>
      </w:pPr>
    </w:p>
    <w:p w14:paraId="777C73BF" w14:textId="77777777" w:rsidR="00722942" w:rsidRPr="00A74CC6" w:rsidRDefault="00722942"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22942" w:rsidRPr="00472A6C" w14:paraId="22E73E4B" w14:textId="77777777" w:rsidTr="004A019F">
        <w:tc>
          <w:tcPr>
            <w:tcW w:w="9061" w:type="dxa"/>
            <w:shd w:val="clear" w:color="auto" w:fill="auto"/>
          </w:tcPr>
          <w:p w14:paraId="7C71556D" w14:textId="77777777" w:rsidR="00722942" w:rsidRPr="004A019F" w:rsidRDefault="00722942" w:rsidP="00BD1FEA">
            <w:pPr>
              <w:keepNext/>
              <w:spacing w:after="0" w:line="240" w:lineRule="auto"/>
              <w:ind w:left="567" w:hanging="567"/>
              <w:rPr>
                <w:b/>
                <w:lang w:val="sv-SE"/>
              </w:rPr>
            </w:pPr>
            <w:r w:rsidRPr="004A019F">
              <w:rPr>
                <w:b/>
                <w:lang w:val="sv-SE"/>
              </w:rPr>
              <w:lastRenderedPageBreak/>
              <w:t>10.</w:t>
            </w:r>
            <w:r w:rsidRPr="004A019F">
              <w:rPr>
                <w:b/>
                <w:lang w:val="sv-SE"/>
              </w:rPr>
              <w:tab/>
              <w:t>SÄRSKILDA FÖRSIKTIGHETSÅTGÄRDER FÖR DESTRUKTION AV EJ ANVÄNT LÄKEMEDEL OCH AVFALL I FÖREKOMMANDE FALL</w:t>
            </w:r>
          </w:p>
        </w:tc>
      </w:tr>
    </w:tbl>
    <w:p w14:paraId="1C4D9B4A" w14:textId="77777777" w:rsidR="00722942" w:rsidRPr="00A74CC6" w:rsidRDefault="00722942" w:rsidP="00BD1FEA">
      <w:pPr>
        <w:keepNext/>
        <w:spacing w:after="0" w:line="240" w:lineRule="auto"/>
        <w:rPr>
          <w:lang w:val="sv-SE"/>
        </w:rPr>
      </w:pPr>
    </w:p>
    <w:p w14:paraId="684B29C4" w14:textId="77777777" w:rsidR="00722942" w:rsidRPr="00A74CC6" w:rsidRDefault="00722942"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22942" w:rsidRPr="00472A6C" w14:paraId="3864F82A" w14:textId="77777777" w:rsidTr="004A019F">
        <w:tc>
          <w:tcPr>
            <w:tcW w:w="9061" w:type="dxa"/>
            <w:shd w:val="clear" w:color="auto" w:fill="auto"/>
          </w:tcPr>
          <w:p w14:paraId="268E33C6" w14:textId="77777777" w:rsidR="00722942" w:rsidRPr="004A019F" w:rsidRDefault="00722942" w:rsidP="00BD1FEA">
            <w:pPr>
              <w:spacing w:after="0" w:line="240" w:lineRule="auto"/>
              <w:ind w:left="567" w:hanging="567"/>
              <w:rPr>
                <w:b/>
                <w:lang w:val="sv-SE"/>
              </w:rPr>
            </w:pPr>
            <w:r w:rsidRPr="004A019F">
              <w:rPr>
                <w:b/>
                <w:lang w:val="sv-SE"/>
              </w:rPr>
              <w:t>11.</w:t>
            </w:r>
            <w:r w:rsidRPr="004A019F">
              <w:rPr>
                <w:b/>
                <w:lang w:val="sv-SE"/>
              </w:rPr>
              <w:tab/>
              <w:t>INNEHAVARE AV GODKÄNNANDE FÖR FÖRSÄLJNING (NAMN OCH ADRESS)</w:t>
            </w:r>
          </w:p>
        </w:tc>
      </w:tr>
    </w:tbl>
    <w:p w14:paraId="149136CE" w14:textId="77777777" w:rsidR="00722942" w:rsidRPr="00A74CC6" w:rsidRDefault="00722942" w:rsidP="00BD1FEA">
      <w:pPr>
        <w:spacing w:after="0" w:line="240" w:lineRule="auto"/>
        <w:rPr>
          <w:lang w:val="sv-SE"/>
        </w:rPr>
      </w:pPr>
    </w:p>
    <w:p w14:paraId="21F0449F" w14:textId="77777777" w:rsidR="00427179" w:rsidRPr="00A74CC6" w:rsidRDefault="00427179" w:rsidP="00BD1FEA">
      <w:pPr>
        <w:spacing w:after="0" w:line="240" w:lineRule="auto"/>
        <w:ind w:hanging="6"/>
        <w:rPr>
          <w:lang w:val="sv-SE"/>
        </w:rPr>
      </w:pPr>
      <w:r w:rsidRPr="00A74CC6">
        <w:rPr>
          <w:lang w:val="sv-SE"/>
        </w:rPr>
        <w:t>Amgen Europe B.V.</w:t>
      </w:r>
    </w:p>
    <w:p w14:paraId="19853BB1" w14:textId="77777777" w:rsidR="00427179" w:rsidRPr="00A74CC6" w:rsidRDefault="00427179" w:rsidP="00BD1FEA">
      <w:pPr>
        <w:spacing w:after="0" w:line="240" w:lineRule="auto"/>
        <w:ind w:hanging="6"/>
        <w:rPr>
          <w:lang w:val="sv-SE"/>
        </w:rPr>
      </w:pPr>
      <w:r w:rsidRPr="00A74CC6">
        <w:rPr>
          <w:lang w:val="sv-SE"/>
        </w:rPr>
        <w:t>Minervum 7061,</w:t>
      </w:r>
    </w:p>
    <w:p w14:paraId="274FA40F" w14:textId="77777777" w:rsidR="00427179" w:rsidRPr="00A74CC6" w:rsidRDefault="00427179" w:rsidP="00BD1FEA">
      <w:pPr>
        <w:spacing w:after="0" w:line="240" w:lineRule="auto"/>
        <w:ind w:left="4" w:right="13" w:hanging="6"/>
        <w:contextualSpacing/>
        <w:rPr>
          <w:lang w:val="sv-SE"/>
        </w:rPr>
      </w:pPr>
      <w:r w:rsidRPr="00A74CC6">
        <w:rPr>
          <w:lang w:val="sv-SE"/>
        </w:rPr>
        <w:t>NL</w:t>
      </w:r>
      <w:r w:rsidRPr="00A74CC6">
        <w:rPr>
          <w:lang w:val="sv-SE"/>
        </w:rPr>
        <w:noBreakHyphen/>
        <w:t>4817 ZK Breda,</w:t>
      </w:r>
    </w:p>
    <w:p w14:paraId="3503E9F3" w14:textId="78381D8D" w:rsidR="00722942" w:rsidRPr="00A74CC6" w:rsidRDefault="00427179" w:rsidP="00BD1FEA">
      <w:pPr>
        <w:spacing w:after="0" w:line="240" w:lineRule="auto"/>
        <w:ind w:left="4" w:right="13" w:hanging="6"/>
        <w:contextualSpacing/>
        <w:rPr>
          <w:lang w:val="sv-SE"/>
        </w:rPr>
      </w:pPr>
      <w:r w:rsidRPr="00A74CC6">
        <w:rPr>
          <w:lang w:val="sv-SE"/>
        </w:rPr>
        <w:t>Nederländerna</w:t>
      </w:r>
    </w:p>
    <w:p w14:paraId="7232E092" w14:textId="77777777" w:rsidR="00722942" w:rsidRPr="00A74CC6" w:rsidRDefault="00722942" w:rsidP="00BD1FEA">
      <w:pPr>
        <w:spacing w:after="0" w:line="240" w:lineRule="auto"/>
        <w:rPr>
          <w:lang w:val="sv-SE"/>
        </w:rPr>
      </w:pPr>
    </w:p>
    <w:p w14:paraId="24DE4451" w14:textId="77777777" w:rsidR="00722942" w:rsidRPr="00A74CC6" w:rsidRDefault="00722942"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22942" w:rsidRPr="00472A6C" w14:paraId="6B098212" w14:textId="77777777" w:rsidTr="004A019F">
        <w:tc>
          <w:tcPr>
            <w:tcW w:w="9061" w:type="dxa"/>
            <w:shd w:val="clear" w:color="auto" w:fill="auto"/>
          </w:tcPr>
          <w:p w14:paraId="7DEF93E4" w14:textId="77777777" w:rsidR="00722942" w:rsidRPr="004A019F" w:rsidRDefault="00722942" w:rsidP="00BD1FEA">
            <w:pPr>
              <w:keepNext/>
              <w:spacing w:after="0" w:line="240" w:lineRule="auto"/>
              <w:ind w:left="567" w:hanging="567"/>
              <w:rPr>
                <w:b/>
                <w:lang w:val="sv-SE"/>
              </w:rPr>
            </w:pPr>
            <w:r w:rsidRPr="004A019F">
              <w:rPr>
                <w:b/>
                <w:lang w:val="sv-SE"/>
              </w:rPr>
              <w:t>12.</w:t>
            </w:r>
            <w:r w:rsidRPr="004A019F">
              <w:rPr>
                <w:b/>
                <w:lang w:val="sv-SE"/>
              </w:rPr>
              <w:tab/>
              <w:t>NUMMER PÅ GODKÄNNANDE FÖR FÖRSÄLJNING</w:t>
            </w:r>
          </w:p>
        </w:tc>
      </w:tr>
    </w:tbl>
    <w:p w14:paraId="66CFCA46" w14:textId="77777777" w:rsidR="00722942" w:rsidRPr="00A74CC6" w:rsidRDefault="00722942" w:rsidP="00BD1FEA">
      <w:pPr>
        <w:keepNext/>
        <w:spacing w:after="0" w:line="240" w:lineRule="auto"/>
        <w:rPr>
          <w:lang w:val="sv-SE"/>
        </w:rPr>
      </w:pPr>
    </w:p>
    <w:p w14:paraId="421C4E38" w14:textId="78FDF7B0" w:rsidR="00722942" w:rsidRDefault="00820E3F" w:rsidP="00BD1FEA">
      <w:pPr>
        <w:spacing w:after="0" w:line="240" w:lineRule="auto"/>
        <w:rPr>
          <w:rFonts w:cs="Verdana"/>
        </w:rPr>
      </w:pPr>
      <w:r w:rsidRPr="008A47B3">
        <w:rPr>
          <w:rFonts w:cs="Verdana"/>
        </w:rPr>
        <w:t>EU/1/18/1281/001</w:t>
      </w:r>
    </w:p>
    <w:p w14:paraId="4214196B" w14:textId="77777777" w:rsidR="00D54D6C" w:rsidRPr="00A74CC6" w:rsidRDefault="00D54D6C" w:rsidP="00BD1FEA">
      <w:pPr>
        <w:spacing w:after="0" w:line="240" w:lineRule="auto"/>
        <w:rPr>
          <w:lang w:val="sv-SE"/>
        </w:rPr>
      </w:pPr>
    </w:p>
    <w:p w14:paraId="52F197EE" w14:textId="77777777" w:rsidR="00722942" w:rsidRPr="00A74CC6" w:rsidRDefault="00722942"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22942" w:rsidRPr="00A74CC6" w14:paraId="53BA474F" w14:textId="77777777" w:rsidTr="004A019F">
        <w:tc>
          <w:tcPr>
            <w:tcW w:w="9061" w:type="dxa"/>
            <w:shd w:val="clear" w:color="auto" w:fill="auto"/>
          </w:tcPr>
          <w:p w14:paraId="195E5A48" w14:textId="77777777" w:rsidR="00722942" w:rsidRPr="004A019F" w:rsidRDefault="00722942" w:rsidP="00BD1FEA">
            <w:pPr>
              <w:keepNext/>
              <w:spacing w:after="0" w:line="240" w:lineRule="auto"/>
              <w:ind w:left="567" w:hanging="567"/>
              <w:rPr>
                <w:b/>
                <w:lang w:val="sv-SE"/>
              </w:rPr>
            </w:pPr>
            <w:r w:rsidRPr="004A019F">
              <w:rPr>
                <w:b/>
                <w:lang w:val="sv-SE"/>
              </w:rPr>
              <w:t>13.</w:t>
            </w:r>
            <w:r w:rsidRPr="004A019F">
              <w:rPr>
                <w:b/>
                <w:lang w:val="sv-SE"/>
              </w:rPr>
              <w:tab/>
              <w:t>TILLVERKNINGSSATSNUMMER</w:t>
            </w:r>
          </w:p>
        </w:tc>
      </w:tr>
    </w:tbl>
    <w:p w14:paraId="2C4E82A8" w14:textId="77777777" w:rsidR="00722942" w:rsidRPr="00A74CC6" w:rsidRDefault="00722942" w:rsidP="00BD1FEA">
      <w:pPr>
        <w:keepNext/>
        <w:spacing w:after="0" w:line="240" w:lineRule="auto"/>
        <w:rPr>
          <w:lang w:val="sv-SE"/>
        </w:rPr>
      </w:pPr>
    </w:p>
    <w:p w14:paraId="5AF74284" w14:textId="2D866700" w:rsidR="00722942" w:rsidRPr="00A74CC6" w:rsidRDefault="00427179" w:rsidP="00BD1FEA">
      <w:pPr>
        <w:spacing w:after="0" w:line="240" w:lineRule="auto"/>
        <w:ind w:left="4" w:right="13"/>
        <w:contextualSpacing/>
        <w:rPr>
          <w:lang w:val="sv-SE"/>
        </w:rPr>
      </w:pPr>
      <w:r w:rsidRPr="00A74CC6">
        <w:rPr>
          <w:lang w:val="sv-SE"/>
        </w:rPr>
        <w:t>Lot</w:t>
      </w:r>
    </w:p>
    <w:p w14:paraId="5ABFB9D6" w14:textId="77777777" w:rsidR="00722942" w:rsidRPr="00A74CC6" w:rsidRDefault="00722942" w:rsidP="00BD1FEA">
      <w:pPr>
        <w:spacing w:after="0" w:line="240" w:lineRule="auto"/>
        <w:rPr>
          <w:lang w:val="sv-SE"/>
        </w:rPr>
      </w:pPr>
    </w:p>
    <w:p w14:paraId="08493890" w14:textId="77777777" w:rsidR="00722942" w:rsidRPr="00A74CC6" w:rsidRDefault="00722942"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22942" w:rsidRPr="00A74CC6" w14:paraId="647C7FDF" w14:textId="77777777" w:rsidTr="004A019F">
        <w:tc>
          <w:tcPr>
            <w:tcW w:w="9061" w:type="dxa"/>
            <w:shd w:val="clear" w:color="auto" w:fill="auto"/>
          </w:tcPr>
          <w:p w14:paraId="7C0B9C6A" w14:textId="77777777" w:rsidR="00722942" w:rsidRPr="004A019F" w:rsidRDefault="00722942" w:rsidP="00BD1FEA">
            <w:pPr>
              <w:keepNext/>
              <w:spacing w:after="0" w:line="240" w:lineRule="auto"/>
              <w:ind w:left="567" w:hanging="567"/>
              <w:rPr>
                <w:b/>
                <w:lang w:val="sv-SE"/>
              </w:rPr>
            </w:pPr>
            <w:r w:rsidRPr="004A019F">
              <w:rPr>
                <w:b/>
                <w:lang w:val="sv-SE"/>
              </w:rPr>
              <w:t>14.</w:t>
            </w:r>
            <w:r w:rsidRPr="004A019F">
              <w:rPr>
                <w:b/>
                <w:lang w:val="sv-SE"/>
              </w:rPr>
              <w:tab/>
              <w:t>ALLMÄN KLASSIFICERING FÖR FÖRSKRIVNING</w:t>
            </w:r>
          </w:p>
        </w:tc>
      </w:tr>
    </w:tbl>
    <w:p w14:paraId="17428779" w14:textId="77777777" w:rsidR="00722942" w:rsidRPr="00A74CC6" w:rsidRDefault="00722942" w:rsidP="00BD1FEA">
      <w:pPr>
        <w:keepNext/>
        <w:spacing w:after="0" w:line="240" w:lineRule="auto"/>
        <w:rPr>
          <w:lang w:val="sv-SE"/>
        </w:rPr>
      </w:pPr>
    </w:p>
    <w:p w14:paraId="6C15C87F" w14:textId="77777777" w:rsidR="00722942" w:rsidRPr="00A74CC6" w:rsidRDefault="00722942"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22942" w:rsidRPr="00A74CC6" w14:paraId="611EE662" w14:textId="77777777" w:rsidTr="004A019F">
        <w:tc>
          <w:tcPr>
            <w:tcW w:w="9061" w:type="dxa"/>
            <w:shd w:val="clear" w:color="auto" w:fill="auto"/>
          </w:tcPr>
          <w:p w14:paraId="1AB9B344" w14:textId="77777777" w:rsidR="00722942" w:rsidRPr="004A019F" w:rsidRDefault="00722942" w:rsidP="00BD1FEA">
            <w:pPr>
              <w:keepNext/>
              <w:spacing w:after="0" w:line="240" w:lineRule="auto"/>
              <w:ind w:left="567" w:hanging="567"/>
              <w:rPr>
                <w:b/>
                <w:lang w:val="sv-SE"/>
              </w:rPr>
            </w:pPr>
            <w:r w:rsidRPr="004A019F">
              <w:rPr>
                <w:b/>
                <w:lang w:val="sv-SE"/>
              </w:rPr>
              <w:t>15.</w:t>
            </w:r>
            <w:r w:rsidRPr="004A019F">
              <w:rPr>
                <w:b/>
                <w:lang w:val="sv-SE"/>
              </w:rPr>
              <w:tab/>
              <w:t>BRUKSANVISNING</w:t>
            </w:r>
          </w:p>
        </w:tc>
      </w:tr>
    </w:tbl>
    <w:p w14:paraId="79791DA8" w14:textId="77777777" w:rsidR="00722942" w:rsidRPr="00A74CC6" w:rsidRDefault="00722942" w:rsidP="00BD1FEA">
      <w:pPr>
        <w:keepNext/>
        <w:spacing w:after="0" w:line="240" w:lineRule="auto"/>
        <w:rPr>
          <w:lang w:val="sv-SE"/>
        </w:rPr>
      </w:pPr>
    </w:p>
    <w:p w14:paraId="3673B0FD" w14:textId="77777777" w:rsidR="00722942" w:rsidRPr="00A74CC6" w:rsidRDefault="00722942"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22942" w:rsidRPr="00A74CC6" w14:paraId="7FBED981" w14:textId="77777777" w:rsidTr="004A019F">
        <w:tc>
          <w:tcPr>
            <w:tcW w:w="9061" w:type="dxa"/>
            <w:shd w:val="clear" w:color="auto" w:fill="auto"/>
          </w:tcPr>
          <w:p w14:paraId="0F59B69A" w14:textId="77777777" w:rsidR="00722942" w:rsidRPr="004A019F" w:rsidRDefault="00722942" w:rsidP="00BD1FEA">
            <w:pPr>
              <w:keepNext/>
              <w:spacing w:after="0" w:line="240" w:lineRule="auto"/>
              <w:ind w:left="567" w:hanging="567"/>
              <w:rPr>
                <w:b/>
                <w:lang w:val="sv-SE"/>
              </w:rPr>
            </w:pPr>
            <w:r w:rsidRPr="004A019F">
              <w:rPr>
                <w:b/>
                <w:lang w:val="sv-SE"/>
              </w:rPr>
              <w:t>16.</w:t>
            </w:r>
            <w:r w:rsidRPr="004A019F">
              <w:rPr>
                <w:b/>
                <w:lang w:val="sv-SE"/>
              </w:rPr>
              <w:tab/>
              <w:t>INFORMATION I PUNKTSKRIFT</w:t>
            </w:r>
          </w:p>
        </w:tc>
      </w:tr>
    </w:tbl>
    <w:p w14:paraId="57AB2678" w14:textId="77777777" w:rsidR="00722942" w:rsidRPr="00A74CC6" w:rsidRDefault="00722942" w:rsidP="00BD1FEA">
      <w:pPr>
        <w:keepNext/>
        <w:spacing w:after="0" w:line="240" w:lineRule="auto"/>
        <w:rPr>
          <w:lang w:val="sv-SE"/>
        </w:rPr>
      </w:pPr>
    </w:p>
    <w:p w14:paraId="5BEFA621" w14:textId="3E8D4B5F" w:rsidR="00722942" w:rsidRPr="00A74CC6" w:rsidRDefault="00DA0C85" w:rsidP="00BD1FEA">
      <w:pPr>
        <w:spacing w:after="0" w:line="240" w:lineRule="auto"/>
        <w:ind w:left="9" w:hanging="10"/>
        <w:contextualSpacing/>
        <w:rPr>
          <w:shd w:val="clear" w:color="auto" w:fill="C0C0C0"/>
          <w:lang w:val="sv-SE"/>
        </w:rPr>
      </w:pPr>
      <w:r>
        <w:rPr>
          <w:highlight w:val="lightGray"/>
          <w:shd w:val="clear" w:color="auto" w:fill="CCCCCC"/>
          <w:lang w:val="sv-SE"/>
        </w:rPr>
        <w:t>Braille krävs ej</w:t>
      </w:r>
      <w:r w:rsidR="000A1A3C">
        <w:rPr>
          <w:rFonts w:eastAsia="Yu Mincho"/>
          <w:color w:val="auto"/>
          <w:highlight w:val="lightGray"/>
          <w:lang w:val="sv-SE"/>
        </w:rPr>
        <w:t>.</w:t>
      </w:r>
    </w:p>
    <w:p w14:paraId="13C52658" w14:textId="77777777" w:rsidR="00722942" w:rsidRPr="00A74CC6" w:rsidRDefault="00722942" w:rsidP="00BD1FEA">
      <w:pPr>
        <w:spacing w:after="0" w:line="240" w:lineRule="auto"/>
        <w:rPr>
          <w:lang w:val="sv-SE"/>
        </w:rPr>
      </w:pPr>
    </w:p>
    <w:p w14:paraId="0D5CB618" w14:textId="77777777" w:rsidR="00722942" w:rsidRPr="00A74CC6" w:rsidRDefault="00722942"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22942" w:rsidRPr="00A74CC6" w14:paraId="15B8AE9B" w14:textId="77777777" w:rsidTr="004A019F">
        <w:tc>
          <w:tcPr>
            <w:tcW w:w="9061" w:type="dxa"/>
            <w:shd w:val="clear" w:color="auto" w:fill="auto"/>
          </w:tcPr>
          <w:p w14:paraId="38C26C12" w14:textId="77777777" w:rsidR="00722942" w:rsidRPr="004A019F" w:rsidRDefault="00722942" w:rsidP="00BD1FEA">
            <w:pPr>
              <w:keepNext/>
              <w:spacing w:after="0" w:line="240" w:lineRule="auto"/>
              <w:ind w:left="567" w:hanging="567"/>
              <w:rPr>
                <w:b/>
                <w:lang w:val="sv-SE"/>
              </w:rPr>
            </w:pPr>
            <w:r w:rsidRPr="004A019F">
              <w:rPr>
                <w:b/>
                <w:lang w:val="sv-SE"/>
              </w:rPr>
              <w:t>17.</w:t>
            </w:r>
            <w:r w:rsidRPr="004A019F">
              <w:rPr>
                <w:b/>
                <w:lang w:val="sv-SE"/>
              </w:rPr>
              <w:tab/>
              <w:t>UNIK IDENTITETSBETECKNING – TVÅDIMENSIONELL STRECKKOD</w:t>
            </w:r>
          </w:p>
        </w:tc>
      </w:tr>
    </w:tbl>
    <w:p w14:paraId="690F2F65" w14:textId="77777777" w:rsidR="00722942" w:rsidRPr="00A74CC6" w:rsidRDefault="00722942" w:rsidP="00BD1FEA">
      <w:pPr>
        <w:keepNext/>
        <w:spacing w:after="0" w:line="240" w:lineRule="auto"/>
        <w:rPr>
          <w:lang w:val="sv-SE"/>
        </w:rPr>
      </w:pPr>
    </w:p>
    <w:p w14:paraId="069A33A6" w14:textId="77777777" w:rsidR="00722942" w:rsidRPr="004A019F" w:rsidRDefault="00722942" w:rsidP="00BD1FEA">
      <w:pPr>
        <w:spacing w:after="0" w:line="240" w:lineRule="auto"/>
        <w:rPr>
          <w:rFonts w:eastAsia="Yu Mincho"/>
          <w:color w:val="auto"/>
          <w:lang w:val="sv-SE"/>
        </w:rPr>
      </w:pPr>
      <w:r>
        <w:rPr>
          <w:rFonts w:eastAsia="Yu Mincho"/>
          <w:color w:val="auto"/>
          <w:highlight w:val="lightGray"/>
          <w:lang w:val="sv-SE"/>
        </w:rPr>
        <w:t>Tvådimensionell streckkod som innehåller den unika identitetsbeteckningen.</w:t>
      </w:r>
    </w:p>
    <w:p w14:paraId="64BC27BE" w14:textId="77777777" w:rsidR="00722942" w:rsidRPr="004A019F" w:rsidRDefault="00722942" w:rsidP="00BD1FEA">
      <w:pPr>
        <w:spacing w:after="0" w:line="240" w:lineRule="auto"/>
        <w:rPr>
          <w:rFonts w:eastAsia="Yu Mincho"/>
          <w:color w:val="auto"/>
          <w:lang w:val="sv-SE"/>
        </w:rPr>
      </w:pPr>
    </w:p>
    <w:p w14:paraId="214D85F5" w14:textId="77777777" w:rsidR="00722942" w:rsidRPr="004A019F" w:rsidRDefault="00722942" w:rsidP="00BD1FEA">
      <w:pPr>
        <w:spacing w:after="0" w:line="240" w:lineRule="auto"/>
        <w:rPr>
          <w:rFonts w:eastAsia="Yu Mincho"/>
          <w:color w:val="auto"/>
          <w:lang w:val="sv-SE"/>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22942" w:rsidRPr="00472A6C" w14:paraId="70303495" w14:textId="77777777" w:rsidTr="004A019F">
        <w:tc>
          <w:tcPr>
            <w:tcW w:w="9061" w:type="dxa"/>
            <w:shd w:val="clear" w:color="auto" w:fill="auto"/>
          </w:tcPr>
          <w:p w14:paraId="3618CAFE" w14:textId="77777777" w:rsidR="00722942" w:rsidRPr="004A019F" w:rsidRDefault="00722942" w:rsidP="00BD1FEA">
            <w:pPr>
              <w:keepNext/>
              <w:spacing w:after="0" w:line="240" w:lineRule="auto"/>
              <w:ind w:left="567" w:hanging="567"/>
              <w:rPr>
                <w:b/>
                <w:lang w:val="sv-SE"/>
              </w:rPr>
            </w:pPr>
            <w:r w:rsidRPr="004A019F">
              <w:rPr>
                <w:b/>
                <w:lang w:val="sv-SE"/>
              </w:rPr>
              <w:t>18.</w:t>
            </w:r>
            <w:r w:rsidRPr="004A019F">
              <w:rPr>
                <w:b/>
                <w:lang w:val="sv-SE"/>
              </w:rPr>
              <w:tab/>
              <w:t>UNIK IDENTITETSBETECKNING – I ETT FORMAT LÄSBART FÖR MÄNSKLIGT ÖGA</w:t>
            </w:r>
          </w:p>
        </w:tc>
      </w:tr>
    </w:tbl>
    <w:p w14:paraId="045E2ED2" w14:textId="77777777" w:rsidR="00722942" w:rsidRPr="00A74CC6" w:rsidRDefault="00722942" w:rsidP="00BD1FEA">
      <w:pPr>
        <w:keepNext/>
        <w:spacing w:after="0" w:line="240" w:lineRule="auto"/>
        <w:rPr>
          <w:lang w:val="sv-SE"/>
        </w:rPr>
      </w:pPr>
    </w:p>
    <w:p w14:paraId="2C36D6FA" w14:textId="77777777" w:rsidR="00722942" w:rsidRPr="00A74CC6" w:rsidRDefault="00722942" w:rsidP="00BD1FEA">
      <w:pPr>
        <w:spacing w:after="0" w:line="240" w:lineRule="auto"/>
        <w:ind w:left="4" w:right="13"/>
        <w:contextualSpacing/>
        <w:rPr>
          <w:lang w:val="sv-SE"/>
        </w:rPr>
      </w:pPr>
      <w:r w:rsidRPr="00A74CC6">
        <w:rPr>
          <w:lang w:val="sv-SE"/>
        </w:rPr>
        <w:t>PC</w:t>
      </w:r>
    </w:p>
    <w:p w14:paraId="4EE2007F" w14:textId="77777777" w:rsidR="00722942" w:rsidRPr="00A74CC6" w:rsidRDefault="00722942" w:rsidP="00BD1FEA">
      <w:pPr>
        <w:spacing w:after="0" w:line="240" w:lineRule="auto"/>
        <w:ind w:left="4" w:right="13"/>
        <w:contextualSpacing/>
        <w:rPr>
          <w:lang w:val="sv-SE"/>
        </w:rPr>
      </w:pPr>
      <w:r w:rsidRPr="00A74CC6">
        <w:rPr>
          <w:lang w:val="sv-SE"/>
        </w:rPr>
        <w:t>SN</w:t>
      </w:r>
    </w:p>
    <w:p w14:paraId="4F39F382" w14:textId="77777777" w:rsidR="00722942" w:rsidRPr="00A74CC6" w:rsidRDefault="00722942" w:rsidP="00BD1FEA">
      <w:pPr>
        <w:spacing w:after="0" w:line="240" w:lineRule="auto"/>
        <w:ind w:left="4" w:right="13"/>
        <w:contextualSpacing/>
        <w:rPr>
          <w:lang w:val="sv-SE"/>
        </w:rPr>
      </w:pPr>
      <w:r w:rsidRPr="007867C6">
        <w:rPr>
          <w:lang w:val="sv-SE"/>
        </w:rPr>
        <w:t>NN</w:t>
      </w:r>
    </w:p>
    <w:p w14:paraId="7D3FA73A" w14:textId="77777777" w:rsidR="00722942" w:rsidRPr="00A74CC6" w:rsidRDefault="00722942" w:rsidP="009340B3">
      <w:pPr>
        <w:spacing w:after="0" w:line="240" w:lineRule="auto"/>
        <w:ind w:left="0" w:firstLine="0"/>
        <w:rPr>
          <w:lang w:val="sv-SE"/>
        </w:rPr>
      </w:pPr>
      <w:r w:rsidRPr="00A74CC6">
        <w:rPr>
          <w:lang w:val="sv-SE"/>
        </w:rPr>
        <w:br w:type="page"/>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22942" w:rsidRPr="00A74CC6" w14:paraId="65915372" w14:textId="77777777" w:rsidTr="004A019F">
        <w:tc>
          <w:tcPr>
            <w:tcW w:w="9061" w:type="dxa"/>
            <w:shd w:val="clear" w:color="auto" w:fill="auto"/>
          </w:tcPr>
          <w:p w14:paraId="0DFF5695" w14:textId="4D914E3B" w:rsidR="00722942" w:rsidRPr="004A019F" w:rsidRDefault="00722942" w:rsidP="00BD1FEA">
            <w:pPr>
              <w:tabs>
                <w:tab w:val="left" w:pos="1096"/>
              </w:tabs>
              <w:spacing w:after="0" w:line="240" w:lineRule="auto"/>
              <w:ind w:left="0" w:right="13" w:firstLine="0"/>
              <w:contextualSpacing/>
              <w:rPr>
                <w:b/>
                <w:bCs/>
                <w:lang w:val="sv-SE"/>
              </w:rPr>
            </w:pPr>
            <w:r w:rsidRPr="004A019F">
              <w:rPr>
                <w:b/>
                <w:bCs/>
                <w:lang w:val="sv-SE"/>
              </w:rPr>
              <w:t>UPPGIFTER SOM SKA FINNAS PÅ SMÅ INRE LÄKEMEDELSFÖRPACKNINGAR</w:t>
            </w:r>
          </w:p>
          <w:p w14:paraId="17A94502" w14:textId="77777777" w:rsidR="00722942" w:rsidRPr="004A019F" w:rsidRDefault="00722942" w:rsidP="00BD1FEA">
            <w:pPr>
              <w:tabs>
                <w:tab w:val="left" w:pos="1096"/>
              </w:tabs>
              <w:spacing w:after="0" w:line="240" w:lineRule="auto"/>
              <w:ind w:left="0" w:right="13" w:firstLine="0"/>
              <w:contextualSpacing/>
              <w:rPr>
                <w:b/>
                <w:bCs/>
                <w:lang w:val="sv-SE"/>
              </w:rPr>
            </w:pPr>
          </w:p>
          <w:p w14:paraId="53C91E04" w14:textId="77777777" w:rsidR="00722942" w:rsidRPr="004A019F" w:rsidRDefault="00722942" w:rsidP="00BD1FEA">
            <w:pPr>
              <w:spacing w:after="0" w:line="240" w:lineRule="auto"/>
              <w:ind w:left="0" w:firstLine="0"/>
              <w:rPr>
                <w:lang w:val="sv-SE"/>
              </w:rPr>
            </w:pPr>
            <w:r w:rsidRPr="004A019F">
              <w:rPr>
                <w:b/>
                <w:bCs/>
                <w:lang w:val="sv-SE"/>
              </w:rPr>
              <w:t xml:space="preserve">ETIKETT </w:t>
            </w:r>
            <w:r w:rsidR="00DA0C85" w:rsidRPr="004A019F">
              <w:rPr>
                <w:b/>
                <w:bCs/>
                <w:lang w:val="sv-SE"/>
              </w:rPr>
              <w:t xml:space="preserve">PÅ </w:t>
            </w:r>
            <w:r w:rsidRPr="004A019F">
              <w:rPr>
                <w:b/>
                <w:bCs/>
                <w:lang w:val="sv-SE"/>
              </w:rPr>
              <w:t>INJEKTIONSFLASKA</w:t>
            </w:r>
          </w:p>
        </w:tc>
      </w:tr>
    </w:tbl>
    <w:p w14:paraId="133B2E02" w14:textId="77777777" w:rsidR="00722942" w:rsidRPr="00A74CC6" w:rsidRDefault="00722942" w:rsidP="00BD1FEA">
      <w:pPr>
        <w:spacing w:after="0" w:line="240" w:lineRule="auto"/>
        <w:rPr>
          <w:lang w:val="sv-SE"/>
        </w:rPr>
      </w:pPr>
    </w:p>
    <w:p w14:paraId="6060C44A" w14:textId="77777777" w:rsidR="00722942" w:rsidRPr="00A74CC6" w:rsidRDefault="00722942" w:rsidP="00BD1FEA">
      <w:pPr>
        <w:spacing w:after="0" w:line="240" w:lineRule="auto"/>
        <w:rPr>
          <w:lang w:val="sv-SE"/>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22942" w:rsidRPr="00A74CC6" w14:paraId="58C9C325" w14:textId="77777777" w:rsidTr="004A019F">
        <w:tc>
          <w:tcPr>
            <w:tcW w:w="9061" w:type="dxa"/>
            <w:shd w:val="clear" w:color="auto" w:fill="auto"/>
          </w:tcPr>
          <w:p w14:paraId="7B57223F" w14:textId="77777777" w:rsidR="00722942" w:rsidRPr="004A019F" w:rsidRDefault="00722942" w:rsidP="00BD1FEA">
            <w:pPr>
              <w:keepNext/>
              <w:spacing w:after="0" w:line="240" w:lineRule="auto"/>
              <w:ind w:left="567" w:hanging="567"/>
              <w:rPr>
                <w:b/>
                <w:lang w:val="sv-SE"/>
              </w:rPr>
            </w:pPr>
            <w:r w:rsidRPr="004A019F">
              <w:rPr>
                <w:b/>
                <w:lang w:val="sv-SE"/>
              </w:rPr>
              <w:t>1.</w:t>
            </w:r>
            <w:r w:rsidRPr="004A019F">
              <w:rPr>
                <w:b/>
                <w:lang w:val="sv-SE"/>
              </w:rPr>
              <w:tab/>
              <w:t>LÄKEMEDLETS NAMN OCH ADMINISTRERINGSVÄG</w:t>
            </w:r>
          </w:p>
        </w:tc>
      </w:tr>
    </w:tbl>
    <w:p w14:paraId="4F5050CF" w14:textId="77777777" w:rsidR="00722942" w:rsidRPr="00A74CC6" w:rsidRDefault="00722942" w:rsidP="00BD1FEA">
      <w:pPr>
        <w:keepNext/>
        <w:spacing w:after="0" w:line="240" w:lineRule="auto"/>
        <w:rPr>
          <w:lang w:val="sv-SE"/>
        </w:rPr>
      </w:pPr>
    </w:p>
    <w:p w14:paraId="57390464" w14:textId="5A731BA7" w:rsidR="00722942" w:rsidRPr="00A74CC6" w:rsidRDefault="00427179" w:rsidP="00BD1FEA">
      <w:pPr>
        <w:spacing w:after="0" w:line="240" w:lineRule="auto"/>
        <w:ind w:left="4" w:right="13"/>
        <w:contextualSpacing/>
        <w:rPr>
          <w:lang w:val="sv-SE"/>
        </w:rPr>
      </w:pPr>
      <w:r w:rsidRPr="00A74CC6">
        <w:rPr>
          <w:lang w:val="sv-SE"/>
        </w:rPr>
        <w:t xml:space="preserve">KANJINTI </w:t>
      </w:r>
      <w:r w:rsidR="00722942" w:rsidRPr="00A74CC6">
        <w:rPr>
          <w:lang w:val="sv-SE"/>
        </w:rPr>
        <w:t>150 mg pulver</w:t>
      </w:r>
      <w:r w:rsidRPr="00A74CC6">
        <w:rPr>
          <w:lang w:val="sv-SE"/>
        </w:rPr>
        <w:t xml:space="preserve"> till koncentrat</w:t>
      </w:r>
      <w:r w:rsidR="00722942" w:rsidRPr="00A74CC6">
        <w:rPr>
          <w:lang w:val="sv-SE"/>
        </w:rPr>
        <w:t xml:space="preserve"> till infusionsvätska</w:t>
      </w:r>
      <w:r w:rsidRPr="00A74CC6">
        <w:rPr>
          <w:lang w:val="sv-SE"/>
        </w:rPr>
        <w:t>, lösning</w:t>
      </w:r>
    </w:p>
    <w:p w14:paraId="416A5F72" w14:textId="0CF8B6EE" w:rsidR="00722942" w:rsidRPr="00A74CC6" w:rsidRDefault="00427179" w:rsidP="00BD1FEA">
      <w:pPr>
        <w:spacing w:after="0" w:line="240" w:lineRule="auto"/>
        <w:ind w:left="4" w:right="13"/>
        <w:contextualSpacing/>
        <w:rPr>
          <w:lang w:val="sv-SE"/>
        </w:rPr>
      </w:pPr>
      <w:r w:rsidRPr="00A74CC6">
        <w:rPr>
          <w:lang w:val="sv-SE"/>
        </w:rPr>
        <w:t>t</w:t>
      </w:r>
      <w:r w:rsidR="00722942" w:rsidRPr="00A74CC6">
        <w:rPr>
          <w:lang w:val="sv-SE"/>
        </w:rPr>
        <w:t>rastuzumab</w:t>
      </w:r>
    </w:p>
    <w:p w14:paraId="28DC8091" w14:textId="77777777" w:rsidR="00427179" w:rsidRPr="00A74CC6" w:rsidRDefault="00427179" w:rsidP="00BD1FEA">
      <w:pPr>
        <w:spacing w:after="0" w:line="240" w:lineRule="auto"/>
        <w:rPr>
          <w:lang w:val="sv-SE"/>
        </w:rPr>
      </w:pPr>
    </w:p>
    <w:p w14:paraId="2E3D0096" w14:textId="77777777" w:rsidR="00427179" w:rsidRPr="00A74CC6" w:rsidRDefault="00427179"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27179" w:rsidRPr="0049523A" w14:paraId="0941159A" w14:textId="77777777" w:rsidTr="004A019F">
        <w:tc>
          <w:tcPr>
            <w:tcW w:w="9061" w:type="dxa"/>
            <w:shd w:val="clear" w:color="auto" w:fill="auto"/>
          </w:tcPr>
          <w:p w14:paraId="754C4006" w14:textId="77777777" w:rsidR="00427179" w:rsidRPr="004A019F" w:rsidRDefault="00427179" w:rsidP="00BD1FEA">
            <w:pPr>
              <w:keepNext/>
              <w:spacing w:after="0" w:line="240" w:lineRule="auto"/>
              <w:ind w:left="567" w:hanging="567"/>
              <w:rPr>
                <w:b/>
                <w:lang w:val="nb-NO"/>
              </w:rPr>
            </w:pPr>
            <w:r w:rsidRPr="004A019F">
              <w:rPr>
                <w:b/>
                <w:lang w:val="nb-NO"/>
              </w:rPr>
              <w:t>2.</w:t>
            </w:r>
            <w:r w:rsidRPr="004A019F">
              <w:rPr>
                <w:b/>
                <w:lang w:val="nb-NO"/>
              </w:rPr>
              <w:tab/>
              <w:t>DEKLARATION AV AKTIV(A) SUBSTANS(ER)</w:t>
            </w:r>
          </w:p>
        </w:tc>
      </w:tr>
    </w:tbl>
    <w:p w14:paraId="20E66C52" w14:textId="77777777" w:rsidR="00427179" w:rsidRPr="008763E6" w:rsidRDefault="00427179" w:rsidP="00BD1FEA">
      <w:pPr>
        <w:keepNext/>
        <w:spacing w:after="0" w:line="240" w:lineRule="auto"/>
        <w:rPr>
          <w:lang w:val="nb-NO"/>
        </w:rPr>
      </w:pPr>
    </w:p>
    <w:p w14:paraId="42D6422E" w14:textId="77777777" w:rsidR="00427179" w:rsidRPr="00A74CC6" w:rsidRDefault="00427179" w:rsidP="00BD1FEA">
      <w:pPr>
        <w:spacing w:after="0" w:line="240" w:lineRule="auto"/>
        <w:rPr>
          <w:lang w:val="sv-SE"/>
        </w:rPr>
      </w:pPr>
      <w:r w:rsidRPr="00A74CC6">
        <w:rPr>
          <w:lang w:val="sv-SE"/>
        </w:rPr>
        <w:t>Injektionsflaskan innehåller 150 mg trastuzumab.</w:t>
      </w:r>
    </w:p>
    <w:p w14:paraId="30B5C7FD" w14:textId="77777777" w:rsidR="00427179" w:rsidRPr="00A74CC6" w:rsidRDefault="00427179" w:rsidP="00BD1FEA">
      <w:pPr>
        <w:spacing w:after="0" w:line="240" w:lineRule="auto"/>
        <w:rPr>
          <w:lang w:val="sv-SE"/>
        </w:rPr>
      </w:pPr>
      <w:r w:rsidRPr="00A74CC6">
        <w:rPr>
          <w:lang w:val="sv-SE"/>
        </w:rPr>
        <w:t>1 ml koncentrat innehåller efter beredning 21 mg trastuzumab.</w:t>
      </w:r>
    </w:p>
    <w:p w14:paraId="48C5F041" w14:textId="77777777" w:rsidR="00427179" w:rsidRPr="00A74CC6" w:rsidRDefault="00427179" w:rsidP="00BD1FEA">
      <w:pPr>
        <w:spacing w:after="0" w:line="240" w:lineRule="auto"/>
        <w:rPr>
          <w:lang w:val="sv-SE"/>
        </w:rPr>
      </w:pPr>
    </w:p>
    <w:p w14:paraId="6C9EC20E" w14:textId="77777777" w:rsidR="00427179" w:rsidRPr="00A74CC6" w:rsidRDefault="00427179"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27179" w:rsidRPr="00A74CC6" w14:paraId="677E02F9" w14:textId="77777777" w:rsidTr="004A019F">
        <w:tc>
          <w:tcPr>
            <w:tcW w:w="9061" w:type="dxa"/>
            <w:shd w:val="clear" w:color="auto" w:fill="auto"/>
          </w:tcPr>
          <w:p w14:paraId="21878820" w14:textId="77777777" w:rsidR="00427179" w:rsidRPr="004A019F" w:rsidRDefault="00427179" w:rsidP="00BD1FEA">
            <w:pPr>
              <w:keepNext/>
              <w:spacing w:after="0" w:line="240" w:lineRule="auto"/>
              <w:ind w:left="567" w:hanging="567"/>
              <w:rPr>
                <w:b/>
                <w:lang w:val="sv-SE"/>
              </w:rPr>
            </w:pPr>
            <w:r w:rsidRPr="004A019F">
              <w:rPr>
                <w:b/>
                <w:lang w:val="sv-SE"/>
              </w:rPr>
              <w:t>3.</w:t>
            </w:r>
            <w:r w:rsidRPr="004A019F">
              <w:rPr>
                <w:b/>
                <w:lang w:val="sv-SE"/>
              </w:rPr>
              <w:tab/>
              <w:t>FÖRTECKNING ÖVER HJÄLPÄMNEN</w:t>
            </w:r>
          </w:p>
        </w:tc>
      </w:tr>
    </w:tbl>
    <w:p w14:paraId="6844F201" w14:textId="77777777" w:rsidR="00427179" w:rsidRPr="00A74CC6" w:rsidRDefault="00427179" w:rsidP="00BD1FEA">
      <w:pPr>
        <w:keepNext/>
        <w:spacing w:after="0" w:line="240" w:lineRule="auto"/>
        <w:rPr>
          <w:lang w:val="sv-SE"/>
        </w:rPr>
      </w:pPr>
    </w:p>
    <w:p w14:paraId="3805119E" w14:textId="0AF14656" w:rsidR="00427179" w:rsidRPr="00A74CC6" w:rsidRDefault="001E775B" w:rsidP="00BD1FEA">
      <w:pPr>
        <w:spacing w:after="0" w:line="240" w:lineRule="auto"/>
        <w:rPr>
          <w:lang w:val="sv-SE"/>
        </w:rPr>
      </w:pPr>
      <w:r>
        <w:rPr>
          <w:lang w:val="sv-SE"/>
        </w:rPr>
        <w:t xml:space="preserve">Histidin, </w:t>
      </w:r>
      <w:r w:rsidR="00AB5B0D">
        <w:rPr>
          <w:lang w:val="sv-SE"/>
        </w:rPr>
        <w:t>histidinhydrokloridmonohydrat</w:t>
      </w:r>
      <w:r>
        <w:rPr>
          <w:lang w:val="sv-SE"/>
        </w:rPr>
        <w:t xml:space="preserve">, </w:t>
      </w:r>
      <w:r w:rsidRPr="00A74CC6">
        <w:rPr>
          <w:lang w:val="sv-SE"/>
        </w:rPr>
        <w:t>trehalosdihydrat</w:t>
      </w:r>
      <w:r w:rsidR="00427179" w:rsidRPr="00A74CC6">
        <w:rPr>
          <w:lang w:val="sv-SE"/>
        </w:rPr>
        <w:t>, polysorbat</w:t>
      </w:r>
      <w:r w:rsidR="00500529" w:rsidRPr="00A74CC6">
        <w:rPr>
          <w:lang w:val="sv-SE"/>
        </w:rPr>
        <w:t> </w:t>
      </w:r>
      <w:r w:rsidR="00427179" w:rsidRPr="00A74CC6">
        <w:rPr>
          <w:lang w:val="sv-SE"/>
        </w:rPr>
        <w:t>20.</w:t>
      </w:r>
    </w:p>
    <w:p w14:paraId="35819A8A" w14:textId="77777777" w:rsidR="00427179" w:rsidRPr="00A74CC6" w:rsidRDefault="00427179" w:rsidP="00BD1FEA">
      <w:pPr>
        <w:spacing w:after="0" w:line="240" w:lineRule="auto"/>
        <w:rPr>
          <w:lang w:val="sv-SE"/>
        </w:rPr>
      </w:pPr>
    </w:p>
    <w:p w14:paraId="48126631" w14:textId="77777777" w:rsidR="00427179" w:rsidRPr="00A74CC6" w:rsidRDefault="00427179"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27179" w:rsidRPr="00A74CC6" w14:paraId="358CF33E" w14:textId="77777777" w:rsidTr="004A019F">
        <w:tc>
          <w:tcPr>
            <w:tcW w:w="9061" w:type="dxa"/>
            <w:shd w:val="clear" w:color="auto" w:fill="auto"/>
          </w:tcPr>
          <w:p w14:paraId="04E73946" w14:textId="77777777" w:rsidR="00427179" w:rsidRPr="004A019F" w:rsidRDefault="00427179" w:rsidP="00BD1FEA">
            <w:pPr>
              <w:keepNext/>
              <w:spacing w:after="0" w:line="240" w:lineRule="auto"/>
              <w:ind w:left="567" w:hanging="567"/>
              <w:rPr>
                <w:b/>
                <w:lang w:val="sv-SE"/>
              </w:rPr>
            </w:pPr>
            <w:r w:rsidRPr="004A019F">
              <w:rPr>
                <w:b/>
                <w:lang w:val="sv-SE"/>
              </w:rPr>
              <w:t>4.</w:t>
            </w:r>
            <w:r w:rsidRPr="004A019F">
              <w:rPr>
                <w:b/>
                <w:lang w:val="sv-SE"/>
              </w:rPr>
              <w:tab/>
              <w:t>LÄKEMEDELSFORM OCH FÖRPACKNINGSSTORLEK</w:t>
            </w:r>
          </w:p>
        </w:tc>
      </w:tr>
    </w:tbl>
    <w:p w14:paraId="7B5C6FEE" w14:textId="77777777" w:rsidR="00427179" w:rsidRPr="00A74CC6" w:rsidRDefault="00427179" w:rsidP="00BD1FEA">
      <w:pPr>
        <w:keepNext/>
        <w:spacing w:after="0" w:line="240" w:lineRule="auto"/>
        <w:rPr>
          <w:lang w:val="sv-SE"/>
        </w:rPr>
      </w:pPr>
    </w:p>
    <w:p w14:paraId="243EF892" w14:textId="77777777" w:rsidR="00427179" w:rsidRPr="00A74CC6" w:rsidRDefault="00427179" w:rsidP="00BD1FEA">
      <w:pPr>
        <w:spacing w:after="0" w:line="240" w:lineRule="auto"/>
        <w:ind w:left="0" w:right="13" w:firstLine="0"/>
        <w:contextualSpacing/>
        <w:rPr>
          <w:lang w:val="sv-SE"/>
        </w:rPr>
      </w:pPr>
      <w:r>
        <w:rPr>
          <w:highlight w:val="lightGray"/>
          <w:lang w:val="sv-SE"/>
        </w:rPr>
        <w:t>Pulver till koncentrat till infusionsvätska, lösning</w:t>
      </w:r>
    </w:p>
    <w:p w14:paraId="1ED2BD4D" w14:textId="77777777" w:rsidR="00427179" w:rsidRPr="00A74CC6" w:rsidRDefault="00427179" w:rsidP="00BD1FEA">
      <w:pPr>
        <w:spacing w:after="0" w:line="240" w:lineRule="auto"/>
        <w:rPr>
          <w:lang w:val="sv-SE"/>
        </w:rPr>
      </w:pPr>
    </w:p>
    <w:p w14:paraId="15B4F8A9" w14:textId="77777777" w:rsidR="00427179" w:rsidRPr="00A74CC6" w:rsidRDefault="00427179"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27179" w:rsidRPr="00A74CC6" w14:paraId="4AA3E799" w14:textId="77777777" w:rsidTr="004A019F">
        <w:tc>
          <w:tcPr>
            <w:tcW w:w="9061" w:type="dxa"/>
            <w:shd w:val="clear" w:color="auto" w:fill="auto"/>
          </w:tcPr>
          <w:p w14:paraId="5AB41C06" w14:textId="77777777" w:rsidR="00427179" w:rsidRPr="004A019F" w:rsidRDefault="00427179" w:rsidP="00BD1FEA">
            <w:pPr>
              <w:keepNext/>
              <w:spacing w:after="0" w:line="240" w:lineRule="auto"/>
              <w:ind w:left="567" w:hanging="567"/>
              <w:rPr>
                <w:b/>
                <w:lang w:val="sv-SE"/>
              </w:rPr>
            </w:pPr>
            <w:r w:rsidRPr="004A019F">
              <w:rPr>
                <w:b/>
                <w:lang w:val="sv-SE"/>
              </w:rPr>
              <w:t>5.</w:t>
            </w:r>
            <w:r w:rsidRPr="004A019F">
              <w:rPr>
                <w:b/>
                <w:lang w:val="sv-SE"/>
              </w:rPr>
              <w:tab/>
              <w:t>ADMINISTRERINGSSÄTT OCH ADMINISTRERINGSVÄG</w:t>
            </w:r>
          </w:p>
        </w:tc>
      </w:tr>
    </w:tbl>
    <w:p w14:paraId="0CF8B51F" w14:textId="77777777" w:rsidR="00427179" w:rsidRPr="00A74CC6" w:rsidRDefault="00427179" w:rsidP="00BD1FEA">
      <w:pPr>
        <w:keepNext/>
        <w:spacing w:after="0" w:line="240" w:lineRule="auto"/>
        <w:rPr>
          <w:lang w:val="sv-SE"/>
        </w:rPr>
      </w:pPr>
    </w:p>
    <w:p w14:paraId="3C492640" w14:textId="77777777" w:rsidR="00427179" w:rsidRDefault="000144F4" w:rsidP="00BD1FEA">
      <w:pPr>
        <w:spacing w:after="0" w:line="240" w:lineRule="auto"/>
        <w:ind w:left="4" w:right="13"/>
        <w:contextualSpacing/>
        <w:rPr>
          <w:lang w:val="sv-SE"/>
        </w:rPr>
      </w:pPr>
      <w:r w:rsidRPr="00A74CC6">
        <w:rPr>
          <w:lang w:val="sv-SE"/>
        </w:rPr>
        <w:t>i.v.</w:t>
      </w:r>
    </w:p>
    <w:p w14:paraId="3157EDE5" w14:textId="738F7B5D" w:rsidR="00935DCD" w:rsidRPr="00A74CC6" w:rsidRDefault="00935DCD" w:rsidP="00BD1FEA">
      <w:pPr>
        <w:spacing w:after="0" w:line="240" w:lineRule="auto"/>
        <w:ind w:left="4" w:right="13"/>
        <w:contextualSpacing/>
        <w:rPr>
          <w:lang w:val="sv-SE"/>
        </w:rPr>
      </w:pPr>
      <w:r>
        <w:rPr>
          <w:highlight w:val="lightGray"/>
          <w:lang w:val="sv-SE"/>
        </w:rPr>
        <w:t>För intravenös användning.</w:t>
      </w:r>
    </w:p>
    <w:p w14:paraId="5D4D43BC" w14:textId="77777777" w:rsidR="00427179" w:rsidRPr="00A74CC6" w:rsidRDefault="00427179" w:rsidP="00BD1FEA">
      <w:pPr>
        <w:spacing w:after="0" w:line="240" w:lineRule="auto"/>
        <w:ind w:left="4" w:right="13"/>
        <w:contextualSpacing/>
        <w:rPr>
          <w:lang w:val="sv-SE"/>
        </w:rPr>
      </w:pPr>
      <w:r w:rsidRPr="00A74CC6">
        <w:rPr>
          <w:lang w:val="sv-SE"/>
        </w:rPr>
        <w:t>Läs bipacksedeln före användning</w:t>
      </w:r>
      <w:r w:rsidR="00500529" w:rsidRPr="00A74CC6">
        <w:rPr>
          <w:lang w:val="sv-SE"/>
        </w:rPr>
        <w:t>.</w:t>
      </w:r>
    </w:p>
    <w:p w14:paraId="782C5F02" w14:textId="77777777" w:rsidR="00427179" w:rsidRPr="00A74CC6" w:rsidRDefault="00427179" w:rsidP="00BD1FEA">
      <w:pPr>
        <w:spacing w:after="0" w:line="240" w:lineRule="auto"/>
        <w:rPr>
          <w:lang w:val="sv-SE"/>
        </w:rPr>
      </w:pPr>
    </w:p>
    <w:p w14:paraId="5945B627" w14:textId="77777777" w:rsidR="00427179" w:rsidRPr="00A74CC6" w:rsidRDefault="00427179"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27179" w:rsidRPr="00472A6C" w14:paraId="121E1A3A" w14:textId="77777777" w:rsidTr="004A019F">
        <w:tc>
          <w:tcPr>
            <w:tcW w:w="9061" w:type="dxa"/>
            <w:shd w:val="clear" w:color="auto" w:fill="auto"/>
          </w:tcPr>
          <w:p w14:paraId="6269DBB2" w14:textId="77777777" w:rsidR="00427179" w:rsidRPr="004A019F" w:rsidRDefault="00427179" w:rsidP="00BD1FEA">
            <w:pPr>
              <w:keepNext/>
              <w:spacing w:after="0" w:line="240" w:lineRule="auto"/>
              <w:ind w:left="567" w:hanging="567"/>
              <w:rPr>
                <w:b/>
                <w:lang w:val="sv-SE"/>
              </w:rPr>
            </w:pPr>
            <w:r w:rsidRPr="004A019F">
              <w:rPr>
                <w:b/>
                <w:lang w:val="sv-SE"/>
              </w:rPr>
              <w:t>6.</w:t>
            </w:r>
            <w:r w:rsidRPr="004A019F">
              <w:rPr>
                <w:b/>
                <w:lang w:val="sv-SE"/>
              </w:rPr>
              <w:tab/>
              <w:t>SÄRSKILD VARNING OM ATT LÄKEMEDLET MÅSTE FÖRVARAS UTOM SYN-OCH RÄCKHÅLL FÖR BARN</w:t>
            </w:r>
          </w:p>
        </w:tc>
      </w:tr>
    </w:tbl>
    <w:p w14:paraId="27E0DF64" w14:textId="77777777" w:rsidR="00427179" w:rsidRPr="00A74CC6" w:rsidRDefault="00427179" w:rsidP="00BD1FEA">
      <w:pPr>
        <w:keepNext/>
        <w:spacing w:after="0" w:line="240" w:lineRule="auto"/>
        <w:rPr>
          <w:lang w:val="sv-SE"/>
        </w:rPr>
      </w:pPr>
    </w:p>
    <w:p w14:paraId="78E6BB45" w14:textId="77777777" w:rsidR="00427179" w:rsidRPr="00A74CC6" w:rsidRDefault="00427179" w:rsidP="00BD1FEA">
      <w:pPr>
        <w:spacing w:after="0" w:line="240" w:lineRule="auto"/>
        <w:rPr>
          <w:lang w:val="sv-SE"/>
        </w:rPr>
      </w:pPr>
      <w:r w:rsidRPr="00A74CC6">
        <w:rPr>
          <w:lang w:val="sv-SE"/>
        </w:rPr>
        <w:t>Förvaras utom syn- och räckhåll för barn</w:t>
      </w:r>
      <w:r w:rsidR="00500529" w:rsidRPr="00A74CC6">
        <w:rPr>
          <w:lang w:val="sv-SE"/>
        </w:rPr>
        <w:t>.</w:t>
      </w:r>
    </w:p>
    <w:p w14:paraId="46AB2BE5" w14:textId="77777777" w:rsidR="00427179" w:rsidRPr="00A74CC6" w:rsidRDefault="00427179" w:rsidP="00BD1FEA">
      <w:pPr>
        <w:spacing w:after="0" w:line="240" w:lineRule="auto"/>
        <w:rPr>
          <w:lang w:val="sv-SE"/>
        </w:rPr>
      </w:pPr>
    </w:p>
    <w:p w14:paraId="2FBFC456" w14:textId="77777777" w:rsidR="00427179" w:rsidRPr="00A74CC6" w:rsidRDefault="00427179"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27179" w:rsidRPr="00B54089" w14:paraId="04B29E6D" w14:textId="77777777" w:rsidTr="004A019F">
        <w:tc>
          <w:tcPr>
            <w:tcW w:w="9061" w:type="dxa"/>
            <w:shd w:val="clear" w:color="auto" w:fill="auto"/>
          </w:tcPr>
          <w:p w14:paraId="6ADBF068" w14:textId="77777777" w:rsidR="00427179" w:rsidRPr="004A019F" w:rsidRDefault="00427179" w:rsidP="00BD1FEA">
            <w:pPr>
              <w:keepNext/>
              <w:spacing w:after="0" w:line="240" w:lineRule="auto"/>
              <w:ind w:left="567" w:hanging="567"/>
              <w:rPr>
                <w:b/>
                <w:lang w:val="sv-SE"/>
              </w:rPr>
            </w:pPr>
            <w:r w:rsidRPr="004A019F">
              <w:rPr>
                <w:b/>
                <w:lang w:val="sv-SE"/>
              </w:rPr>
              <w:t>7.</w:t>
            </w:r>
            <w:r w:rsidRPr="004A019F">
              <w:rPr>
                <w:b/>
                <w:lang w:val="sv-SE"/>
              </w:rPr>
              <w:tab/>
              <w:t>ÖVRIGA SÄRSKILDA VARNINGAR I FÖREKOMMANDE FALL OM SÅ ÄR</w:t>
            </w:r>
          </w:p>
          <w:p w14:paraId="12A2A578" w14:textId="77777777" w:rsidR="00427179" w:rsidRPr="004A019F" w:rsidRDefault="00427179" w:rsidP="00BD1FEA">
            <w:pPr>
              <w:keepNext/>
              <w:spacing w:after="0" w:line="240" w:lineRule="auto"/>
              <w:ind w:left="567" w:firstLine="30"/>
              <w:rPr>
                <w:b/>
                <w:lang w:val="sv-SE"/>
              </w:rPr>
            </w:pPr>
            <w:r w:rsidRPr="004A019F">
              <w:rPr>
                <w:b/>
                <w:lang w:val="sv-SE"/>
              </w:rPr>
              <w:t>NÖDVÄNDIGT</w:t>
            </w:r>
          </w:p>
        </w:tc>
      </w:tr>
    </w:tbl>
    <w:p w14:paraId="5374670E" w14:textId="77777777" w:rsidR="00427179" w:rsidRPr="00A74CC6" w:rsidRDefault="00427179" w:rsidP="00BD1FEA">
      <w:pPr>
        <w:keepNext/>
        <w:spacing w:after="0" w:line="240" w:lineRule="auto"/>
        <w:rPr>
          <w:lang w:val="sv-SE"/>
        </w:rPr>
      </w:pPr>
    </w:p>
    <w:p w14:paraId="7DFDB946" w14:textId="77777777" w:rsidR="00427179" w:rsidRPr="00A74CC6" w:rsidRDefault="00427179"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27179" w:rsidRPr="00A74CC6" w14:paraId="30E7A68D" w14:textId="77777777" w:rsidTr="004A019F">
        <w:tc>
          <w:tcPr>
            <w:tcW w:w="9061" w:type="dxa"/>
            <w:shd w:val="clear" w:color="auto" w:fill="auto"/>
          </w:tcPr>
          <w:p w14:paraId="09B99DCE" w14:textId="77777777" w:rsidR="00427179" w:rsidRPr="004A019F" w:rsidRDefault="00427179" w:rsidP="00BD1FEA">
            <w:pPr>
              <w:keepNext/>
              <w:spacing w:after="0" w:line="240" w:lineRule="auto"/>
              <w:ind w:left="567" w:hanging="567"/>
              <w:rPr>
                <w:b/>
                <w:lang w:val="sv-SE"/>
              </w:rPr>
            </w:pPr>
            <w:r w:rsidRPr="004A019F">
              <w:rPr>
                <w:b/>
                <w:lang w:val="sv-SE"/>
              </w:rPr>
              <w:t>8.</w:t>
            </w:r>
            <w:r w:rsidRPr="004A019F">
              <w:rPr>
                <w:b/>
                <w:lang w:val="sv-SE"/>
              </w:rPr>
              <w:tab/>
              <w:t>UTGÅNGSDATUM</w:t>
            </w:r>
          </w:p>
        </w:tc>
      </w:tr>
    </w:tbl>
    <w:p w14:paraId="41ED4A56" w14:textId="77777777" w:rsidR="00427179" w:rsidRPr="00A74CC6" w:rsidRDefault="00427179" w:rsidP="00BD1FEA">
      <w:pPr>
        <w:keepNext/>
        <w:spacing w:after="0" w:line="240" w:lineRule="auto"/>
        <w:rPr>
          <w:lang w:val="sv-SE"/>
        </w:rPr>
      </w:pPr>
    </w:p>
    <w:p w14:paraId="47499A49" w14:textId="77777777" w:rsidR="00427179" w:rsidRPr="00A74CC6" w:rsidRDefault="000144F4" w:rsidP="00BD1FEA">
      <w:pPr>
        <w:spacing w:after="0" w:line="240" w:lineRule="auto"/>
        <w:rPr>
          <w:lang w:val="sv-SE"/>
        </w:rPr>
      </w:pPr>
      <w:r w:rsidRPr="00A74CC6">
        <w:rPr>
          <w:lang w:val="sv-SE"/>
        </w:rPr>
        <w:t>EXP</w:t>
      </w:r>
    </w:p>
    <w:p w14:paraId="6DB0C293" w14:textId="77777777" w:rsidR="00427179" w:rsidRPr="00A74CC6" w:rsidRDefault="00427179" w:rsidP="00BD1FEA">
      <w:pPr>
        <w:spacing w:after="0" w:line="240" w:lineRule="auto"/>
        <w:rPr>
          <w:lang w:val="sv-SE"/>
        </w:rPr>
      </w:pPr>
    </w:p>
    <w:p w14:paraId="31257C5C" w14:textId="77777777" w:rsidR="00427179" w:rsidRPr="00A74CC6" w:rsidRDefault="00427179"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27179" w:rsidRPr="00A74CC6" w14:paraId="2F5DAA19" w14:textId="77777777" w:rsidTr="004A019F">
        <w:tc>
          <w:tcPr>
            <w:tcW w:w="9061" w:type="dxa"/>
            <w:shd w:val="clear" w:color="auto" w:fill="auto"/>
          </w:tcPr>
          <w:p w14:paraId="0620B21D" w14:textId="77777777" w:rsidR="00427179" w:rsidRPr="004A019F" w:rsidRDefault="00427179" w:rsidP="00BD1FEA">
            <w:pPr>
              <w:keepNext/>
              <w:spacing w:after="0" w:line="240" w:lineRule="auto"/>
              <w:ind w:left="567" w:hanging="567"/>
              <w:rPr>
                <w:b/>
                <w:lang w:val="sv-SE"/>
              </w:rPr>
            </w:pPr>
            <w:r w:rsidRPr="004A019F">
              <w:rPr>
                <w:b/>
                <w:lang w:val="sv-SE"/>
              </w:rPr>
              <w:t>9.</w:t>
            </w:r>
            <w:r w:rsidRPr="004A019F">
              <w:rPr>
                <w:b/>
                <w:lang w:val="sv-SE"/>
              </w:rPr>
              <w:tab/>
              <w:t>SÄRSKILDA FÖRVARINGSANVISNINGAR</w:t>
            </w:r>
          </w:p>
        </w:tc>
      </w:tr>
    </w:tbl>
    <w:p w14:paraId="37535753" w14:textId="77777777" w:rsidR="00427179" w:rsidRPr="00A74CC6" w:rsidRDefault="00427179" w:rsidP="00BD1FEA">
      <w:pPr>
        <w:keepNext/>
        <w:spacing w:after="0" w:line="240" w:lineRule="auto"/>
        <w:rPr>
          <w:lang w:val="sv-SE"/>
        </w:rPr>
      </w:pPr>
    </w:p>
    <w:p w14:paraId="1349E79E" w14:textId="30477149" w:rsidR="00427179" w:rsidRPr="00A74CC6" w:rsidRDefault="00427179" w:rsidP="00BD1FEA">
      <w:pPr>
        <w:spacing w:after="0" w:line="240" w:lineRule="auto"/>
        <w:rPr>
          <w:lang w:val="sv-SE"/>
        </w:rPr>
      </w:pPr>
      <w:r w:rsidRPr="00A74CC6">
        <w:rPr>
          <w:lang w:val="sv-SE"/>
        </w:rPr>
        <w:t>Förvaras i kylskåp.</w:t>
      </w:r>
      <w:r w:rsidR="001E775B">
        <w:rPr>
          <w:lang w:val="sv-SE"/>
        </w:rPr>
        <w:t xml:space="preserve"> Förvaras i originalförpackningen. Ljuskänsligt.</w:t>
      </w:r>
    </w:p>
    <w:p w14:paraId="1547516C" w14:textId="77777777" w:rsidR="00427179" w:rsidRPr="00A74CC6" w:rsidRDefault="00427179" w:rsidP="00BD1FEA">
      <w:pPr>
        <w:spacing w:after="0" w:line="240" w:lineRule="auto"/>
        <w:rPr>
          <w:lang w:val="sv-SE"/>
        </w:rPr>
      </w:pPr>
    </w:p>
    <w:p w14:paraId="6C0B5879" w14:textId="77777777" w:rsidR="00427179" w:rsidRPr="00A74CC6" w:rsidRDefault="00427179"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27179" w:rsidRPr="00472A6C" w14:paraId="7187E60D" w14:textId="77777777" w:rsidTr="004A019F">
        <w:tc>
          <w:tcPr>
            <w:tcW w:w="9061" w:type="dxa"/>
            <w:shd w:val="clear" w:color="auto" w:fill="auto"/>
          </w:tcPr>
          <w:p w14:paraId="0A4E1BA9" w14:textId="77777777" w:rsidR="00427179" w:rsidRPr="004A019F" w:rsidRDefault="00427179" w:rsidP="00BD1FEA">
            <w:pPr>
              <w:keepNext/>
              <w:spacing w:after="0" w:line="240" w:lineRule="auto"/>
              <w:ind w:left="567" w:hanging="567"/>
              <w:rPr>
                <w:b/>
                <w:lang w:val="sv-SE"/>
              </w:rPr>
            </w:pPr>
            <w:r w:rsidRPr="004A019F">
              <w:rPr>
                <w:b/>
                <w:lang w:val="sv-SE"/>
              </w:rPr>
              <w:lastRenderedPageBreak/>
              <w:t>10.</w:t>
            </w:r>
            <w:r w:rsidRPr="004A019F">
              <w:rPr>
                <w:b/>
                <w:lang w:val="sv-SE"/>
              </w:rPr>
              <w:tab/>
              <w:t>SÄRSKILDA FÖRSIKTIGHETSÅTGÄRDER FÖR DESTRUKTION AV EJ ANVÄNT LÄKEMEDEL OCH AVFALL I FÖREKOMMANDE FALL</w:t>
            </w:r>
          </w:p>
        </w:tc>
      </w:tr>
    </w:tbl>
    <w:p w14:paraId="059181C1" w14:textId="77777777" w:rsidR="00427179" w:rsidRPr="00A74CC6" w:rsidRDefault="00427179" w:rsidP="00BD1FEA">
      <w:pPr>
        <w:keepNext/>
        <w:spacing w:after="0" w:line="240" w:lineRule="auto"/>
        <w:rPr>
          <w:lang w:val="sv-SE"/>
        </w:rPr>
      </w:pPr>
    </w:p>
    <w:p w14:paraId="3A2B747F" w14:textId="77777777" w:rsidR="00427179" w:rsidRPr="00A74CC6" w:rsidRDefault="00427179"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27179" w:rsidRPr="00472A6C" w14:paraId="7EE92E3D" w14:textId="77777777" w:rsidTr="004A019F">
        <w:tc>
          <w:tcPr>
            <w:tcW w:w="9061" w:type="dxa"/>
            <w:shd w:val="clear" w:color="auto" w:fill="auto"/>
          </w:tcPr>
          <w:p w14:paraId="30210C7F" w14:textId="77777777" w:rsidR="00427179" w:rsidRPr="004A019F" w:rsidRDefault="00427179" w:rsidP="00BD1FEA">
            <w:pPr>
              <w:spacing w:after="0" w:line="240" w:lineRule="auto"/>
              <w:ind w:left="567" w:hanging="567"/>
              <w:rPr>
                <w:b/>
                <w:lang w:val="sv-SE"/>
              </w:rPr>
            </w:pPr>
            <w:r w:rsidRPr="004A019F">
              <w:rPr>
                <w:b/>
                <w:lang w:val="sv-SE"/>
              </w:rPr>
              <w:t>11.</w:t>
            </w:r>
            <w:r w:rsidRPr="004A019F">
              <w:rPr>
                <w:b/>
                <w:lang w:val="sv-SE"/>
              </w:rPr>
              <w:tab/>
              <w:t>INNEHAVARE AV GODKÄNNANDE FÖR FÖRSÄLJNING (NAMN OCH ADRESS)</w:t>
            </w:r>
          </w:p>
        </w:tc>
      </w:tr>
    </w:tbl>
    <w:p w14:paraId="529FCCA6" w14:textId="77777777" w:rsidR="00427179" w:rsidRPr="00A74CC6" w:rsidRDefault="00427179" w:rsidP="00BD1FEA">
      <w:pPr>
        <w:spacing w:after="0" w:line="240" w:lineRule="auto"/>
        <w:rPr>
          <w:lang w:val="sv-SE"/>
        </w:rPr>
      </w:pPr>
    </w:p>
    <w:p w14:paraId="577AEB1F" w14:textId="77777777" w:rsidR="00427179" w:rsidRPr="00A74CC6" w:rsidRDefault="00427179" w:rsidP="00BD1FEA">
      <w:pPr>
        <w:spacing w:after="0" w:line="240" w:lineRule="auto"/>
        <w:ind w:hanging="6"/>
        <w:rPr>
          <w:lang w:val="sv-SE"/>
        </w:rPr>
      </w:pPr>
      <w:r w:rsidRPr="00A74CC6">
        <w:rPr>
          <w:lang w:val="sv-SE"/>
        </w:rPr>
        <w:t>Amgen Europe B.V.</w:t>
      </w:r>
    </w:p>
    <w:p w14:paraId="219AF6E7" w14:textId="77777777" w:rsidR="00427179" w:rsidRPr="00A74CC6" w:rsidRDefault="00427179" w:rsidP="00BD1FEA">
      <w:pPr>
        <w:spacing w:after="0" w:line="240" w:lineRule="auto"/>
        <w:ind w:hanging="6"/>
        <w:rPr>
          <w:lang w:val="sv-SE"/>
        </w:rPr>
      </w:pPr>
      <w:r w:rsidRPr="00A74CC6">
        <w:rPr>
          <w:lang w:val="sv-SE"/>
        </w:rPr>
        <w:t>Minervum 7061,</w:t>
      </w:r>
    </w:p>
    <w:p w14:paraId="50FED24F" w14:textId="77777777" w:rsidR="00427179" w:rsidRPr="00A74CC6" w:rsidRDefault="00427179" w:rsidP="00BD1FEA">
      <w:pPr>
        <w:spacing w:after="0" w:line="240" w:lineRule="auto"/>
        <w:ind w:left="4" w:right="13" w:hanging="6"/>
        <w:contextualSpacing/>
        <w:rPr>
          <w:lang w:val="sv-SE"/>
        </w:rPr>
      </w:pPr>
      <w:r w:rsidRPr="00A74CC6">
        <w:rPr>
          <w:lang w:val="sv-SE"/>
        </w:rPr>
        <w:t>NL</w:t>
      </w:r>
      <w:r w:rsidRPr="00A74CC6">
        <w:rPr>
          <w:lang w:val="sv-SE"/>
        </w:rPr>
        <w:noBreakHyphen/>
        <w:t>4817 ZK Breda,</w:t>
      </w:r>
    </w:p>
    <w:p w14:paraId="5AD70B19" w14:textId="77777777" w:rsidR="00427179" w:rsidRPr="00A74CC6" w:rsidRDefault="00427179" w:rsidP="00BD1FEA">
      <w:pPr>
        <w:spacing w:after="0" w:line="240" w:lineRule="auto"/>
        <w:ind w:left="4" w:right="13" w:hanging="6"/>
        <w:contextualSpacing/>
        <w:rPr>
          <w:lang w:val="sv-SE"/>
        </w:rPr>
      </w:pPr>
      <w:r w:rsidRPr="00A74CC6">
        <w:rPr>
          <w:lang w:val="sv-SE"/>
        </w:rPr>
        <w:t>Nederländerna</w:t>
      </w:r>
    </w:p>
    <w:p w14:paraId="06D1953A" w14:textId="77777777" w:rsidR="00427179" w:rsidRPr="00A74CC6" w:rsidRDefault="00427179" w:rsidP="00BD1FEA">
      <w:pPr>
        <w:spacing w:after="0" w:line="240" w:lineRule="auto"/>
        <w:rPr>
          <w:lang w:val="sv-SE"/>
        </w:rPr>
      </w:pPr>
    </w:p>
    <w:p w14:paraId="31568F10" w14:textId="77777777" w:rsidR="00427179" w:rsidRPr="00A74CC6" w:rsidRDefault="00427179"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27179" w:rsidRPr="00472A6C" w14:paraId="07BE4BEA" w14:textId="77777777" w:rsidTr="004A019F">
        <w:tc>
          <w:tcPr>
            <w:tcW w:w="9061" w:type="dxa"/>
            <w:shd w:val="clear" w:color="auto" w:fill="auto"/>
          </w:tcPr>
          <w:p w14:paraId="60BB2D1B" w14:textId="77777777" w:rsidR="00427179" w:rsidRPr="004A019F" w:rsidRDefault="00427179" w:rsidP="00BD1FEA">
            <w:pPr>
              <w:keepNext/>
              <w:spacing w:after="0" w:line="240" w:lineRule="auto"/>
              <w:ind w:left="567" w:hanging="567"/>
              <w:rPr>
                <w:b/>
                <w:lang w:val="sv-SE"/>
              </w:rPr>
            </w:pPr>
            <w:r w:rsidRPr="004A019F">
              <w:rPr>
                <w:b/>
                <w:lang w:val="sv-SE"/>
              </w:rPr>
              <w:t>12.</w:t>
            </w:r>
            <w:r w:rsidRPr="004A019F">
              <w:rPr>
                <w:b/>
                <w:lang w:val="sv-SE"/>
              </w:rPr>
              <w:tab/>
              <w:t>NUMMER PÅ GODKÄNNANDE FÖR FÖRSÄLJNING</w:t>
            </w:r>
          </w:p>
        </w:tc>
      </w:tr>
    </w:tbl>
    <w:p w14:paraId="2A730116" w14:textId="77777777" w:rsidR="00427179" w:rsidRPr="00A74CC6" w:rsidRDefault="00427179" w:rsidP="00BD1FEA">
      <w:pPr>
        <w:keepNext/>
        <w:spacing w:after="0" w:line="240" w:lineRule="auto"/>
        <w:rPr>
          <w:lang w:val="sv-SE"/>
        </w:rPr>
      </w:pPr>
    </w:p>
    <w:p w14:paraId="506B98BB" w14:textId="7C18C39F" w:rsidR="00427179" w:rsidRDefault="00820E3F" w:rsidP="00BD1FEA">
      <w:pPr>
        <w:spacing w:after="0" w:line="240" w:lineRule="auto"/>
        <w:rPr>
          <w:rFonts w:cs="Verdana"/>
        </w:rPr>
      </w:pPr>
      <w:r w:rsidRPr="008A47B3">
        <w:rPr>
          <w:rFonts w:cs="Verdana"/>
        </w:rPr>
        <w:t>EU/1/18/1281/001</w:t>
      </w:r>
    </w:p>
    <w:p w14:paraId="5D1596E2" w14:textId="77777777" w:rsidR="00D54D6C" w:rsidRPr="00A74CC6" w:rsidRDefault="00D54D6C" w:rsidP="00BD1FEA">
      <w:pPr>
        <w:spacing w:after="0" w:line="240" w:lineRule="auto"/>
        <w:rPr>
          <w:lang w:val="sv-SE"/>
        </w:rPr>
      </w:pPr>
    </w:p>
    <w:p w14:paraId="4ACF2688" w14:textId="77777777" w:rsidR="00427179" w:rsidRPr="00A74CC6" w:rsidRDefault="00427179"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27179" w:rsidRPr="00A74CC6" w14:paraId="6DE4E1CB" w14:textId="77777777" w:rsidTr="004A019F">
        <w:tc>
          <w:tcPr>
            <w:tcW w:w="9061" w:type="dxa"/>
            <w:shd w:val="clear" w:color="auto" w:fill="auto"/>
          </w:tcPr>
          <w:p w14:paraId="08061F21" w14:textId="77777777" w:rsidR="00427179" w:rsidRPr="004A019F" w:rsidRDefault="00427179" w:rsidP="00BD1FEA">
            <w:pPr>
              <w:keepNext/>
              <w:spacing w:after="0" w:line="240" w:lineRule="auto"/>
              <w:ind w:left="567" w:hanging="567"/>
              <w:rPr>
                <w:b/>
                <w:lang w:val="sv-SE"/>
              </w:rPr>
            </w:pPr>
            <w:r w:rsidRPr="004A019F">
              <w:rPr>
                <w:b/>
                <w:lang w:val="sv-SE"/>
              </w:rPr>
              <w:t>13.</w:t>
            </w:r>
            <w:r w:rsidRPr="004A019F">
              <w:rPr>
                <w:b/>
                <w:lang w:val="sv-SE"/>
              </w:rPr>
              <w:tab/>
              <w:t>TILLVERKNINGSSATSNUMMER</w:t>
            </w:r>
          </w:p>
        </w:tc>
      </w:tr>
    </w:tbl>
    <w:p w14:paraId="00B71A6B" w14:textId="77777777" w:rsidR="00427179" w:rsidRPr="00A74CC6" w:rsidRDefault="00427179" w:rsidP="00BD1FEA">
      <w:pPr>
        <w:keepNext/>
        <w:spacing w:after="0" w:line="240" w:lineRule="auto"/>
        <w:rPr>
          <w:lang w:val="sv-SE"/>
        </w:rPr>
      </w:pPr>
    </w:p>
    <w:p w14:paraId="0B7D1D1E" w14:textId="77777777" w:rsidR="00427179" w:rsidRPr="00A74CC6" w:rsidRDefault="00427179" w:rsidP="00BD1FEA">
      <w:pPr>
        <w:spacing w:after="0" w:line="240" w:lineRule="auto"/>
        <w:ind w:left="4" w:right="13"/>
        <w:contextualSpacing/>
        <w:rPr>
          <w:lang w:val="sv-SE"/>
        </w:rPr>
      </w:pPr>
      <w:r w:rsidRPr="00A74CC6">
        <w:rPr>
          <w:lang w:val="sv-SE"/>
        </w:rPr>
        <w:t>Lot</w:t>
      </w:r>
    </w:p>
    <w:p w14:paraId="59D2BBC0" w14:textId="77777777" w:rsidR="00427179" w:rsidRPr="00A74CC6" w:rsidRDefault="00427179" w:rsidP="00BD1FEA">
      <w:pPr>
        <w:spacing w:after="0" w:line="240" w:lineRule="auto"/>
        <w:rPr>
          <w:lang w:val="sv-SE"/>
        </w:rPr>
      </w:pPr>
    </w:p>
    <w:p w14:paraId="04798E68" w14:textId="77777777" w:rsidR="00427179" w:rsidRPr="00A74CC6" w:rsidRDefault="00427179"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27179" w:rsidRPr="00A74CC6" w14:paraId="598563A4" w14:textId="77777777" w:rsidTr="004A019F">
        <w:tc>
          <w:tcPr>
            <w:tcW w:w="9061" w:type="dxa"/>
            <w:shd w:val="clear" w:color="auto" w:fill="auto"/>
          </w:tcPr>
          <w:p w14:paraId="4658D8E3" w14:textId="77777777" w:rsidR="00427179" w:rsidRPr="004A019F" w:rsidRDefault="00427179" w:rsidP="00BD1FEA">
            <w:pPr>
              <w:keepNext/>
              <w:spacing w:after="0" w:line="240" w:lineRule="auto"/>
              <w:ind w:left="567" w:hanging="567"/>
              <w:rPr>
                <w:b/>
                <w:lang w:val="sv-SE"/>
              </w:rPr>
            </w:pPr>
            <w:r w:rsidRPr="004A019F">
              <w:rPr>
                <w:b/>
                <w:lang w:val="sv-SE"/>
              </w:rPr>
              <w:t>14.</w:t>
            </w:r>
            <w:r w:rsidRPr="004A019F">
              <w:rPr>
                <w:b/>
                <w:lang w:val="sv-SE"/>
              </w:rPr>
              <w:tab/>
              <w:t>ALLMÄN KLASSIFICERING FÖR FÖRSKRIVNING</w:t>
            </w:r>
          </w:p>
        </w:tc>
      </w:tr>
    </w:tbl>
    <w:p w14:paraId="6D4C68FC" w14:textId="77777777" w:rsidR="00427179" w:rsidRPr="00A74CC6" w:rsidRDefault="00427179" w:rsidP="00BD1FEA">
      <w:pPr>
        <w:keepNext/>
        <w:spacing w:after="0" w:line="240" w:lineRule="auto"/>
        <w:rPr>
          <w:lang w:val="sv-SE"/>
        </w:rPr>
      </w:pPr>
    </w:p>
    <w:p w14:paraId="276486A8" w14:textId="77777777" w:rsidR="00427179" w:rsidRPr="00A74CC6" w:rsidRDefault="00427179"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27179" w:rsidRPr="00A74CC6" w14:paraId="3881C5EE" w14:textId="77777777" w:rsidTr="004A019F">
        <w:tc>
          <w:tcPr>
            <w:tcW w:w="9061" w:type="dxa"/>
            <w:shd w:val="clear" w:color="auto" w:fill="auto"/>
          </w:tcPr>
          <w:p w14:paraId="568E9F4A" w14:textId="77777777" w:rsidR="00427179" w:rsidRPr="004A019F" w:rsidRDefault="00427179" w:rsidP="00BD1FEA">
            <w:pPr>
              <w:keepNext/>
              <w:spacing w:after="0" w:line="240" w:lineRule="auto"/>
              <w:ind w:left="567" w:hanging="567"/>
              <w:rPr>
                <w:b/>
                <w:lang w:val="sv-SE"/>
              </w:rPr>
            </w:pPr>
            <w:r w:rsidRPr="004A019F">
              <w:rPr>
                <w:b/>
                <w:lang w:val="sv-SE"/>
              </w:rPr>
              <w:t>15.</w:t>
            </w:r>
            <w:r w:rsidRPr="004A019F">
              <w:rPr>
                <w:b/>
                <w:lang w:val="sv-SE"/>
              </w:rPr>
              <w:tab/>
              <w:t>BRUKSANVISNING</w:t>
            </w:r>
          </w:p>
        </w:tc>
      </w:tr>
    </w:tbl>
    <w:p w14:paraId="65931273" w14:textId="77777777" w:rsidR="00427179" w:rsidRPr="00A74CC6" w:rsidRDefault="00427179" w:rsidP="00BD1FEA">
      <w:pPr>
        <w:keepNext/>
        <w:spacing w:after="0" w:line="240" w:lineRule="auto"/>
        <w:rPr>
          <w:lang w:val="sv-SE"/>
        </w:rPr>
      </w:pPr>
    </w:p>
    <w:p w14:paraId="5637C18F" w14:textId="77777777" w:rsidR="00427179" w:rsidRPr="00A74CC6" w:rsidRDefault="00427179"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27179" w:rsidRPr="00A74CC6" w14:paraId="67D3E666" w14:textId="77777777" w:rsidTr="004A019F">
        <w:tc>
          <w:tcPr>
            <w:tcW w:w="9061" w:type="dxa"/>
            <w:shd w:val="clear" w:color="auto" w:fill="auto"/>
          </w:tcPr>
          <w:p w14:paraId="3409677D" w14:textId="77777777" w:rsidR="00427179" w:rsidRPr="004A019F" w:rsidRDefault="00427179" w:rsidP="00BD1FEA">
            <w:pPr>
              <w:keepNext/>
              <w:spacing w:after="0" w:line="240" w:lineRule="auto"/>
              <w:ind w:left="567" w:hanging="567"/>
              <w:rPr>
                <w:b/>
                <w:lang w:val="sv-SE"/>
              </w:rPr>
            </w:pPr>
            <w:r w:rsidRPr="004A019F">
              <w:rPr>
                <w:b/>
                <w:lang w:val="sv-SE"/>
              </w:rPr>
              <w:t>16.</w:t>
            </w:r>
            <w:r w:rsidRPr="004A019F">
              <w:rPr>
                <w:b/>
                <w:lang w:val="sv-SE"/>
              </w:rPr>
              <w:tab/>
              <w:t>INFORMATION I PUNKTSKRIFT</w:t>
            </w:r>
          </w:p>
        </w:tc>
      </w:tr>
    </w:tbl>
    <w:p w14:paraId="473AB58A" w14:textId="77777777" w:rsidR="00427179" w:rsidRPr="00A74CC6" w:rsidRDefault="00427179" w:rsidP="00BD1FEA">
      <w:pPr>
        <w:spacing w:after="0" w:line="240" w:lineRule="auto"/>
        <w:ind w:left="0" w:firstLine="0"/>
        <w:rPr>
          <w:lang w:val="sv-SE"/>
        </w:rPr>
      </w:pPr>
    </w:p>
    <w:p w14:paraId="32534AD9" w14:textId="77777777" w:rsidR="00427179" w:rsidRPr="00A74CC6" w:rsidRDefault="00427179"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27179" w:rsidRPr="00A74CC6" w14:paraId="69C004A4" w14:textId="77777777" w:rsidTr="004A019F">
        <w:tc>
          <w:tcPr>
            <w:tcW w:w="9061" w:type="dxa"/>
            <w:shd w:val="clear" w:color="auto" w:fill="auto"/>
          </w:tcPr>
          <w:p w14:paraId="406B26E5" w14:textId="77777777" w:rsidR="00427179" w:rsidRPr="004A019F" w:rsidRDefault="00427179" w:rsidP="00BD1FEA">
            <w:pPr>
              <w:keepNext/>
              <w:spacing w:after="0" w:line="240" w:lineRule="auto"/>
              <w:ind w:left="567" w:hanging="567"/>
              <w:rPr>
                <w:b/>
                <w:lang w:val="sv-SE"/>
              </w:rPr>
            </w:pPr>
            <w:r w:rsidRPr="004A019F">
              <w:rPr>
                <w:b/>
                <w:lang w:val="sv-SE"/>
              </w:rPr>
              <w:t>17.</w:t>
            </w:r>
            <w:r w:rsidRPr="004A019F">
              <w:rPr>
                <w:b/>
                <w:lang w:val="sv-SE"/>
              </w:rPr>
              <w:tab/>
              <w:t>UNIK IDENTITETSBETECKNING – TVÅDIMENSIONELL STRECKKOD</w:t>
            </w:r>
          </w:p>
        </w:tc>
      </w:tr>
    </w:tbl>
    <w:p w14:paraId="067F0589" w14:textId="77777777" w:rsidR="00427179" w:rsidRPr="00A74CC6" w:rsidRDefault="00427179" w:rsidP="00BD1FEA">
      <w:pPr>
        <w:keepNext/>
        <w:spacing w:after="0" w:line="240" w:lineRule="auto"/>
        <w:rPr>
          <w:lang w:val="sv-SE"/>
        </w:rPr>
      </w:pPr>
    </w:p>
    <w:p w14:paraId="52041935" w14:textId="77777777" w:rsidR="00427179" w:rsidRPr="004A019F" w:rsidRDefault="00427179" w:rsidP="00BD1FEA">
      <w:pPr>
        <w:spacing w:after="0" w:line="240" w:lineRule="auto"/>
        <w:rPr>
          <w:rFonts w:eastAsia="Yu Mincho"/>
          <w:color w:val="auto"/>
          <w:lang w:val="sv-SE"/>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27179" w:rsidRPr="00472A6C" w14:paraId="1BA33C6D" w14:textId="77777777" w:rsidTr="004A019F">
        <w:tc>
          <w:tcPr>
            <w:tcW w:w="9061" w:type="dxa"/>
            <w:shd w:val="clear" w:color="auto" w:fill="auto"/>
          </w:tcPr>
          <w:p w14:paraId="0247E830" w14:textId="77777777" w:rsidR="00427179" w:rsidRPr="004A019F" w:rsidRDefault="00427179" w:rsidP="00BD1FEA">
            <w:pPr>
              <w:keepNext/>
              <w:spacing w:after="0" w:line="240" w:lineRule="auto"/>
              <w:ind w:left="567" w:hanging="567"/>
              <w:rPr>
                <w:b/>
                <w:lang w:val="sv-SE"/>
              </w:rPr>
            </w:pPr>
            <w:r w:rsidRPr="004A019F">
              <w:rPr>
                <w:b/>
                <w:lang w:val="sv-SE"/>
              </w:rPr>
              <w:t>18.</w:t>
            </w:r>
            <w:r w:rsidRPr="004A019F">
              <w:rPr>
                <w:b/>
                <w:lang w:val="sv-SE"/>
              </w:rPr>
              <w:tab/>
              <w:t>UNIK IDENTITETSBETECKNING – I ETT FORMAT LÄSBART FÖR MÄNSKLIGT ÖGA</w:t>
            </w:r>
          </w:p>
        </w:tc>
      </w:tr>
    </w:tbl>
    <w:p w14:paraId="3AC75B1A" w14:textId="77777777" w:rsidR="00493D9B" w:rsidRPr="00A74CC6" w:rsidRDefault="00493D9B" w:rsidP="00BD1FEA">
      <w:pPr>
        <w:spacing w:after="0" w:line="240" w:lineRule="auto"/>
        <w:rPr>
          <w:lang w:val="sv-SE"/>
        </w:rPr>
      </w:pPr>
    </w:p>
    <w:p w14:paraId="0CFEBEC7" w14:textId="77777777" w:rsidR="00493D9B" w:rsidRPr="00A74CC6" w:rsidRDefault="00493D9B" w:rsidP="009340B3">
      <w:pPr>
        <w:spacing w:after="0" w:line="240" w:lineRule="auto"/>
        <w:ind w:left="0" w:firstLine="0"/>
        <w:rPr>
          <w:lang w:val="sv-SE"/>
        </w:rPr>
      </w:pPr>
      <w:r w:rsidRPr="00A74CC6">
        <w:rPr>
          <w:lang w:val="sv-S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A74CC6" w14:paraId="2AEBF1EA" w14:textId="77777777" w:rsidTr="004A019F">
        <w:tc>
          <w:tcPr>
            <w:tcW w:w="9061" w:type="dxa"/>
            <w:shd w:val="clear" w:color="auto" w:fill="auto"/>
          </w:tcPr>
          <w:p w14:paraId="23E992F7" w14:textId="18A5B32B" w:rsidR="00493D9B" w:rsidRPr="004A019F" w:rsidRDefault="00493D9B" w:rsidP="00BD1FEA">
            <w:pPr>
              <w:pStyle w:val="ListParagraph"/>
              <w:spacing w:after="0" w:line="240" w:lineRule="auto"/>
              <w:ind w:left="0" w:firstLine="0"/>
              <w:rPr>
                <w:b/>
                <w:bCs/>
                <w:lang w:val="sv-SE"/>
              </w:rPr>
            </w:pPr>
            <w:r w:rsidRPr="004A019F">
              <w:rPr>
                <w:b/>
                <w:bCs/>
                <w:lang w:val="sv-SE"/>
              </w:rPr>
              <w:t>UPPGIFTER SOM SKA FINNAS PÅ YTTRE FÖRPACKNINGEN</w:t>
            </w:r>
          </w:p>
          <w:p w14:paraId="52B7C9D2" w14:textId="77777777" w:rsidR="00493D9B" w:rsidRPr="004A019F" w:rsidRDefault="00493D9B" w:rsidP="00BD1FEA">
            <w:pPr>
              <w:pStyle w:val="ListParagraph"/>
              <w:spacing w:after="0" w:line="240" w:lineRule="auto"/>
              <w:ind w:left="0" w:firstLine="0"/>
              <w:rPr>
                <w:b/>
                <w:bCs/>
                <w:lang w:val="sv-SE"/>
              </w:rPr>
            </w:pPr>
          </w:p>
          <w:p w14:paraId="6FC6710D" w14:textId="77777777" w:rsidR="00493D9B" w:rsidRPr="004A019F" w:rsidRDefault="00493D9B" w:rsidP="00BD1FEA">
            <w:pPr>
              <w:pStyle w:val="ListParagraph"/>
              <w:spacing w:after="0" w:line="240" w:lineRule="auto"/>
              <w:ind w:left="0" w:firstLine="0"/>
              <w:rPr>
                <w:lang w:val="sv-SE"/>
              </w:rPr>
            </w:pPr>
            <w:r w:rsidRPr="004A019F">
              <w:rPr>
                <w:b/>
                <w:bCs/>
                <w:lang w:val="sv-SE"/>
              </w:rPr>
              <w:t>KARTONG</w:t>
            </w:r>
          </w:p>
        </w:tc>
      </w:tr>
    </w:tbl>
    <w:p w14:paraId="38AC70F4" w14:textId="77777777" w:rsidR="00493D9B" w:rsidRPr="00A74CC6" w:rsidRDefault="00493D9B" w:rsidP="00BD1FEA">
      <w:pPr>
        <w:spacing w:after="0" w:line="240" w:lineRule="auto"/>
        <w:rPr>
          <w:lang w:val="sv-SE"/>
        </w:rPr>
      </w:pPr>
    </w:p>
    <w:p w14:paraId="4A761D67" w14:textId="77777777" w:rsidR="00493D9B" w:rsidRPr="00A74CC6" w:rsidRDefault="00493D9B"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A74CC6" w14:paraId="739B482E" w14:textId="77777777" w:rsidTr="004A019F">
        <w:tc>
          <w:tcPr>
            <w:tcW w:w="9061" w:type="dxa"/>
            <w:shd w:val="clear" w:color="auto" w:fill="auto"/>
          </w:tcPr>
          <w:p w14:paraId="3052CD50" w14:textId="77777777" w:rsidR="00493D9B" w:rsidRPr="004A019F" w:rsidRDefault="00493D9B" w:rsidP="00BD1FEA">
            <w:pPr>
              <w:keepNext/>
              <w:spacing w:after="0" w:line="240" w:lineRule="auto"/>
              <w:ind w:left="567" w:hanging="567"/>
              <w:rPr>
                <w:b/>
                <w:lang w:val="sv-SE"/>
              </w:rPr>
            </w:pPr>
            <w:r w:rsidRPr="004A019F">
              <w:rPr>
                <w:b/>
                <w:lang w:val="sv-SE"/>
              </w:rPr>
              <w:t>1.</w:t>
            </w:r>
            <w:r w:rsidRPr="004A019F">
              <w:rPr>
                <w:b/>
                <w:lang w:val="sv-SE"/>
              </w:rPr>
              <w:tab/>
              <w:t>LÄKEMEDLETS NAMN</w:t>
            </w:r>
          </w:p>
        </w:tc>
      </w:tr>
    </w:tbl>
    <w:p w14:paraId="272D0FEA" w14:textId="77777777" w:rsidR="00493D9B" w:rsidRPr="00A74CC6" w:rsidRDefault="00493D9B" w:rsidP="00BD1FEA">
      <w:pPr>
        <w:keepNext/>
        <w:spacing w:after="0" w:line="240" w:lineRule="auto"/>
        <w:rPr>
          <w:lang w:val="sv-SE"/>
        </w:rPr>
      </w:pPr>
    </w:p>
    <w:p w14:paraId="06C83996" w14:textId="77777777" w:rsidR="00493D9B" w:rsidRPr="00A74CC6" w:rsidRDefault="00493D9B" w:rsidP="00BD1FEA">
      <w:pPr>
        <w:spacing w:after="0" w:line="240" w:lineRule="auto"/>
        <w:ind w:left="4" w:right="13"/>
        <w:contextualSpacing/>
        <w:rPr>
          <w:lang w:val="sv-SE"/>
        </w:rPr>
      </w:pPr>
      <w:r w:rsidRPr="00A74CC6">
        <w:rPr>
          <w:lang w:val="sv-SE"/>
        </w:rPr>
        <w:t>KANJINTI 420 mg pulver till koncentrat till infusionsvätska, lösning</w:t>
      </w:r>
    </w:p>
    <w:p w14:paraId="4A55DE19" w14:textId="27D74A38" w:rsidR="00493D9B" w:rsidRPr="00A74CC6" w:rsidRDefault="00500529" w:rsidP="00BD1FEA">
      <w:pPr>
        <w:spacing w:after="0" w:line="240" w:lineRule="auto"/>
        <w:rPr>
          <w:lang w:val="sv-SE"/>
        </w:rPr>
      </w:pPr>
      <w:r w:rsidRPr="00A74CC6">
        <w:rPr>
          <w:lang w:val="sv-SE"/>
        </w:rPr>
        <w:t>t</w:t>
      </w:r>
      <w:r w:rsidR="00493D9B" w:rsidRPr="00A74CC6">
        <w:rPr>
          <w:lang w:val="sv-SE"/>
        </w:rPr>
        <w:t>rastuzumab</w:t>
      </w:r>
    </w:p>
    <w:p w14:paraId="5B363E2C" w14:textId="77777777" w:rsidR="00493D9B" w:rsidRPr="00A74CC6" w:rsidRDefault="00493D9B" w:rsidP="00BD1FEA">
      <w:pPr>
        <w:spacing w:after="0" w:line="240" w:lineRule="auto"/>
        <w:rPr>
          <w:lang w:val="sv-SE"/>
        </w:rPr>
      </w:pPr>
    </w:p>
    <w:p w14:paraId="4AFBF6B3" w14:textId="77777777" w:rsidR="00493D9B" w:rsidRPr="00A74CC6" w:rsidRDefault="00493D9B"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49523A" w14:paraId="4AEDB42E" w14:textId="77777777" w:rsidTr="004A019F">
        <w:tc>
          <w:tcPr>
            <w:tcW w:w="9061" w:type="dxa"/>
            <w:shd w:val="clear" w:color="auto" w:fill="auto"/>
          </w:tcPr>
          <w:p w14:paraId="3F340D44" w14:textId="77777777" w:rsidR="00493D9B" w:rsidRPr="004A019F" w:rsidRDefault="00493D9B" w:rsidP="00BD1FEA">
            <w:pPr>
              <w:keepNext/>
              <w:spacing w:after="0" w:line="240" w:lineRule="auto"/>
              <w:ind w:left="567" w:hanging="567"/>
              <w:rPr>
                <w:b/>
                <w:lang w:val="nb-NO"/>
              </w:rPr>
            </w:pPr>
            <w:r w:rsidRPr="004A019F">
              <w:rPr>
                <w:b/>
                <w:lang w:val="nb-NO"/>
              </w:rPr>
              <w:t>2.</w:t>
            </w:r>
            <w:r w:rsidRPr="004A019F">
              <w:rPr>
                <w:b/>
                <w:lang w:val="nb-NO"/>
              </w:rPr>
              <w:tab/>
              <w:t>DEKLARATION AV AKTIV(A) SUBSTANS(ER)</w:t>
            </w:r>
          </w:p>
        </w:tc>
      </w:tr>
    </w:tbl>
    <w:p w14:paraId="1C2637AF" w14:textId="77777777" w:rsidR="00493D9B" w:rsidRPr="008763E6" w:rsidRDefault="00493D9B" w:rsidP="00BD1FEA">
      <w:pPr>
        <w:keepNext/>
        <w:spacing w:after="0" w:line="240" w:lineRule="auto"/>
        <w:rPr>
          <w:lang w:val="nb-NO"/>
        </w:rPr>
      </w:pPr>
    </w:p>
    <w:p w14:paraId="0132E86E" w14:textId="77777777" w:rsidR="00493D9B" w:rsidRPr="00A74CC6" w:rsidRDefault="00493D9B" w:rsidP="00BD1FEA">
      <w:pPr>
        <w:spacing w:after="0" w:line="240" w:lineRule="auto"/>
        <w:rPr>
          <w:lang w:val="sv-SE"/>
        </w:rPr>
      </w:pPr>
      <w:r w:rsidRPr="00A74CC6">
        <w:rPr>
          <w:lang w:val="sv-SE"/>
        </w:rPr>
        <w:t>Injektionsflaskan innehåller 420 mg trastuzumab.</w:t>
      </w:r>
    </w:p>
    <w:p w14:paraId="190B6BC0" w14:textId="77777777" w:rsidR="00493D9B" w:rsidRPr="00A74CC6" w:rsidRDefault="00493D9B" w:rsidP="00BD1FEA">
      <w:pPr>
        <w:spacing w:after="0" w:line="240" w:lineRule="auto"/>
        <w:rPr>
          <w:lang w:val="sv-SE"/>
        </w:rPr>
      </w:pPr>
      <w:r w:rsidRPr="00A74CC6">
        <w:rPr>
          <w:lang w:val="sv-SE"/>
        </w:rPr>
        <w:t>1 ml koncentrat innehåller efter beredning 21 mg trastuzumab.</w:t>
      </w:r>
    </w:p>
    <w:p w14:paraId="66316989" w14:textId="77777777" w:rsidR="00493D9B" w:rsidRPr="00A74CC6" w:rsidRDefault="00493D9B" w:rsidP="00BD1FEA">
      <w:pPr>
        <w:spacing w:after="0" w:line="240" w:lineRule="auto"/>
        <w:rPr>
          <w:lang w:val="sv-SE"/>
        </w:rPr>
      </w:pPr>
    </w:p>
    <w:p w14:paraId="10AA885F" w14:textId="77777777" w:rsidR="00493D9B" w:rsidRPr="00A74CC6" w:rsidRDefault="00493D9B"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A74CC6" w14:paraId="6AF591B9" w14:textId="77777777" w:rsidTr="004A019F">
        <w:tc>
          <w:tcPr>
            <w:tcW w:w="9061" w:type="dxa"/>
            <w:shd w:val="clear" w:color="auto" w:fill="auto"/>
          </w:tcPr>
          <w:p w14:paraId="793E6D57" w14:textId="77777777" w:rsidR="00493D9B" w:rsidRPr="004A019F" w:rsidRDefault="00493D9B" w:rsidP="00BD1FEA">
            <w:pPr>
              <w:keepNext/>
              <w:spacing w:after="0" w:line="240" w:lineRule="auto"/>
              <w:ind w:left="567" w:hanging="567"/>
              <w:rPr>
                <w:b/>
                <w:lang w:val="sv-SE"/>
              </w:rPr>
            </w:pPr>
            <w:r w:rsidRPr="004A019F">
              <w:rPr>
                <w:b/>
                <w:lang w:val="sv-SE"/>
              </w:rPr>
              <w:t>3.</w:t>
            </w:r>
            <w:r w:rsidRPr="004A019F">
              <w:rPr>
                <w:b/>
                <w:lang w:val="sv-SE"/>
              </w:rPr>
              <w:tab/>
              <w:t>FÖRTECKNING ÖVER HJÄLPÄMNEN</w:t>
            </w:r>
          </w:p>
        </w:tc>
      </w:tr>
    </w:tbl>
    <w:p w14:paraId="69E44E6E" w14:textId="77777777" w:rsidR="00493D9B" w:rsidRPr="00A74CC6" w:rsidRDefault="00493D9B" w:rsidP="00BD1FEA">
      <w:pPr>
        <w:keepNext/>
        <w:spacing w:after="0" w:line="240" w:lineRule="auto"/>
        <w:rPr>
          <w:lang w:val="sv-SE"/>
        </w:rPr>
      </w:pPr>
    </w:p>
    <w:p w14:paraId="76A1C546" w14:textId="4C22B091" w:rsidR="00493D9B" w:rsidRPr="00A74CC6" w:rsidRDefault="00493D9B" w:rsidP="00BD1FEA">
      <w:pPr>
        <w:spacing w:after="0" w:line="240" w:lineRule="auto"/>
        <w:rPr>
          <w:lang w:val="sv-SE"/>
        </w:rPr>
      </w:pPr>
      <w:r w:rsidRPr="00A74CC6">
        <w:rPr>
          <w:lang w:val="sv-SE"/>
        </w:rPr>
        <w:t xml:space="preserve">Hjälpämnen: </w:t>
      </w:r>
      <w:r w:rsidR="001E775B">
        <w:rPr>
          <w:lang w:val="sv-SE"/>
        </w:rPr>
        <w:t xml:space="preserve">histidin, </w:t>
      </w:r>
      <w:r w:rsidR="00AB5B0D">
        <w:rPr>
          <w:lang w:val="sv-SE"/>
        </w:rPr>
        <w:t>histidinhydrokloridmonohydrat</w:t>
      </w:r>
      <w:r w:rsidR="001E775B">
        <w:rPr>
          <w:lang w:val="sv-SE"/>
        </w:rPr>
        <w:t xml:space="preserve">, </w:t>
      </w:r>
      <w:r w:rsidR="001E775B" w:rsidRPr="00A74CC6">
        <w:rPr>
          <w:lang w:val="sv-SE"/>
        </w:rPr>
        <w:t>trehalosdihydrat</w:t>
      </w:r>
      <w:r w:rsidRPr="00A74CC6">
        <w:rPr>
          <w:lang w:val="sv-SE"/>
        </w:rPr>
        <w:t>, polysorbat</w:t>
      </w:r>
      <w:r w:rsidR="00500529" w:rsidRPr="00A74CC6">
        <w:rPr>
          <w:lang w:val="sv-SE"/>
        </w:rPr>
        <w:t> </w:t>
      </w:r>
      <w:r w:rsidRPr="00A74CC6">
        <w:rPr>
          <w:lang w:val="sv-SE"/>
        </w:rPr>
        <w:t>20.</w:t>
      </w:r>
    </w:p>
    <w:p w14:paraId="3719FD2D" w14:textId="77777777" w:rsidR="00493D9B" w:rsidRPr="00A74CC6" w:rsidRDefault="00493D9B" w:rsidP="00BD1FEA">
      <w:pPr>
        <w:spacing w:after="0" w:line="240" w:lineRule="auto"/>
        <w:rPr>
          <w:lang w:val="sv-SE"/>
        </w:rPr>
      </w:pPr>
    </w:p>
    <w:p w14:paraId="7B126CCE" w14:textId="77777777" w:rsidR="00493D9B" w:rsidRPr="00A74CC6" w:rsidRDefault="00493D9B"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A74CC6" w14:paraId="48BBE973" w14:textId="77777777" w:rsidTr="004A019F">
        <w:tc>
          <w:tcPr>
            <w:tcW w:w="9061" w:type="dxa"/>
            <w:shd w:val="clear" w:color="auto" w:fill="auto"/>
          </w:tcPr>
          <w:p w14:paraId="0CE5034A" w14:textId="77777777" w:rsidR="00493D9B" w:rsidRPr="004A019F" w:rsidRDefault="00493D9B" w:rsidP="00BD1FEA">
            <w:pPr>
              <w:keepNext/>
              <w:spacing w:after="0" w:line="240" w:lineRule="auto"/>
              <w:ind w:left="567" w:hanging="567"/>
              <w:rPr>
                <w:b/>
                <w:lang w:val="sv-SE"/>
              </w:rPr>
            </w:pPr>
            <w:r w:rsidRPr="004A019F">
              <w:rPr>
                <w:b/>
                <w:lang w:val="sv-SE"/>
              </w:rPr>
              <w:t>4.</w:t>
            </w:r>
            <w:r w:rsidRPr="004A019F">
              <w:rPr>
                <w:b/>
                <w:lang w:val="sv-SE"/>
              </w:rPr>
              <w:tab/>
              <w:t>LÄKEMEDELSFORM OCH FÖRPACKNINGSSTORLEK</w:t>
            </w:r>
          </w:p>
        </w:tc>
      </w:tr>
    </w:tbl>
    <w:p w14:paraId="6BF7CA20" w14:textId="77777777" w:rsidR="00493D9B" w:rsidRPr="00A74CC6" w:rsidRDefault="00493D9B" w:rsidP="00BD1FEA">
      <w:pPr>
        <w:keepNext/>
        <w:spacing w:after="0" w:line="240" w:lineRule="auto"/>
        <w:rPr>
          <w:lang w:val="sv-SE"/>
        </w:rPr>
      </w:pPr>
    </w:p>
    <w:p w14:paraId="1C12164D" w14:textId="77777777" w:rsidR="00493D9B" w:rsidRPr="00A74CC6" w:rsidRDefault="00493D9B" w:rsidP="00BD1FEA">
      <w:pPr>
        <w:spacing w:after="0" w:line="240" w:lineRule="auto"/>
        <w:ind w:left="0" w:right="13" w:firstLine="0"/>
        <w:contextualSpacing/>
        <w:rPr>
          <w:lang w:val="sv-SE"/>
        </w:rPr>
      </w:pPr>
      <w:r>
        <w:rPr>
          <w:highlight w:val="lightGray"/>
          <w:lang w:val="sv-SE"/>
        </w:rPr>
        <w:t>Pulver till koncentrat till infusionsvätska, lösning</w:t>
      </w:r>
    </w:p>
    <w:p w14:paraId="7CEE585E" w14:textId="59AC15C8" w:rsidR="00493D9B" w:rsidRPr="00A74CC6" w:rsidRDefault="00493D9B" w:rsidP="00BD1FEA">
      <w:pPr>
        <w:spacing w:after="0" w:line="240" w:lineRule="auto"/>
        <w:ind w:left="0" w:right="13" w:firstLine="0"/>
        <w:contextualSpacing/>
        <w:rPr>
          <w:lang w:val="sv-SE"/>
        </w:rPr>
      </w:pPr>
      <w:r w:rsidRPr="00A74CC6">
        <w:rPr>
          <w:lang w:val="sv-SE"/>
        </w:rPr>
        <w:t>1</w:t>
      </w:r>
      <w:r w:rsidR="00500529" w:rsidRPr="00A74CC6">
        <w:rPr>
          <w:lang w:val="sv-SE"/>
        </w:rPr>
        <w:t> </w:t>
      </w:r>
      <w:r w:rsidRPr="00A74CC6">
        <w:rPr>
          <w:lang w:val="sv-SE"/>
        </w:rPr>
        <w:t>injektionsflaska</w:t>
      </w:r>
    </w:p>
    <w:p w14:paraId="5EC10A87" w14:textId="77777777" w:rsidR="00493D9B" w:rsidRPr="00A74CC6" w:rsidRDefault="00493D9B" w:rsidP="00BD1FEA">
      <w:pPr>
        <w:spacing w:after="0" w:line="240" w:lineRule="auto"/>
        <w:rPr>
          <w:lang w:val="sv-SE"/>
        </w:rPr>
      </w:pPr>
    </w:p>
    <w:p w14:paraId="2EBDCAF7" w14:textId="77777777" w:rsidR="00493D9B" w:rsidRPr="00A74CC6" w:rsidRDefault="00493D9B"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A74CC6" w14:paraId="6722D904" w14:textId="77777777" w:rsidTr="004A019F">
        <w:tc>
          <w:tcPr>
            <w:tcW w:w="9061" w:type="dxa"/>
            <w:shd w:val="clear" w:color="auto" w:fill="auto"/>
          </w:tcPr>
          <w:p w14:paraId="42202B1D" w14:textId="77777777" w:rsidR="00493D9B" w:rsidRPr="004A019F" w:rsidRDefault="00493D9B" w:rsidP="00BD1FEA">
            <w:pPr>
              <w:keepNext/>
              <w:spacing w:after="0" w:line="240" w:lineRule="auto"/>
              <w:ind w:left="567" w:hanging="567"/>
              <w:rPr>
                <w:b/>
                <w:lang w:val="sv-SE"/>
              </w:rPr>
            </w:pPr>
            <w:r w:rsidRPr="004A019F">
              <w:rPr>
                <w:b/>
                <w:lang w:val="sv-SE"/>
              </w:rPr>
              <w:t>5.</w:t>
            </w:r>
            <w:r w:rsidRPr="004A019F">
              <w:rPr>
                <w:b/>
                <w:lang w:val="sv-SE"/>
              </w:rPr>
              <w:tab/>
              <w:t>ADMINISTRERINGSSÄTT OCH ADMINISTRERINGSVÄG</w:t>
            </w:r>
          </w:p>
        </w:tc>
      </w:tr>
    </w:tbl>
    <w:p w14:paraId="3EEC545B" w14:textId="77777777" w:rsidR="00493D9B" w:rsidRPr="00A74CC6" w:rsidRDefault="00493D9B" w:rsidP="00BD1FEA">
      <w:pPr>
        <w:keepNext/>
        <w:spacing w:after="0" w:line="240" w:lineRule="auto"/>
        <w:rPr>
          <w:lang w:val="sv-SE"/>
        </w:rPr>
      </w:pPr>
    </w:p>
    <w:p w14:paraId="0B6D021A" w14:textId="77777777" w:rsidR="00493D9B" w:rsidRPr="00A74CC6" w:rsidRDefault="00493D9B" w:rsidP="00BD1FEA">
      <w:pPr>
        <w:spacing w:after="0" w:line="240" w:lineRule="auto"/>
        <w:ind w:left="4" w:right="13"/>
        <w:contextualSpacing/>
        <w:rPr>
          <w:lang w:val="sv-SE"/>
        </w:rPr>
      </w:pPr>
      <w:r w:rsidRPr="00A74CC6">
        <w:rPr>
          <w:lang w:val="sv-SE"/>
        </w:rPr>
        <w:t>För intravenös användning efter beredning och spädning</w:t>
      </w:r>
      <w:r w:rsidR="00500529" w:rsidRPr="00A74CC6">
        <w:rPr>
          <w:lang w:val="sv-SE"/>
        </w:rPr>
        <w:t>.</w:t>
      </w:r>
    </w:p>
    <w:p w14:paraId="6FF64728" w14:textId="77777777" w:rsidR="00493D9B" w:rsidRPr="00A74CC6" w:rsidRDefault="00493D9B" w:rsidP="00BD1FEA">
      <w:pPr>
        <w:spacing w:after="0" w:line="240" w:lineRule="auto"/>
        <w:ind w:left="4" w:right="13"/>
        <w:contextualSpacing/>
        <w:rPr>
          <w:lang w:val="sv-SE"/>
        </w:rPr>
      </w:pPr>
      <w:r w:rsidRPr="00A74CC6">
        <w:rPr>
          <w:lang w:val="sv-SE"/>
        </w:rPr>
        <w:t>Läs bipacksedeln före användning</w:t>
      </w:r>
      <w:r w:rsidR="00500529" w:rsidRPr="00A74CC6">
        <w:rPr>
          <w:lang w:val="sv-SE"/>
        </w:rPr>
        <w:t>.</w:t>
      </w:r>
    </w:p>
    <w:p w14:paraId="5614ADB6" w14:textId="77777777" w:rsidR="00493D9B" w:rsidRPr="00A74CC6" w:rsidRDefault="00493D9B" w:rsidP="00BD1FEA">
      <w:pPr>
        <w:spacing w:after="0" w:line="240" w:lineRule="auto"/>
        <w:rPr>
          <w:lang w:val="sv-SE"/>
        </w:rPr>
      </w:pPr>
    </w:p>
    <w:p w14:paraId="7258F369" w14:textId="77777777" w:rsidR="00493D9B" w:rsidRPr="00A74CC6" w:rsidRDefault="00493D9B"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472A6C" w14:paraId="74ED4A53" w14:textId="77777777" w:rsidTr="004A019F">
        <w:tc>
          <w:tcPr>
            <w:tcW w:w="9061" w:type="dxa"/>
            <w:shd w:val="clear" w:color="auto" w:fill="auto"/>
          </w:tcPr>
          <w:p w14:paraId="597EEA3F" w14:textId="77777777" w:rsidR="00493D9B" w:rsidRPr="004A019F" w:rsidRDefault="00493D9B" w:rsidP="00BD1FEA">
            <w:pPr>
              <w:keepNext/>
              <w:spacing w:after="0" w:line="240" w:lineRule="auto"/>
              <w:ind w:left="567" w:hanging="567"/>
              <w:rPr>
                <w:b/>
                <w:lang w:val="sv-SE"/>
              </w:rPr>
            </w:pPr>
            <w:r w:rsidRPr="004A019F">
              <w:rPr>
                <w:b/>
                <w:lang w:val="sv-SE"/>
              </w:rPr>
              <w:t>6.</w:t>
            </w:r>
            <w:r w:rsidRPr="004A019F">
              <w:rPr>
                <w:b/>
                <w:lang w:val="sv-SE"/>
              </w:rPr>
              <w:tab/>
              <w:t>SÄRSKILD VARNING OM ATT LÄKEMEDLET MÅSTE FÖRVARAS UTOM SYN-OCH RÄCKHÅLL FÖR BARN</w:t>
            </w:r>
          </w:p>
        </w:tc>
      </w:tr>
    </w:tbl>
    <w:p w14:paraId="4E495161" w14:textId="77777777" w:rsidR="00493D9B" w:rsidRPr="00A74CC6" w:rsidRDefault="00493D9B" w:rsidP="00BD1FEA">
      <w:pPr>
        <w:keepNext/>
        <w:spacing w:after="0" w:line="240" w:lineRule="auto"/>
        <w:rPr>
          <w:lang w:val="sv-SE"/>
        </w:rPr>
      </w:pPr>
    </w:p>
    <w:p w14:paraId="6DC3E08F" w14:textId="77777777" w:rsidR="00493D9B" w:rsidRPr="00A74CC6" w:rsidRDefault="00493D9B" w:rsidP="00BD1FEA">
      <w:pPr>
        <w:spacing w:after="0" w:line="240" w:lineRule="auto"/>
        <w:rPr>
          <w:lang w:val="sv-SE"/>
        </w:rPr>
      </w:pPr>
      <w:r w:rsidRPr="00A74CC6">
        <w:rPr>
          <w:lang w:val="sv-SE"/>
        </w:rPr>
        <w:t>Förvaras utom syn- och räckhåll för barn</w:t>
      </w:r>
      <w:r w:rsidR="00500529" w:rsidRPr="00A74CC6">
        <w:rPr>
          <w:lang w:val="sv-SE"/>
        </w:rPr>
        <w:t>.</w:t>
      </w:r>
    </w:p>
    <w:p w14:paraId="0E8AC47D" w14:textId="77777777" w:rsidR="00493D9B" w:rsidRPr="00A74CC6" w:rsidRDefault="00493D9B" w:rsidP="00BD1FEA">
      <w:pPr>
        <w:spacing w:after="0" w:line="240" w:lineRule="auto"/>
        <w:rPr>
          <w:lang w:val="sv-SE"/>
        </w:rPr>
      </w:pPr>
    </w:p>
    <w:p w14:paraId="7CA0B0AB" w14:textId="77777777" w:rsidR="00493D9B" w:rsidRPr="00A74CC6" w:rsidRDefault="00493D9B"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B54089" w14:paraId="088A2716" w14:textId="77777777" w:rsidTr="004A019F">
        <w:tc>
          <w:tcPr>
            <w:tcW w:w="9061" w:type="dxa"/>
            <w:shd w:val="clear" w:color="auto" w:fill="auto"/>
          </w:tcPr>
          <w:p w14:paraId="3BA69857" w14:textId="77777777" w:rsidR="00493D9B" w:rsidRPr="004A019F" w:rsidRDefault="00493D9B" w:rsidP="00BD1FEA">
            <w:pPr>
              <w:keepNext/>
              <w:spacing w:after="0" w:line="240" w:lineRule="auto"/>
              <w:ind w:left="567" w:hanging="567"/>
              <w:rPr>
                <w:b/>
                <w:lang w:val="sv-SE"/>
              </w:rPr>
            </w:pPr>
            <w:r w:rsidRPr="004A019F">
              <w:rPr>
                <w:b/>
                <w:lang w:val="sv-SE"/>
              </w:rPr>
              <w:t>7.</w:t>
            </w:r>
            <w:r w:rsidRPr="004A019F">
              <w:rPr>
                <w:b/>
                <w:lang w:val="sv-SE"/>
              </w:rPr>
              <w:tab/>
              <w:t>ÖVRIGA SÄRSKILDA VARNINGAR I FÖREKOMMANDE FALL OM SÅ ÄR</w:t>
            </w:r>
          </w:p>
          <w:p w14:paraId="012F2424" w14:textId="77777777" w:rsidR="00493D9B" w:rsidRPr="004A019F" w:rsidRDefault="00493D9B" w:rsidP="00BD1FEA">
            <w:pPr>
              <w:keepNext/>
              <w:spacing w:after="0" w:line="240" w:lineRule="auto"/>
              <w:ind w:left="567" w:firstLine="30"/>
              <w:rPr>
                <w:b/>
                <w:lang w:val="sv-SE"/>
              </w:rPr>
            </w:pPr>
            <w:r w:rsidRPr="004A019F">
              <w:rPr>
                <w:b/>
                <w:lang w:val="sv-SE"/>
              </w:rPr>
              <w:t>NÖDVÄNDIGT</w:t>
            </w:r>
          </w:p>
        </w:tc>
      </w:tr>
    </w:tbl>
    <w:p w14:paraId="370A3EB3" w14:textId="77777777" w:rsidR="00493D9B" w:rsidRPr="00A74CC6" w:rsidRDefault="00493D9B" w:rsidP="00BD1FEA">
      <w:pPr>
        <w:keepNext/>
        <w:spacing w:after="0" w:line="240" w:lineRule="auto"/>
        <w:rPr>
          <w:lang w:val="sv-SE"/>
        </w:rPr>
      </w:pPr>
    </w:p>
    <w:p w14:paraId="152974FA" w14:textId="77777777" w:rsidR="00493D9B" w:rsidRPr="00A74CC6" w:rsidRDefault="00493D9B"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A74CC6" w14:paraId="322AF1E1" w14:textId="77777777" w:rsidTr="004A019F">
        <w:tc>
          <w:tcPr>
            <w:tcW w:w="9061" w:type="dxa"/>
            <w:shd w:val="clear" w:color="auto" w:fill="auto"/>
          </w:tcPr>
          <w:p w14:paraId="72794A79" w14:textId="77777777" w:rsidR="00493D9B" w:rsidRPr="004A019F" w:rsidRDefault="00493D9B" w:rsidP="00BD1FEA">
            <w:pPr>
              <w:keepNext/>
              <w:spacing w:after="0" w:line="240" w:lineRule="auto"/>
              <w:ind w:left="567" w:hanging="567"/>
              <w:rPr>
                <w:b/>
                <w:lang w:val="sv-SE"/>
              </w:rPr>
            </w:pPr>
            <w:r w:rsidRPr="004A019F">
              <w:rPr>
                <w:b/>
                <w:lang w:val="sv-SE"/>
              </w:rPr>
              <w:t>8.</w:t>
            </w:r>
            <w:r w:rsidRPr="004A019F">
              <w:rPr>
                <w:b/>
                <w:lang w:val="sv-SE"/>
              </w:rPr>
              <w:tab/>
              <w:t>UTGÅNGSDATUM</w:t>
            </w:r>
          </w:p>
        </w:tc>
      </w:tr>
    </w:tbl>
    <w:p w14:paraId="348E0A33" w14:textId="77777777" w:rsidR="00493D9B" w:rsidRPr="00A74CC6" w:rsidRDefault="00493D9B" w:rsidP="00BD1FEA">
      <w:pPr>
        <w:keepNext/>
        <w:spacing w:after="0" w:line="240" w:lineRule="auto"/>
        <w:rPr>
          <w:lang w:val="sv-SE"/>
        </w:rPr>
      </w:pPr>
    </w:p>
    <w:p w14:paraId="482A089D" w14:textId="4685348A" w:rsidR="00493D9B" w:rsidRPr="00A74CC6" w:rsidRDefault="001B4D9F" w:rsidP="00BD1FEA">
      <w:pPr>
        <w:spacing w:after="0" w:line="240" w:lineRule="auto"/>
        <w:rPr>
          <w:lang w:val="sv-SE"/>
        </w:rPr>
      </w:pPr>
      <w:r>
        <w:rPr>
          <w:lang w:val="sv-SE"/>
        </w:rPr>
        <w:t>EXP</w:t>
      </w:r>
    </w:p>
    <w:p w14:paraId="0F9950D2" w14:textId="77777777" w:rsidR="00493D9B" w:rsidRPr="00A74CC6" w:rsidRDefault="00493D9B" w:rsidP="00BD1FEA">
      <w:pPr>
        <w:spacing w:after="0" w:line="240" w:lineRule="auto"/>
        <w:rPr>
          <w:lang w:val="sv-SE"/>
        </w:rPr>
      </w:pPr>
    </w:p>
    <w:p w14:paraId="07BE3D58" w14:textId="77777777" w:rsidR="00493D9B" w:rsidRPr="00A74CC6" w:rsidRDefault="00493D9B"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A74CC6" w14:paraId="5353DD78" w14:textId="77777777" w:rsidTr="004A019F">
        <w:tc>
          <w:tcPr>
            <w:tcW w:w="9061" w:type="dxa"/>
            <w:shd w:val="clear" w:color="auto" w:fill="auto"/>
          </w:tcPr>
          <w:p w14:paraId="2843FD29" w14:textId="77777777" w:rsidR="00493D9B" w:rsidRPr="004A019F" w:rsidRDefault="00493D9B" w:rsidP="00BD1FEA">
            <w:pPr>
              <w:keepNext/>
              <w:spacing w:after="0" w:line="240" w:lineRule="auto"/>
              <w:ind w:left="567" w:hanging="567"/>
              <w:rPr>
                <w:b/>
                <w:lang w:val="sv-SE"/>
              </w:rPr>
            </w:pPr>
            <w:r w:rsidRPr="004A019F">
              <w:rPr>
                <w:b/>
                <w:lang w:val="sv-SE"/>
              </w:rPr>
              <w:t>9.</w:t>
            </w:r>
            <w:r w:rsidRPr="004A019F">
              <w:rPr>
                <w:b/>
                <w:lang w:val="sv-SE"/>
              </w:rPr>
              <w:tab/>
              <w:t>SÄRSKILDA FÖRVARINGSANVISNINGAR</w:t>
            </w:r>
          </w:p>
        </w:tc>
      </w:tr>
    </w:tbl>
    <w:p w14:paraId="53641AAF" w14:textId="77777777" w:rsidR="00493D9B" w:rsidRPr="00A74CC6" w:rsidRDefault="00493D9B" w:rsidP="00BD1FEA">
      <w:pPr>
        <w:keepNext/>
        <w:spacing w:after="0" w:line="240" w:lineRule="auto"/>
        <w:rPr>
          <w:lang w:val="sv-SE"/>
        </w:rPr>
      </w:pPr>
    </w:p>
    <w:p w14:paraId="4260A076" w14:textId="6E850A02" w:rsidR="00493D9B" w:rsidRPr="00A74CC6" w:rsidRDefault="00493D9B" w:rsidP="00BD1FEA">
      <w:pPr>
        <w:spacing w:after="0" w:line="240" w:lineRule="auto"/>
        <w:rPr>
          <w:lang w:val="sv-SE"/>
        </w:rPr>
      </w:pPr>
      <w:r w:rsidRPr="00A74CC6">
        <w:rPr>
          <w:lang w:val="sv-SE"/>
        </w:rPr>
        <w:t>Förvaras i kylskåp.</w:t>
      </w:r>
      <w:r w:rsidR="001E775B">
        <w:rPr>
          <w:lang w:val="sv-SE"/>
        </w:rPr>
        <w:t xml:space="preserve"> Förvaras i originalförpackningen. Ljuskänsligt.</w:t>
      </w:r>
    </w:p>
    <w:p w14:paraId="0FF8B67F" w14:textId="77777777" w:rsidR="00493D9B" w:rsidRPr="00A74CC6" w:rsidRDefault="00493D9B" w:rsidP="00BD1FEA">
      <w:pPr>
        <w:spacing w:after="0" w:line="240" w:lineRule="auto"/>
        <w:rPr>
          <w:lang w:val="sv-SE"/>
        </w:rPr>
      </w:pPr>
    </w:p>
    <w:p w14:paraId="537DE1A1" w14:textId="77777777" w:rsidR="00493D9B" w:rsidRPr="00A74CC6" w:rsidRDefault="00493D9B"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472A6C" w14:paraId="51DE9472" w14:textId="77777777" w:rsidTr="004A019F">
        <w:tc>
          <w:tcPr>
            <w:tcW w:w="9061" w:type="dxa"/>
            <w:shd w:val="clear" w:color="auto" w:fill="auto"/>
          </w:tcPr>
          <w:p w14:paraId="1F45BFDF" w14:textId="77777777" w:rsidR="00493D9B" w:rsidRPr="004A019F" w:rsidRDefault="00493D9B" w:rsidP="00BD1FEA">
            <w:pPr>
              <w:keepNext/>
              <w:spacing w:after="0" w:line="240" w:lineRule="auto"/>
              <w:ind w:left="567" w:hanging="567"/>
              <w:rPr>
                <w:b/>
                <w:lang w:val="sv-SE"/>
              </w:rPr>
            </w:pPr>
            <w:r w:rsidRPr="004A019F">
              <w:rPr>
                <w:b/>
                <w:lang w:val="sv-SE"/>
              </w:rPr>
              <w:lastRenderedPageBreak/>
              <w:t>10.</w:t>
            </w:r>
            <w:r w:rsidRPr="004A019F">
              <w:rPr>
                <w:b/>
                <w:lang w:val="sv-SE"/>
              </w:rPr>
              <w:tab/>
              <w:t>SÄRSKILDA FÖRSIKTIGHETSÅTGÄRDER FÖR DESTRUKTION AV EJ ANVÄNT LÄKEMEDEL OCH AVFALL I FÖREKOMMANDE FALL</w:t>
            </w:r>
          </w:p>
        </w:tc>
      </w:tr>
    </w:tbl>
    <w:p w14:paraId="62F1A95C" w14:textId="77777777" w:rsidR="00493D9B" w:rsidRPr="00A74CC6" w:rsidRDefault="00493D9B" w:rsidP="00BD1FEA">
      <w:pPr>
        <w:keepNext/>
        <w:spacing w:after="0" w:line="240" w:lineRule="auto"/>
        <w:rPr>
          <w:lang w:val="sv-SE"/>
        </w:rPr>
      </w:pPr>
    </w:p>
    <w:p w14:paraId="6BFB275B" w14:textId="77777777" w:rsidR="00493D9B" w:rsidRPr="00A74CC6" w:rsidRDefault="00493D9B"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472A6C" w14:paraId="302A292E" w14:textId="77777777" w:rsidTr="004A019F">
        <w:tc>
          <w:tcPr>
            <w:tcW w:w="9061" w:type="dxa"/>
            <w:shd w:val="clear" w:color="auto" w:fill="auto"/>
          </w:tcPr>
          <w:p w14:paraId="1D21AE58" w14:textId="77777777" w:rsidR="00493D9B" w:rsidRPr="004A019F" w:rsidRDefault="00493D9B" w:rsidP="00BD1FEA">
            <w:pPr>
              <w:spacing w:after="0" w:line="240" w:lineRule="auto"/>
              <w:ind w:left="567" w:hanging="567"/>
              <w:rPr>
                <w:b/>
                <w:lang w:val="sv-SE"/>
              </w:rPr>
            </w:pPr>
            <w:r w:rsidRPr="004A019F">
              <w:rPr>
                <w:b/>
                <w:lang w:val="sv-SE"/>
              </w:rPr>
              <w:t>11.</w:t>
            </w:r>
            <w:r w:rsidRPr="004A019F">
              <w:rPr>
                <w:b/>
                <w:lang w:val="sv-SE"/>
              </w:rPr>
              <w:tab/>
              <w:t>INNEHAVARE AV GODKÄNNANDE FÖR FÖRSÄLJNING (NAMN OCH ADRESS)</w:t>
            </w:r>
          </w:p>
        </w:tc>
      </w:tr>
    </w:tbl>
    <w:p w14:paraId="5C7AA0ED" w14:textId="77777777" w:rsidR="00493D9B" w:rsidRPr="00A74CC6" w:rsidRDefault="00493D9B" w:rsidP="00BD1FEA">
      <w:pPr>
        <w:spacing w:after="0" w:line="240" w:lineRule="auto"/>
        <w:rPr>
          <w:lang w:val="sv-SE"/>
        </w:rPr>
      </w:pPr>
    </w:p>
    <w:p w14:paraId="677C8E6B" w14:textId="77777777" w:rsidR="00493D9B" w:rsidRPr="00A74CC6" w:rsidRDefault="00493D9B" w:rsidP="00BD1FEA">
      <w:pPr>
        <w:spacing w:after="0" w:line="240" w:lineRule="auto"/>
        <w:ind w:hanging="6"/>
        <w:rPr>
          <w:lang w:val="sv-SE"/>
        </w:rPr>
      </w:pPr>
      <w:r w:rsidRPr="00A74CC6">
        <w:rPr>
          <w:lang w:val="sv-SE"/>
        </w:rPr>
        <w:t>Amgen Europe B.V.</w:t>
      </w:r>
    </w:p>
    <w:p w14:paraId="30709569" w14:textId="77777777" w:rsidR="00493D9B" w:rsidRPr="00A74CC6" w:rsidRDefault="00493D9B" w:rsidP="00BD1FEA">
      <w:pPr>
        <w:spacing w:after="0" w:line="240" w:lineRule="auto"/>
        <w:ind w:hanging="6"/>
        <w:rPr>
          <w:lang w:val="sv-SE"/>
        </w:rPr>
      </w:pPr>
      <w:r w:rsidRPr="00A74CC6">
        <w:rPr>
          <w:lang w:val="sv-SE"/>
        </w:rPr>
        <w:t>Minervum 7061,</w:t>
      </w:r>
    </w:p>
    <w:p w14:paraId="6A209E41" w14:textId="77777777" w:rsidR="00493D9B" w:rsidRPr="00A74CC6" w:rsidRDefault="00493D9B" w:rsidP="00BD1FEA">
      <w:pPr>
        <w:spacing w:after="0" w:line="240" w:lineRule="auto"/>
        <w:ind w:left="4" w:right="13" w:hanging="6"/>
        <w:contextualSpacing/>
        <w:rPr>
          <w:lang w:val="sv-SE"/>
        </w:rPr>
      </w:pPr>
      <w:r w:rsidRPr="00A74CC6">
        <w:rPr>
          <w:lang w:val="sv-SE"/>
        </w:rPr>
        <w:t>NL</w:t>
      </w:r>
      <w:r w:rsidRPr="00A74CC6">
        <w:rPr>
          <w:lang w:val="sv-SE"/>
        </w:rPr>
        <w:noBreakHyphen/>
        <w:t>4817 ZK Breda,</w:t>
      </w:r>
    </w:p>
    <w:p w14:paraId="00641DE7" w14:textId="77777777" w:rsidR="00493D9B" w:rsidRPr="00A74CC6" w:rsidRDefault="00493D9B" w:rsidP="00BD1FEA">
      <w:pPr>
        <w:spacing w:after="0" w:line="240" w:lineRule="auto"/>
        <w:ind w:left="4" w:right="13" w:hanging="6"/>
        <w:contextualSpacing/>
        <w:rPr>
          <w:lang w:val="sv-SE"/>
        </w:rPr>
      </w:pPr>
      <w:r w:rsidRPr="00A74CC6">
        <w:rPr>
          <w:lang w:val="sv-SE"/>
        </w:rPr>
        <w:t>Nederländerna</w:t>
      </w:r>
    </w:p>
    <w:p w14:paraId="1BDBC4D1" w14:textId="77777777" w:rsidR="00493D9B" w:rsidRPr="00A74CC6" w:rsidRDefault="00493D9B" w:rsidP="00BD1FEA">
      <w:pPr>
        <w:spacing w:after="0" w:line="240" w:lineRule="auto"/>
        <w:rPr>
          <w:lang w:val="sv-SE"/>
        </w:rPr>
      </w:pPr>
    </w:p>
    <w:p w14:paraId="591A4B9C" w14:textId="77777777" w:rsidR="00493D9B" w:rsidRPr="00A74CC6" w:rsidRDefault="00493D9B"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472A6C" w14:paraId="2DA41459" w14:textId="77777777" w:rsidTr="004A019F">
        <w:tc>
          <w:tcPr>
            <w:tcW w:w="9061" w:type="dxa"/>
            <w:shd w:val="clear" w:color="auto" w:fill="auto"/>
          </w:tcPr>
          <w:p w14:paraId="60D3850C" w14:textId="77777777" w:rsidR="00493D9B" w:rsidRPr="004A019F" w:rsidRDefault="00493D9B" w:rsidP="00BD1FEA">
            <w:pPr>
              <w:keepNext/>
              <w:spacing w:after="0" w:line="240" w:lineRule="auto"/>
              <w:ind w:left="567" w:hanging="567"/>
              <w:rPr>
                <w:b/>
                <w:lang w:val="sv-SE"/>
              </w:rPr>
            </w:pPr>
            <w:r w:rsidRPr="004A019F">
              <w:rPr>
                <w:b/>
                <w:lang w:val="sv-SE"/>
              </w:rPr>
              <w:t>12.</w:t>
            </w:r>
            <w:r w:rsidRPr="004A019F">
              <w:rPr>
                <w:b/>
                <w:lang w:val="sv-SE"/>
              </w:rPr>
              <w:tab/>
              <w:t>NUMMER PÅ GODKÄNNANDE FÖR FÖRSÄLJNING</w:t>
            </w:r>
          </w:p>
        </w:tc>
      </w:tr>
    </w:tbl>
    <w:p w14:paraId="0AAD5EE5" w14:textId="77777777" w:rsidR="00493D9B" w:rsidRPr="00A74CC6" w:rsidRDefault="00493D9B" w:rsidP="00BD1FEA">
      <w:pPr>
        <w:keepNext/>
        <w:spacing w:after="0" w:line="240" w:lineRule="auto"/>
        <w:rPr>
          <w:lang w:val="sv-SE"/>
        </w:rPr>
      </w:pPr>
    </w:p>
    <w:p w14:paraId="4279BCC4" w14:textId="629E4900" w:rsidR="00820E3F" w:rsidRDefault="00820E3F" w:rsidP="00BD1FEA">
      <w:pPr>
        <w:spacing w:after="0" w:line="240" w:lineRule="auto"/>
        <w:rPr>
          <w:rFonts w:cs="Verdana"/>
        </w:rPr>
      </w:pPr>
      <w:r>
        <w:rPr>
          <w:rFonts w:cs="Verdana"/>
        </w:rPr>
        <w:t>EU/1/18/1281/002</w:t>
      </w:r>
    </w:p>
    <w:p w14:paraId="6D6366C7" w14:textId="77777777" w:rsidR="00C93926" w:rsidRDefault="00C93926" w:rsidP="00BD1FEA">
      <w:pPr>
        <w:spacing w:after="0" w:line="240" w:lineRule="auto"/>
        <w:rPr>
          <w:rFonts w:cs="Verdana"/>
        </w:rPr>
      </w:pPr>
    </w:p>
    <w:p w14:paraId="35EDE6E0" w14:textId="77777777" w:rsidR="00493D9B" w:rsidRPr="00A74CC6" w:rsidRDefault="00493D9B" w:rsidP="00BD1FEA">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A74CC6" w14:paraId="71B6984F" w14:textId="77777777" w:rsidTr="004A019F">
        <w:tc>
          <w:tcPr>
            <w:tcW w:w="9061" w:type="dxa"/>
            <w:shd w:val="clear" w:color="auto" w:fill="auto"/>
          </w:tcPr>
          <w:p w14:paraId="02BEEDD4" w14:textId="77777777" w:rsidR="00493D9B" w:rsidRPr="004A019F" w:rsidRDefault="00493D9B" w:rsidP="00BD1FEA">
            <w:pPr>
              <w:keepNext/>
              <w:spacing w:after="0" w:line="240" w:lineRule="auto"/>
              <w:ind w:left="567" w:hanging="567"/>
              <w:rPr>
                <w:b/>
                <w:lang w:val="sv-SE"/>
              </w:rPr>
            </w:pPr>
            <w:r w:rsidRPr="004A019F">
              <w:rPr>
                <w:b/>
                <w:lang w:val="sv-SE"/>
              </w:rPr>
              <w:t>13.</w:t>
            </w:r>
            <w:r w:rsidRPr="004A019F">
              <w:rPr>
                <w:b/>
                <w:lang w:val="sv-SE"/>
              </w:rPr>
              <w:tab/>
              <w:t>TILLVERKNINGSSATSNUMMER</w:t>
            </w:r>
          </w:p>
        </w:tc>
      </w:tr>
    </w:tbl>
    <w:p w14:paraId="04FDF4AF" w14:textId="77777777" w:rsidR="00493D9B" w:rsidRPr="00A74CC6" w:rsidRDefault="00493D9B" w:rsidP="00BD1FEA">
      <w:pPr>
        <w:keepNext/>
        <w:spacing w:after="0" w:line="240" w:lineRule="auto"/>
        <w:rPr>
          <w:lang w:val="sv-SE"/>
        </w:rPr>
      </w:pPr>
    </w:p>
    <w:p w14:paraId="1DA089DC" w14:textId="77777777" w:rsidR="00493D9B" w:rsidRPr="00A74CC6" w:rsidRDefault="00493D9B" w:rsidP="00BD1FEA">
      <w:pPr>
        <w:spacing w:after="0" w:line="240" w:lineRule="auto"/>
        <w:ind w:left="4" w:right="13"/>
        <w:contextualSpacing/>
        <w:rPr>
          <w:lang w:val="sv-SE"/>
        </w:rPr>
      </w:pPr>
      <w:r w:rsidRPr="00A74CC6">
        <w:rPr>
          <w:lang w:val="sv-SE"/>
        </w:rPr>
        <w:t>Lot</w:t>
      </w:r>
    </w:p>
    <w:p w14:paraId="32D57DD0" w14:textId="77777777" w:rsidR="00493D9B" w:rsidRPr="00A74CC6" w:rsidRDefault="00493D9B" w:rsidP="00BD1FEA">
      <w:pPr>
        <w:spacing w:after="0" w:line="240" w:lineRule="auto"/>
        <w:rPr>
          <w:lang w:val="sv-SE"/>
        </w:rPr>
      </w:pPr>
    </w:p>
    <w:p w14:paraId="43485394" w14:textId="77777777" w:rsidR="00493D9B" w:rsidRPr="00A74CC6" w:rsidRDefault="00493D9B"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A74CC6" w14:paraId="4E9631E3" w14:textId="77777777" w:rsidTr="004A019F">
        <w:tc>
          <w:tcPr>
            <w:tcW w:w="9061" w:type="dxa"/>
            <w:shd w:val="clear" w:color="auto" w:fill="auto"/>
          </w:tcPr>
          <w:p w14:paraId="48BB2563" w14:textId="77777777" w:rsidR="00493D9B" w:rsidRPr="004A019F" w:rsidRDefault="00493D9B" w:rsidP="00BD1FEA">
            <w:pPr>
              <w:keepNext/>
              <w:spacing w:after="0" w:line="240" w:lineRule="auto"/>
              <w:ind w:left="567" w:hanging="567"/>
              <w:rPr>
                <w:b/>
                <w:lang w:val="sv-SE"/>
              </w:rPr>
            </w:pPr>
            <w:r w:rsidRPr="004A019F">
              <w:rPr>
                <w:b/>
                <w:lang w:val="sv-SE"/>
              </w:rPr>
              <w:t>14.</w:t>
            </w:r>
            <w:r w:rsidRPr="004A019F">
              <w:rPr>
                <w:b/>
                <w:lang w:val="sv-SE"/>
              </w:rPr>
              <w:tab/>
              <w:t>ALLMÄN KLASSIFICERING FÖR FÖRSKRIVNING</w:t>
            </w:r>
          </w:p>
        </w:tc>
      </w:tr>
    </w:tbl>
    <w:p w14:paraId="7304B305" w14:textId="77777777" w:rsidR="00493D9B" w:rsidRPr="00A74CC6" w:rsidRDefault="00493D9B" w:rsidP="00BD1FEA">
      <w:pPr>
        <w:keepNext/>
        <w:spacing w:after="0" w:line="240" w:lineRule="auto"/>
        <w:rPr>
          <w:lang w:val="sv-SE"/>
        </w:rPr>
      </w:pPr>
    </w:p>
    <w:p w14:paraId="1654B3B1" w14:textId="77777777" w:rsidR="00493D9B" w:rsidRPr="00A74CC6" w:rsidRDefault="00493D9B"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A74CC6" w14:paraId="681AA8E1" w14:textId="77777777" w:rsidTr="004A019F">
        <w:tc>
          <w:tcPr>
            <w:tcW w:w="9061" w:type="dxa"/>
            <w:shd w:val="clear" w:color="auto" w:fill="auto"/>
          </w:tcPr>
          <w:p w14:paraId="4A7E3DEE" w14:textId="77777777" w:rsidR="00493D9B" w:rsidRPr="004A019F" w:rsidRDefault="00493D9B" w:rsidP="00BD1FEA">
            <w:pPr>
              <w:keepNext/>
              <w:spacing w:after="0" w:line="240" w:lineRule="auto"/>
              <w:ind w:left="567" w:hanging="567"/>
              <w:rPr>
                <w:b/>
                <w:lang w:val="sv-SE"/>
              </w:rPr>
            </w:pPr>
            <w:r w:rsidRPr="004A019F">
              <w:rPr>
                <w:b/>
                <w:lang w:val="sv-SE"/>
              </w:rPr>
              <w:t>15.</w:t>
            </w:r>
            <w:r w:rsidRPr="004A019F">
              <w:rPr>
                <w:b/>
                <w:lang w:val="sv-SE"/>
              </w:rPr>
              <w:tab/>
              <w:t>BRUKSANVISNING</w:t>
            </w:r>
          </w:p>
        </w:tc>
      </w:tr>
    </w:tbl>
    <w:p w14:paraId="61CD9C46" w14:textId="77777777" w:rsidR="00493D9B" w:rsidRPr="00A74CC6" w:rsidRDefault="00493D9B" w:rsidP="00BD1FEA">
      <w:pPr>
        <w:keepNext/>
        <w:spacing w:after="0" w:line="240" w:lineRule="auto"/>
        <w:rPr>
          <w:lang w:val="sv-SE"/>
        </w:rPr>
      </w:pPr>
    </w:p>
    <w:p w14:paraId="27F10FC9" w14:textId="77777777" w:rsidR="00493D9B" w:rsidRPr="00A74CC6" w:rsidRDefault="00493D9B"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A74CC6" w14:paraId="5AE422CA" w14:textId="77777777" w:rsidTr="004A019F">
        <w:tc>
          <w:tcPr>
            <w:tcW w:w="9061" w:type="dxa"/>
            <w:shd w:val="clear" w:color="auto" w:fill="auto"/>
          </w:tcPr>
          <w:p w14:paraId="65F74A24" w14:textId="77777777" w:rsidR="00493D9B" w:rsidRPr="004A019F" w:rsidRDefault="00493D9B" w:rsidP="00BD1FEA">
            <w:pPr>
              <w:keepNext/>
              <w:spacing w:after="0" w:line="240" w:lineRule="auto"/>
              <w:ind w:left="567" w:hanging="567"/>
              <w:rPr>
                <w:b/>
                <w:lang w:val="sv-SE"/>
              </w:rPr>
            </w:pPr>
            <w:r w:rsidRPr="004A019F">
              <w:rPr>
                <w:b/>
                <w:lang w:val="sv-SE"/>
              </w:rPr>
              <w:t>16.</w:t>
            </w:r>
            <w:r w:rsidRPr="004A019F">
              <w:rPr>
                <w:b/>
                <w:lang w:val="sv-SE"/>
              </w:rPr>
              <w:tab/>
              <w:t>INFORMATION I PUNKTSKRIFT</w:t>
            </w:r>
          </w:p>
        </w:tc>
      </w:tr>
    </w:tbl>
    <w:p w14:paraId="7D1785CE" w14:textId="77777777" w:rsidR="00493D9B" w:rsidRPr="00A74CC6" w:rsidRDefault="00493D9B" w:rsidP="00BD1FEA">
      <w:pPr>
        <w:keepNext/>
        <w:spacing w:after="0" w:line="240" w:lineRule="auto"/>
        <w:rPr>
          <w:lang w:val="sv-SE"/>
        </w:rPr>
      </w:pPr>
    </w:p>
    <w:p w14:paraId="0A753BA8" w14:textId="27247307" w:rsidR="00493D9B" w:rsidRPr="00A74CC6" w:rsidRDefault="00500529" w:rsidP="00BD1FEA">
      <w:pPr>
        <w:spacing w:after="0" w:line="240" w:lineRule="auto"/>
        <w:ind w:left="9" w:hanging="10"/>
        <w:contextualSpacing/>
        <w:rPr>
          <w:shd w:val="clear" w:color="auto" w:fill="C0C0C0"/>
          <w:lang w:val="sv-SE"/>
        </w:rPr>
      </w:pPr>
      <w:r>
        <w:rPr>
          <w:highlight w:val="lightGray"/>
          <w:shd w:val="clear" w:color="auto" w:fill="CCCCCC"/>
          <w:lang w:val="sv-SE"/>
        </w:rPr>
        <w:t>Braille krävs ej</w:t>
      </w:r>
      <w:r w:rsidR="00493D9B">
        <w:rPr>
          <w:rFonts w:eastAsia="Yu Mincho"/>
          <w:color w:val="auto"/>
          <w:highlight w:val="lightGray"/>
          <w:lang w:val="sv-SE"/>
        </w:rPr>
        <w:t>.</w:t>
      </w:r>
    </w:p>
    <w:p w14:paraId="4E7E4D69" w14:textId="77777777" w:rsidR="00493D9B" w:rsidRPr="00A74CC6" w:rsidRDefault="00493D9B" w:rsidP="00BD1FEA">
      <w:pPr>
        <w:spacing w:after="0" w:line="240" w:lineRule="auto"/>
        <w:rPr>
          <w:lang w:val="sv-SE"/>
        </w:rPr>
      </w:pPr>
    </w:p>
    <w:p w14:paraId="5E6C8385" w14:textId="77777777" w:rsidR="00493D9B" w:rsidRPr="00A74CC6" w:rsidRDefault="00493D9B"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A74CC6" w14:paraId="508F9376" w14:textId="77777777" w:rsidTr="004A019F">
        <w:tc>
          <w:tcPr>
            <w:tcW w:w="9061" w:type="dxa"/>
            <w:shd w:val="clear" w:color="auto" w:fill="auto"/>
          </w:tcPr>
          <w:p w14:paraId="03FE5F02" w14:textId="77777777" w:rsidR="00493D9B" w:rsidRPr="004A019F" w:rsidRDefault="00493D9B" w:rsidP="00BD1FEA">
            <w:pPr>
              <w:keepNext/>
              <w:spacing w:after="0" w:line="240" w:lineRule="auto"/>
              <w:ind w:left="567" w:hanging="567"/>
              <w:rPr>
                <w:b/>
                <w:lang w:val="sv-SE"/>
              </w:rPr>
            </w:pPr>
            <w:r w:rsidRPr="004A019F">
              <w:rPr>
                <w:b/>
                <w:lang w:val="sv-SE"/>
              </w:rPr>
              <w:t>17.</w:t>
            </w:r>
            <w:r w:rsidRPr="004A019F">
              <w:rPr>
                <w:b/>
                <w:lang w:val="sv-SE"/>
              </w:rPr>
              <w:tab/>
              <w:t>UNIK IDENTITETSBETECKNING – TVÅDIMENSIONELL STRECKKOD</w:t>
            </w:r>
          </w:p>
        </w:tc>
      </w:tr>
    </w:tbl>
    <w:p w14:paraId="2F18F780" w14:textId="77777777" w:rsidR="00493D9B" w:rsidRPr="00A74CC6" w:rsidRDefault="00493D9B" w:rsidP="00BD1FEA">
      <w:pPr>
        <w:keepNext/>
        <w:spacing w:after="0" w:line="240" w:lineRule="auto"/>
        <w:rPr>
          <w:lang w:val="sv-SE"/>
        </w:rPr>
      </w:pPr>
    </w:p>
    <w:p w14:paraId="6BDBB6F9" w14:textId="77777777" w:rsidR="00493D9B" w:rsidRPr="004A019F" w:rsidRDefault="00493D9B" w:rsidP="00BD1FEA">
      <w:pPr>
        <w:spacing w:after="0" w:line="240" w:lineRule="auto"/>
        <w:rPr>
          <w:rFonts w:eastAsia="Yu Mincho"/>
          <w:color w:val="auto"/>
          <w:lang w:val="sv-SE"/>
        </w:rPr>
      </w:pPr>
      <w:r>
        <w:rPr>
          <w:rFonts w:eastAsia="Yu Mincho"/>
          <w:color w:val="auto"/>
          <w:highlight w:val="lightGray"/>
          <w:lang w:val="sv-SE"/>
        </w:rPr>
        <w:t>Tvådimensionell streckkod som innehåller den unika identitetsbeteckningen.</w:t>
      </w:r>
    </w:p>
    <w:p w14:paraId="6707679D" w14:textId="77777777" w:rsidR="00493D9B" w:rsidRPr="004A019F" w:rsidRDefault="00493D9B" w:rsidP="00BD1FEA">
      <w:pPr>
        <w:spacing w:after="0" w:line="240" w:lineRule="auto"/>
        <w:rPr>
          <w:rFonts w:eastAsia="Yu Mincho"/>
          <w:color w:val="auto"/>
          <w:lang w:val="sv-SE"/>
        </w:rPr>
      </w:pPr>
    </w:p>
    <w:p w14:paraId="221EE74D" w14:textId="77777777" w:rsidR="00493D9B" w:rsidRPr="004A019F" w:rsidRDefault="00493D9B" w:rsidP="00BD1FEA">
      <w:pPr>
        <w:spacing w:after="0" w:line="240" w:lineRule="auto"/>
        <w:rPr>
          <w:rFonts w:eastAsia="Yu Mincho"/>
          <w:color w:val="auto"/>
          <w:lang w:val="sv-SE"/>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472A6C" w14:paraId="015263BC" w14:textId="77777777" w:rsidTr="004A019F">
        <w:tc>
          <w:tcPr>
            <w:tcW w:w="9061" w:type="dxa"/>
            <w:shd w:val="clear" w:color="auto" w:fill="auto"/>
          </w:tcPr>
          <w:p w14:paraId="169C32B7" w14:textId="77777777" w:rsidR="00493D9B" w:rsidRPr="004A019F" w:rsidRDefault="00493D9B" w:rsidP="00BD1FEA">
            <w:pPr>
              <w:keepNext/>
              <w:spacing w:after="0" w:line="240" w:lineRule="auto"/>
              <w:ind w:left="567" w:hanging="567"/>
              <w:rPr>
                <w:b/>
                <w:lang w:val="sv-SE"/>
              </w:rPr>
            </w:pPr>
            <w:r w:rsidRPr="004A019F">
              <w:rPr>
                <w:b/>
                <w:lang w:val="sv-SE"/>
              </w:rPr>
              <w:t>18.</w:t>
            </w:r>
            <w:r w:rsidRPr="004A019F">
              <w:rPr>
                <w:b/>
                <w:lang w:val="sv-SE"/>
              </w:rPr>
              <w:tab/>
              <w:t>UNIK IDENTITETSBETECKNING – I ETT FORMAT LÄSBART FÖR MÄNSKLIGT ÖGA</w:t>
            </w:r>
          </w:p>
        </w:tc>
      </w:tr>
    </w:tbl>
    <w:p w14:paraId="50C8E130" w14:textId="77777777" w:rsidR="00493D9B" w:rsidRPr="00A74CC6" w:rsidRDefault="00493D9B" w:rsidP="00BD1FEA">
      <w:pPr>
        <w:keepNext/>
        <w:spacing w:after="0" w:line="240" w:lineRule="auto"/>
        <w:rPr>
          <w:lang w:val="sv-SE"/>
        </w:rPr>
      </w:pPr>
    </w:p>
    <w:p w14:paraId="4573C9A0" w14:textId="77777777" w:rsidR="00493D9B" w:rsidRPr="00A74CC6" w:rsidRDefault="00493D9B" w:rsidP="00BD1FEA">
      <w:pPr>
        <w:spacing w:after="0" w:line="240" w:lineRule="auto"/>
        <w:ind w:left="4" w:right="13"/>
        <w:contextualSpacing/>
        <w:rPr>
          <w:lang w:val="sv-SE"/>
        </w:rPr>
      </w:pPr>
      <w:r w:rsidRPr="00A74CC6">
        <w:rPr>
          <w:lang w:val="sv-SE"/>
        </w:rPr>
        <w:t>PC</w:t>
      </w:r>
    </w:p>
    <w:p w14:paraId="060AE69B" w14:textId="77777777" w:rsidR="00493D9B" w:rsidRPr="00A74CC6" w:rsidRDefault="00493D9B" w:rsidP="00BD1FEA">
      <w:pPr>
        <w:spacing w:after="0" w:line="240" w:lineRule="auto"/>
        <w:ind w:left="4" w:right="13"/>
        <w:contextualSpacing/>
        <w:rPr>
          <w:lang w:val="sv-SE"/>
        </w:rPr>
      </w:pPr>
      <w:r w:rsidRPr="00A74CC6">
        <w:rPr>
          <w:lang w:val="sv-SE"/>
        </w:rPr>
        <w:t>SN</w:t>
      </w:r>
    </w:p>
    <w:p w14:paraId="6B3D75DD" w14:textId="77777777" w:rsidR="00493D9B" w:rsidRPr="00A74CC6" w:rsidRDefault="00493D9B" w:rsidP="00BD1FEA">
      <w:pPr>
        <w:spacing w:after="0" w:line="240" w:lineRule="auto"/>
        <w:ind w:left="4" w:right="13"/>
        <w:contextualSpacing/>
        <w:rPr>
          <w:lang w:val="sv-SE"/>
        </w:rPr>
      </w:pPr>
      <w:r w:rsidRPr="007867C6">
        <w:rPr>
          <w:lang w:val="sv-SE"/>
        </w:rPr>
        <w:t>NN</w:t>
      </w:r>
    </w:p>
    <w:p w14:paraId="2FDF89E9" w14:textId="77777777" w:rsidR="00493D9B" w:rsidRPr="00A74CC6" w:rsidRDefault="00493D9B" w:rsidP="009340B3">
      <w:pPr>
        <w:spacing w:after="0" w:line="240" w:lineRule="auto"/>
        <w:ind w:left="0" w:firstLine="0"/>
        <w:rPr>
          <w:lang w:val="sv-SE"/>
        </w:rPr>
      </w:pPr>
      <w:r w:rsidRPr="00A74CC6">
        <w:rPr>
          <w:lang w:val="sv-SE"/>
        </w:rPr>
        <w:br w:type="page"/>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A74CC6" w14:paraId="238AD4AF" w14:textId="77777777" w:rsidTr="004A019F">
        <w:tc>
          <w:tcPr>
            <w:tcW w:w="9061" w:type="dxa"/>
            <w:shd w:val="clear" w:color="auto" w:fill="auto"/>
          </w:tcPr>
          <w:p w14:paraId="2DBA7567" w14:textId="3C5D8BD1" w:rsidR="00493D9B" w:rsidRPr="004A019F" w:rsidRDefault="00493D9B" w:rsidP="00BD1FEA">
            <w:pPr>
              <w:tabs>
                <w:tab w:val="left" w:pos="1096"/>
              </w:tabs>
              <w:spacing w:after="0" w:line="240" w:lineRule="auto"/>
              <w:ind w:left="0" w:right="13" w:firstLine="0"/>
              <w:contextualSpacing/>
              <w:rPr>
                <w:b/>
                <w:bCs/>
                <w:lang w:val="sv-SE"/>
              </w:rPr>
            </w:pPr>
            <w:r w:rsidRPr="004A019F">
              <w:rPr>
                <w:b/>
                <w:bCs/>
                <w:lang w:val="sv-SE"/>
              </w:rPr>
              <w:t>UPPGIFTER SOM SKA FINNAS PÅ SMÅ INRE LÄKEMEDELSFÖRPACKNINGAR</w:t>
            </w:r>
          </w:p>
          <w:p w14:paraId="6536CE60" w14:textId="77777777" w:rsidR="00493D9B" w:rsidRPr="004A019F" w:rsidRDefault="00493D9B" w:rsidP="00BD1FEA">
            <w:pPr>
              <w:tabs>
                <w:tab w:val="left" w:pos="1096"/>
              </w:tabs>
              <w:spacing w:after="0" w:line="240" w:lineRule="auto"/>
              <w:ind w:left="0" w:right="13" w:firstLine="0"/>
              <w:contextualSpacing/>
              <w:rPr>
                <w:b/>
                <w:bCs/>
                <w:lang w:val="sv-SE"/>
              </w:rPr>
            </w:pPr>
          </w:p>
          <w:p w14:paraId="0298308A" w14:textId="77777777" w:rsidR="00493D9B" w:rsidRPr="004A019F" w:rsidRDefault="00493D9B" w:rsidP="00BD1FEA">
            <w:pPr>
              <w:spacing w:after="0" w:line="240" w:lineRule="auto"/>
              <w:ind w:left="0" w:firstLine="0"/>
              <w:rPr>
                <w:lang w:val="sv-SE"/>
              </w:rPr>
            </w:pPr>
            <w:r w:rsidRPr="004A019F">
              <w:rPr>
                <w:b/>
                <w:bCs/>
                <w:lang w:val="sv-SE"/>
              </w:rPr>
              <w:t xml:space="preserve">ETIKETT </w:t>
            </w:r>
            <w:r w:rsidR="00500529" w:rsidRPr="004A019F">
              <w:rPr>
                <w:b/>
                <w:bCs/>
                <w:lang w:val="sv-SE"/>
              </w:rPr>
              <w:t xml:space="preserve">PÅ </w:t>
            </w:r>
            <w:r w:rsidRPr="004A019F">
              <w:rPr>
                <w:b/>
                <w:bCs/>
                <w:lang w:val="sv-SE"/>
              </w:rPr>
              <w:t>INJEKTIONSFLASKA</w:t>
            </w:r>
          </w:p>
        </w:tc>
      </w:tr>
    </w:tbl>
    <w:p w14:paraId="200DFA0C" w14:textId="77777777" w:rsidR="00493D9B" w:rsidRPr="00A74CC6" w:rsidRDefault="00493D9B" w:rsidP="00BD1FEA">
      <w:pPr>
        <w:spacing w:after="0" w:line="240" w:lineRule="auto"/>
        <w:rPr>
          <w:lang w:val="sv-SE"/>
        </w:rPr>
      </w:pPr>
    </w:p>
    <w:p w14:paraId="533E58E1" w14:textId="77777777" w:rsidR="00493D9B" w:rsidRPr="00A74CC6" w:rsidRDefault="00493D9B" w:rsidP="00BD1FEA">
      <w:pPr>
        <w:spacing w:after="0" w:line="240" w:lineRule="auto"/>
        <w:rPr>
          <w:lang w:val="sv-SE"/>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A74CC6" w14:paraId="6EB2AD9E" w14:textId="77777777" w:rsidTr="004A019F">
        <w:tc>
          <w:tcPr>
            <w:tcW w:w="9061" w:type="dxa"/>
            <w:shd w:val="clear" w:color="auto" w:fill="auto"/>
          </w:tcPr>
          <w:p w14:paraId="19E48443" w14:textId="77777777" w:rsidR="00493D9B" w:rsidRPr="004A019F" w:rsidRDefault="00493D9B" w:rsidP="00BD1FEA">
            <w:pPr>
              <w:keepNext/>
              <w:spacing w:after="0" w:line="240" w:lineRule="auto"/>
              <w:ind w:left="567" w:hanging="567"/>
              <w:rPr>
                <w:b/>
                <w:lang w:val="sv-SE"/>
              </w:rPr>
            </w:pPr>
            <w:r w:rsidRPr="004A019F">
              <w:rPr>
                <w:b/>
                <w:lang w:val="sv-SE"/>
              </w:rPr>
              <w:t>1.</w:t>
            </w:r>
            <w:r w:rsidRPr="004A019F">
              <w:rPr>
                <w:b/>
                <w:lang w:val="sv-SE"/>
              </w:rPr>
              <w:tab/>
              <w:t>LÄKEMEDLETS NAMN OCH ADMINISTRERINGSVÄG</w:t>
            </w:r>
          </w:p>
        </w:tc>
      </w:tr>
    </w:tbl>
    <w:p w14:paraId="57BB77D7" w14:textId="77777777" w:rsidR="00493D9B" w:rsidRPr="00A74CC6" w:rsidRDefault="00493D9B" w:rsidP="00BD1FEA">
      <w:pPr>
        <w:keepNext/>
        <w:spacing w:after="0" w:line="240" w:lineRule="auto"/>
        <w:rPr>
          <w:lang w:val="sv-SE"/>
        </w:rPr>
      </w:pPr>
    </w:p>
    <w:p w14:paraId="4DF14D3E" w14:textId="77777777" w:rsidR="00493D9B" w:rsidRPr="00A74CC6" w:rsidRDefault="00493D9B" w:rsidP="00BD1FEA">
      <w:pPr>
        <w:spacing w:after="0" w:line="240" w:lineRule="auto"/>
        <w:ind w:left="4" w:right="13"/>
        <w:contextualSpacing/>
        <w:rPr>
          <w:lang w:val="sv-SE"/>
        </w:rPr>
      </w:pPr>
      <w:r w:rsidRPr="00A74CC6">
        <w:rPr>
          <w:lang w:val="sv-SE"/>
        </w:rPr>
        <w:t>KANJINTI 420 mg pulver till koncentrat till infusionsvätska, lösning</w:t>
      </w:r>
    </w:p>
    <w:p w14:paraId="3D2D3112" w14:textId="77777777" w:rsidR="00493D9B" w:rsidRPr="00A74CC6" w:rsidRDefault="00493D9B" w:rsidP="00BD1FEA">
      <w:pPr>
        <w:spacing w:after="0" w:line="240" w:lineRule="auto"/>
        <w:ind w:left="4" w:right="13"/>
        <w:contextualSpacing/>
        <w:rPr>
          <w:lang w:val="sv-SE"/>
        </w:rPr>
      </w:pPr>
      <w:r w:rsidRPr="00A74CC6">
        <w:rPr>
          <w:lang w:val="sv-SE"/>
        </w:rPr>
        <w:t>trastuzumab</w:t>
      </w:r>
    </w:p>
    <w:p w14:paraId="09C04873" w14:textId="77777777" w:rsidR="00493D9B" w:rsidRPr="00A74CC6" w:rsidRDefault="00493D9B" w:rsidP="00BD1FEA">
      <w:pPr>
        <w:spacing w:after="0" w:line="240" w:lineRule="auto"/>
        <w:rPr>
          <w:lang w:val="sv-SE"/>
        </w:rPr>
      </w:pPr>
    </w:p>
    <w:p w14:paraId="30A80D24" w14:textId="77777777" w:rsidR="00493D9B" w:rsidRPr="00A74CC6" w:rsidRDefault="00493D9B"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49523A" w14:paraId="1A56F4AC" w14:textId="77777777" w:rsidTr="004A019F">
        <w:tc>
          <w:tcPr>
            <w:tcW w:w="9061" w:type="dxa"/>
            <w:shd w:val="clear" w:color="auto" w:fill="auto"/>
          </w:tcPr>
          <w:p w14:paraId="3A0CDBBF" w14:textId="77777777" w:rsidR="00493D9B" w:rsidRPr="004A019F" w:rsidRDefault="00493D9B" w:rsidP="00BD1FEA">
            <w:pPr>
              <w:keepNext/>
              <w:spacing w:after="0" w:line="240" w:lineRule="auto"/>
              <w:ind w:left="567" w:hanging="567"/>
              <w:rPr>
                <w:b/>
                <w:lang w:val="nb-NO"/>
              </w:rPr>
            </w:pPr>
            <w:r w:rsidRPr="004A019F">
              <w:rPr>
                <w:b/>
                <w:lang w:val="nb-NO"/>
              </w:rPr>
              <w:t>2.</w:t>
            </w:r>
            <w:r w:rsidRPr="004A019F">
              <w:rPr>
                <w:b/>
                <w:lang w:val="nb-NO"/>
              </w:rPr>
              <w:tab/>
              <w:t>DEKLARATION AV AKTIV(A) SUBSTANS(ER)</w:t>
            </w:r>
          </w:p>
        </w:tc>
      </w:tr>
    </w:tbl>
    <w:p w14:paraId="14F52C80" w14:textId="77777777" w:rsidR="00493D9B" w:rsidRPr="008763E6" w:rsidRDefault="00493D9B" w:rsidP="00BD1FEA">
      <w:pPr>
        <w:keepNext/>
        <w:spacing w:after="0" w:line="240" w:lineRule="auto"/>
        <w:rPr>
          <w:lang w:val="nb-NO"/>
        </w:rPr>
      </w:pPr>
    </w:p>
    <w:p w14:paraId="1CB8DEF4" w14:textId="77777777" w:rsidR="00493D9B" w:rsidRPr="00A74CC6" w:rsidRDefault="00493D9B" w:rsidP="00BD1FEA">
      <w:pPr>
        <w:spacing w:after="0" w:line="240" w:lineRule="auto"/>
        <w:rPr>
          <w:lang w:val="sv-SE"/>
        </w:rPr>
      </w:pPr>
      <w:r w:rsidRPr="00A74CC6">
        <w:rPr>
          <w:lang w:val="sv-SE"/>
        </w:rPr>
        <w:t>Injektionsflaskan innehåller 420 mg trastuzumab.</w:t>
      </w:r>
    </w:p>
    <w:p w14:paraId="7B4DEFCF" w14:textId="77777777" w:rsidR="00493D9B" w:rsidRPr="00A74CC6" w:rsidRDefault="00493D9B" w:rsidP="00BD1FEA">
      <w:pPr>
        <w:spacing w:after="0" w:line="240" w:lineRule="auto"/>
        <w:rPr>
          <w:lang w:val="sv-SE"/>
        </w:rPr>
      </w:pPr>
      <w:r w:rsidRPr="00A74CC6">
        <w:rPr>
          <w:lang w:val="sv-SE"/>
        </w:rPr>
        <w:t>1 ml koncentrat innehåller efter beredning 21 mg trastuzumab.</w:t>
      </w:r>
    </w:p>
    <w:p w14:paraId="77F5C8BD" w14:textId="77777777" w:rsidR="00493D9B" w:rsidRPr="00A74CC6" w:rsidRDefault="00493D9B" w:rsidP="00BD1FEA">
      <w:pPr>
        <w:spacing w:after="0" w:line="240" w:lineRule="auto"/>
        <w:rPr>
          <w:lang w:val="sv-SE"/>
        </w:rPr>
      </w:pPr>
    </w:p>
    <w:p w14:paraId="2B22F445" w14:textId="77777777" w:rsidR="00493D9B" w:rsidRPr="00A74CC6" w:rsidRDefault="00493D9B"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A74CC6" w14:paraId="1B3226E3" w14:textId="77777777" w:rsidTr="004A019F">
        <w:tc>
          <w:tcPr>
            <w:tcW w:w="9061" w:type="dxa"/>
            <w:shd w:val="clear" w:color="auto" w:fill="auto"/>
          </w:tcPr>
          <w:p w14:paraId="7701CD69" w14:textId="77777777" w:rsidR="00493D9B" w:rsidRPr="004A019F" w:rsidRDefault="00493D9B" w:rsidP="00BD1FEA">
            <w:pPr>
              <w:keepNext/>
              <w:spacing w:after="0" w:line="240" w:lineRule="auto"/>
              <w:ind w:left="567" w:hanging="567"/>
              <w:rPr>
                <w:b/>
                <w:lang w:val="sv-SE"/>
              </w:rPr>
            </w:pPr>
            <w:r w:rsidRPr="004A019F">
              <w:rPr>
                <w:b/>
                <w:lang w:val="sv-SE"/>
              </w:rPr>
              <w:t>3.</w:t>
            </w:r>
            <w:r w:rsidRPr="004A019F">
              <w:rPr>
                <w:b/>
                <w:lang w:val="sv-SE"/>
              </w:rPr>
              <w:tab/>
              <w:t>FÖRTECKNING ÖVER HJÄLPÄMNEN</w:t>
            </w:r>
          </w:p>
        </w:tc>
      </w:tr>
    </w:tbl>
    <w:p w14:paraId="6E0AA21C" w14:textId="77777777" w:rsidR="00493D9B" w:rsidRPr="00A74CC6" w:rsidRDefault="00493D9B" w:rsidP="00BD1FEA">
      <w:pPr>
        <w:keepNext/>
        <w:spacing w:after="0" w:line="240" w:lineRule="auto"/>
        <w:rPr>
          <w:lang w:val="sv-SE"/>
        </w:rPr>
      </w:pPr>
    </w:p>
    <w:p w14:paraId="28FA0F99" w14:textId="1C211B93" w:rsidR="00493D9B" w:rsidRPr="00A74CC6" w:rsidRDefault="001E775B" w:rsidP="00BD1FEA">
      <w:pPr>
        <w:spacing w:after="0" w:line="240" w:lineRule="auto"/>
        <w:rPr>
          <w:lang w:val="sv-SE"/>
        </w:rPr>
      </w:pPr>
      <w:r>
        <w:rPr>
          <w:lang w:val="sv-SE"/>
        </w:rPr>
        <w:t xml:space="preserve">Histidin, </w:t>
      </w:r>
      <w:r w:rsidR="00AB5B0D">
        <w:rPr>
          <w:lang w:val="sv-SE"/>
        </w:rPr>
        <w:t>histidinhydrokloridmonohydrat</w:t>
      </w:r>
      <w:r>
        <w:rPr>
          <w:lang w:val="sv-SE"/>
        </w:rPr>
        <w:t xml:space="preserve">, </w:t>
      </w:r>
      <w:r w:rsidRPr="00A74CC6">
        <w:rPr>
          <w:lang w:val="sv-SE"/>
        </w:rPr>
        <w:t>trehalosdihydrat</w:t>
      </w:r>
      <w:r w:rsidR="00493D9B" w:rsidRPr="00A74CC6">
        <w:rPr>
          <w:lang w:val="sv-SE"/>
        </w:rPr>
        <w:t>, polysorbat 20.</w:t>
      </w:r>
    </w:p>
    <w:p w14:paraId="1C352B23" w14:textId="77777777" w:rsidR="00493D9B" w:rsidRPr="00A74CC6" w:rsidRDefault="00493D9B" w:rsidP="00BD1FEA">
      <w:pPr>
        <w:spacing w:after="0" w:line="240" w:lineRule="auto"/>
        <w:rPr>
          <w:lang w:val="sv-SE"/>
        </w:rPr>
      </w:pPr>
    </w:p>
    <w:p w14:paraId="3EC4AD4A" w14:textId="77777777" w:rsidR="00493D9B" w:rsidRPr="00A74CC6" w:rsidRDefault="00493D9B"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A74CC6" w14:paraId="0F0FD659" w14:textId="77777777" w:rsidTr="004A019F">
        <w:tc>
          <w:tcPr>
            <w:tcW w:w="9061" w:type="dxa"/>
            <w:shd w:val="clear" w:color="auto" w:fill="auto"/>
          </w:tcPr>
          <w:p w14:paraId="1A38C5FA" w14:textId="77777777" w:rsidR="00493D9B" w:rsidRPr="004A019F" w:rsidRDefault="00493D9B" w:rsidP="00BD1FEA">
            <w:pPr>
              <w:keepNext/>
              <w:spacing w:after="0" w:line="240" w:lineRule="auto"/>
              <w:ind w:left="567" w:hanging="567"/>
              <w:rPr>
                <w:b/>
                <w:lang w:val="sv-SE"/>
              </w:rPr>
            </w:pPr>
            <w:r w:rsidRPr="004A019F">
              <w:rPr>
                <w:b/>
                <w:lang w:val="sv-SE"/>
              </w:rPr>
              <w:t>4.</w:t>
            </w:r>
            <w:r w:rsidRPr="004A019F">
              <w:rPr>
                <w:b/>
                <w:lang w:val="sv-SE"/>
              </w:rPr>
              <w:tab/>
              <w:t>LÄKEMEDELSFORM OCH FÖRPACKNINGSSTORLEK</w:t>
            </w:r>
          </w:p>
        </w:tc>
      </w:tr>
    </w:tbl>
    <w:p w14:paraId="6D9ED598" w14:textId="77777777" w:rsidR="00493D9B" w:rsidRPr="00A74CC6" w:rsidRDefault="00493D9B" w:rsidP="00BD1FEA">
      <w:pPr>
        <w:keepNext/>
        <w:spacing w:after="0" w:line="240" w:lineRule="auto"/>
        <w:rPr>
          <w:lang w:val="sv-SE"/>
        </w:rPr>
      </w:pPr>
    </w:p>
    <w:p w14:paraId="01750A14" w14:textId="77777777" w:rsidR="00493D9B" w:rsidRPr="00A74CC6" w:rsidRDefault="00493D9B" w:rsidP="00BD1FEA">
      <w:pPr>
        <w:spacing w:after="0" w:line="240" w:lineRule="auto"/>
        <w:ind w:left="0" w:right="13" w:firstLine="0"/>
        <w:contextualSpacing/>
        <w:rPr>
          <w:lang w:val="sv-SE"/>
        </w:rPr>
      </w:pPr>
      <w:r>
        <w:rPr>
          <w:highlight w:val="lightGray"/>
          <w:lang w:val="sv-SE"/>
        </w:rPr>
        <w:t>Pulver till koncentrat till infusionsvätska, lösning</w:t>
      </w:r>
    </w:p>
    <w:p w14:paraId="02105D70" w14:textId="77777777" w:rsidR="00493D9B" w:rsidRPr="00A74CC6" w:rsidRDefault="00493D9B" w:rsidP="00BD1FEA">
      <w:pPr>
        <w:spacing w:after="0" w:line="240" w:lineRule="auto"/>
        <w:rPr>
          <w:lang w:val="sv-SE"/>
        </w:rPr>
      </w:pPr>
    </w:p>
    <w:p w14:paraId="48DD3FB2" w14:textId="77777777" w:rsidR="00493D9B" w:rsidRPr="00A74CC6" w:rsidRDefault="00493D9B"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A74CC6" w14:paraId="639AD003" w14:textId="77777777" w:rsidTr="004A019F">
        <w:tc>
          <w:tcPr>
            <w:tcW w:w="9061" w:type="dxa"/>
            <w:shd w:val="clear" w:color="auto" w:fill="auto"/>
          </w:tcPr>
          <w:p w14:paraId="6AE162DE" w14:textId="77777777" w:rsidR="00493D9B" w:rsidRPr="004A019F" w:rsidRDefault="00493D9B" w:rsidP="00BD1FEA">
            <w:pPr>
              <w:keepNext/>
              <w:spacing w:after="0" w:line="240" w:lineRule="auto"/>
              <w:ind w:left="567" w:hanging="567"/>
              <w:rPr>
                <w:b/>
                <w:lang w:val="sv-SE"/>
              </w:rPr>
            </w:pPr>
            <w:r w:rsidRPr="004A019F">
              <w:rPr>
                <w:b/>
                <w:lang w:val="sv-SE"/>
              </w:rPr>
              <w:t>5.</w:t>
            </w:r>
            <w:r w:rsidRPr="004A019F">
              <w:rPr>
                <w:b/>
                <w:lang w:val="sv-SE"/>
              </w:rPr>
              <w:tab/>
              <w:t>ADMINISTRERINGSSÄTT OCH ADMINISTRERINGSVÄG</w:t>
            </w:r>
          </w:p>
        </w:tc>
      </w:tr>
    </w:tbl>
    <w:p w14:paraId="452AFC8C" w14:textId="77777777" w:rsidR="00493D9B" w:rsidRPr="00A74CC6" w:rsidRDefault="00493D9B" w:rsidP="00BD1FEA">
      <w:pPr>
        <w:keepNext/>
        <w:spacing w:after="0" w:line="240" w:lineRule="auto"/>
        <w:rPr>
          <w:lang w:val="sv-SE"/>
        </w:rPr>
      </w:pPr>
    </w:p>
    <w:p w14:paraId="3EF4C163" w14:textId="77777777" w:rsidR="00F705FF" w:rsidRDefault="00F705FF" w:rsidP="00BD1FEA">
      <w:pPr>
        <w:spacing w:after="0" w:line="240" w:lineRule="auto"/>
        <w:ind w:left="4" w:right="13"/>
        <w:contextualSpacing/>
        <w:rPr>
          <w:lang w:val="sv-SE"/>
        </w:rPr>
      </w:pPr>
      <w:r w:rsidRPr="00A74CC6">
        <w:rPr>
          <w:lang w:val="sv-SE"/>
        </w:rPr>
        <w:t>För intravenös användning</w:t>
      </w:r>
      <w:r>
        <w:rPr>
          <w:lang w:val="sv-SE"/>
        </w:rPr>
        <w:t>.</w:t>
      </w:r>
    </w:p>
    <w:p w14:paraId="0D3C479B" w14:textId="77777777" w:rsidR="00493D9B" w:rsidRPr="00A74CC6" w:rsidRDefault="00493D9B" w:rsidP="00BD1FEA">
      <w:pPr>
        <w:spacing w:after="0" w:line="240" w:lineRule="auto"/>
        <w:ind w:left="4" w:right="13"/>
        <w:contextualSpacing/>
        <w:rPr>
          <w:lang w:val="sv-SE"/>
        </w:rPr>
      </w:pPr>
      <w:r w:rsidRPr="00A74CC6">
        <w:rPr>
          <w:lang w:val="sv-SE"/>
        </w:rPr>
        <w:t>Läs bipacksedeln före användning</w:t>
      </w:r>
      <w:r w:rsidR="00500529" w:rsidRPr="00A74CC6">
        <w:rPr>
          <w:lang w:val="sv-SE"/>
        </w:rPr>
        <w:t>.</w:t>
      </w:r>
    </w:p>
    <w:p w14:paraId="5C93B1D1" w14:textId="77777777" w:rsidR="00493D9B" w:rsidRPr="00A74CC6" w:rsidRDefault="00493D9B" w:rsidP="00BD1FEA">
      <w:pPr>
        <w:spacing w:after="0" w:line="240" w:lineRule="auto"/>
        <w:rPr>
          <w:lang w:val="sv-SE"/>
        </w:rPr>
      </w:pPr>
    </w:p>
    <w:p w14:paraId="291974B8" w14:textId="77777777" w:rsidR="00493D9B" w:rsidRPr="00A74CC6" w:rsidRDefault="00493D9B"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472A6C" w14:paraId="145EBCAC" w14:textId="77777777" w:rsidTr="004A019F">
        <w:tc>
          <w:tcPr>
            <w:tcW w:w="9061" w:type="dxa"/>
            <w:shd w:val="clear" w:color="auto" w:fill="auto"/>
          </w:tcPr>
          <w:p w14:paraId="509F8FDC" w14:textId="77777777" w:rsidR="00493D9B" w:rsidRPr="004A019F" w:rsidRDefault="00493D9B" w:rsidP="00BD1FEA">
            <w:pPr>
              <w:keepNext/>
              <w:spacing w:after="0" w:line="240" w:lineRule="auto"/>
              <w:ind w:left="567" w:hanging="567"/>
              <w:rPr>
                <w:b/>
                <w:lang w:val="sv-SE"/>
              </w:rPr>
            </w:pPr>
            <w:r w:rsidRPr="004A019F">
              <w:rPr>
                <w:b/>
                <w:lang w:val="sv-SE"/>
              </w:rPr>
              <w:t>6.</w:t>
            </w:r>
            <w:r w:rsidRPr="004A019F">
              <w:rPr>
                <w:b/>
                <w:lang w:val="sv-SE"/>
              </w:rPr>
              <w:tab/>
              <w:t>SÄRSKILD VARNING OM ATT LÄKEMEDLET MÅSTE FÖRVARAS UTOM SYN-OCH RÄCKHÅLL FÖR BARN</w:t>
            </w:r>
          </w:p>
        </w:tc>
      </w:tr>
    </w:tbl>
    <w:p w14:paraId="1178CC7B" w14:textId="77777777" w:rsidR="00493D9B" w:rsidRPr="00A74CC6" w:rsidRDefault="00493D9B" w:rsidP="00BD1FEA">
      <w:pPr>
        <w:keepNext/>
        <w:spacing w:after="0" w:line="240" w:lineRule="auto"/>
        <w:rPr>
          <w:lang w:val="sv-SE"/>
        </w:rPr>
      </w:pPr>
    </w:p>
    <w:p w14:paraId="624954C9" w14:textId="77777777" w:rsidR="00493D9B" w:rsidRPr="00A74CC6" w:rsidRDefault="00493D9B" w:rsidP="00BD1FEA">
      <w:pPr>
        <w:spacing w:after="0" w:line="240" w:lineRule="auto"/>
        <w:rPr>
          <w:lang w:val="sv-SE"/>
        </w:rPr>
      </w:pPr>
      <w:r w:rsidRPr="00A74CC6">
        <w:rPr>
          <w:lang w:val="sv-SE"/>
        </w:rPr>
        <w:t>Förvaras utom syn- och räckhåll för barn</w:t>
      </w:r>
      <w:r w:rsidR="00500529" w:rsidRPr="00A74CC6">
        <w:rPr>
          <w:lang w:val="sv-SE"/>
        </w:rPr>
        <w:t>.</w:t>
      </w:r>
    </w:p>
    <w:p w14:paraId="32469583" w14:textId="77777777" w:rsidR="00493D9B" w:rsidRPr="00A74CC6" w:rsidRDefault="00493D9B" w:rsidP="00BD1FEA">
      <w:pPr>
        <w:spacing w:after="0" w:line="240" w:lineRule="auto"/>
        <w:rPr>
          <w:lang w:val="sv-SE"/>
        </w:rPr>
      </w:pPr>
    </w:p>
    <w:p w14:paraId="58E28B0B" w14:textId="77777777" w:rsidR="00493D9B" w:rsidRPr="00A74CC6" w:rsidRDefault="00493D9B"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B54089" w14:paraId="36518AB5" w14:textId="77777777" w:rsidTr="004A019F">
        <w:tc>
          <w:tcPr>
            <w:tcW w:w="9061" w:type="dxa"/>
            <w:shd w:val="clear" w:color="auto" w:fill="auto"/>
          </w:tcPr>
          <w:p w14:paraId="05FD17A4" w14:textId="77777777" w:rsidR="00493D9B" w:rsidRPr="004A019F" w:rsidRDefault="00493D9B" w:rsidP="00BD1FEA">
            <w:pPr>
              <w:keepNext/>
              <w:spacing w:after="0" w:line="240" w:lineRule="auto"/>
              <w:ind w:left="567" w:hanging="567"/>
              <w:rPr>
                <w:b/>
                <w:lang w:val="sv-SE"/>
              </w:rPr>
            </w:pPr>
            <w:r w:rsidRPr="004A019F">
              <w:rPr>
                <w:b/>
                <w:lang w:val="sv-SE"/>
              </w:rPr>
              <w:t>7.</w:t>
            </w:r>
            <w:r w:rsidRPr="004A019F">
              <w:rPr>
                <w:b/>
                <w:lang w:val="sv-SE"/>
              </w:rPr>
              <w:tab/>
              <w:t>ÖVRIGA SÄRSKILDA VARNINGAR I FÖREKOMMANDE FALL OM SÅ ÄR</w:t>
            </w:r>
          </w:p>
          <w:p w14:paraId="59809E9B" w14:textId="77777777" w:rsidR="00493D9B" w:rsidRPr="004A019F" w:rsidRDefault="00493D9B" w:rsidP="00BD1FEA">
            <w:pPr>
              <w:keepNext/>
              <w:spacing w:after="0" w:line="240" w:lineRule="auto"/>
              <w:ind w:left="567" w:firstLine="30"/>
              <w:rPr>
                <w:b/>
                <w:lang w:val="sv-SE"/>
              </w:rPr>
            </w:pPr>
            <w:r w:rsidRPr="004A019F">
              <w:rPr>
                <w:b/>
                <w:lang w:val="sv-SE"/>
              </w:rPr>
              <w:t>NÖDVÄNDIGT</w:t>
            </w:r>
          </w:p>
        </w:tc>
      </w:tr>
    </w:tbl>
    <w:p w14:paraId="714318E5" w14:textId="77777777" w:rsidR="00493D9B" w:rsidRPr="00A74CC6" w:rsidRDefault="00493D9B" w:rsidP="00BD1FEA">
      <w:pPr>
        <w:keepNext/>
        <w:spacing w:after="0" w:line="240" w:lineRule="auto"/>
        <w:rPr>
          <w:lang w:val="sv-SE"/>
        </w:rPr>
      </w:pPr>
    </w:p>
    <w:p w14:paraId="619DFE02" w14:textId="77777777" w:rsidR="00493D9B" w:rsidRPr="00A74CC6" w:rsidRDefault="00493D9B"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A74CC6" w14:paraId="32475880" w14:textId="77777777" w:rsidTr="004A019F">
        <w:tc>
          <w:tcPr>
            <w:tcW w:w="9061" w:type="dxa"/>
            <w:shd w:val="clear" w:color="auto" w:fill="auto"/>
          </w:tcPr>
          <w:p w14:paraId="0526884B" w14:textId="77777777" w:rsidR="00493D9B" w:rsidRPr="004A019F" w:rsidRDefault="00493D9B" w:rsidP="00BD1FEA">
            <w:pPr>
              <w:keepNext/>
              <w:spacing w:after="0" w:line="240" w:lineRule="auto"/>
              <w:ind w:left="567" w:hanging="567"/>
              <w:rPr>
                <w:b/>
                <w:lang w:val="sv-SE"/>
              </w:rPr>
            </w:pPr>
            <w:r w:rsidRPr="004A019F">
              <w:rPr>
                <w:b/>
                <w:lang w:val="sv-SE"/>
              </w:rPr>
              <w:t>8.</w:t>
            </w:r>
            <w:r w:rsidRPr="004A019F">
              <w:rPr>
                <w:b/>
                <w:lang w:val="sv-SE"/>
              </w:rPr>
              <w:tab/>
              <w:t>UTGÅNGSDATUM</w:t>
            </w:r>
          </w:p>
        </w:tc>
      </w:tr>
    </w:tbl>
    <w:p w14:paraId="761AE344" w14:textId="77777777" w:rsidR="00493D9B" w:rsidRPr="00A74CC6" w:rsidRDefault="00493D9B" w:rsidP="00BD1FEA">
      <w:pPr>
        <w:keepNext/>
        <w:spacing w:after="0" w:line="240" w:lineRule="auto"/>
        <w:rPr>
          <w:lang w:val="sv-SE"/>
        </w:rPr>
      </w:pPr>
    </w:p>
    <w:p w14:paraId="008D8D76" w14:textId="77777777" w:rsidR="00493D9B" w:rsidRPr="00A74CC6" w:rsidRDefault="00493D9B" w:rsidP="00BD1FEA">
      <w:pPr>
        <w:spacing w:after="0" w:line="240" w:lineRule="auto"/>
        <w:rPr>
          <w:lang w:val="sv-SE"/>
        </w:rPr>
      </w:pPr>
      <w:r w:rsidRPr="00A74CC6">
        <w:rPr>
          <w:lang w:val="sv-SE"/>
        </w:rPr>
        <w:t>EXP</w:t>
      </w:r>
    </w:p>
    <w:p w14:paraId="51788EC1" w14:textId="77777777" w:rsidR="00493D9B" w:rsidRPr="00A74CC6" w:rsidRDefault="00493D9B" w:rsidP="00BD1FEA">
      <w:pPr>
        <w:spacing w:after="0" w:line="240" w:lineRule="auto"/>
        <w:rPr>
          <w:lang w:val="sv-SE"/>
        </w:rPr>
      </w:pPr>
    </w:p>
    <w:p w14:paraId="1909665F" w14:textId="77777777" w:rsidR="00493D9B" w:rsidRPr="00A74CC6" w:rsidRDefault="00493D9B"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A74CC6" w14:paraId="28102E78" w14:textId="77777777" w:rsidTr="004A019F">
        <w:tc>
          <w:tcPr>
            <w:tcW w:w="9061" w:type="dxa"/>
            <w:shd w:val="clear" w:color="auto" w:fill="auto"/>
          </w:tcPr>
          <w:p w14:paraId="18A90ACE" w14:textId="77777777" w:rsidR="00493D9B" w:rsidRPr="004A019F" w:rsidRDefault="00493D9B" w:rsidP="00BD1FEA">
            <w:pPr>
              <w:keepNext/>
              <w:spacing w:after="0" w:line="240" w:lineRule="auto"/>
              <w:ind w:left="567" w:hanging="567"/>
              <w:rPr>
                <w:b/>
                <w:lang w:val="sv-SE"/>
              </w:rPr>
            </w:pPr>
            <w:r w:rsidRPr="004A019F">
              <w:rPr>
                <w:b/>
                <w:lang w:val="sv-SE"/>
              </w:rPr>
              <w:t>9.</w:t>
            </w:r>
            <w:r w:rsidRPr="004A019F">
              <w:rPr>
                <w:b/>
                <w:lang w:val="sv-SE"/>
              </w:rPr>
              <w:tab/>
              <w:t>SÄRSKILDA FÖRVARINGSANVISNINGAR</w:t>
            </w:r>
          </w:p>
        </w:tc>
      </w:tr>
    </w:tbl>
    <w:p w14:paraId="0FD37CD3" w14:textId="77777777" w:rsidR="00493D9B" w:rsidRPr="00A74CC6" w:rsidRDefault="00493D9B" w:rsidP="00BD1FEA">
      <w:pPr>
        <w:keepNext/>
        <w:spacing w:after="0" w:line="240" w:lineRule="auto"/>
        <w:rPr>
          <w:lang w:val="sv-SE"/>
        </w:rPr>
      </w:pPr>
    </w:p>
    <w:p w14:paraId="3F686C37" w14:textId="5A72113F" w:rsidR="00493D9B" w:rsidRPr="00A74CC6" w:rsidRDefault="00493D9B" w:rsidP="00BD1FEA">
      <w:pPr>
        <w:spacing w:after="0" w:line="240" w:lineRule="auto"/>
        <w:rPr>
          <w:lang w:val="sv-SE"/>
        </w:rPr>
      </w:pPr>
      <w:r w:rsidRPr="00A74CC6">
        <w:rPr>
          <w:lang w:val="sv-SE"/>
        </w:rPr>
        <w:t>Förvaras i kylskåp.</w:t>
      </w:r>
      <w:r w:rsidR="001E775B">
        <w:rPr>
          <w:lang w:val="sv-SE"/>
        </w:rPr>
        <w:t xml:space="preserve"> Förvaras i originalförpackningen. Ljuskänsligt.</w:t>
      </w:r>
    </w:p>
    <w:p w14:paraId="240C5159" w14:textId="77777777" w:rsidR="00493D9B" w:rsidRPr="00A74CC6" w:rsidRDefault="00493D9B" w:rsidP="00BD1FEA">
      <w:pPr>
        <w:spacing w:after="0" w:line="240" w:lineRule="auto"/>
        <w:rPr>
          <w:lang w:val="sv-SE"/>
        </w:rPr>
      </w:pPr>
    </w:p>
    <w:p w14:paraId="0799953C" w14:textId="77777777" w:rsidR="00493D9B" w:rsidRPr="00A74CC6" w:rsidRDefault="00493D9B"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472A6C" w14:paraId="2D269803" w14:textId="77777777" w:rsidTr="004A019F">
        <w:tc>
          <w:tcPr>
            <w:tcW w:w="9061" w:type="dxa"/>
            <w:shd w:val="clear" w:color="auto" w:fill="auto"/>
          </w:tcPr>
          <w:p w14:paraId="29FEC05E" w14:textId="77777777" w:rsidR="00493D9B" w:rsidRPr="004A019F" w:rsidRDefault="00493D9B" w:rsidP="00BD1FEA">
            <w:pPr>
              <w:keepNext/>
              <w:spacing w:after="0" w:line="240" w:lineRule="auto"/>
              <w:ind w:left="567" w:hanging="567"/>
              <w:rPr>
                <w:b/>
                <w:lang w:val="sv-SE"/>
              </w:rPr>
            </w:pPr>
            <w:r w:rsidRPr="004A019F">
              <w:rPr>
                <w:b/>
                <w:lang w:val="sv-SE"/>
              </w:rPr>
              <w:lastRenderedPageBreak/>
              <w:t>10.</w:t>
            </w:r>
            <w:r w:rsidRPr="004A019F">
              <w:rPr>
                <w:b/>
                <w:lang w:val="sv-SE"/>
              </w:rPr>
              <w:tab/>
              <w:t>SÄRSKILDA FÖRSIKTIGHETSÅTGÄRDER FÖR DESTRUKTION AV EJ ANVÄNT LÄKEMEDEL OCH AVFALL I FÖREKOMMANDE FALL</w:t>
            </w:r>
          </w:p>
        </w:tc>
      </w:tr>
    </w:tbl>
    <w:p w14:paraId="3CA277F8" w14:textId="77777777" w:rsidR="00493D9B" w:rsidRPr="00A74CC6" w:rsidRDefault="00493D9B" w:rsidP="00BD1FEA">
      <w:pPr>
        <w:keepNext/>
        <w:spacing w:after="0" w:line="240" w:lineRule="auto"/>
        <w:rPr>
          <w:lang w:val="sv-SE"/>
        </w:rPr>
      </w:pPr>
    </w:p>
    <w:p w14:paraId="3FE12682" w14:textId="77777777" w:rsidR="00493D9B" w:rsidRPr="00A74CC6" w:rsidRDefault="00493D9B"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472A6C" w14:paraId="7ACB912B" w14:textId="77777777" w:rsidTr="004A019F">
        <w:tc>
          <w:tcPr>
            <w:tcW w:w="9061" w:type="dxa"/>
            <w:shd w:val="clear" w:color="auto" w:fill="auto"/>
          </w:tcPr>
          <w:p w14:paraId="3B8F12A8" w14:textId="77777777" w:rsidR="00493D9B" w:rsidRPr="004A019F" w:rsidRDefault="00493D9B" w:rsidP="00BD1FEA">
            <w:pPr>
              <w:spacing w:after="0" w:line="240" w:lineRule="auto"/>
              <w:ind w:left="567" w:hanging="567"/>
              <w:rPr>
                <w:b/>
                <w:lang w:val="sv-SE"/>
              </w:rPr>
            </w:pPr>
            <w:r w:rsidRPr="004A019F">
              <w:rPr>
                <w:b/>
                <w:lang w:val="sv-SE"/>
              </w:rPr>
              <w:t>11.</w:t>
            </w:r>
            <w:r w:rsidRPr="004A019F">
              <w:rPr>
                <w:b/>
                <w:lang w:val="sv-SE"/>
              </w:rPr>
              <w:tab/>
              <w:t>INNEHAVARE AV GODKÄNNANDE FÖR FÖRSÄLJNING (NAMN OCH ADRESS)</w:t>
            </w:r>
          </w:p>
        </w:tc>
      </w:tr>
    </w:tbl>
    <w:p w14:paraId="6E8D0C2A" w14:textId="77777777" w:rsidR="00493D9B" w:rsidRPr="00A74CC6" w:rsidRDefault="00493D9B" w:rsidP="00BD1FEA">
      <w:pPr>
        <w:spacing w:after="0" w:line="240" w:lineRule="auto"/>
        <w:rPr>
          <w:lang w:val="sv-SE"/>
        </w:rPr>
      </w:pPr>
    </w:p>
    <w:p w14:paraId="341896AD" w14:textId="77777777" w:rsidR="00493D9B" w:rsidRPr="00A74CC6" w:rsidRDefault="00493D9B" w:rsidP="00BD1FEA">
      <w:pPr>
        <w:spacing w:after="0" w:line="240" w:lineRule="auto"/>
        <w:ind w:hanging="6"/>
        <w:rPr>
          <w:lang w:val="sv-SE"/>
        </w:rPr>
      </w:pPr>
      <w:r w:rsidRPr="00A74CC6">
        <w:rPr>
          <w:lang w:val="sv-SE"/>
        </w:rPr>
        <w:t>Amgen Europe B.V.</w:t>
      </w:r>
    </w:p>
    <w:p w14:paraId="2E594896" w14:textId="77777777" w:rsidR="00493D9B" w:rsidRPr="00A74CC6" w:rsidRDefault="00493D9B" w:rsidP="00BD1FEA">
      <w:pPr>
        <w:spacing w:after="0" w:line="240" w:lineRule="auto"/>
        <w:ind w:hanging="6"/>
        <w:rPr>
          <w:lang w:val="sv-SE"/>
        </w:rPr>
      </w:pPr>
      <w:r w:rsidRPr="00A74CC6">
        <w:rPr>
          <w:lang w:val="sv-SE"/>
        </w:rPr>
        <w:t>Minervum 7061,</w:t>
      </w:r>
    </w:p>
    <w:p w14:paraId="32425EE3" w14:textId="77777777" w:rsidR="00493D9B" w:rsidRPr="00A74CC6" w:rsidRDefault="00493D9B" w:rsidP="00BD1FEA">
      <w:pPr>
        <w:spacing w:after="0" w:line="240" w:lineRule="auto"/>
        <w:ind w:left="4" w:right="13" w:hanging="6"/>
        <w:contextualSpacing/>
        <w:rPr>
          <w:lang w:val="sv-SE"/>
        </w:rPr>
      </w:pPr>
      <w:r w:rsidRPr="00A74CC6">
        <w:rPr>
          <w:lang w:val="sv-SE"/>
        </w:rPr>
        <w:t>NL</w:t>
      </w:r>
      <w:r w:rsidRPr="00A74CC6">
        <w:rPr>
          <w:lang w:val="sv-SE"/>
        </w:rPr>
        <w:noBreakHyphen/>
        <w:t>4817 ZK Breda,</w:t>
      </w:r>
    </w:p>
    <w:p w14:paraId="373EED60" w14:textId="77777777" w:rsidR="00493D9B" w:rsidRPr="00A74CC6" w:rsidRDefault="00493D9B" w:rsidP="00BD1FEA">
      <w:pPr>
        <w:spacing w:after="0" w:line="240" w:lineRule="auto"/>
        <w:ind w:left="4" w:right="13" w:hanging="6"/>
        <w:contextualSpacing/>
        <w:rPr>
          <w:lang w:val="sv-SE"/>
        </w:rPr>
      </w:pPr>
      <w:r w:rsidRPr="00A74CC6">
        <w:rPr>
          <w:lang w:val="sv-SE"/>
        </w:rPr>
        <w:t>Nederländerna</w:t>
      </w:r>
    </w:p>
    <w:p w14:paraId="04255D96" w14:textId="77777777" w:rsidR="00493D9B" w:rsidRPr="00A74CC6" w:rsidRDefault="00493D9B" w:rsidP="00BD1FEA">
      <w:pPr>
        <w:spacing w:after="0" w:line="240" w:lineRule="auto"/>
        <w:rPr>
          <w:lang w:val="sv-SE"/>
        </w:rPr>
      </w:pPr>
    </w:p>
    <w:p w14:paraId="2883F193" w14:textId="77777777" w:rsidR="00493D9B" w:rsidRPr="00A74CC6" w:rsidRDefault="00493D9B"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472A6C" w14:paraId="2A00C577" w14:textId="77777777" w:rsidTr="004A019F">
        <w:tc>
          <w:tcPr>
            <w:tcW w:w="9061" w:type="dxa"/>
            <w:shd w:val="clear" w:color="auto" w:fill="auto"/>
          </w:tcPr>
          <w:p w14:paraId="68D76313" w14:textId="77777777" w:rsidR="00493D9B" w:rsidRPr="004A019F" w:rsidRDefault="00493D9B" w:rsidP="00BD1FEA">
            <w:pPr>
              <w:keepNext/>
              <w:spacing w:after="0" w:line="240" w:lineRule="auto"/>
              <w:ind w:left="567" w:hanging="567"/>
              <w:rPr>
                <w:b/>
                <w:lang w:val="sv-SE"/>
              </w:rPr>
            </w:pPr>
            <w:r w:rsidRPr="004A019F">
              <w:rPr>
                <w:b/>
                <w:lang w:val="sv-SE"/>
              </w:rPr>
              <w:t>12.</w:t>
            </w:r>
            <w:r w:rsidRPr="004A019F">
              <w:rPr>
                <w:b/>
                <w:lang w:val="sv-SE"/>
              </w:rPr>
              <w:tab/>
              <w:t>NUMMER PÅ GODKÄNNANDE FÖR FÖRSÄLJNING</w:t>
            </w:r>
          </w:p>
        </w:tc>
      </w:tr>
    </w:tbl>
    <w:p w14:paraId="7AA43FD7" w14:textId="77777777" w:rsidR="00493D9B" w:rsidRPr="00A74CC6" w:rsidRDefault="00493D9B" w:rsidP="00BD1FEA">
      <w:pPr>
        <w:keepNext/>
        <w:spacing w:after="0" w:line="240" w:lineRule="auto"/>
        <w:rPr>
          <w:lang w:val="sv-SE"/>
        </w:rPr>
      </w:pPr>
    </w:p>
    <w:p w14:paraId="2E902815" w14:textId="378E47C6" w:rsidR="00820E3F" w:rsidRDefault="00820E3F" w:rsidP="00BD1FEA">
      <w:pPr>
        <w:spacing w:after="0" w:line="240" w:lineRule="auto"/>
        <w:rPr>
          <w:rFonts w:cs="Verdana"/>
        </w:rPr>
      </w:pPr>
      <w:r>
        <w:rPr>
          <w:rFonts w:cs="Verdana"/>
        </w:rPr>
        <w:t>EU/1/18/1281/002</w:t>
      </w:r>
    </w:p>
    <w:p w14:paraId="686457F6" w14:textId="77777777" w:rsidR="00C93926" w:rsidRDefault="00C93926" w:rsidP="00BD1FEA">
      <w:pPr>
        <w:spacing w:after="0" w:line="240" w:lineRule="auto"/>
        <w:rPr>
          <w:rFonts w:cs="Verdana"/>
        </w:rPr>
      </w:pPr>
    </w:p>
    <w:p w14:paraId="2A647B37" w14:textId="77777777" w:rsidR="00493D9B" w:rsidRPr="00A74CC6" w:rsidRDefault="00493D9B" w:rsidP="00BD1FEA">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A74CC6" w14:paraId="4ECE0527" w14:textId="77777777" w:rsidTr="004A019F">
        <w:tc>
          <w:tcPr>
            <w:tcW w:w="9061" w:type="dxa"/>
            <w:shd w:val="clear" w:color="auto" w:fill="auto"/>
          </w:tcPr>
          <w:p w14:paraId="6BD7BF2D" w14:textId="77777777" w:rsidR="00493D9B" w:rsidRPr="004A019F" w:rsidRDefault="00493D9B" w:rsidP="00BD1FEA">
            <w:pPr>
              <w:keepNext/>
              <w:spacing w:after="0" w:line="240" w:lineRule="auto"/>
              <w:ind w:left="567" w:hanging="567"/>
              <w:rPr>
                <w:b/>
                <w:lang w:val="sv-SE"/>
              </w:rPr>
            </w:pPr>
            <w:r w:rsidRPr="004A019F">
              <w:rPr>
                <w:b/>
                <w:lang w:val="sv-SE"/>
              </w:rPr>
              <w:t>13.</w:t>
            </w:r>
            <w:r w:rsidRPr="004A019F">
              <w:rPr>
                <w:b/>
                <w:lang w:val="sv-SE"/>
              </w:rPr>
              <w:tab/>
              <w:t>TILLVERKNINGSSATSNUMMER</w:t>
            </w:r>
          </w:p>
        </w:tc>
      </w:tr>
    </w:tbl>
    <w:p w14:paraId="50A880E9" w14:textId="77777777" w:rsidR="00493D9B" w:rsidRPr="00A74CC6" w:rsidRDefault="00493D9B" w:rsidP="00BD1FEA">
      <w:pPr>
        <w:keepNext/>
        <w:spacing w:after="0" w:line="240" w:lineRule="auto"/>
        <w:rPr>
          <w:lang w:val="sv-SE"/>
        </w:rPr>
      </w:pPr>
    </w:p>
    <w:p w14:paraId="6B663904" w14:textId="77777777" w:rsidR="00493D9B" w:rsidRPr="00A74CC6" w:rsidRDefault="00493D9B" w:rsidP="00BD1FEA">
      <w:pPr>
        <w:spacing w:after="0" w:line="240" w:lineRule="auto"/>
        <w:ind w:left="4" w:right="13"/>
        <w:contextualSpacing/>
        <w:rPr>
          <w:lang w:val="sv-SE"/>
        </w:rPr>
      </w:pPr>
      <w:r w:rsidRPr="00A74CC6">
        <w:rPr>
          <w:lang w:val="sv-SE"/>
        </w:rPr>
        <w:t>Lot</w:t>
      </w:r>
    </w:p>
    <w:p w14:paraId="4BA64E81" w14:textId="77777777" w:rsidR="00493D9B" w:rsidRPr="00A74CC6" w:rsidRDefault="00493D9B" w:rsidP="00BD1FEA">
      <w:pPr>
        <w:spacing w:after="0" w:line="240" w:lineRule="auto"/>
        <w:rPr>
          <w:lang w:val="sv-SE"/>
        </w:rPr>
      </w:pPr>
    </w:p>
    <w:p w14:paraId="461E9509" w14:textId="77777777" w:rsidR="00493D9B" w:rsidRPr="00A74CC6" w:rsidRDefault="00493D9B"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A74CC6" w14:paraId="5A05CE5E" w14:textId="77777777" w:rsidTr="004A019F">
        <w:tc>
          <w:tcPr>
            <w:tcW w:w="9061" w:type="dxa"/>
            <w:shd w:val="clear" w:color="auto" w:fill="auto"/>
          </w:tcPr>
          <w:p w14:paraId="1E4862DF" w14:textId="77777777" w:rsidR="00493D9B" w:rsidRPr="004A019F" w:rsidRDefault="00493D9B" w:rsidP="00BD1FEA">
            <w:pPr>
              <w:keepNext/>
              <w:spacing w:after="0" w:line="240" w:lineRule="auto"/>
              <w:ind w:left="567" w:hanging="567"/>
              <w:rPr>
                <w:b/>
                <w:lang w:val="sv-SE"/>
              </w:rPr>
            </w:pPr>
            <w:r w:rsidRPr="004A019F">
              <w:rPr>
                <w:b/>
                <w:lang w:val="sv-SE"/>
              </w:rPr>
              <w:t>14.</w:t>
            </w:r>
            <w:r w:rsidRPr="004A019F">
              <w:rPr>
                <w:b/>
                <w:lang w:val="sv-SE"/>
              </w:rPr>
              <w:tab/>
              <w:t>ALLMÄN KLASSIFICERING FÖR FÖRSKRIVNING</w:t>
            </w:r>
          </w:p>
        </w:tc>
      </w:tr>
    </w:tbl>
    <w:p w14:paraId="2BCABF52" w14:textId="77777777" w:rsidR="00493D9B" w:rsidRPr="00A74CC6" w:rsidRDefault="00493D9B" w:rsidP="00BD1FEA">
      <w:pPr>
        <w:keepNext/>
        <w:spacing w:after="0" w:line="240" w:lineRule="auto"/>
        <w:rPr>
          <w:lang w:val="sv-SE"/>
        </w:rPr>
      </w:pPr>
    </w:p>
    <w:p w14:paraId="1C1A7818" w14:textId="77777777" w:rsidR="00493D9B" w:rsidRPr="00A74CC6" w:rsidRDefault="00493D9B"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A74CC6" w14:paraId="01CFDF80" w14:textId="77777777" w:rsidTr="004A019F">
        <w:tc>
          <w:tcPr>
            <w:tcW w:w="9061" w:type="dxa"/>
            <w:shd w:val="clear" w:color="auto" w:fill="auto"/>
          </w:tcPr>
          <w:p w14:paraId="3E7DF940" w14:textId="77777777" w:rsidR="00493D9B" w:rsidRPr="004A019F" w:rsidRDefault="00493D9B" w:rsidP="00BD1FEA">
            <w:pPr>
              <w:keepNext/>
              <w:spacing w:after="0" w:line="240" w:lineRule="auto"/>
              <w:ind w:left="567" w:hanging="567"/>
              <w:rPr>
                <w:b/>
                <w:lang w:val="sv-SE"/>
              </w:rPr>
            </w:pPr>
            <w:r w:rsidRPr="004A019F">
              <w:rPr>
                <w:b/>
                <w:lang w:val="sv-SE"/>
              </w:rPr>
              <w:t>15.</w:t>
            </w:r>
            <w:r w:rsidRPr="004A019F">
              <w:rPr>
                <w:b/>
                <w:lang w:val="sv-SE"/>
              </w:rPr>
              <w:tab/>
              <w:t>BRUKSANVISNING</w:t>
            </w:r>
          </w:p>
        </w:tc>
      </w:tr>
    </w:tbl>
    <w:p w14:paraId="1EBDDD69" w14:textId="77777777" w:rsidR="00493D9B" w:rsidRPr="00A74CC6" w:rsidRDefault="00493D9B" w:rsidP="00BD1FEA">
      <w:pPr>
        <w:keepNext/>
        <w:spacing w:after="0" w:line="240" w:lineRule="auto"/>
        <w:rPr>
          <w:lang w:val="sv-SE"/>
        </w:rPr>
      </w:pPr>
    </w:p>
    <w:p w14:paraId="74E3C98E" w14:textId="77777777" w:rsidR="00493D9B" w:rsidRPr="00A74CC6" w:rsidRDefault="00493D9B"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A74CC6" w14:paraId="732AD85F" w14:textId="77777777" w:rsidTr="004A019F">
        <w:tc>
          <w:tcPr>
            <w:tcW w:w="9061" w:type="dxa"/>
            <w:shd w:val="clear" w:color="auto" w:fill="auto"/>
          </w:tcPr>
          <w:p w14:paraId="61B83735" w14:textId="77777777" w:rsidR="00493D9B" w:rsidRPr="004A019F" w:rsidRDefault="00493D9B" w:rsidP="00BD1FEA">
            <w:pPr>
              <w:keepNext/>
              <w:spacing w:after="0" w:line="240" w:lineRule="auto"/>
              <w:ind w:left="567" w:hanging="567"/>
              <w:rPr>
                <w:b/>
                <w:lang w:val="sv-SE"/>
              </w:rPr>
            </w:pPr>
            <w:r w:rsidRPr="004A019F">
              <w:rPr>
                <w:b/>
                <w:lang w:val="sv-SE"/>
              </w:rPr>
              <w:t>16.</w:t>
            </w:r>
            <w:r w:rsidRPr="004A019F">
              <w:rPr>
                <w:b/>
                <w:lang w:val="sv-SE"/>
              </w:rPr>
              <w:tab/>
              <w:t>INFORMATION I PUNKTSKRIFT</w:t>
            </w:r>
          </w:p>
        </w:tc>
      </w:tr>
    </w:tbl>
    <w:p w14:paraId="4DBBB8D6" w14:textId="77777777" w:rsidR="00493D9B" w:rsidRPr="00A74CC6" w:rsidRDefault="00493D9B" w:rsidP="00BD1FEA">
      <w:pPr>
        <w:spacing w:after="0" w:line="240" w:lineRule="auto"/>
        <w:ind w:left="0" w:firstLine="0"/>
        <w:rPr>
          <w:lang w:val="sv-SE"/>
        </w:rPr>
      </w:pPr>
    </w:p>
    <w:p w14:paraId="35AEBB31" w14:textId="77777777" w:rsidR="00493D9B" w:rsidRPr="00A74CC6" w:rsidRDefault="00493D9B" w:rsidP="00BD1FEA">
      <w:pPr>
        <w:spacing w:after="0"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A74CC6" w14:paraId="18CDCA1C" w14:textId="77777777" w:rsidTr="004A019F">
        <w:tc>
          <w:tcPr>
            <w:tcW w:w="9061" w:type="dxa"/>
            <w:shd w:val="clear" w:color="auto" w:fill="auto"/>
          </w:tcPr>
          <w:p w14:paraId="0B500B4A" w14:textId="77777777" w:rsidR="00493D9B" w:rsidRPr="004A019F" w:rsidRDefault="00493D9B" w:rsidP="00BD1FEA">
            <w:pPr>
              <w:keepNext/>
              <w:spacing w:after="0" w:line="240" w:lineRule="auto"/>
              <w:ind w:left="567" w:hanging="567"/>
              <w:rPr>
                <w:b/>
                <w:lang w:val="sv-SE"/>
              </w:rPr>
            </w:pPr>
            <w:r w:rsidRPr="004A019F">
              <w:rPr>
                <w:b/>
                <w:lang w:val="sv-SE"/>
              </w:rPr>
              <w:t>17.</w:t>
            </w:r>
            <w:r w:rsidRPr="004A019F">
              <w:rPr>
                <w:b/>
                <w:lang w:val="sv-SE"/>
              </w:rPr>
              <w:tab/>
              <w:t>UNIK IDENTITETSBETECKNING – TVÅDIMENSIONELL STRECKKOD</w:t>
            </w:r>
          </w:p>
        </w:tc>
      </w:tr>
    </w:tbl>
    <w:p w14:paraId="29CF5ECD" w14:textId="77777777" w:rsidR="00493D9B" w:rsidRPr="00A74CC6" w:rsidRDefault="00493D9B" w:rsidP="00BD1FEA">
      <w:pPr>
        <w:keepNext/>
        <w:spacing w:after="0" w:line="240" w:lineRule="auto"/>
        <w:rPr>
          <w:lang w:val="sv-SE"/>
        </w:rPr>
      </w:pPr>
    </w:p>
    <w:p w14:paraId="1374B505" w14:textId="77777777" w:rsidR="00493D9B" w:rsidRPr="004A019F" w:rsidRDefault="00493D9B" w:rsidP="00BD1FEA">
      <w:pPr>
        <w:spacing w:after="0" w:line="240" w:lineRule="auto"/>
        <w:rPr>
          <w:rFonts w:eastAsia="Yu Mincho"/>
          <w:color w:val="auto"/>
          <w:lang w:val="sv-SE"/>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93D9B" w:rsidRPr="00472A6C" w14:paraId="6822207F" w14:textId="77777777" w:rsidTr="004A019F">
        <w:tc>
          <w:tcPr>
            <w:tcW w:w="9061" w:type="dxa"/>
            <w:shd w:val="clear" w:color="auto" w:fill="auto"/>
          </w:tcPr>
          <w:p w14:paraId="7F512C6C" w14:textId="77777777" w:rsidR="00493D9B" w:rsidRPr="004A019F" w:rsidRDefault="00493D9B" w:rsidP="00BD1FEA">
            <w:pPr>
              <w:keepNext/>
              <w:spacing w:after="0" w:line="240" w:lineRule="auto"/>
              <w:ind w:left="567" w:hanging="567"/>
              <w:rPr>
                <w:b/>
                <w:lang w:val="sv-SE"/>
              </w:rPr>
            </w:pPr>
            <w:r w:rsidRPr="004A019F">
              <w:rPr>
                <w:b/>
                <w:lang w:val="sv-SE"/>
              </w:rPr>
              <w:t>18.</w:t>
            </w:r>
            <w:r w:rsidRPr="004A019F">
              <w:rPr>
                <w:b/>
                <w:lang w:val="sv-SE"/>
              </w:rPr>
              <w:tab/>
              <w:t>UNIK IDENTITETSBETECKNING – I ETT FORMAT LÄSBART FÖR MÄNSKLIGT ÖGA</w:t>
            </w:r>
          </w:p>
        </w:tc>
      </w:tr>
    </w:tbl>
    <w:p w14:paraId="00458C52" w14:textId="77777777" w:rsidR="00493D9B" w:rsidRPr="00A74CC6" w:rsidRDefault="00493D9B" w:rsidP="00BD1FEA">
      <w:pPr>
        <w:spacing w:after="0" w:line="240" w:lineRule="auto"/>
        <w:rPr>
          <w:lang w:val="sv-SE"/>
        </w:rPr>
      </w:pPr>
    </w:p>
    <w:p w14:paraId="2AD84114" w14:textId="77777777" w:rsidR="00722942" w:rsidRPr="00A74CC6" w:rsidRDefault="00722942" w:rsidP="00BD1FEA">
      <w:pPr>
        <w:spacing w:after="0" w:line="240" w:lineRule="auto"/>
        <w:rPr>
          <w:lang w:val="sv-SE"/>
        </w:rPr>
      </w:pPr>
    </w:p>
    <w:p w14:paraId="45455FD7" w14:textId="77777777" w:rsidR="000A1A3C" w:rsidRPr="00A74CC6" w:rsidRDefault="000A1A3C" w:rsidP="009340B3">
      <w:pPr>
        <w:spacing w:after="0" w:line="240" w:lineRule="auto"/>
        <w:ind w:left="0" w:firstLine="0"/>
        <w:rPr>
          <w:lang w:val="sv-SE"/>
        </w:rPr>
      </w:pPr>
      <w:r w:rsidRPr="00A74CC6">
        <w:rPr>
          <w:lang w:val="sv-SE"/>
        </w:rPr>
        <w:br w:type="page"/>
      </w:r>
    </w:p>
    <w:p w14:paraId="117AA5EB" w14:textId="77777777" w:rsidR="009147BB" w:rsidRPr="00A74CC6" w:rsidRDefault="009147BB" w:rsidP="00BD1FEA">
      <w:pPr>
        <w:spacing w:after="0" w:line="240" w:lineRule="auto"/>
        <w:ind w:left="0" w:firstLine="0"/>
        <w:contextualSpacing/>
        <w:jc w:val="center"/>
        <w:rPr>
          <w:lang w:val="sv-SE"/>
        </w:rPr>
      </w:pPr>
    </w:p>
    <w:p w14:paraId="293BEC42" w14:textId="77777777" w:rsidR="009147BB" w:rsidRPr="00A74CC6" w:rsidRDefault="009147BB" w:rsidP="00BD1FEA">
      <w:pPr>
        <w:spacing w:after="0" w:line="240" w:lineRule="auto"/>
        <w:ind w:left="0" w:firstLine="0"/>
        <w:contextualSpacing/>
        <w:jc w:val="center"/>
        <w:rPr>
          <w:lang w:val="sv-SE"/>
        </w:rPr>
      </w:pPr>
    </w:p>
    <w:p w14:paraId="7AE3692E" w14:textId="77777777" w:rsidR="009147BB" w:rsidRPr="00A74CC6" w:rsidRDefault="009147BB" w:rsidP="00BD1FEA">
      <w:pPr>
        <w:spacing w:after="0" w:line="240" w:lineRule="auto"/>
        <w:ind w:left="0" w:firstLine="0"/>
        <w:contextualSpacing/>
        <w:jc w:val="center"/>
        <w:rPr>
          <w:lang w:val="sv-SE"/>
        </w:rPr>
      </w:pPr>
    </w:p>
    <w:p w14:paraId="0146F550" w14:textId="77777777" w:rsidR="009147BB" w:rsidRPr="00A74CC6" w:rsidRDefault="009147BB" w:rsidP="00BD1FEA">
      <w:pPr>
        <w:spacing w:after="0" w:line="240" w:lineRule="auto"/>
        <w:ind w:left="0" w:firstLine="0"/>
        <w:contextualSpacing/>
        <w:jc w:val="center"/>
        <w:rPr>
          <w:lang w:val="sv-SE"/>
        </w:rPr>
      </w:pPr>
    </w:p>
    <w:p w14:paraId="1A3DAB3F" w14:textId="77777777" w:rsidR="009147BB" w:rsidRPr="00A74CC6" w:rsidRDefault="009147BB" w:rsidP="00BD1FEA">
      <w:pPr>
        <w:spacing w:after="0" w:line="240" w:lineRule="auto"/>
        <w:ind w:left="0" w:firstLine="0"/>
        <w:contextualSpacing/>
        <w:jc w:val="center"/>
        <w:rPr>
          <w:lang w:val="sv-SE"/>
        </w:rPr>
      </w:pPr>
    </w:p>
    <w:p w14:paraId="4ADF57AB" w14:textId="77777777" w:rsidR="009147BB" w:rsidRPr="00A74CC6" w:rsidRDefault="009147BB" w:rsidP="00360C8E">
      <w:pPr>
        <w:spacing w:after="0" w:line="240" w:lineRule="auto"/>
        <w:ind w:left="0" w:firstLine="0"/>
        <w:contextualSpacing/>
        <w:jc w:val="center"/>
        <w:rPr>
          <w:lang w:val="sv-SE"/>
        </w:rPr>
      </w:pPr>
    </w:p>
    <w:p w14:paraId="753320E9" w14:textId="77777777" w:rsidR="009147BB" w:rsidRPr="00A74CC6" w:rsidRDefault="009147BB" w:rsidP="00360C8E">
      <w:pPr>
        <w:spacing w:after="0" w:line="240" w:lineRule="auto"/>
        <w:ind w:left="0" w:firstLine="0"/>
        <w:contextualSpacing/>
        <w:jc w:val="center"/>
        <w:rPr>
          <w:lang w:val="sv-SE"/>
        </w:rPr>
      </w:pPr>
    </w:p>
    <w:p w14:paraId="45826E73" w14:textId="77777777" w:rsidR="009147BB" w:rsidRPr="00A74CC6" w:rsidRDefault="009147BB" w:rsidP="00360C8E">
      <w:pPr>
        <w:spacing w:after="0" w:line="240" w:lineRule="auto"/>
        <w:ind w:left="0" w:firstLine="0"/>
        <w:contextualSpacing/>
        <w:jc w:val="center"/>
        <w:rPr>
          <w:lang w:val="sv-SE"/>
        </w:rPr>
      </w:pPr>
    </w:p>
    <w:p w14:paraId="37D40985" w14:textId="77777777" w:rsidR="009147BB" w:rsidRPr="00A74CC6" w:rsidRDefault="009147BB" w:rsidP="00360C8E">
      <w:pPr>
        <w:spacing w:after="0" w:line="240" w:lineRule="auto"/>
        <w:ind w:left="0" w:firstLine="0"/>
        <w:contextualSpacing/>
        <w:jc w:val="center"/>
        <w:rPr>
          <w:lang w:val="sv-SE"/>
        </w:rPr>
      </w:pPr>
    </w:p>
    <w:p w14:paraId="5C7E01B1" w14:textId="77777777" w:rsidR="009147BB" w:rsidRPr="00A74CC6" w:rsidRDefault="009147BB" w:rsidP="00360C8E">
      <w:pPr>
        <w:spacing w:after="0" w:line="240" w:lineRule="auto"/>
        <w:ind w:left="0" w:firstLine="0"/>
        <w:contextualSpacing/>
        <w:jc w:val="center"/>
        <w:rPr>
          <w:lang w:val="sv-SE"/>
        </w:rPr>
      </w:pPr>
    </w:p>
    <w:p w14:paraId="6913BCFD" w14:textId="77777777" w:rsidR="009147BB" w:rsidRPr="00A74CC6" w:rsidRDefault="009147BB" w:rsidP="00360C8E">
      <w:pPr>
        <w:spacing w:after="0" w:line="240" w:lineRule="auto"/>
        <w:ind w:left="0" w:firstLine="0"/>
        <w:contextualSpacing/>
        <w:jc w:val="center"/>
        <w:rPr>
          <w:lang w:val="sv-SE"/>
        </w:rPr>
      </w:pPr>
    </w:p>
    <w:p w14:paraId="35462002" w14:textId="77777777" w:rsidR="009147BB" w:rsidRPr="00A74CC6" w:rsidRDefault="009147BB" w:rsidP="00360C8E">
      <w:pPr>
        <w:spacing w:after="0" w:line="240" w:lineRule="auto"/>
        <w:ind w:left="0" w:firstLine="0"/>
        <w:contextualSpacing/>
        <w:jc w:val="center"/>
        <w:rPr>
          <w:lang w:val="sv-SE"/>
        </w:rPr>
      </w:pPr>
    </w:p>
    <w:p w14:paraId="5E46CE5B" w14:textId="77777777" w:rsidR="009147BB" w:rsidRPr="00A74CC6" w:rsidRDefault="009147BB" w:rsidP="00360C8E">
      <w:pPr>
        <w:spacing w:after="0" w:line="240" w:lineRule="auto"/>
        <w:ind w:left="0" w:firstLine="0"/>
        <w:contextualSpacing/>
        <w:jc w:val="center"/>
        <w:rPr>
          <w:lang w:val="sv-SE"/>
        </w:rPr>
      </w:pPr>
    </w:p>
    <w:p w14:paraId="5D676CE5" w14:textId="77777777" w:rsidR="009147BB" w:rsidRPr="00A74CC6" w:rsidRDefault="009147BB" w:rsidP="00360C8E">
      <w:pPr>
        <w:spacing w:after="0" w:line="240" w:lineRule="auto"/>
        <w:ind w:left="0" w:firstLine="0"/>
        <w:contextualSpacing/>
        <w:jc w:val="center"/>
        <w:rPr>
          <w:lang w:val="sv-SE"/>
        </w:rPr>
      </w:pPr>
    </w:p>
    <w:p w14:paraId="63C98659" w14:textId="77777777" w:rsidR="009147BB" w:rsidRPr="00A74CC6" w:rsidRDefault="009147BB" w:rsidP="00360C8E">
      <w:pPr>
        <w:spacing w:after="0" w:line="240" w:lineRule="auto"/>
        <w:ind w:left="0" w:firstLine="0"/>
        <w:contextualSpacing/>
        <w:jc w:val="center"/>
        <w:rPr>
          <w:lang w:val="sv-SE"/>
        </w:rPr>
      </w:pPr>
    </w:p>
    <w:p w14:paraId="4533F985" w14:textId="77777777" w:rsidR="009147BB" w:rsidRPr="00A74CC6" w:rsidRDefault="009147BB" w:rsidP="00360C8E">
      <w:pPr>
        <w:spacing w:after="0" w:line="240" w:lineRule="auto"/>
        <w:ind w:left="0" w:firstLine="0"/>
        <w:contextualSpacing/>
        <w:jc w:val="center"/>
        <w:rPr>
          <w:lang w:val="sv-SE"/>
        </w:rPr>
      </w:pPr>
    </w:p>
    <w:p w14:paraId="75F84073" w14:textId="77777777" w:rsidR="009147BB" w:rsidRPr="00A74CC6" w:rsidRDefault="009147BB" w:rsidP="00360C8E">
      <w:pPr>
        <w:spacing w:after="0" w:line="240" w:lineRule="auto"/>
        <w:ind w:left="0" w:firstLine="0"/>
        <w:contextualSpacing/>
        <w:jc w:val="center"/>
        <w:rPr>
          <w:lang w:val="sv-SE"/>
        </w:rPr>
      </w:pPr>
    </w:p>
    <w:p w14:paraId="4FCD7383" w14:textId="77777777" w:rsidR="009147BB" w:rsidRPr="00A74CC6" w:rsidRDefault="009147BB" w:rsidP="00360C8E">
      <w:pPr>
        <w:spacing w:after="0" w:line="240" w:lineRule="auto"/>
        <w:ind w:left="0" w:firstLine="0"/>
        <w:contextualSpacing/>
        <w:jc w:val="center"/>
        <w:rPr>
          <w:lang w:val="sv-SE"/>
        </w:rPr>
      </w:pPr>
    </w:p>
    <w:p w14:paraId="17D54C9F" w14:textId="77777777" w:rsidR="009147BB" w:rsidRPr="00A74CC6" w:rsidRDefault="009147BB" w:rsidP="00360C8E">
      <w:pPr>
        <w:spacing w:after="0" w:line="240" w:lineRule="auto"/>
        <w:ind w:left="0" w:firstLine="0"/>
        <w:contextualSpacing/>
        <w:jc w:val="center"/>
        <w:rPr>
          <w:lang w:val="sv-SE"/>
        </w:rPr>
      </w:pPr>
    </w:p>
    <w:p w14:paraId="6CE9360B" w14:textId="77777777" w:rsidR="009147BB" w:rsidRPr="00A74CC6" w:rsidRDefault="009147BB" w:rsidP="00360C8E">
      <w:pPr>
        <w:spacing w:after="0" w:line="240" w:lineRule="auto"/>
        <w:ind w:left="0" w:firstLine="0"/>
        <w:contextualSpacing/>
        <w:jc w:val="center"/>
        <w:rPr>
          <w:lang w:val="sv-SE"/>
        </w:rPr>
      </w:pPr>
    </w:p>
    <w:p w14:paraId="49CB2C5F" w14:textId="77777777" w:rsidR="009147BB" w:rsidRPr="00A74CC6" w:rsidRDefault="009147BB" w:rsidP="00360C8E">
      <w:pPr>
        <w:spacing w:after="0" w:line="240" w:lineRule="auto"/>
        <w:ind w:left="0" w:firstLine="0"/>
        <w:contextualSpacing/>
        <w:jc w:val="center"/>
        <w:rPr>
          <w:lang w:val="sv-SE"/>
        </w:rPr>
      </w:pPr>
    </w:p>
    <w:p w14:paraId="12721367" w14:textId="77777777" w:rsidR="009147BB" w:rsidRPr="00A74CC6" w:rsidRDefault="009147BB" w:rsidP="00360C8E">
      <w:pPr>
        <w:spacing w:after="0" w:line="240" w:lineRule="auto"/>
        <w:ind w:left="0" w:firstLine="0"/>
        <w:contextualSpacing/>
        <w:jc w:val="center"/>
        <w:rPr>
          <w:lang w:val="sv-SE"/>
        </w:rPr>
      </w:pPr>
    </w:p>
    <w:p w14:paraId="03F13203" w14:textId="77777777" w:rsidR="009147BB" w:rsidRPr="00A74CC6" w:rsidRDefault="00264096" w:rsidP="00360C8E">
      <w:pPr>
        <w:pStyle w:val="TitleA"/>
        <w:widowControl/>
        <w:ind w:left="0" w:firstLine="0"/>
        <w:jc w:val="center"/>
      </w:pPr>
      <w:r w:rsidRPr="00A74CC6">
        <w:t>B. BIPACKSEDEL</w:t>
      </w:r>
    </w:p>
    <w:p w14:paraId="57184A32" w14:textId="77777777" w:rsidR="009147BB" w:rsidRPr="00A74CC6" w:rsidRDefault="009147BB" w:rsidP="001E7238">
      <w:pPr>
        <w:spacing w:after="160" w:line="259" w:lineRule="auto"/>
        <w:ind w:left="0" w:firstLine="0"/>
        <w:jc w:val="center"/>
        <w:rPr>
          <w:b/>
          <w:lang w:val="sv-SE"/>
        </w:rPr>
      </w:pPr>
      <w:r w:rsidRPr="00A74CC6">
        <w:rPr>
          <w:lang w:val="sv-SE"/>
        </w:rPr>
        <w:br w:type="page"/>
      </w:r>
    </w:p>
    <w:p w14:paraId="59E34757" w14:textId="77777777" w:rsidR="005027AB" w:rsidRPr="00A74CC6" w:rsidRDefault="00264096" w:rsidP="001E7238">
      <w:pPr>
        <w:spacing w:after="0" w:line="240" w:lineRule="auto"/>
        <w:ind w:left="819" w:right="795" w:hanging="10"/>
        <w:contextualSpacing/>
        <w:jc w:val="center"/>
        <w:rPr>
          <w:b/>
          <w:lang w:val="sv-SE"/>
        </w:rPr>
      </w:pPr>
      <w:r w:rsidRPr="00A74CC6">
        <w:rPr>
          <w:b/>
          <w:lang w:val="sv-SE"/>
        </w:rPr>
        <w:t>Bipacksedel: Information till användaren</w:t>
      </w:r>
    </w:p>
    <w:p w14:paraId="7F34B303" w14:textId="77777777" w:rsidR="009D258F" w:rsidRPr="00A74CC6" w:rsidRDefault="009D258F" w:rsidP="001E7238">
      <w:pPr>
        <w:spacing w:after="0" w:line="240" w:lineRule="auto"/>
        <w:ind w:left="819" w:right="795" w:hanging="10"/>
        <w:contextualSpacing/>
        <w:jc w:val="center"/>
        <w:rPr>
          <w:lang w:val="sv-SE"/>
        </w:rPr>
      </w:pPr>
    </w:p>
    <w:p w14:paraId="23C47533" w14:textId="0156C48A" w:rsidR="00493D9B" w:rsidRPr="00A74CC6" w:rsidRDefault="00493D9B" w:rsidP="001E7238">
      <w:pPr>
        <w:spacing w:after="0" w:line="240" w:lineRule="auto"/>
        <w:ind w:left="819" w:right="795" w:hanging="10"/>
        <w:contextualSpacing/>
        <w:jc w:val="center"/>
        <w:rPr>
          <w:b/>
          <w:lang w:val="sv-SE"/>
        </w:rPr>
      </w:pPr>
      <w:r w:rsidRPr="00A74CC6">
        <w:rPr>
          <w:b/>
          <w:lang w:val="sv-SE"/>
        </w:rPr>
        <w:t xml:space="preserve">KANJINTI </w:t>
      </w:r>
      <w:r w:rsidR="009D258F" w:rsidRPr="00A74CC6">
        <w:rPr>
          <w:b/>
          <w:lang w:val="sv-SE"/>
        </w:rPr>
        <w:t>150 </w:t>
      </w:r>
      <w:r w:rsidR="00264096" w:rsidRPr="00A74CC6">
        <w:rPr>
          <w:b/>
          <w:lang w:val="sv-SE"/>
        </w:rPr>
        <w:t>mg pulver till koncentrat till infusionsvätska, lösning</w:t>
      </w:r>
    </w:p>
    <w:p w14:paraId="42D0E9CA" w14:textId="77777777" w:rsidR="00493D9B" w:rsidRPr="00A74CC6" w:rsidRDefault="00493D9B" w:rsidP="001E7238">
      <w:pPr>
        <w:spacing w:after="0" w:line="240" w:lineRule="auto"/>
        <w:ind w:left="819" w:right="795" w:hanging="10"/>
        <w:contextualSpacing/>
        <w:jc w:val="center"/>
        <w:rPr>
          <w:b/>
          <w:lang w:val="sv-SE"/>
        </w:rPr>
      </w:pPr>
      <w:r w:rsidRPr="00A74CC6">
        <w:rPr>
          <w:b/>
          <w:lang w:val="sv-SE"/>
        </w:rPr>
        <w:t>KANJINTI 420 mg pulver till koncentrat till infusionsvätska, lösning</w:t>
      </w:r>
    </w:p>
    <w:p w14:paraId="63A5B010" w14:textId="4452DE44" w:rsidR="005027AB" w:rsidRPr="00A74CC6" w:rsidRDefault="00493D9B" w:rsidP="001E7238">
      <w:pPr>
        <w:spacing w:after="0" w:line="240" w:lineRule="auto"/>
        <w:ind w:left="819" w:right="795" w:hanging="10"/>
        <w:contextualSpacing/>
        <w:jc w:val="center"/>
        <w:rPr>
          <w:lang w:val="sv-SE"/>
        </w:rPr>
      </w:pPr>
      <w:r w:rsidRPr="00A74CC6">
        <w:rPr>
          <w:lang w:val="sv-SE"/>
        </w:rPr>
        <w:t>t</w:t>
      </w:r>
      <w:r w:rsidR="00264096" w:rsidRPr="00A74CC6">
        <w:rPr>
          <w:lang w:val="sv-SE"/>
        </w:rPr>
        <w:t>rastuzumab</w:t>
      </w:r>
    </w:p>
    <w:p w14:paraId="6660532A" w14:textId="77777777" w:rsidR="009D258F" w:rsidRPr="00A74CC6" w:rsidRDefault="009D258F" w:rsidP="001E7238">
      <w:pPr>
        <w:spacing w:after="0" w:line="240" w:lineRule="auto"/>
        <w:ind w:left="819" w:right="795" w:hanging="819"/>
        <w:contextualSpacing/>
        <w:rPr>
          <w:lang w:val="sv-SE"/>
        </w:rPr>
      </w:pPr>
    </w:p>
    <w:p w14:paraId="313A21F9" w14:textId="77777777" w:rsidR="005027AB" w:rsidRPr="00A74CC6" w:rsidRDefault="00264096" w:rsidP="006A1034">
      <w:pPr>
        <w:keepNext/>
        <w:spacing w:after="0" w:line="240" w:lineRule="auto"/>
        <w:ind w:left="0" w:firstLine="0"/>
        <w:contextualSpacing/>
        <w:rPr>
          <w:lang w:val="sv-SE"/>
        </w:rPr>
      </w:pPr>
      <w:r w:rsidRPr="00A74CC6">
        <w:rPr>
          <w:b/>
          <w:lang w:val="sv-SE"/>
        </w:rPr>
        <w:t>Läs noga igenom denna bipacksedel innan du börjar använda detta läkemedel. Den innehåller information som är viktig för dig.</w:t>
      </w:r>
    </w:p>
    <w:p w14:paraId="1E362BF2" w14:textId="77777777" w:rsidR="005027AB" w:rsidRPr="00A74CC6" w:rsidRDefault="00264096" w:rsidP="006A1034">
      <w:pPr>
        <w:pStyle w:val="ListParagraph"/>
        <w:keepNext/>
        <w:numPr>
          <w:ilvl w:val="0"/>
          <w:numId w:val="29"/>
        </w:numPr>
        <w:spacing w:after="0" w:line="240" w:lineRule="auto"/>
        <w:ind w:left="567" w:hanging="567"/>
        <w:rPr>
          <w:lang w:val="sv-SE"/>
        </w:rPr>
      </w:pPr>
      <w:r w:rsidRPr="00A74CC6">
        <w:rPr>
          <w:lang w:val="sv-SE"/>
        </w:rPr>
        <w:t>Spara denna information, du kan behöva läsa den igen.</w:t>
      </w:r>
    </w:p>
    <w:p w14:paraId="1F409844" w14:textId="77777777" w:rsidR="005027AB" w:rsidRPr="00A74CC6" w:rsidRDefault="00264096" w:rsidP="006A1034">
      <w:pPr>
        <w:pStyle w:val="ListParagraph"/>
        <w:keepNext/>
        <w:numPr>
          <w:ilvl w:val="0"/>
          <w:numId w:val="29"/>
        </w:numPr>
        <w:spacing w:after="0" w:line="240" w:lineRule="auto"/>
        <w:ind w:left="567" w:hanging="567"/>
        <w:rPr>
          <w:lang w:val="sv-SE"/>
        </w:rPr>
      </w:pPr>
      <w:r w:rsidRPr="00A74CC6">
        <w:rPr>
          <w:lang w:val="sv-SE"/>
        </w:rPr>
        <w:t>Om du har ytterligare frågor vänd dig till läkare eller apotekspersonal.</w:t>
      </w:r>
    </w:p>
    <w:p w14:paraId="0C1E28C5" w14:textId="7CA33FAA" w:rsidR="005027AB" w:rsidRPr="00A74CC6" w:rsidRDefault="00264096" w:rsidP="0023246D">
      <w:pPr>
        <w:pStyle w:val="ListParagraph"/>
        <w:numPr>
          <w:ilvl w:val="0"/>
          <w:numId w:val="29"/>
        </w:numPr>
        <w:spacing w:after="0" w:line="240" w:lineRule="auto"/>
        <w:ind w:left="567" w:hanging="567"/>
        <w:rPr>
          <w:lang w:val="sv-SE"/>
        </w:rPr>
      </w:pPr>
      <w:r w:rsidRPr="00A74CC6">
        <w:rPr>
          <w:lang w:val="sv-SE"/>
        </w:rPr>
        <w:t>Om du får biverkningar, tala med läkare, apotekspersonal eller sjuksköterska. Detta gäller även eventuella biverkningar som inte nämns i denna information. Se avsnitt</w:t>
      </w:r>
      <w:r w:rsidR="00500529" w:rsidRPr="00A74CC6">
        <w:rPr>
          <w:lang w:val="sv-SE"/>
        </w:rPr>
        <w:t> </w:t>
      </w:r>
      <w:r w:rsidRPr="00A74CC6">
        <w:rPr>
          <w:lang w:val="sv-SE"/>
        </w:rPr>
        <w:t>4.</w:t>
      </w:r>
    </w:p>
    <w:p w14:paraId="7C0ECCA7" w14:textId="77777777" w:rsidR="00052025" w:rsidRPr="00A74CC6" w:rsidRDefault="00052025" w:rsidP="001E7238">
      <w:pPr>
        <w:spacing w:after="0" w:line="240" w:lineRule="auto"/>
        <w:ind w:left="0" w:right="13" w:firstLine="0"/>
        <w:contextualSpacing/>
        <w:rPr>
          <w:lang w:val="sv-SE"/>
        </w:rPr>
      </w:pPr>
    </w:p>
    <w:p w14:paraId="5ECE209F" w14:textId="77777777" w:rsidR="005027AB" w:rsidRPr="00A74CC6" w:rsidRDefault="00264096" w:rsidP="001E7238">
      <w:pPr>
        <w:spacing w:after="0" w:line="240" w:lineRule="auto"/>
        <w:ind w:left="14" w:firstLine="0"/>
        <w:contextualSpacing/>
        <w:rPr>
          <w:b/>
          <w:lang w:val="sv-SE"/>
        </w:rPr>
      </w:pPr>
      <w:r w:rsidRPr="00A74CC6">
        <w:rPr>
          <w:b/>
          <w:lang w:val="sv-SE"/>
        </w:rPr>
        <w:t>I denna bipacksedel finns information om följande:</w:t>
      </w:r>
    </w:p>
    <w:p w14:paraId="24C65AA4" w14:textId="77777777" w:rsidR="00052025" w:rsidRPr="00A74CC6" w:rsidRDefault="00052025" w:rsidP="001E7238">
      <w:pPr>
        <w:spacing w:after="0" w:line="240" w:lineRule="auto"/>
        <w:ind w:left="14" w:firstLine="0"/>
        <w:contextualSpacing/>
        <w:rPr>
          <w:lang w:val="sv-SE"/>
        </w:rPr>
      </w:pPr>
    </w:p>
    <w:p w14:paraId="6890081D" w14:textId="1DCE4C07" w:rsidR="005027AB" w:rsidRPr="00A74CC6" w:rsidRDefault="0023246D" w:rsidP="0023246D">
      <w:pPr>
        <w:spacing w:after="0" w:line="240" w:lineRule="auto"/>
        <w:ind w:left="567" w:hanging="567"/>
        <w:contextualSpacing/>
        <w:rPr>
          <w:lang w:val="sv-SE"/>
        </w:rPr>
      </w:pPr>
      <w:r w:rsidRPr="00A74CC6">
        <w:rPr>
          <w:lang w:val="sv-SE"/>
        </w:rPr>
        <w:t>1.</w:t>
      </w:r>
      <w:r w:rsidRPr="00A74CC6">
        <w:rPr>
          <w:lang w:val="sv-SE"/>
        </w:rPr>
        <w:tab/>
      </w:r>
      <w:r w:rsidR="00264096" w:rsidRPr="00A74CC6">
        <w:rPr>
          <w:lang w:val="sv-SE"/>
        </w:rPr>
        <w:t xml:space="preserve">Vad </w:t>
      </w:r>
      <w:r w:rsidR="00493D9B" w:rsidRPr="00A74CC6">
        <w:rPr>
          <w:lang w:val="sv-SE"/>
        </w:rPr>
        <w:t xml:space="preserve">KANJINTI </w:t>
      </w:r>
      <w:r w:rsidR="00264096" w:rsidRPr="00A74CC6">
        <w:rPr>
          <w:lang w:val="sv-SE"/>
        </w:rPr>
        <w:t>är och vad det används för</w:t>
      </w:r>
    </w:p>
    <w:p w14:paraId="789425C3" w14:textId="0E477858" w:rsidR="005027AB" w:rsidRPr="00A74CC6" w:rsidRDefault="0023246D" w:rsidP="0023246D">
      <w:pPr>
        <w:spacing w:after="0" w:line="240" w:lineRule="auto"/>
        <w:ind w:left="567" w:hanging="567"/>
        <w:contextualSpacing/>
        <w:rPr>
          <w:lang w:val="sv-SE"/>
        </w:rPr>
      </w:pPr>
      <w:r w:rsidRPr="00A74CC6">
        <w:rPr>
          <w:lang w:val="sv-SE"/>
        </w:rPr>
        <w:t>2.</w:t>
      </w:r>
      <w:r w:rsidRPr="00A74CC6">
        <w:rPr>
          <w:lang w:val="sv-SE"/>
        </w:rPr>
        <w:tab/>
      </w:r>
      <w:r w:rsidR="00264096" w:rsidRPr="00A74CC6">
        <w:rPr>
          <w:lang w:val="sv-SE"/>
        </w:rPr>
        <w:t xml:space="preserve">Vad du behöver veta innan du får </w:t>
      </w:r>
      <w:r w:rsidR="00493D9B" w:rsidRPr="00A74CC6">
        <w:rPr>
          <w:lang w:val="sv-SE"/>
        </w:rPr>
        <w:t>KANJINTI</w:t>
      </w:r>
    </w:p>
    <w:p w14:paraId="667992E3" w14:textId="66E08C9A" w:rsidR="005027AB" w:rsidRPr="00A74CC6" w:rsidRDefault="0023246D" w:rsidP="0023246D">
      <w:pPr>
        <w:spacing w:after="0" w:line="240" w:lineRule="auto"/>
        <w:ind w:left="567" w:hanging="567"/>
        <w:contextualSpacing/>
        <w:rPr>
          <w:lang w:val="sv-SE"/>
        </w:rPr>
      </w:pPr>
      <w:r w:rsidRPr="00A74CC6">
        <w:rPr>
          <w:lang w:val="sv-SE"/>
        </w:rPr>
        <w:t>3.</w:t>
      </w:r>
      <w:r w:rsidRPr="00A74CC6">
        <w:rPr>
          <w:lang w:val="sv-SE"/>
        </w:rPr>
        <w:tab/>
      </w:r>
      <w:r w:rsidR="00264096" w:rsidRPr="00A74CC6">
        <w:rPr>
          <w:lang w:val="sv-SE"/>
        </w:rPr>
        <w:t xml:space="preserve">Hur du får </w:t>
      </w:r>
      <w:r w:rsidR="00493D9B" w:rsidRPr="00A74CC6">
        <w:rPr>
          <w:lang w:val="sv-SE"/>
        </w:rPr>
        <w:t>KANJINTI</w:t>
      </w:r>
    </w:p>
    <w:p w14:paraId="610501C7" w14:textId="77777777" w:rsidR="005027AB" w:rsidRPr="00A74CC6" w:rsidRDefault="0023246D" w:rsidP="0023246D">
      <w:pPr>
        <w:spacing w:after="0" w:line="240" w:lineRule="auto"/>
        <w:ind w:left="567" w:hanging="567"/>
        <w:contextualSpacing/>
        <w:rPr>
          <w:lang w:val="sv-SE"/>
        </w:rPr>
      </w:pPr>
      <w:r w:rsidRPr="00A74CC6">
        <w:rPr>
          <w:lang w:val="sv-SE"/>
        </w:rPr>
        <w:t>4.</w:t>
      </w:r>
      <w:r w:rsidRPr="00A74CC6">
        <w:rPr>
          <w:lang w:val="sv-SE"/>
        </w:rPr>
        <w:tab/>
      </w:r>
      <w:r w:rsidR="00264096" w:rsidRPr="00A74CC6">
        <w:rPr>
          <w:lang w:val="sv-SE"/>
        </w:rPr>
        <w:t>Eventuella biverkningar</w:t>
      </w:r>
    </w:p>
    <w:p w14:paraId="18221E0A" w14:textId="4F7ED878" w:rsidR="005027AB" w:rsidRPr="00A74CC6" w:rsidRDefault="0023246D" w:rsidP="0023246D">
      <w:pPr>
        <w:spacing w:after="0" w:line="240" w:lineRule="auto"/>
        <w:ind w:left="567" w:hanging="567"/>
        <w:contextualSpacing/>
        <w:rPr>
          <w:lang w:val="sv-SE"/>
        </w:rPr>
      </w:pPr>
      <w:r w:rsidRPr="00A74CC6">
        <w:rPr>
          <w:lang w:val="sv-SE"/>
        </w:rPr>
        <w:t>5.</w:t>
      </w:r>
      <w:r w:rsidRPr="00A74CC6">
        <w:rPr>
          <w:lang w:val="sv-SE"/>
        </w:rPr>
        <w:tab/>
      </w:r>
      <w:r w:rsidR="00264096" w:rsidRPr="00A74CC6">
        <w:rPr>
          <w:lang w:val="sv-SE"/>
        </w:rPr>
        <w:t xml:space="preserve">Hur </w:t>
      </w:r>
      <w:r w:rsidR="00493D9B" w:rsidRPr="00A74CC6">
        <w:rPr>
          <w:lang w:val="sv-SE"/>
        </w:rPr>
        <w:t xml:space="preserve">KANJINTI </w:t>
      </w:r>
      <w:r w:rsidR="00264096" w:rsidRPr="00A74CC6">
        <w:rPr>
          <w:lang w:val="sv-SE"/>
        </w:rPr>
        <w:t>ska förvaras</w:t>
      </w:r>
    </w:p>
    <w:p w14:paraId="6FE72AF0" w14:textId="77777777" w:rsidR="005027AB" w:rsidRPr="00A74CC6" w:rsidRDefault="0023246D" w:rsidP="0023246D">
      <w:pPr>
        <w:spacing w:after="0" w:line="240" w:lineRule="auto"/>
        <w:ind w:left="567" w:hanging="567"/>
        <w:contextualSpacing/>
        <w:rPr>
          <w:lang w:val="sv-SE"/>
        </w:rPr>
      </w:pPr>
      <w:r w:rsidRPr="00A74CC6">
        <w:rPr>
          <w:lang w:val="sv-SE"/>
        </w:rPr>
        <w:t>6.</w:t>
      </w:r>
      <w:r w:rsidRPr="00A74CC6">
        <w:rPr>
          <w:lang w:val="sv-SE"/>
        </w:rPr>
        <w:tab/>
      </w:r>
      <w:r w:rsidR="00264096" w:rsidRPr="00A74CC6">
        <w:rPr>
          <w:lang w:val="sv-SE"/>
        </w:rPr>
        <w:t>Förpackningens innehåll och övriga upplysningar</w:t>
      </w:r>
    </w:p>
    <w:p w14:paraId="12673A11" w14:textId="77777777" w:rsidR="00052025" w:rsidRPr="00A74CC6" w:rsidRDefault="00052025" w:rsidP="001E7238">
      <w:pPr>
        <w:spacing w:after="0" w:line="240" w:lineRule="auto"/>
        <w:ind w:right="13"/>
        <w:contextualSpacing/>
        <w:rPr>
          <w:lang w:val="sv-SE"/>
        </w:rPr>
      </w:pPr>
    </w:p>
    <w:p w14:paraId="1D2B61D7" w14:textId="77777777" w:rsidR="00052025" w:rsidRPr="00A74CC6" w:rsidRDefault="00052025" w:rsidP="001E7238">
      <w:pPr>
        <w:spacing w:after="0" w:line="240" w:lineRule="auto"/>
        <w:ind w:right="13"/>
        <w:contextualSpacing/>
        <w:rPr>
          <w:lang w:val="sv-SE"/>
        </w:rPr>
      </w:pPr>
    </w:p>
    <w:p w14:paraId="24552968" w14:textId="50435C58" w:rsidR="005027AB" w:rsidRPr="00A74CC6" w:rsidRDefault="0023246D" w:rsidP="0023246D">
      <w:pPr>
        <w:pStyle w:val="Heading2"/>
        <w:tabs>
          <w:tab w:val="center" w:pos="2558"/>
        </w:tabs>
        <w:spacing w:after="0" w:line="240" w:lineRule="auto"/>
        <w:ind w:left="567" w:hanging="567"/>
        <w:contextualSpacing/>
        <w:rPr>
          <w:b/>
          <w:u w:val="none"/>
          <w:lang w:val="sv-SE"/>
        </w:rPr>
      </w:pPr>
      <w:r w:rsidRPr="00A74CC6">
        <w:rPr>
          <w:b/>
          <w:u w:val="none"/>
          <w:lang w:val="sv-SE"/>
        </w:rPr>
        <w:t>1.</w:t>
      </w:r>
      <w:r w:rsidRPr="00A74CC6">
        <w:rPr>
          <w:b/>
          <w:u w:val="none"/>
          <w:lang w:val="sv-SE"/>
        </w:rPr>
        <w:tab/>
      </w:r>
      <w:r w:rsidR="00264096" w:rsidRPr="00A74CC6">
        <w:rPr>
          <w:b/>
          <w:u w:val="none"/>
          <w:lang w:val="sv-SE"/>
        </w:rPr>
        <w:t xml:space="preserve">Vad </w:t>
      </w:r>
      <w:r w:rsidR="00493D9B" w:rsidRPr="00A74CC6">
        <w:rPr>
          <w:b/>
          <w:u w:val="none"/>
          <w:lang w:val="sv-SE"/>
        </w:rPr>
        <w:t>KANJINTI</w:t>
      </w:r>
      <w:r w:rsidR="00493D9B" w:rsidRPr="00A74CC6">
        <w:rPr>
          <w:u w:val="none"/>
          <w:lang w:val="sv-SE"/>
        </w:rPr>
        <w:t xml:space="preserve"> </w:t>
      </w:r>
      <w:r w:rsidR="00264096" w:rsidRPr="00A74CC6">
        <w:rPr>
          <w:b/>
          <w:u w:val="none"/>
          <w:lang w:val="sv-SE"/>
        </w:rPr>
        <w:t>är och vad det används för</w:t>
      </w:r>
    </w:p>
    <w:p w14:paraId="72224C60" w14:textId="77777777" w:rsidR="00683746" w:rsidRPr="00A74CC6" w:rsidRDefault="00683746" w:rsidP="001E7238">
      <w:pPr>
        <w:keepNext/>
        <w:keepLines/>
        <w:spacing w:after="0" w:line="240" w:lineRule="auto"/>
        <w:ind w:left="-1" w:firstLine="0"/>
        <w:contextualSpacing/>
        <w:rPr>
          <w:lang w:val="sv-SE"/>
        </w:rPr>
      </w:pPr>
    </w:p>
    <w:p w14:paraId="28D8F7A9" w14:textId="0D1C26D3" w:rsidR="005027AB" w:rsidRPr="00A74CC6" w:rsidRDefault="00493D9B" w:rsidP="001E7238">
      <w:pPr>
        <w:spacing w:after="0" w:line="240" w:lineRule="auto"/>
        <w:ind w:left="4" w:right="170"/>
        <w:contextualSpacing/>
        <w:rPr>
          <w:lang w:val="sv-SE"/>
        </w:rPr>
      </w:pPr>
      <w:r w:rsidRPr="00A74CC6">
        <w:rPr>
          <w:lang w:val="sv-SE"/>
        </w:rPr>
        <w:t xml:space="preserve">KANJINTI </w:t>
      </w:r>
      <w:r w:rsidR="00264096" w:rsidRPr="00A74CC6">
        <w:rPr>
          <w:lang w:val="sv-SE"/>
        </w:rPr>
        <w:t xml:space="preserve">innehåller det aktiva innehållsämnet trastuzumab, som är en monoklonal antikropp. Monoklonala antikroppar </w:t>
      </w:r>
      <w:r w:rsidR="005B2A57" w:rsidRPr="00A74CC6">
        <w:rPr>
          <w:lang w:val="sv-SE"/>
        </w:rPr>
        <w:t>binder till</w:t>
      </w:r>
      <w:r w:rsidR="00264096" w:rsidRPr="00A74CC6">
        <w:rPr>
          <w:lang w:val="sv-SE"/>
        </w:rPr>
        <w:t xml:space="preserve"> specifika proteiner eller antigen. Trastuzumab är utforma</w:t>
      </w:r>
      <w:r w:rsidR="005B2A57" w:rsidRPr="00A74CC6">
        <w:rPr>
          <w:lang w:val="sv-SE"/>
        </w:rPr>
        <w:t>t</w:t>
      </w:r>
      <w:r w:rsidR="00264096" w:rsidRPr="00A74CC6">
        <w:rPr>
          <w:lang w:val="sv-SE"/>
        </w:rPr>
        <w:t xml:space="preserve"> för att binda selektivt till ett antigen som heter human epidermal tillväxtfaktorreceptor</w:t>
      </w:r>
      <w:r w:rsidR="005B2A57" w:rsidRPr="00A74CC6">
        <w:rPr>
          <w:lang w:val="sv-SE"/>
        </w:rPr>
        <w:t> </w:t>
      </w:r>
      <w:r w:rsidR="00264096" w:rsidRPr="00A74CC6">
        <w:rPr>
          <w:lang w:val="sv-SE"/>
        </w:rPr>
        <w:t xml:space="preserve">2 (HER2). HER2 finns i stora mängder på ytan av vissa cancerceller (HER2-positiv cancer) och stimulerar då celltillväxten. När </w:t>
      </w:r>
      <w:r w:rsidRPr="00A74CC6">
        <w:rPr>
          <w:lang w:val="sv-SE"/>
        </w:rPr>
        <w:t xml:space="preserve">trastuzumab </w:t>
      </w:r>
      <w:r w:rsidR="00264096" w:rsidRPr="00A74CC6">
        <w:rPr>
          <w:lang w:val="sv-SE"/>
        </w:rPr>
        <w:t>bind</w:t>
      </w:r>
      <w:r w:rsidR="005B2A57" w:rsidRPr="00A74CC6">
        <w:rPr>
          <w:lang w:val="sv-SE"/>
        </w:rPr>
        <w:t>er</w:t>
      </w:r>
      <w:r w:rsidR="00264096" w:rsidRPr="00A74CC6">
        <w:rPr>
          <w:lang w:val="sv-SE"/>
        </w:rPr>
        <w:t xml:space="preserve"> till HER2 stoppas tillväxten av cancercellerna och det leder till att de dör.</w:t>
      </w:r>
    </w:p>
    <w:p w14:paraId="26A1E0BE" w14:textId="77777777" w:rsidR="00683746" w:rsidRPr="00A74CC6" w:rsidRDefault="00683746" w:rsidP="001E7238">
      <w:pPr>
        <w:spacing w:after="0" w:line="240" w:lineRule="auto"/>
        <w:ind w:left="4" w:right="170"/>
        <w:contextualSpacing/>
        <w:rPr>
          <w:lang w:val="sv-SE"/>
        </w:rPr>
      </w:pPr>
    </w:p>
    <w:p w14:paraId="2B37A467" w14:textId="7E81C0FF" w:rsidR="005027AB" w:rsidRPr="00A74CC6" w:rsidRDefault="00264096" w:rsidP="001E7238">
      <w:pPr>
        <w:spacing w:after="0" w:line="240" w:lineRule="auto"/>
        <w:ind w:left="4" w:right="13"/>
        <w:contextualSpacing/>
        <w:rPr>
          <w:lang w:val="sv-SE"/>
        </w:rPr>
      </w:pPr>
      <w:r w:rsidRPr="00A74CC6">
        <w:rPr>
          <w:lang w:val="sv-SE"/>
        </w:rPr>
        <w:t xml:space="preserve">Din läkare kan förskriva </w:t>
      </w:r>
      <w:r w:rsidR="00493D9B" w:rsidRPr="00A74CC6">
        <w:rPr>
          <w:lang w:val="sv-SE"/>
        </w:rPr>
        <w:t xml:space="preserve">KANJINTI </w:t>
      </w:r>
      <w:r w:rsidRPr="00A74CC6">
        <w:rPr>
          <w:lang w:val="sv-SE"/>
        </w:rPr>
        <w:t xml:space="preserve">för behandling av bröstcancer och ventrikelcancer </w:t>
      </w:r>
      <w:r w:rsidR="005B2A57" w:rsidRPr="00A74CC6">
        <w:rPr>
          <w:lang w:val="sv-SE"/>
        </w:rPr>
        <w:t>om</w:t>
      </w:r>
      <w:r w:rsidRPr="00A74CC6">
        <w:rPr>
          <w:lang w:val="sv-SE"/>
        </w:rPr>
        <w:t>:</w:t>
      </w:r>
    </w:p>
    <w:p w14:paraId="10AAD2EC" w14:textId="77777777" w:rsidR="005027AB" w:rsidRPr="00A74CC6" w:rsidRDefault="00264096" w:rsidP="001E7238">
      <w:pPr>
        <w:numPr>
          <w:ilvl w:val="0"/>
          <w:numId w:val="13"/>
        </w:numPr>
        <w:spacing w:after="0" w:line="240" w:lineRule="auto"/>
        <w:ind w:left="567" w:hanging="567"/>
        <w:contextualSpacing/>
        <w:rPr>
          <w:lang w:val="sv-SE"/>
        </w:rPr>
      </w:pPr>
      <w:r w:rsidRPr="00A74CC6">
        <w:rPr>
          <w:lang w:val="sv-SE"/>
        </w:rPr>
        <w:t>Du har tidig bröstcance</w:t>
      </w:r>
      <w:r w:rsidR="007D3C64" w:rsidRPr="00A74CC6">
        <w:rPr>
          <w:lang w:val="sv-SE"/>
        </w:rPr>
        <w:t xml:space="preserve">r med höga nivåer av proteinet </w:t>
      </w:r>
      <w:r w:rsidRPr="00A74CC6">
        <w:rPr>
          <w:lang w:val="sv-SE"/>
        </w:rPr>
        <w:t>HER2.</w:t>
      </w:r>
    </w:p>
    <w:p w14:paraId="046A5080" w14:textId="248A2767" w:rsidR="005027AB" w:rsidRPr="00A74CC6" w:rsidRDefault="00264096" w:rsidP="001E7238">
      <w:pPr>
        <w:numPr>
          <w:ilvl w:val="0"/>
          <w:numId w:val="13"/>
        </w:numPr>
        <w:spacing w:after="0" w:line="240" w:lineRule="auto"/>
        <w:ind w:left="567" w:hanging="567"/>
        <w:contextualSpacing/>
        <w:rPr>
          <w:lang w:val="sv-SE"/>
        </w:rPr>
      </w:pPr>
      <w:r w:rsidRPr="00A74CC6">
        <w:rPr>
          <w:lang w:val="sv-SE"/>
        </w:rPr>
        <w:t xml:space="preserve">Du har metastaserad bröstcancer (bröstcancer som spridits utanför den ursprungliga tumören) med höga nivåer av HER2. </w:t>
      </w:r>
      <w:r w:rsidR="00493D9B" w:rsidRPr="00A74CC6">
        <w:rPr>
          <w:lang w:val="sv-SE"/>
        </w:rPr>
        <w:t xml:space="preserve">KANJINTI </w:t>
      </w:r>
      <w:r w:rsidRPr="00A74CC6">
        <w:rPr>
          <w:lang w:val="sv-SE"/>
        </w:rPr>
        <w:t xml:space="preserve">kan förskrivas i kombination med cellgifterna paklitaxel eller docetaxel som förstahandsbehandling vid metastaserad bröstcancer, eller som enda behandling vid tillstånd då andra behandlingar inte </w:t>
      </w:r>
      <w:r w:rsidR="005B2A57" w:rsidRPr="00A74CC6">
        <w:rPr>
          <w:lang w:val="sv-SE"/>
        </w:rPr>
        <w:t>haft</w:t>
      </w:r>
      <w:r w:rsidRPr="00A74CC6">
        <w:rPr>
          <w:lang w:val="sv-SE"/>
        </w:rPr>
        <w:t xml:space="preserve"> effekt. Det används också i kombination med läkemedel som heter aromatashämmare för behandling av patienter med höga nivåer av HER2</w:t>
      </w:r>
      <w:r w:rsidR="005B2A57" w:rsidRPr="00A74CC6">
        <w:rPr>
          <w:lang w:val="sv-SE"/>
        </w:rPr>
        <w:t>-</w:t>
      </w:r>
      <w:r w:rsidRPr="00A74CC6">
        <w:rPr>
          <w:lang w:val="sv-SE"/>
        </w:rPr>
        <w:t xml:space="preserve"> och hormonreceptorpositiv metastaserad (spridd) bröstcancer (cancer som är känslig för närvaro av kvinnligt könshormon).</w:t>
      </w:r>
    </w:p>
    <w:p w14:paraId="7D9EEAC7" w14:textId="1B6159AE" w:rsidR="005027AB" w:rsidRPr="00A74CC6" w:rsidRDefault="00264096" w:rsidP="001E7238">
      <w:pPr>
        <w:numPr>
          <w:ilvl w:val="0"/>
          <w:numId w:val="13"/>
        </w:numPr>
        <w:spacing w:after="0" w:line="240" w:lineRule="auto"/>
        <w:ind w:left="567" w:hanging="567"/>
        <w:contextualSpacing/>
        <w:rPr>
          <w:lang w:val="sv-SE"/>
        </w:rPr>
      </w:pPr>
      <w:r w:rsidRPr="00A74CC6">
        <w:rPr>
          <w:lang w:val="sv-SE"/>
        </w:rPr>
        <w:t xml:space="preserve">Du har metastaserad magsäckscancer med höga nivåer av HER2, då det används i kombination med </w:t>
      </w:r>
      <w:r w:rsidR="005B2A57" w:rsidRPr="00A74CC6">
        <w:rPr>
          <w:lang w:val="sv-SE"/>
        </w:rPr>
        <w:t>k</w:t>
      </w:r>
      <w:r w:rsidRPr="00A74CC6">
        <w:rPr>
          <w:lang w:val="sv-SE"/>
        </w:rPr>
        <w:t>apecitabin eller 5-fluorouracil och cisplatin.</w:t>
      </w:r>
    </w:p>
    <w:p w14:paraId="54A1E1E8" w14:textId="15535BF4" w:rsidR="00683746" w:rsidRPr="00A74CC6" w:rsidRDefault="00683746" w:rsidP="001E7238">
      <w:pPr>
        <w:spacing w:after="0" w:line="240" w:lineRule="auto"/>
        <w:contextualSpacing/>
        <w:rPr>
          <w:lang w:val="sv-SE"/>
        </w:rPr>
      </w:pPr>
    </w:p>
    <w:p w14:paraId="616466CF" w14:textId="77777777" w:rsidR="00683746" w:rsidRPr="00A74CC6" w:rsidRDefault="00683746" w:rsidP="001E7238">
      <w:pPr>
        <w:spacing w:after="0" w:line="240" w:lineRule="auto"/>
        <w:contextualSpacing/>
        <w:rPr>
          <w:lang w:val="sv-SE"/>
        </w:rPr>
      </w:pPr>
    </w:p>
    <w:p w14:paraId="63C8F1C2" w14:textId="6D157510" w:rsidR="005027AB" w:rsidRPr="00A74CC6" w:rsidRDefault="007245D2" w:rsidP="007245D2">
      <w:pPr>
        <w:pStyle w:val="Heading2"/>
        <w:tabs>
          <w:tab w:val="center" w:pos="2670"/>
        </w:tabs>
        <w:spacing w:after="0" w:line="240" w:lineRule="auto"/>
        <w:ind w:left="567" w:hanging="567"/>
        <w:contextualSpacing/>
        <w:rPr>
          <w:b/>
          <w:u w:val="none"/>
          <w:lang w:val="sv-SE"/>
        </w:rPr>
      </w:pPr>
      <w:r w:rsidRPr="00A74CC6">
        <w:rPr>
          <w:b/>
          <w:u w:val="none"/>
          <w:lang w:val="sv-SE"/>
        </w:rPr>
        <w:t>2.</w:t>
      </w:r>
      <w:r w:rsidRPr="00A74CC6">
        <w:rPr>
          <w:b/>
          <w:u w:val="none"/>
          <w:lang w:val="sv-SE"/>
        </w:rPr>
        <w:tab/>
      </w:r>
      <w:r w:rsidR="00264096" w:rsidRPr="00A74CC6">
        <w:rPr>
          <w:b/>
          <w:u w:val="none"/>
          <w:lang w:val="sv-SE"/>
        </w:rPr>
        <w:t xml:space="preserve">Vad du behöver veta innan du får </w:t>
      </w:r>
      <w:r w:rsidR="00493D9B" w:rsidRPr="00A74CC6">
        <w:rPr>
          <w:b/>
          <w:u w:val="none"/>
          <w:lang w:val="sv-SE"/>
        </w:rPr>
        <w:t>KANJINTI</w:t>
      </w:r>
    </w:p>
    <w:p w14:paraId="2EEF8229" w14:textId="77777777" w:rsidR="006D64A4" w:rsidRPr="00A74CC6" w:rsidRDefault="006D64A4" w:rsidP="001E7238">
      <w:pPr>
        <w:keepNext/>
        <w:keepLines/>
        <w:spacing w:after="0" w:line="240" w:lineRule="auto"/>
        <w:ind w:left="-1" w:firstLine="0"/>
        <w:contextualSpacing/>
        <w:rPr>
          <w:lang w:val="sv-SE"/>
        </w:rPr>
      </w:pPr>
    </w:p>
    <w:p w14:paraId="2691DA1C" w14:textId="6B38DDDF" w:rsidR="005027AB" w:rsidRPr="00A74CC6" w:rsidRDefault="00264096" w:rsidP="001E7238">
      <w:pPr>
        <w:keepNext/>
        <w:keepLines/>
        <w:spacing w:after="0" w:line="240" w:lineRule="auto"/>
        <w:ind w:left="9" w:hanging="10"/>
        <w:contextualSpacing/>
        <w:rPr>
          <w:lang w:val="sv-SE"/>
        </w:rPr>
      </w:pPr>
      <w:r w:rsidRPr="00A74CC6">
        <w:rPr>
          <w:b/>
          <w:lang w:val="sv-SE"/>
        </w:rPr>
        <w:t xml:space="preserve">Använd inte </w:t>
      </w:r>
      <w:r w:rsidR="00CE264A" w:rsidRPr="00A74CC6">
        <w:rPr>
          <w:b/>
          <w:lang w:val="sv-SE"/>
        </w:rPr>
        <w:t xml:space="preserve">KANJINTI </w:t>
      </w:r>
      <w:r w:rsidRPr="00A74CC6">
        <w:rPr>
          <w:b/>
          <w:lang w:val="sv-SE"/>
        </w:rPr>
        <w:t>om:</w:t>
      </w:r>
    </w:p>
    <w:p w14:paraId="4469365E" w14:textId="7FA4A5F9" w:rsidR="005027AB" w:rsidRPr="00A74CC6" w:rsidRDefault="00264096" w:rsidP="001E7238">
      <w:pPr>
        <w:keepNext/>
        <w:keepLines/>
        <w:numPr>
          <w:ilvl w:val="0"/>
          <w:numId w:val="14"/>
        </w:numPr>
        <w:spacing w:after="0" w:line="240" w:lineRule="auto"/>
        <w:ind w:left="567" w:hanging="567"/>
        <w:contextualSpacing/>
        <w:rPr>
          <w:lang w:val="sv-SE"/>
        </w:rPr>
      </w:pPr>
      <w:r w:rsidRPr="00A74CC6">
        <w:rPr>
          <w:lang w:val="sv-SE"/>
        </w:rPr>
        <w:t>du är allergisk mot trastuzumab, murina (mus) proteiner, eller något annat innehållsämne i detta läkemedel (anges i avsnitt</w:t>
      </w:r>
      <w:r w:rsidR="005B2A57" w:rsidRPr="00A74CC6">
        <w:rPr>
          <w:lang w:val="sv-SE"/>
        </w:rPr>
        <w:t> </w:t>
      </w:r>
      <w:r w:rsidRPr="00A74CC6">
        <w:rPr>
          <w:lang w:val="sv-SE"/>
        </w:rPr>
        <w:t>6).</w:t>
      </w:r>
    </w:p>
    <w:p w14:paraId="135797F5" w14:textId="77777777" w:rsidR="005027AB" w:rsidRPr="00A74CC6" w:rsidRDefault="00264096" w:rsidP="001E7238">
      <w:pPr>
        <w:numPr>
          <w:ilvl w:val="0"/>
          <w:numId w:val="14"/>
        </w:numPr>
        <w:spacing w:after="0" w:line="240" w:lineRule="auto"/>
        <w:ind w:left="567" w:hanging="567"/>
        <w:contextualSpacing/>
        <w:rPr>
          <w:lang w:val="sv-SE"/>
        </w:rPr>
      </w:pPr>
      <w:r w:rsidRPr="00A74CC6">
        <w:rPr>
          <w:lang w:val="sv-SE"/>
        </w:rPr>
        <w:t>du har svåra andningsproblem i vila p</w:t>
      </w:r>
      <w:r w:rsidR="005B2A57" w:rsidRPr="00A74CC6">
        <w:rPr>
          <w:lang w:val="sv-SE"/>
        </w:rPr>
        <w:t>.</w:t>
      </w:r>
      <w:r w:rsidRPr="00A74CC6">
        <w:rPr>
          <w:lang w:val="sv-SE"/>
        </w:rPr>
        <w:t>g</w:t>
      </w:r>
      <w:r w:rsidR="005B2A57" w:rsidRPr="00A74CC6">
        <w:rPr>
          <w:lang w:val="sv-SE"/>
        </w:rPr>
        <w:t>.</w:t>
      </w:r>
      <w:r w:rsidRPr="00A74CC6">
        <w:rPr>
          <w:lang w:val="sv-SE"/>
        </w:rPr>
        <w:t>a</w:t>
      </w:r>
      <w:r w:rsidR="005B2A57" w:rsidRPr="00A74CC6">
        <w:rPr>
          <w:lang w:val="sv-SE"/>
        </w:rPr>
        <w:t>.</w:t>
      </w:r>
      <w:r w:rsidRPr="00A74CC6">
        <w:rPr>
          <w:lang w:val="sv-SE"/>
        </w:rPr>
        <w:t xml:space="preserve"> din cancer eller om du behöver syrgasbehandling.</w:t>
      </w:r>
    </w:p>
    <w:p w14:paraId="226D4362" w14:textId="77777777" w:rsidR="006D64A4" w:rsidRPr="00A74CC6" w:rsidRDefault="006D64A4" w:rsidP="001E7238">
      <w:pPr>
        <w:spacing w:after="0" w:line="240" w:lineRule="auto"/>
        <w:ind w:left="0" w:right="13" w:firstLine="0"/>
        <w:contextualSpacing/>
        <w:rPr>
          <w:lang w:val="sv-SE"/>
        </w:rPr>
      </w:pPr>
    </w:p>
    <w:p w14:paraId="54BED4FA" w14:textId="77777777" w:rsidR="005027AB" w:rsidRPr="00A74CC6" w:rsidRDefault="00264096" w:rsidP="001E7238">
      <w:pPr>
        <w:keepNext/>
        <w:keepLines/>
        <w:spacing w:after="0" w:line="240" w:lineRule="auto"/>
        <w:ind w:left="11" w:hanging="11"/>
        <w:contextualSpacing/>
        <w:rPr>
          <w:b/>
          <w:lang w:val="sv-SE"/>
        </w:rPr>
      </w:pPr>
      <w:r w:rsidRPr="00A74CC6">
        <w:rPr>
          <w:b/>
          <w:lang w:val="sv-SE"/>
        </w:rPr>
        <w:t>Varningar och försiktighet</w:t>
      </w:r>
    </w:p>
    <w:p w14:paraId="0C9FE954" w14:textId="77777777" w:rsidR="006D64A4" w:rsidRPr="00A74CC6" w:rsidRDefault="00264096" w:rsidP="001E7238">
      <w:pPr>
        <w:spacing w:after="0" w:line="240" w:lineRule="auto"/>
        <w:ind w:left="4" w:right="13"/>
        <w:contextualSpacing/>
        <w:rPr>
          <w:lang w:val="sv-SE"/>
        </w:rPr>
      </w:pPr>
      <w:r w:rsidRPr="00A74CC6">
        <w:rPr>
          <w:lang w:val="sv-SE"/>
        </w:rPr>
        <w:t>Din läkare kommer noggrant övervaka din behandling.</w:t>
      </w:r>
    </w:p>
    <w:p w14:paraId="6DC6F6C8" w14:textId="77777777" w:rsidR="006D64A4" w:rsidRPr="00A74CC6" w:rsidRDefault="006D64A4" w:rsidP="001E7238">
      <w:pPr>
        <w:spacing w:after="0" w:line="240" w:lineRule="auto"/>
        <w:ind w:left="4" w:right="13"/>
        <w:contextualSpacing/>
        <w:rPr>
          <w:lang w:val="sv-SE"/>
        </w:rPr>
      </w:pPr>
    </w:p>
    <w:p w14:paraId="04F64A80" w14:textId="77777777" w:rsidR="006D64A4" w:rsidRPr="00A74CC6" w:rsidRDefault="00264096" w:rsidP="001E7238">
      <w:pPr>
        <w:keepNext/>
        <w:keepLines/>
        <w:spacing w:after="0" w:line="240" w:lineRule="auto"/>
        <w:ind w:left="6" w:right="11" w:hanging="6"/>
        <w:contextualSpacing/>
        <w:rPr>
          <w:b/>
          <w:lang w:val="sv-SE"/>
        </w:rPr>
      </w:pPr>
      <w:r w:rsidRPr="00A74CC6">
        <w:rPr>
          <w:b/>
          <w:lang w:val="sv-SE"/>
        </w:rPr>
        <w:lastRenderedPageBreak/>
        <w:t>Kontroll av hjärtat</w:t>
      </w:r>
    </w:p>
    <w:p w14:paraId="7794BD14" w14:textId="3F98AF45" w:rsidR="005027AB" w:rsidRPr="00A74CC6" w:rsidRDefault="00264096" w:rsidP="001E7238">
      <w:pPr>
        <w:spacing w:after="0" w:line="240" w:lineRule="auto"/>
        <w:ind w:left="4" w:right="13"/>
        <w:contextualSpacing/>
        <w:rPr>
          <w:lang w:val="sv-SE"/>
        </w:rPr>
      </w:pPr>
      <w:r w:rsidRPr="00A74CC6">
        <w:rPr>
          <w:lang w:val="sv-SE"/>
        </w:rPr>
        <w:t xml:space="preserve">Behandling med </w:t>
      </w:r>
      <w:r w:rsidR="00CE264A" w:rsidRPr="00A74CC6">
        <w:rPr>
          <w:lang w:val="sv-SE"/>
        </w:rPr>
        <w:t xml:space="preserve">KANJINTI </w:t>
      </w:r>
      <w:r w:rsidRPr="00A74CC6">
        <w:rPr>
          <w:lang w:val="sv-SE"/>
        </w:rPr>
        <w:t xml:space="preserve">enbart eller med en taxan kan påverka hjärtat, särskilt om du tidigare har behandlats med en antracyklin (taxaner och antracykliner är två andra typer av läkemedel som används för att behandla cancer). Effekterna kan vara måttliga till allvarliga och några patienter har avlidit. Din hjärtfunktion kommer därför att kontrolleras före och under behandling (var tredje månad) och efter (upp till två till fem år) behandling med </w:t>
      </w:r>
      <w:r w:rsidR="00CE264A" w:rsidRPr="00A74CC6">
        <w:rPr>
          <w:lang w:val="sv-SE"/>
        </w:rPr>
        <w:t>KANJINTI</w:t>
      </w:r>
      <w:r w:rsidRPr="00A74CC6">
        <w:rPr>
          <w:lang w:val="sv-SE"/>
        </w:rPr>
        <w:t>. Om du utvecklar tecken på hjärtsvikt (</w:t>
      </w:r>
      <w:r w:rsidR="00C133F1" w:rsidRPr="00A74CC6">
        <w:rPr>
          <w:lang w:val="sv-SE"/>
        </w:rPr>
        <w:t>att hjärtat inte pumpar tillräckligt med blod</w:t>
      </w:r>
      <w:r w:rsidRPr="00A74CC6">
        <w:rPr>
          <w:lang w:val="sv-SE"/>
        </w:rPr>
        <w:t xml:space="preserve">), kan din hjärtfunktion komma att kontrolleras oftare (var sjätte till åttonde vecka). Du kan då få behandling för hjärtsvikt eller så kan du behöva avbryta behandlingen med </w:t>
      </w:r>
      <w:r w:rsidR="00CE264A" w:rsidRPr="00A74CC6">
        <w:rPr>
          <w:lang w:val="sv-SE"/>
        </w:rPr>
        <w:t>KANJINTI</w:t>
      </w:r>
      <w:r w:rsidRPr="00A74CC6">
        <w:rPr>
          <w:lang w:val="sv-SE"/>
        </w:rPr>
        <w:t>.</w:t>
      </w:r>
    </w:p>
    <w:p w14:paraId="2026AB64" w14:textId="77777777" w:rsidR="006D64A4" w:rsidRPr="00A74CC6" w:rsidRDefault="006D64A4" w:rsidP="001E7238">
      <w:pPr>
        <w:spacing w:after="0" w:line="240" w:lineRule="auto"/>
        <w:ind w:left="4" w:right="13"/>
        <w:contextualSpacing/>
        <w:rPr>
          <w:lang w:val="sv-SE"/>
        </w:rPr>
      </w:pPr>
    </w:p>
    <w:p w14:paraId="0689F060" w14:textId="5F88CEB2" w:rsidR="005027AB" w:rsidRPr="00A74CC6" w:rsidRDefault="00264096" w:rsidP="006A1034">
      <w:pPr>
        <w:keepNext/>
        <w:spacing w:after="0" w:line="240" w:lineRule="auto"/>
        <w:ind w:left="6" w:right="11" w:hanging="6"/>
        <w:contextualSpacing/>
        <w:rPr>
          <w:lang w:val="sv-SE"/>
        </w:rPr>
      </w:pPr>
      <w:r w:rsidRPr="00A74CC6">
        <w:rPr>
          <w:lang w:val="sv-SE"/>
        </w:rPr>
        <w:t xml:space="preserve">Tala med din läkare, apotekspersonal eller sjuksköterska innan du får </w:t>
      </w:r>
      <w:r w:rsidR="004C7B19" w:rsidRPr="00A74CC6">
        <w:rPr>
          <w:lang w:val="sv-SE"/>
        </w:rPr>
        <w:t xml:space="preserve">KANJINTI </w:t>
      </w:r>
      <w:r w:rsidRPr="00A74CC6">
        <w:rPr>
          <w:lang w:val="sv-SE"/>
        </w:rPr>
        <w:t>om:</w:t>
      </w:r>
    </w:p>
    <w:p w14:paraId="74D74C91" w14:textId="77777777" w:rsidR="007245D2" w:rsidRPr="00A74CC6" w:rsidRDefault="007245D2" w:rsidP="006A1034">
      <w:pPr>
        <w:keepNext/>
        <w:spacing w:after="0" w:line="240" w:lineRule="auto"/>
        <w:ind w:left="6" w:right="11" w:hanging="6"/>
        <w:contextualSpacing/>
        <w:rPr>
          <w:lang w:val="sv-SE"/>
        </w:rPr>
      </w:pPr>
    </w:p>
    <w:p w14:paraId="02A151A3" w14:textId="77777777" w:rsidR="005027AB" w:rsidRPr="00A74CC6" w:rsidRDefault="00264096" w:rsidP="001E7238">
      <w:pPr>
        <w:numPr>
          <w:ilvl w:val="0"/>
          <w:numId w:val="15"/>
        </w:numPr>
        <w:spacing w:after="0" w:line="240" w:lineRule="auto"/>
        <w:ind w:left="567" w:hanging="566"/>
        <w:contextualSpacing/>
        <w:rPr>
          <w:lang w:val="sv-SE"/>
        </w:rPr>
      </w:pPr>
      <w:r w:rsidRPr="00A74CC6">
        <w:rPr>
          <w:lang w:val="sv-SE"/>
        </w:rPr>
        <w:t>du har haft hjärtsvikt, kranskärlssjukdom, hjärtklaffssjukdom (blåsljud på hjärtat) eller högt blodtryck, om du har tagit eller nu tar läkemedel mot högt blodtryck.</w:t>
      </w:r>
    </w:p>
    <w:p w14:paraId="01C5908B" w14:textId="01E3A85A" w:rsidR="005027AB" w:rsidRPr="00A74CC6" w:rsidRDefault="00264096" w:rsidP="001E7238">
      <w:pPr>
        <w:numPr>
          <w:ilvl w:val="0"/>
          <w:numId w:val="15"/>
        </w:numPr>
        <w:spacing w:after="0" w:line="240" w:lineRule="auto"/>
        <w:ind w:left="567" w:hanging="566"/>
        <w:contextualSpacing/>
        <w:rPr>
          <w:lang w:val="sv-SE"/>
        </w:rPr>
      </w:pPr>
      <w:r w:rsidRPr="00A74CC6">
        <w:rPr>
          <w:lang w:val="sv-SE"/>
        </w:rPr>
        <w:t xml:space="preserve">du tidigare har fått eller nu får ett läkemedel som kallas för doxorubicin eller epirubicin (läkemedel för behandling av cancer). Dessa läkemedel (eller andra antracykliner) kan skada hjärtmuskeln och öka risken för hjärtproblem med </w:t>
      </w:r>
      <w:r w:rsidR="00CE264A" w:rsidRPr="00A74CC6">
        <w:rPr>
          <w:lang w:val="sv-SE"/>
        </w:rPr>
        <w:t>KANJINTI</w:t>
      </w:r>
      <w:r w:rsidRPr="00A74CC6">
        <w:rPr>
          <w:lang w:val="sv-SE"/>
        </w:rPr>
        <w:t>.</w:t>
      </w:r>
    </w:p>
    <w:p w14:paraId="1346CC10" w14:textId="028EC026" w:rsidR="005027AB" w:rsidRPr="00A74CC6" w:rsidRDefault="00264096" w:rsidP="001E7238">
      <w:pPr>
        <w:numPr>
          <w:ilvl w:val="0"/>
          <w:numId w:val="15"/>
        </w:numPr>
        <w:spacing w:after="0" w:line="240" w:lineRule="auto"/>
        <w:ind w:left="567" w:hanging="566"/>
        <w:contextualSpacing/>
        <w:rPr>
          <w:lang w:val="sv-SE"/>
        </w:rPr>
      </w:pPr>
      <w:r w:rsidRPr="00A74CC6">
        <w:rPr>
          <w:lang w:val="sv-SE"/>
        </w:rPr>
        <w:t xml:space="preserve">du lider av andfåddhet, i synnerhet om du samtidigt behandlas med en taxan. </w:t>
      </w:r>
      <w:r w:rsidR="00CE264A" w:rsidRPr="00A74CC6">
        <w:rPr>
          <w:lang w:val="sv-SE"/>
        </w:rPr>
        <w:t xml:space="preserve">KANJINTI </w:t>
      </w:r>
      <w:r w:rsidRPr="00A74CC6">
        <w:rPr>
          <w:lang w:val="sv-SE"/>
        </w:rPr>
        <w:t>kan orsaka andningssvårigheter, framförallt när det ges första gången. Detta kan vara allvarlig</w:t>
      </w:r>
      <w:r w:rsidR="00C133F1" w:rsidRPr="00A74CC6">
        <w:rPr>
          <w:lang w:val="sv-SE"/>
        </w:rPr>
        <w:t>are</w:t>
      </w:r>
      <w:r w:rsidRPr="00A74CC6">
        <w:rPr>
          <w:lang w:val="sv-SE"/>
        </w:rPr>
        <w:t xml:space="preserve"> om du redan är andfådd. Patienter med allvarliga andningssvårigheter har i mycket sällsynta fall avlidit i samband med </w:t>
      </w:r>
      <w:r w:rsidR="00CE264A" w:rsidRPr="00A74CC6">
        <w:rPr>
          <w:lang w:val="sv-SE"/>
        </w:rPr>
        <w:t>trastuzumabbehandling</w:t>
      </w:r>
      <w:r w:rsidRPr="00A74CC6">
        <w:rPr>
          <w:lang w:val="sv-SE"/>
        </w:rPr>
        <w:t>.</w:t>
      </w:r>
    </w:p>
    <w:p w14:paraId="1E0F48B1" w14:textId="77777777" w:rsidR="005027AB" w:rsidRPr="00A74CC6" w:rsidRDefault="00264096" w:rsidP="001E7238">
      <w:pPr>
        <w:numPr>
          <w:ilvl w:val="0"/>
          <w:numId w:val="15"/>
        </w:numPr>
        <w:spacing w:after="0" w:line="240" w:lineRule="auto"/>
        <w:ind w:left="567" w:hanging="566"/>
        <w:contextualSpacing/>
        <w:rPr>
          <w:lang w:val="sv-SE"/>
        </w:rPr>
      </w:pPr>
      <w:r w:rsidRPr="00A74CC6">
        <w:rPr>
          <w:lang w:val="sv-SE"/>
        </w:rPr>
        <w:t>du tidigare har fått någon annan behandling mot cancer.</w:t>
      </w:r>
    </w:p>
    <w:p w14:paraId="4B647A12" w14:textId="77777777" w:rsidR="006D64A4" w:rsidRPr="00A74CC6" w:rsidRDefault="006D64A4" w:rsidP="001E7238">
      <w:pPr>
        <w:spacing w:after="0" w:line="240" w:lineRule="auto"/>
        <w:ind w:left="0" w:right="13" w:firstLine="0"/>
        <w:contextualSpacing/>
        <w:rPr>
          <w:lang w:val="sv-SE"/>
        </w:rPr>
      </w:pPr>
    </w:p>
    <w:p w14:paraId="68ABEF03" w14:textId="34D2D86C" w:rsidR="005027AB" w:rsidRPr="00A74CC6" w:rsidRDefault="00264096" w:rsidP="001E7238">
      <w:pPr>
        <w:spacing w:after="0" w:line="240" w:lineRule="auto"/>
        <w:ind w:left="4" w:right="13"/>
        <w:contextualSpacing/>
        <w:rPr>
          <w:lang w:val="sv-SE"/>
        </w:rPr>
      </w:pPr>
      <w:r w:rsidRPr="00A74CC6">
        <w:rPr>
          <w:lang w:val="sv-SE"/>
        </w:rPr>
        <w:t xml:space="preserve">Om du får </w:t>
      </w:r>
      <w:r w:rsidR="00CE264A" w:rsidRPr="00A74CC6">
        <w:rPr>
          <w:lang w:val="sv-SE"/>
        </w:rPr>
        <w:t xml:space="preserve">KANJINTI </w:t>
      </w:r>
      <w:r w:rsidRPr="00A74CC6">
        <w:rPr>
          <w:lang w:val="sv-SE"/>
        </w:rPr>
        <w:t xml:space="preserve">tillsammans med andra läkemedel för behandling av cancer, såsom paklitaxel, docetaxel, en aromatashämmare, </w:t>
      </w:r>
      <w:r w:rsidR="00C133F1" w:rsidRPr="00A74CC6">
        <w:rPr>
          <w:lang w:val="sv-SE"/>
        </w:rPr>
        <w:t>k</w:t>
      </w:r>
      <w:r w:rsidRPr="00A74CC6">
        <w:rPr>
          <w:lang w:val="sv-SE"/>
        </w:rPr>
        <w:t>apecitabin, 5-fluorouracil eller cisplatin</w:t>
      </w:r>
      <w:r w:rsidR="00C133F1" w:rsidRPr="00A74CC6">
        <w:rPr>
          <w:lang w:val="sv-SE"/>
        </w:rPr>
        <w:t>,</w:t>
      </w:r>
      <w:r w:rsidRPr="00A74CC6">
        <w:rPr>
          <w:lang w:val="sv-SE"/>
        </w:rPr>
        <w:t xml:space="preserve"> bör du även noggrant läsa bipa</w:t>
      </w:r>
      <w:r w:rsidR="006D64A4" w:rsidRPr="00A74CC6">
        <w:rPr>
          <w:lang w:val="sv-SE"/>
        </w:rPr>
        <w:t>cksedlarna för dessa produkter.</w:t>
      </w:r>
    </w:p>
    <w:p w14:paraId="26FD2434" w14:textId="77777777" w:rsidR="006D64A4" w:rsidRPr="00A74CC6" w:rsidRDefault="006D64A4" w:rsidP="001E7238">
      <w:pPr>
        <w:spacing w:after="0" w:line="240" w:lineRule="auto"/>
        <w:ind w:left="4" w:right="13"/>
        <w:contextualSpacing/>
        <w:rPr>
          <w:lang w:val="sv-SE"/>
        </w:rPr>
      </w:pPr>
    </w:p>
    <w:p w14:paraId="586297C3" w14:textId="77777777" w:rsidR="005027AB" w:rsidRPr="00A74CC6" w:rsidRDefault="00264096" w:rsidP="001E7238">
      <w:pPr>
        <w:keepNext/>
        <w:keepLines/>
        <w:spacing w:after="0" w:line="240" w:lineRule="auto"/>
        <w:ind w:left="11" w:hanging="11"/>
        <w:contextualSpacing/>
        <w:rPr>
          <w:lang w:val="sv-SE"/>
        </w:rPr>
      </w:pPr>
      <w:r w:rsidRPr="00A74CC6">
        <w:rPr>
          <w:b/>
          <w:lang w:val="sv-SE"/>
        </w:rPr>
        <w:t>Barn och ungdomar</w:t>
      </w:r>
    </w:p>
    <w:p w14:paraId="5964E882" w14:textId="57A06D0B" w:rsidR="006D64A4" w:rsidRPr="00A74CC6" w:rsidRDefault="00CE264A" w:rsidP="001E7238">
      <w:pPr>
        <w:spacing w:after="0" w:line="240" w:lineRule="auto"/>
        <w:ind w:left="4" w:right="13"/>
        <w:contextualSpacing/>
        <w:rPr>
          <w:lang w:val="sv-SE"/>
        </w:rPr>
      </w:pPr>
      <w:r w:rsidRPr="00A74CC6">
        <w:rPr>
          <w:lang w:val="sv-SE"/>
        </w:rPr>
        <w:t xml:space="preserve">KANJINTI </w:t>
      </w:r>
      <w:r w:rsidR="00264096" w:rsidRPr="00A74CC6">
        <w:rPr>
          <w:lang w:val="sv-SE"/>
        </w:rPr>
        <w:t xml:space="preserve">rekommenderas </w:t>
      </w:r>
      <w:r w:rsidR="006D64A4" w:rsidRPr="00A74CC6">
        <w:rPr>
          <w:lang w:val="sv-SE"/>
        </w:rPr>
        <w:t xml:space="preserve">inte till </w:t>
      </w:r>
      <w:r w:rsidR="00C133F1" w:rsidRPr="00A74CC6">
        <w:rPr>
          <w:lang w:val="sv-SE"/>
        </w:rPr>
        <w:t xml:space="preserve">personer som är </w:t>
      </w:r>
      <w:r w:rsidR="006D64A4" w:rsidRPr="00A74CC6">
        <w:rPr>
          <w:lang w:val="sv-SE"/>
        </w:rPr>
        <w:t>yngre än 18</w:t>
      </w:r>
      <w:r w:rsidR="00C133F1" w:rsidRPr="00A74CC6">
        <w:rPr>
          <w:lang w:val="sv-SE"/>
        </w:rPr>
        <w:t> </w:t>
      </w:r>
      <w:r w:rsidR="006D64A4" w:rsidRPr="00A74CC6">
        <w:rPr>
          <w:lang w:val="sv-SE"/>
        </w:rPr>
        <w:t>år.</w:t>
      </w:r>
    </w:p>
    <w:p w14:paraId="0F38A6CF" w14:textId="77777777" w:rsidR="006D64A4" w:rsidRPr="00A74CC6" w:rsidRDefault="006D64A4" w:rsidP="001E7238">
      <w:pPr>
        <w:spacing w:after="0" w:line="240" w:lineRule="auto"/>
        <w:ind w:left="4" w:right="13"/>
        <w:contextualSpacing/>
        <w:rPr>
          <w:lang w:val="sv-SE"/>
        </w:rPr>
      </w:pPr>
    </w:p>
    <w:p w14:paraId="0B64160A" w14:textId="4084202E" w:rsidR="005027AB" w:rsidRPr="00A74CC6" w:rsidRDefault="00264096" w:rsidP="001E7238">
      <w:pPr>
        <w:pStyle w:val="Heading1"/>
        <w:spacing w:after="0" w:line="240" w:lineRule="auto"/>
        <w:ind w:left="11" w:hanging="11"/>
        <w:contextualSpacing/>
        <w:rPr>
          <w:lang w:val="sv-SE"/>
        </w:rPr>
      </w:pPr>
      <w:r w:rsidRPr="00A74CC6">
        <w:rPr>
          <w:lang w:val="sv-SE"/>
        </w:rPr>
        <w:t xml:space="preserve">Andra läkemedel och </w:t>
      </w:r>
      <w:r w:rsidR="00CE264A" w:rsidRPr="00A74CC6">
        <w:rPr>
          <w:lang w:val="sv-SE"/>
        </w:rPr>
        <w:t>KANJINTI</w:t>
      </w:r>
    </w:p>
    <w:p w14:paraId="19AE3203" w14:textId="77777777" w:rsidR="005027AB" w:rsidRPr="00A74CC6" w:rsidRDefault="00264096" w:rsidP="001E7238">
      <w:pPr>
        <w:spacing w:after="0" w:line="240" w:lineRule="auto"/>
        <w:ind w:left="4" w:right="13"/>
        <w:contextualSpacing/>
        <w:rPr>
          <w:lang w:val="sv-SE"/>
        </w:rPr>
      </w:pPr>
      <w:r w:rsidRPr="00A74CC6">
        <w:rPr>
          <w:lang w:val="sv-SE"/>
        </w:rPr>
        <w:t>Tala om för läkare, apotekspersonal eller sjuksköterska om du tar, nyligen har tagit eller kan tänkas ta andra läkemedel.</w:t>
      </w:r>
    </w:p>
    <w:p w14:paraId="4AC14F4B" w14:textId="77777777" w:rsidR="00272E91" w:rsidRPr="00A74CC6" w:rsidRDefault="00272E91" w:rsidP="001E7238">
      <w:pPr>
        <w:spacing w:after="0" w:line="240" w:lineRule="auto"/>
        <w:ind w:left="4" w:right="13"/>
        <w:contextualSpacing/>
        <w:rPr>
          <w:lang w:val="sv-SE"/>
        </w:rPr>
      </w:pPr>
    </w:p>
    <w:p w14:paraId="750BBE8B" w14:textId="117D21B9" w:rsidR="005027AB" w:rsidRPr="00A74CC6" w:rsidRDefault="00264096" w:rsidP="001E7238">
      <w:pPr>
        <w:spacing w:after="0" w:line="240" w:lineRule="auto"/>
        <w:ind w:left="4" w:right="13"/>
        <w:contextualSpacing/>
        <w:rPr>
          <w:lang w:val="sv-SE"/>
        </w:rPr>
      </w:pPr>
      <w:r w:rsidRPr="00A74CC6">
        <w:rPr>
          <w:lang w:val="sv-SE"/>
        </w:rPr>
        <w:t>Det kan ta upp till 7</w:t>
      </w:r>
      <w:r w:rsidR="00C133F1" w:rsidRPr="00A74CC6">
        <w:rPr>
          <w:lang w:val="sv-SE"/>
        </w:rPr>
        <w:t> </w:t>
      </w:r>
      <w:r w:rsidRPr="00A74CC6">
        <w:rPr>
          <w:lang w:val="sv-SE"/>
        </w:rPr>
        <w:t xml:space="preserve">månader för </w:t>
      </w:r>
      <w:r w:rsidR="00CE264A" w:rsidRPr="00A74CC6">
        <w:rPr>
          <w:lang w:val="sv-SE"/>
        </w:rPr>
        <w:t xml:space="preserve">KANJINTI </w:t>
      </w:r>
      <w:r w:rsidRPr="00A74CC6">
        <w:rPr>
          <w:lang w:val="sv-SE"/>
        </w:rPr>
        <w:t xml:space="preserve">att avlägsnas från kroppen. Du bör därför tala om för läkare, apotekspersonal eller sjuksköterska att du har behandlats med </w:t>
      </w:r>
      <w:r w:rsidR="00CE264A" w:rsidRPr="00A74CC6">
        <w:rPr>
          <w:lang w:val="sv-SE"/>
        </w:rPr>
        <w:t xml:space="preserve">KANJINTI </w:t>
      </w:r>
      <w:r w:rsidRPr="00A74CC6">
        <w:rPr>
          <w:lang w:val="sv-SE"/>
        </w:rPr>
        <w:t>om du påbörjar någon ny medicinering inom 7</w:t>
      </w:r>
      <w:r w:rsidR="00C133F1" w:rsidRPr="00A74CC6">
        <w:rPr>
          <w:lang w:val="sv-SE"/>
        </w:rPr>
        <w:t> </w:t>
      </w:r>
      <w:r w:rsidRPr="00A74CC6">
        <w:rPr>
          <w:lang w:val="sv-SE"/>
        </w:rPr>
        <w:t>månader efter avslutad behandling.</w:t>
      </w:r>
    </w:p>
    <w:p w14:paraId="5E99D394" w14:textId="77777777" w:rsidR="00272E91" w:rsidRPr="00A74CC6" w:rsidRDefault="00272E91" w:rsidP="001E7238">
      <w:pPr>
        <w:spacing w:after="0" w:line="240" w:lineRule="auto"/>
        <w:ind w:left="4" w:right="13"/>
        <w:contextualSpacing/>
        <w:rPr>
          <w:lang w:val="sv-SE"/>
        </w:rPr>
      </w:pPr>
    </w:p>
    <w:p w14:paraId="4E56C2FC" w14:textId="77777777" w:rsidR="005027AB" w:rsidRPr="00A74CC6" w:rsidRDefault="00264096" w:rsidP="001E7238">
      <w:pPr>
        <w:pStyle w:val="Heading1"/>
        <w:spacing w:after="0" w:line="240" w:lineRule="auto"/>
        <w:ind w:left="9"/>
        <w:contextualSpacing/>
        <w:rPr>
          <w:lang w:val="sv-SE"/>
        </w:rPr>
      </w:pPr>
      <w:r w:rsidRPr="00A74CC6">
        <w:rPr>
          <w:lang w:val="sv-SE"/>
        </w:rPr>
        <w:t>Graviditet</w:t>
      </w:r>
    </w:p>
    <w:p w14:paraId="71831ECD" w14:textId="4D84F480" w:rsidR="005027AB" w:rsidRPr="00A74CC6" w:rsidRDefault="00264096" w:rsidP="009A2261">
      <w:pPr>
        <w:keepNext/>
        <w:numPr>
          <w:ilvl w:val="0"/>
          <w:numId w:val="16"/>
        </w:numPr>
        <w:spacing w:after="0" w:line="240" w:lineRule="auto"/>
        <w:ind w:left="567" w:hanging="567"/>
        <w:contextualSpacing/>
        <w:rPr>
          <w:lang w:val="sv-SE"/>
        </w:rPr>
      </w:pPr>
      <w:r w:rsidRPr="00A74CC6">
        <w:rPr>
          <w:lang w:val="sv-SE"/>
        </w:rPr>
        <w:t>Om du är gravid, tror att du kan vara gravid eller planerar att skaffa barn, rådfråga läkare, apotekspersonal eller sjuksköterska innan du använder detta läkemedel.</w:t>
      </w:r>
    </w:p>
    <w:p w14:paraId="4E4195D5" w14:textId="3693B810" w:rsidR="005027AB" w:rsidRPr="00A74CC6" w:rsidRDefault="00264096" w:rsidP="009A2261">
      <w:pPr>
        <w:keepNext/>
        <w:numPr>
          <w:ilvl w:val="0"/>
          <w:numId w:val="16"/>
        </w:numPr>
        <w:spacing w:after="0" w:line="240" w:lineRule="auto"/>
        <w:ind w:left="567" w:hanging="567"/>
        <w:contextualSpacing/>
        <w:rPr>
          <w:lang w:val="sv-SE"/>
        </w:rPr>
      </w:pPr>
      <w:r w:rsidRPr="00A74CC6">
        <w:rPr>
          <w:lang w:val="sv-SE"/>
        </w:rPr>
        <w:t xml:space="preserve">Du bör använda effektivt preventivmedel under behandling med </w:t>
      </w:r>
      <w:r w:rsidR="00CE264A" w:rsidRPr="00A74CC6">
        <w:rPr>
          <w:lang w:val="sv-SE"/>
        </w:rPr>
        <w:t xml:space="preserve">KANJINTI </w:t>
      </w:r>
      <w:r w:rsidRPr="00A74CC6">
        <w:rPr>
          <w:lang w:val="sv-SE"/>
        </w:rPr>
        <w:t>och i minst 7</w:t>
      </w:r>
      <w:r w:rsidR="00C133F1" w:rsidRPr="00A74CC6">
        <w:rPr>
          <w:lang w:val="sv-SE"/>
        </w:rPr>
        <w:t> </w:t>
      </w:r>
      <w:r w:rsidRPr="00A74CC6">
        <w:rPr>
          <w:lang w:val="sv-SE"/>
        </w:rPr>
        <w:t>månader ef</w:t>
      </w:r>
      <w:r w:rsidR="00272E91" w:rsidRPr="00A74CC6">
        <w:rPr>
          <w:lang w:val="sv-SE"/>
        </w:rPr>
        <w:t xml:space="preserve">ter att behandlingen </w:t>
      </w:r>
      <w:r w:rsidR="00C133F1" w:rsidRPr="00A74CC6">
        <w:rPr>
          <w:lang w:val="sv-SE"/>
        </w:rPr>
        <w:t xml:space="preserve">har </w:t>
      </w:r>
      <w:r w:rsidR="00272E91" w:rsidRPr="00A74CC6">
        <w:rPr>
          <w:lang w:val="sv-SE"/>
        </w:rPr>
        <w:t>avslutats.</w:t>
      </w:r>
    </w:p>
    <w:p w14:paraId="2920EC7B" w14:textId="368FE18C" w:rsidR="005027AB" w:rsidRPr="00A74CC6" w:rsidRDefault="00264096" w:rsidP="008763E6">
      <w:pPr>
        <w:numPr>
          <w:ilvl w:val="0"/>
          <w:numId w:val="16"/>
        </w:numPr>
        <w:spacing w:after="0" w:line="240" w:lineRule="auto"/>
        <w:ind w:left="567" w:hanging="567"/>
        <w:contextualSpacing/>
        <w:rPr>
          <w:lang w:val="sv-SE"/>
        </w:rPr>
      </w:pPr>
      <w:r w:rsidRPr="00A74CC6">
        <w:rPr>
          <w:lang w:val="sv-SE"/>
        </w:rPr>
        <w:t xml:space="preserve">Din läkare kommer att ge dig råd om nackdelarna och fördelarna med att ta </w:t>
      </w:r>
      <w:r w:rsidR="00CE264A" w:rsidRPr="00A74CC6">
        <w:rPr>
          <w:lang w:val="sv-SE"/>
        </w:rPr>
        <w:t xml:space="preserve">KANJINTI </w:t>
      </w:r>
      <w:r w:rsidRPr="00A74CC6">
        <w:rPr>
          <w:lang w:val="sv-SE"/>
        </w:rPr>
        <w:t xml:space="preserve">under graviditet. I sällsynta fall har man hos gravida kvinnor som behandlats med </w:t>
      </w:r>
      <w:r w:rsidR="00CE264A" w:rsidRPr="00A74CC6">
        <w:rPr>
          <w:lang w:val="sv-SE"/>
        </w:rPr>
        <w:t xml:space="preserve">trastuzumab </w:t>
      </w:r>
      <w:r w:rsidRPr="00A74CC6">
        <w:rPr>
          <w:lang w:val="sv-SE"/>
        </w:rPr>
        <w:t>sett en minskning av mängden (foster-) vätska som omger det växande fostret i livmodern. Detta tillstånd kan vara skadligt för barn</w:t>
      </w:r>
      <w:r w:rsidR="00C133F1" w:rsidRPr="00A74CC6">
        <w:rPr>
          <w:lang w:val="sv-SE"/>
        </w:rPr>
        <w:t>et</w:t>
      </w:r>
      <w:r w:rsidRPr="00A74CC6">
        <w:rPr>
          <w:lang w:val="sv-SE"/>
        </w:rPr>
        <w:t xml:space="preserve"> i livmodern och har </w:t>
      </w:r>
      <w:r w:rsidR="00C133F1" w:rsidRPr="00A74CC6">
        <w:rPr>
          <w:lang w:val="sv-SE"/>
        </w:rPr>
        <w:t xml:space="preserve">varit förenat </w:t>
      </w:r>
      <w:r w:rsidRPr="00A74CC6">
        <w:rPr>
          <w:lang w:val="sv-SE"/>
        </w:rPr>
        <w:t>med att lungorna inte utvecklas fullt ut</w:t>
      </w:r>
      <w:r w:rsidR="00C133F1" w:rsidRPr="00A74CC6">
        <w:rPr>
          <w:lang w:val="sv-SE"/>
        </w:rPr>
        <w:t>,</w:t>
      </w:r>
      <w:r w:rsidRPr="00A74CC6">
        <w:rPr>
          <w:lang w:val="sv-SE"/>
        </w:rPr>
        <w:t xml:space="preserve"> vilket </w:t>
      </w:r>
      <w:r w:rsidR="00C133F1" w:rsidRPr="00A74CC6">
        <w:rPr>
          <w:lang w:val="sv-SE"/>
        </w:rPr>
        <w:t xml:space="preserve">har </w:t>
      </w:r>
      <w:r w:rsidRPr="00A74CC6">
        <w:rPr>
          <w:lang w:val="sv-SE"/>
        </w:rPr>
        <w:t>resulterat i fosterdöd.</w:t>
      </w:r>
    </w:p>
    <w:p w14:paraId="6F1CEEF1" w14:textId="77777777" w:rsidR="00272E91" w:rsidRPr="00A74CC6" w:rsidRDefault="00272E91" w:rsidP="001E7238">
      <w:pPr>
        <w:spacing w:after="0" w:line="240" w:lineRule="auto"/>
        <w:ind w:left="4" w:right="13"/>
        <w:contextualSpacing/>
        <w:rPr>
          <w:lang w:val="sv-SE"/>
        </w:rPr>
      </w:pPr>
    </w:p>
    <w:p w14:paraId="44077F99" w14:textId="77777777" w:rsidR="005027AB" w:rsidRPr="00A74CC6" w:rsidRDefault="00264096" w:rsidP="001E7238">
      <w:pPr>
        <w:pStyle w:val="Heading1"/>
        <w:spacing w:after="0" w:line="240" w:lineRule="auto"/>
        <w:ind w:left="11" w:hanging="11"/>
        <w:contextualSpacing/>
        <w:rPr>
          <w:lang w:val="sv-SE"/>
        </w:rPr>
      </w:pPr>
      <w:r w:rsidRPr="00A74CC6">
        <w:rPr>
          <w:lang w:val="sv-SE"/>
        </w:rPr>
        <w:t>Amning</w:t>
      </w:r>
    </w:p>
    <w:p w14:paraId="6EB6E7B9" w14:textId="1C1DEEB4" w:rsidR="005027AB" w:rsidRPr="00A74CC6" w:rsidRDefault="00264096" w:rsidP="001E7238">
      <w:pPr>
        <w:spacing w:after="0" w:line="240" w:lineRule="auto"/>
        <w:ind w:left="4" w:right="13"/>
        <w:contextualSpacing/>
        <w:rPr>
          <w:lang w:val="sv-SE"/>
        </w:rPr>
      </w:pPr>
      <w:r w:rsidRPr="00A74CC6">
        <w:rPr>
          <w:lang w:val="sv-SE"/>
        </w:rPr>
        <w:t xml:space="preserve">Amma inte ditt barn under behandling med </w:t>
      </w:r>
      <w:r w:rsidR="00CE264A" w:rsidRPr="00A74CC6">
        <w:rPr>
          <w:lang w:val="sv-SE"/>
        </w:rPr>
        <w:t xml:space="preserve">KANJINTI </w:t>
      </w:r>
      <w:r w:rsidRPr="00A74CC6">
        <w:rPr>
          <w:lang w:val="sv-SE"/>
        </w:rPr>
        <w:t>och inom 7</w:t>
      </w:r>
      <w:r w:rsidR="00C133F1" w:rsidRPr="00A74CC6">
        <w:rPr>
          <w:lang w:val="sv-SE"/>
        </w:rPr>
        <w:t> </w:t>
      </w:r>
      <w:r w:rsidRPr="00A74CC6">
        <w:rPr>
          <w:lang w:val="sv-SE"/>
        </w:rPr>
        <w:t xml:space="preserve">månader efter </w:t>
      </w:r>
      <w:r w:rsidR="00C133F1" w:rsidRPr="00A74CC6">
        <w:rPr>
          <w:lang w:val="sv-SE"/>
        </w:rPr>
        <w:t xml:space="preserve">den </w:t>
      </w:r>
      <w:r w:rsidRPr="00A74CC6">
        <w:rPr>
          <w:lang w:val="sv-SE"/>
        </w:rPr>
        <w:t>sista dosen</w:t>
      </w:r>
      <w:r w:rsidR="006D11AF">
        <w:rPr>
          <w:lang w:val="sv-SE"/>
        </w:rPr>
        <w:t>,</w:t>
      </w:r>
      <w:r w:rsidRPr="00A74CC6">
        <w:rPr>
          <w:lang w:val="sv-SE"/>
        </w:rPr>
        <w:t xml:space="preserve"> eftersom </w:t>
      </w:r>
      <w:r w:rsidR="00CE264A" w:rsidRPr="00A74CC6">
        <w:rPr>
          <w:lang w:val="sv-SE"/>
        </w:rPr>
        <w:t xml:space="preserve">KANJINTI </w:t>
      </w:r>
      <w:r w:rsidRPr="00A74CC6">
        <w:rPr>
          <w:lang w:val="sv-SE"/>
        </w:rPr>
        <w:t>kan passera över till ditt barn via bröstmjölken.</w:t>
      </w:r>
    </w:p>
    <w:p w14:paraId="79E4878F" w14:textId="77777777" w:rsidR="00272E91" w:rsidRPr="00A74CC6" w:rsidRDefault="00272E91" w:rsidP="001E7238">
      <w:pPr>
        <w:spacing w:after="0" w:line="240" w:lineRule="auto"/>
        <w:ind w:left="4" w:right="13"/>
        <w:contextualSpacing/>
        <w:rPr>
          <w:lang w:val="sv-SE"/>
        </w:rPr>
      </w:pPr>
    </w:p>
    <w:p w14:paraId="4F3173C2" w14:textId="77777777" w:rsidR="005027AB" w:rsidRPr="00A74CC6" w:rsidRDefault="00264096" w:rsidP="001E7238">
      <w:pPr>
        <w:spacing w:after="0" w:line="240" w:lineRule="auto"/>
        <w:ind w:left="4" w:right="13"/>
        <w:contextualSpacing/>
        <w:rPr>
          <w:lang w:val="sv-SE"/>
        </w:rPr>
      </w:pPr>
      <w:r w:rsidRPr="00A74CC6">
        <w:rPr>
          <w:lang w:val="sv-SE"/>
        </w:rPr>
        <w:t>Rådfråga läkare eller apotekspersonal innan du tar något läkemedel.</w:t>
      </w:r>
    </w:p>
    <w:p w14:paraId="3732A83A" w14:textId="77777777" w:rsidR="00272E91" w:rsidRPr="00A74CC6" w:rsidRDefault="00272E91" w:rsidP="001E7238">
      <w:pPr>
        <w:spacing w:after="0" w:line="240" w:lineRule="auto"/>
        <w:ind w:left="4" w:right="13"/>
        <w:contextualSpacing/>
        <w:rPr>
          <w:lang w:val="sv-SE"/>
        </w:rPr>
      </w:pPr>
    </w:p>
    <w:p w14:paraId="2D6C8F3D" w14:textId="77777777" w:rsidR="005027AB" w:rsidRPr="00A74CC6" w:rsidRDefault="00264096" w:rsidP="001E7238">
      <w:pPr>
        <w:pStyle w:val="Heading1"/>
        <w:spacing w:after="0" w:line="240" w:lineRule="auto"/>
        <w:ind w:left="11" w:hanging="11"/>
        <w:contextualSpacing/>
        <w:rPr>
          <w:lang w:val="sv-SE"/>
        </w:rPr>
      </w:pPr>
      <w:r w:rsidRPr="00A74CC6">
        <w:rPr>
          <w:lang w:val="sv-SE"/>
        </w:rPr>
        <w:lastRenderedPageBreak/>
        <w:t>Körförmåga och användning av maskiner</w:t>
      </w:r>
    </w:p>
    <w:p w14:paraId="38BFECA7" w14:textId="761B0322" w:rsidR="005027AB" w:rsidRPr="00A74CC6" w:rsidRDefault="00CE264A" w:rsidP="001E7238">
      <w:pPr>
        <w:spacing w:after="0" w:line="240" w:lineRule="auto"/>
        <w:ind w:left="4" w:right="13"/>
        <w:contextualSpacing/>
        <w:rPr>
          <w:lang w:val="sv-SE"/>
        </w:rPr>
      </w:pPr>
      <w:r w:rsidRPr="00A74CC6">
        <w:rPr>
          <w:lang w:val="sv-SE"/>
        </w:rPr>
        <w:t xml:space="preserve">KANJINTI </w:t>
      </w:r>
      <w:r w:rsidR="00264096" w:rsidRPr="00A74CC6">
        <w:rPr>
          <w:lang w:val="sv-SE"/>
        </w:rPr>
        <w:t>kan påverka förmåga</w:t>
      </w:r>
      <w:r w:rsidR="00C133F1" w:rsidRPr="00A74CC6">
        <w:rPr>
          <w:lang w:val="sv-SE"/>
        </w:rPr>
        <w:t>n</w:t>
      </w:r>
      <w:r w:rsidR="00264096" w:rsidRPr="00A74CC6">
        <w:rPr>
          <w:lang w:val="sv-SE"/>
        </w:rPr>
        <w:t xml:space="preserve"> att köra bil eller använda maskiner. Om du under behandling får symtom som</w:t>
      </w:r>
      <w:r w:rsidR="00C67248">
        <w:rPr>
          <w:lang w:val="sv-SE"/>
        </w:rPr>
        <w:t xml:space="preserve"> yrsel, </w:t>
      </w:r>
      <w:r w:rsidR="00DA4E98">
        <w:rPr>
          <w:lang w:val="sv-SE"/>
        </w:rPr>
        <w:t>sömnighet,</w:t>
      </w:r>
      <w:r w:rsidR="00264096" w:rsidRPr="00A74CC6">
        <w:rPr>
          <w:lang w:val="sv-SE"/>
        </w:rPr>
        <w:t xml:space="preserve"> frossbrytningar eller feber, bör du inte köra bil eller använda maskiner förrän dessa symtom försvunnit.</w:t>
      </w:r>
    </w:p>
    <w:p w14:paraId="17F97A72" w14:textId="77777777" w:rsidR="00D023A0" w:rsidRPr="002E498F" w:rsidRDefault="00D023A0" w:rsidP="00D023A0">
      <w:pPr>
        <w:keepNext/>
        <w:keepLines/>
        <w:spacing w:after="0"/>
        <w:rPr>
          <w:bCs/>
          <w:lang w:val="sv-SE"/>
        </w:rPr>
      </w:pPr>
    </w:p>
    <w:p w14:paraId="76E218FB" w14:textId="56823C54" w:rsidR="00665AC0" w:rsidRDefault="00940BDC" w:rsidP="005565DC">
      <w:pPr>
        <w:keepNext/>
        <w:keepLines/>
        <w:spacing w:after="0"/>
        <w:rPr>
          <w:b/>
          <w:lang w:val="sv-SE"/>
        </w:rPr>
      </w:pPr>
      <w:r>
        <w:rPr>
          <w:b/>
          <w:lang w:val="sv-SE"/>
        </w:rPr>
        <w:t>Natrium</w:t>
      </w:r>
    </w:p>
    <w:p w14:paraId="388B42DE" w14:textId="77777777" w:rsidR="00027B96" w:rsidRPr="00A74CC6" w:rsidRDefault="00027B96" w:rsidP="00E5647A">
      <w:pPr>
        <w:keepNext/>
        <w:keepLines/>
        <w:spacing w:after="0" w:line="240" w:lineRule="auto"/>
        <w:ind w:left="17" w:hanging="6"/>
        <w:rPr>
          <w:lang w:val="sv-SE"/>
        </w:rPr>
      </w:pPr>
      <w:r>
        <w:rPr>
          <w:lang w:val="sv-SE"/>
        </w:rPr>
        <w:t>Detta läkemedel innehåller mindre än 1 mmol (23 mg) natrium per dos, d.v.s. är näst intill ”natriumfritt”.</w:t>
      </w:r>
    </w:p>
    <w:p w14:paraId="6C81C837" w14:textId="1E51B7E6" w:rsidR="00174BB8" w:rsidRDefault="00174BB8" w:rsidP="001E7238">
      <w:pPr>
        <w:spacing w:after="0" w:line="240" w:lineRule="auto"/>
        <w:ind w:left="4" w:right="13"/>
        <w:contextualSpacing/>
        <w:rPr>
          <w:lang w:val="sv-SE"/>
        </w:rPr>
      </w:pPr>
    </w:p>
    <w:p w14:paraId="4008BF8B" w14:textId="77777777" w:rsidR="00B91D3A" w:rsidRPr="00A74CC6" w:rsidRDefault="00B91D3A" w:rsidP="001E7238">
      <w:pPr>
        <w:spacing w:after="0" w:line="240" w:lineRule="auto"/>
        <w:ind w:left="4" w:right="13"/>
        <w:contextualSpacing/>
        <w:rPr>
          <w:lang w:val="sv-SE"/>
        </w:rPr>
      </w:pPr>
    </w:p>
    <w:p w14:paraId="49EAC4D7" w14:textId="501301BD" w:rsidR="005027AB" w:rsidRPr="00A74CC6" w:rsidRDefault="007245D2" w:rsidP="007245D2">
      <w:pPr>
        <w:pStyle w:val="Heading2"/>
        <w:tabs>
          <w:tab w:val="center" w:pos="1594"/>
        </w:tabs>
        <w:spacing w:after="0" w:line="240" w:lineRule="auto"/>
        <w:ind w:left="0" w:firstLine="0"/>
        <w:contextualSpacing/>
        <w:rPr>
          <w:b/>
          <w:u w:val="none"/>
          <w:lang w:val="sv-SE"/>
        </w:rPr>
      </w:pPr>
      <w:r w:rsidRPr="00A74CC6">
        <w:rPr>
          <w:b/>
          <w:u w:val="none"/>
          <w:lang w:val="sv-SE"/>
        </w:rPr>
        <w:t>3.</w:t>
      </w:r>
      <w:r w:rsidRPr="00A74CC6">
        <w:rPr>
          <w:b/>
          <w:u w:val="none"/>
          <w:lang w:val="sv-SE"/>
        </w:rPr>
        <w:tab/>
      </w:r>
      <w:r w:rsidR="00264096" w:rsidRPr="00A74CC6">
        <w:rPr>
          <w:b/>
          <w:u w:val="none"/>
          <w:lang w:val="sv-SE"/>
        </w:rPr>
        <w:t xml:space="preserve">Hur du får </w:t>
      </w:r>
      <w:r w:rsidR="00CE264A" w:rsidRPr="008763E6">
        <w:rPr>
          <w:b/>
          <w:u w:val="none"/>
          <w:lang w:val="sv-SE"/>
        </w:rPr>
        <w:t>KANJINTI</w:t>
      </w:r>
    </w:p>
    <w:p w14:paraId="4E8E4472" w14:textId="77777777" w:rsidR="00174BB8" w:rsidRPr="00A74CC6" w:rsidRDefault="00174BB8" w:rsidP="001E7238">
      <w:pPr>
        <w:keepNext/>
        <w:keepLines/>
        <w:spacing w:after="0" w:line="240" w:lineRule="auto"/>
        <w:ind w:left="-1" w:firstLine="0"/>
        <w:contextualSpacing/>
        <w:rPr>
          <w:lang w:val="sv-SE"/>
        </w:rPr>
      </w:pPr>
    </w:p>
    <w:p w14:paraId="42E4A92C" w14:textId="31CFBB12" w:rsidR="005027AB" w:rsidRPr="00A74CC6" w:rsidRDefault="00264096" w:rsidP="001E7238">
      <w:pPr>
        <w:spacing w:after="0" w:line="240" w:lineRule="auto"/>
        <w:ind w:left="4" w:right="13"/>
        <w:contextualSpacing/>
        <w:rPr>
          <w:lang w:val="sv-SE"/>
        </w:rPr>
      </w:pPr>
      <w:r w:rsidRPr="00A74CC6">
        <w:rPr>
          <w:lang w:val="sv-SE"/>
        </w:rPr>
        <w:t xml:space="preserve">Innan behandlingen inleds kommer din läkare att bestämma om din tumör är HER2-positiv. Enbart patienter med HER2-positiv cancer (stora mängder av HER2) kommer att behandlas med </w:t>
      </w:r>
      <w:r w:rsidR="00CE264A" w:rsidRPr="00A74CC6">
        <w:rPr>
          <w:lang w:val="sv-SE"/>
        </w:rPr>
        <w:t>KANJINTI</w:t>
      </w:r>
      <w:r w:rsidRPr="00A74CC6">
        <w:rPr>
          <w:lang w:val="sv-SE"/>
        </w:rPr>
        <w:t xml:space="preserve">. </w:t>
      </w:r>
      <w:r w:rsidR="00CE264A" w:rsidRPr="00A74CC6">
        <w:rPr>
          <w:lang w:val="sv-SE"/>
        </w:rPr>
        <w:t xml:space="preserve">KANJINTI </w:t>
      </w:r>
      <w:r w:rsidRPr="00A74CC6">
        <w:rPr>
          <w:lang w:val="sv-SE"/>
        </w:rPr>
        <w:t xml:space="preserve">ska bara ges av en läkare eller sjuksköterska. Din läkare kommer att förskriva rätt dos och behandlingsregim för </w:t>
      </w:r>
      <w:r w:rsidRPr="008763E6">
        <w:rPr>
          <w:lang w:val="sv-SE"/>
        </w:rPr>
        <w:t>dig</w:t>
      </w:r>
      <w:r w:rsidRPr="00A74CC6">
        <w:rPr>
          <w:lang w:val="sv-SE"/>
        </w:rPr>
        <w:t xml:space="preserve">. </w:t>
      </w:r>
      <w:r w:rsidR="00CE264A" w:rsidRPr="00A74CC6">
        <w:rPr>
          <w:lang w:val="sv-SE"/>
        </w:rPr>
        <w:t>KANJINTI-</w:t>
      </w:r>
      <w:r w:rsidRPr="00A74CC6">
        <w:rPr>
          <w:lang w:val="sv-SE"/>
        </w:rPr>
        <w:t>dosen beror på din kroppsvikt.</w:t>
      </w:r>
    </w:p>
    <w:p w14:paraId="593ADC11" w14:textId="77777777" w:rsidR="00174BB8" w:rsidRPr="00A74CC6" w:rsidRDefault="00174BB8" w:rsidP="001E7238">
      <w:pPr>
        <w:spacing w:after="0" w:line="240" w:lineRule="auto"/>
        <w:ind w:left="4" w:right="13"/>
        <w:contextualSpacing/>
        <w:rPr>
          <w:lang w:val="sv-SE"/>
        </w:rPr>
      </w:pPr>
    </w:p>
    <w:p w14:paraId="10F815CC" w14:textId="33475575" w:rsidR="00174BB8" w:rsidRPr="00A74CC6" w:rsidRDefault="00264096" w:rsidP="001E7238">
      <w:pPr>
        <w:spacing w:after="0" w:line="240" w:lineRule="auto"/>
        <w:ind w:left="4" w:right="13"/>
        <w:contextualSpacing/>
        <w:rPr>
          <w:lang w:val="sv-SE"/>
        </w:rPr>
      </w:pPr>
      <w:r w:rsidRPr="00A74CC6">
        <w:rPr>
          <w:lang w:val="sv-SE"/>
        </w:rPr>
        <w:t xml:space="preserve">Det är viktigt att kontrollera produktens märkning för att säkerställa att korrekt beredningsform ges till patienten, och överensstämmer med förskrivet läkemedel. </w:t>
      </w:r>
      <w:r w:rsidR="00CE264A" w:rsidRPr="00A74CC6">
        <w:rPr>
          <w:lang w:val="sv-SE"/>
        </w:rPr>
        <w:t xml:space="preserve">KANJINTI </w:t>
      </w:r>
      <w:r w:rsidRPr="00A74CC6">
        <w:rPr>
          <w:lang w:val="sv-SE"/>
        </w:rPr>
        <w:t>intravenös formulering är inte avsedd för subkutan användning och ska enbart ges via intravenös infusion.</w:t>
      </w:r>
    </w:p>
    <w:p w14:paraId="1868FDAB" w14:textId="77777777" w:rsidR="00CE264A" w:rsidRPr="00A74CC6" w:rsidRDefault="00CE264A" w:rsidP="001E7238">
      <w:pPr>
        <w:spacing w:after="0" w:line="240" w:lineRule="auto"/>
        <w:ind w:left="4" w:right="13"/>
        <w:contextualSpacing/>
        <w:rPr>
          <w:lang w:val="sv-SE"/>
        </w:rPr>
      </w:pPr>
    </w:p>
    <w:p w14:paraId="7109E932" w14:textId="4EB8188A" w:rsidR="005027AB" w:rsidRPr="00A74CC6" w:rsidRDefault="00CE264A" w:rsidP="001E7238">
      <w:pPr>
        <w:spacing w:after="0" w:line="240" w:lineRule="auto"/>
        <w:ind w:left="4" w:right="13"/>
        <w:contextualSpacing/>
        <w:rPr>
          <w:lang w:val="sv-SE"/>
        </w:rPr>
      </w:pPr>
      <w:r w:rsidRPr="00A74CC6">
        <w:rPr>
          <w:lang w:val="sv-SE"/>
        </w:rPr>
        <w:t xml:space="preserve">KANJINTI </w:t>
      </w:r>
      <w:r w:rsidR="00264096" w:rsidRPr="00A74CC6">
        <w:rPr>
          <w:lang w:val="sv-SE"/>
        </w:rPr>
        <w:t>intravenös formulering ges som en intravenös infusion (”dropp”) direkt in i ett blodkärl av sjukvårdspersonal. Den första dosen ges under 90</w:t>
      </w:r>
      <w:r w:rsidR="00C133F1" w:rsidRPr="00A74CC6">
        <w:rPr>
          <w:lang w:val="sv-SE"/>
        </w:rPr>
        <w:t> </w:t>
      </w:r>
      <w:r w:rsidR="00264096" w:rsidRPr="00A74CC6">
        <w:rPr>
          <w:lang w:val="sv-SE"/>
        </w:rPr>
        <w:t xml:space="preserve">minuter och du kommer att observeras av sjukvårdpersonal medan du får </w:t>
      </w:r>
      <w:r w:rsidR="00C133F1" w:rsidRPr="00A74CC6">
        <w:rPr>
          <w:lang w:val="sv-SE"/>
        </w:rPr>
        <w:t xml:space="preserve">infusionen för den händelse att du </w:t>
      </w:r>
      <w:r w:rsidR="00264096" w:rsidRPr="00A74CC6">
        <w:rPr>
          <w:lang w:val="sv-SE"/>
        </w:rPr>
        <w:t>få</w:t>
      </w:r>
      <w:r w:rsidR="00C133F1" w:rsidRPr="00A74CC6">
        <w:rPr>
          <w:lang w:val="sv-SE"/>
        </w:rPr>
        <w:t>r</w:t>
      </w:r>
      <w:r w:rsidR="00264096" w:rsidRPr="00A74CC6">
        <w:rPr>
          <w:lang w:val="sv-SE"/>
        </w:rPr>
        <w:t xml:space="preserve"> några biverkningar. Om den första dosen tolereras väl kan påföljande doser ges under 30</w:t>
      </w:r>
      <w:r w:rsidR="008D46EC" w:rsidRPr="00A74CC6">
        <w:rPr>
          <w:lang w:val="sv-SE"/>
        </w:rPr>
        <w:t> </w:t>
      </w:r>
      <w:r w:rsidR="00264096" w:rsidRPr="00A74CC6">
        <w:rPr>
          <w:lang w:val="sv-SE"/>
        </w:rPr>
        <w:t>minuter (se avsnitt</w:t>
      </w:r>
      <w:r w:rsidR="008D46EC" w:rsidRPr="00A74CC6">
        <w:rPr>
          <w:lang w:val="sv-SE"/>
        </w:rPr>
        <w:t> </w:t>
      </w:r>
      <w:r w:rsidR="00264096" w:rsidRPr="00A74CC6">
        <w:rPr>
          <w:lang w:val="sv-SE"/>
        </w:rPr>
        <w:t>2 under ”Varningar och försiktighet”). Antal</w:t>
      </w:r>
      <w:r w:rsidR="008D46EC" w:rsidRPr="00A74CC6">
        <w:rPr>
          <w:lang w:val="sv-SE"/>
        </w:rPr>
        <w:t>et</w:t>
      </w:r>
      <w:r w:rsidR="00264096" w:rsidRPr="00A74CC6">
        <w:rPr>
          <w:lang w:val="sv-SE"/>
        </w:rPr>
        <w:t xml:space="preserve"> infusioner som du får beror på vilken effekt behandlingen </w:t>
      </w:r>
      <w:r w:rsidR="008D46EC" w:rsidRPr="00A74CC6">
        <w:rPr>
          <w:lang w:val="sv-SE"/>
        </w:rPr>
        <w:t>har på dig</w:t>
      </w:r>
      <w:r w:rsidR="00264096" w:rsidRPr="00A74CC6">
        <w:rPr>
          <w:lang w:val="sv-SE"/>
        </w:rPr>
        <w:t>. Din läkare kommer att diskutera detta med dig.</w:t>
      </w:r>
    </w:p>
    <w:p w14:paraId="24441DF0" w14:textId="77777777" w:rsidR="00174BB8" w:rsidRPr="00A74CC6" w:rsidRDefault="00174BB8" w:rsidP="001E7238">
      <w:pPr>
        <w:spacing w:after="0" w:line="240" w:lineRule="auto"/>
        <w:ind w:left="4" w:right="13"/>
        <w:contextualSpacing/>
        <w:rPr>
          <w:lang w:val="sv-SE"/>
        </w:rPr>
      </w:pPr>
    </w:p>
    <w:p w14:paraId="643D384F" w14:textId="2B8742F3" w:rsidR="005027AB" w:rsidRPr="00A74CC6" w:rsidRDefault="00264096" w:rsidP="001E7238">
      <w:pPr>
        <w:spacing w:after="0" w:line="240" w:lineRule="auto"/>
        <w:ind w:left="4" w:right="13"/>
        <w:contextualSpacing/>
        <w:rPr>
          <w:lang w:val="sv-SE"/>
        </w:rPr>
      </w:pPr>
      <w:r w:rsidRPr="00A74CC6">
        <w:rPr>
          <w:lang w:val="sv-SE"/>
        </w:rPr>
        <w:t xml:space="preserve">För att förhindra medicineringsfel är det viktigt att kontrollera injektionsflaskans märkning för att säkerställa att läkemedlet som bereds och administreras är </w:t>
      </w:r>
      <w:r w:rsidR="00CE264A" w:rsidRPr="00A74CC6">
        <w:rPr>
          <w:lang w:val="sv-SE"/>
        </w:rPr>
        <w:t xml:space="preserve">KANJINTI </w:t>
      </w:r>
      <w:r w:rsidRPr="00A74CC6">
        <w:rPr>
          <w:lang w:val="sv-SE"/>
        </w:rPr>
        <w:t>(trastuzumab) och inte</w:t>
      </w:r>
      <w:r w:rsidR="00C50D7B">
        <w:rPr>
          <w:lang w:val="sv-SE"/>
        </w:rPr>
        <w:t xml:space="preserve"> </w:t>
      </w:r>
      <w:r w:rsidR="00C50D7B">
        <w:rPr>
          <w:lang w:val="sv-SE" w:eastAsia="sv-SE" w:bidi="sv-SE"/>
        </w:rPr>
        <w:t>någon annan produkt som innehåller</w:t>
      </w:r>
      <w:r w:rsidRPr="00A74CC6">
        <w:rPr>
          <w:lang w:val="sv-SE"/>
        </w:rPr>
        <w:t xml:space="preserve"> trastuzumab</w:t>
      </w:r>
      <w:r w:rsidR="00D55DD6">
        <w:rPr>
          <w:lang w:val="sv-SE"/>
        </w:rPr>
        <w:t xml:space="preserve"> </w:t>
      </w:r>
      <w:r w:rsidR="00C50D7B">
        <w:rPr>
          <w:lang w:val="sv-SE" w:eastAsia="sv-SE" w:bidi="sv-SE"/>
        </w:rPr>
        <w:t xml:space="preserve">(t ex trastuzumab </w:t>
      </w:r>
      <w:r w:rsidRPr="00A74CC6">
        <w:rPr>
          <w:lang w:val="sv-SE"/>
        </w:rPr>
        <w:t>emtansin</w:t>
      </w:r>
      <w:r w:rsidR="00C50D7B">
        <w:rPr>
          <w:lang w:val="sv-SE"/>
        </w:rPr>
        <w:t xml:space="preserve"> </w:t>
      </w:r>
      <w:r w:rsidR="00C50D7B">
        <w:rPr>
          <w:lang w:val="sv-SE" w:eastAsia="sv-SE" w:bidi="sv-SE"/>
        </w:rPr>
        <w:t>eller trastuzumab deruxtecan)</w:t>
      </w:r>
      <w:r w:rsidRPr="00A74CC6">
        <w:rPr>
          <w:lang w:val="sv-SE"/>
        </w:rPr>
        <w:t>.</w:t>
      </w:r>
    </w:p>
    <w:p w14:paraId="1BA60A6A" w14:textId="77777777" w:rsidR="00174BB8" w:rsidRPr="00A74CC6" w:rsidRDefault="00174BB8" w:rsidP="001E7238">
      <w:pPr>
        <w:spacing w:after="0" w:line="240" w:lineRule="auto"/>
        <w:ind w:left="4" w:right="13"/>
        <w:contextualSpacing/>
        <w:rPr>
          <w:lang w:val="sv-SE"/>
        </w:rPr>
      </w:pPr>
    </w:p>
    <w:p w14:paraId="4BEA4492" w14:textId="6E0D57BD" w:rsidR="005027AB" w:rsidRPr="00A74CC6" w:rsidRDefault="00264096" w:rsidP="001E7238">
      <w:pPr>
        <w:spacing w:after="0" w:line="240" w:lineRule="auto"/>
        <w:ind w:left="4" w:right="13"/>
        <w:contextualSpacing/>
        <w:rPr>
          <w:lang w:val="sv-SE"/>
        </w:rPr>
      </w:pPr>
      <w:r w:rsidRPr="00A74CC6">
        <w:rPr>
          <w:lang w:val="sv-SE"/>
        </w:rPr>
        <w:t xml:space="preserve">Vid tidig bröstcancer, metastaserad bröstcancer och metastaserad magsäckscancer ges </w:t>
      </w:r>
      <w:r w:rsidR="00CE264A" w:rsidRPr="00A74CC6">
        <w:rPr>
          <w:lang w:val="sv-SE"/>
        </w:rPr>
        <w:t xml:space="preserve">KANJINTI </w:t>
      </w:r>
      <w:r w:rsidRPr="00A74CC6">
        <w:rPr>
          <w:lang w:val="sv-SE"/>
        </w:rPr>
        <w:t xml:space="preserve">var tredje vecka. </w:t>
      </w:r>
      <w:r w:rsidR="00CE264A" w:rsidRPr="00A74CC6">
        <w:rPr>
          <w:lang w:val="sv-SE"/>
        </w:rPr>
        <w:t xml:space="preserve">KANJINTI </w:t>
      </w:r>
      <w:r w:rsidRPr="00A74CC6">
        <w:rPr>
          <w:lang w:val="sv-SE"/>
        </w:rPr>
        <w:t>kan också ges en gång per veck</w:t>
      </w:r>
      <w:r w:rsidR="00174BB8" w:rsidRPr="00A74CC6">
        <w:rPr>
          <w:lang w:val="sv-SE"/>
        </w:rPr>
        <w:t>a vid metastaserad bröstcancer.</w:t>
      </w:r>
    </w:p>
    <w:p w14:paraId="75557A7D" w14:textId="77777777" w:rsidR="009944D7" w:rsidRPr="00A74CC6" w:rsidRDefault="009944D7" w:rsidP="001E7238">
      <w:pPr>
        <w:spacing w:after="0" w:line="240" w:lineRule="auto"/>
        <w:ind w:left="4" w:right="13"/>
        <w:contextualSpacing/>
        <w:rPr>
          <w:lang w:val="sv-SE"/>
        </w:rPr>
      </w:pPr>
    </w:p>
    <w:p w14:paraId="5B760C85" w14:textId="10EBD8E3" w:rsidR="005027AB" w:rsidRPr="00A74CC6" w:rsidRDefault="00264096" w:rsidP="001E7238">
      <w:pPr>
        <w:pStyle w:val="Heading1"/>
        <w:keepLines w:val="0"/>
        <w:spacing w:after="0" w:line="240" w:lineRule="auto"/>
        <w:ind w:left="11" w:hanging="11"/>
        <w:contextualSpacing/>
        <w:rPr>
          <w:lang w:val="sv-SE"/>
        </w:rPr>
      </w:pPr>
      <w:r w:rsidRPr="00A74CC6">
        <w:rPr>
          <w:lang w:val="sv-SE"/>
        </w:rPr>
        <w:t xml:space="preserve">Om du slutar att använda </w:t>
      </w:r>
      <w:r w:rsidR="00CE264A" w:rsidRPr="00A74CC6">
        <w:rPr>
          <w:lang w:val="sv-SE"/>
        </w:rPr>
        <w:t>KANJINTI</w:t>
      </w:r>
    </w:p>
    <w:p w14:paraId="5ACB353D" w14:textId="77777777" w:rsidR="005027AB" w:rsidRPr="00A74CC6" w:rsidRDefault="00264096" w:rsidP="001E7238">
      <w:pPr>
        <w:spacing w:after="0" w:line="240" w:lineRule="auto"/>
        <w:ind w:left="4" w:right="13"/>
        <w:contextualSpacing/>
        <w:rPr>
          <w:lang w:val="sv-SE"/>
        </w:rPr>
      </w:pPr>
      <w:r w:rsidRPr="00A74CC6">
        <w:rPr>
          <w:lang w:val="sv-SE"/>
        </w:rPr>
        <w:t>Sluta inte att använda detta läkemedel utan att tala med din läkare först. Alla doser ska tas vid rätt tidpunkt varje vecka eller var tredje vecka (beroende på ditt doseringsintervall). Detta bidrar till att läkemedlet fungerar så bra som möjligt.</w:t>
      </w:r>
    </w:p>
    <w:p w14:paraId="40C646B8" w14:textId="77777777" w:rsidR="00174BB8" w:rsidRPr="00A74CC6" w:rsidRDefault="00174BB8" w:rsidP="001E7238">
      <w:pPr>
        <w:spacing w:after="0" w:line="240" w:lineRule="auto"/>
        <w:ind w:left="4" w:right="13"/>
        <w:contextualSpacing/>
        <w:rPr>
          <w:lang w:val="sv-SE"/>
        </w:rPr>
      </w:pPr>
    </w:p>
    <w:p w14:paraId="1193C75B" w14:textId="799086E0" w:rsidR="005027AB" w:rsidRPr="00A74CC6" w:rsidRDefault="00264096" w:rsidP="001E7238">
      <w:pPr>
        <w:spacing w:after="0" w:line="240" w:lineRule="auto"/>
        <w:ind w:left="4" w:right="13"/>
        <w:contextualSpacing/>
        <w:rPr>
          <w:lang w:val="sv-SE"/>
        </w:rPr>
      </w:pPr>
      <w:r w:rsidRPr="00A74CC6">
        <w:rPr>
          <w:lang w:val="sv-SE"/>
        </w:rPr>
        <w:t>Det kan ta upp till 7</w:t>
      </w:r>
      <w:r w:rsidR="008D46EC" w:rsidRPr="00A74CC6">
        <w:rPr>
          <w:lang w:val="sv-SE"/>
        </w:rPr>
        <w:t> </w:t>
      </w:r>
      <w:r w:rsidRPr="00A74CC6">
        <w:rPr>
          <w:lang w:val="sv-SE"/>
        </w:rPr>
        <w:t xml:space="preserve">månader innan </w:t>
      </w:r>
      <w:r w:rsidR="00CE264A" w:rsidRPr="00A74CC6">
        <w:rPr>
          <w:lang w:val="sv-SE"/>
        </w:rPr>
        <w:t xml:space="preserve">KANJINTI </w:t>
      </w:r>
      <w:r w:rsidRPr="00A74CC6">
        <w:rPr>
          <w:lang w:val="sv-SE"/>
        </w:rPr>
        <w:t>försvunnit från kroppen. Därför kan din läkare bestämma att for</w:t>
      </w:r>
      <w:r w:rsidR="00703506">
        <w:rPr>
          <w:lang w:val="sv-SE"/>
        </w:rPr>
        <w:t>t</w:t>
      </w:r>
      <w:r w:rsidRPr="00A74CC6">
        <w:rPr>
          <w:lang w:val="sv-SE"/>
        </w:rPr>
        <w:t xml:space="preserve">sätta att kontrollera din hjärtfunktion även efter </w:t>
      </w:r>
      <w:r w:rsidR="008D46EC" w:rsidRPr="00A74CC6">
        <w:rPr>
          <w:lang w:val="sv-SE"/>
        </w:rPr>
        <w:t xml:space="preserve">att </w:t>
      </w:r>
      <w:r w:rsidRPr="00A74CC6">
        <w:rPr>
          <w:lang w:val="sv-SE"/>
        </w:rPr>
        <w:t xml:space="preserve">behandlingen </w:t>
      </w:r>
      <w:r w:rsidR="008D46EC" w:rsidRPr="00A74CC6">
        <w:rPr>
          <w:lang w:val="sv-SE"/>
        </w:rPr>
        <w:t xml:space="preserve">har </w:t>
      </w:r>
      <w:r w:rsidRPr="00A74CC6">
        <w:rPr>
          <w:lang w:val="sv-SE"/>
        </w:rPr>
        <w:t>avslutats.</w:t>
      </w:r>
    </w:p>
    <w:p w14:paraId="6D539E9C" w14:textId="77777777" w:rsidR="00174BB8" w:rsidRPr="00A74CC6" w:rsidRDefault="00174BB8" w:rsidP="001E7238">
      <w:pPr>
        <w:spacing w:after="0" w:line="240" w:lineRule="auto"/>
        <w:ind w:left="4" w:right="13"/>
        <w:contextualSpacing/>
        <w:rPr>
          <w:lang w:val="sv-SE"/>
        </w:rPr>
      </w:pPr>
    </w:p>
    <w:p w14:paraId="3BF8BB7C" w14:textId="77777777" w:rsidR="005027AB" w:rsidRPr="00A74CC6" w:rsidRDefault="00264096" w:rsidP="001E7238">
      <w:pPr>
        <w:spacing w:after="0" w:line="240" w:lineRule="auto"/>
        <w:ind w:left="4" w:right="13"/>
        <w:contextualSpacing/>
        <w:rPr>
          <w:lang w:val="sv-SE"/>
        </w:rPr>
      </w:pPr>
      <w:r w:rsidRPr="00A74CC6">
        <w:rPr>
          <w:lang w:val="sv-SE"/>
        </w:rPr>
        <w:t>Om du har ytterligare frågor om detta läkemedel, kontakta läkare, apotekspersonal eller sjuksköterska.</w:t>
      </w:r>
    </w:p>
    <w:p w14:paraId="503D64C7" w14:textId="77777777" w:rsidR="00174BB8" w:rsidRPr="00A74CC6" w:rsidRDefault="00174BB8" w:rsidP="001E7238">
      <w:pPr>
        <w:spacing w:after="0" w:line="240" w:lineRule="auto"/>
        <w:ind w:left="4" w:right="13"/>
        <w:contextualSpacing/>
        <w:rPr>
          <w:lang w:val="sv-SE"/>
        </w:rPr>
      </w:pPr>
    </w:p>
    <w:p w14:paraId="5E50133D" w14:textId="77777777" w:rsidR="00174BB8" w:rsidRPr="00A74CC6" w:rsidRDefault="00174BB8" w:rsidP="001E7238">
      <w:pPr>
        <w:spacing w:after="0" w:line="240" w:lineRule="auto"/>
        <w:ind w:left="4" w:right="13"/>
        <w:contextualSpacing/>
        <w:rPr>
          <w:lang w:val="sv-SE"/>
        </w:rPr>
      </w:pPr>
    </w:p>
    <w:p w14:paraId="40FEE90C" w14:textId="77777777" w:rsidR="005027AB" w:rsidRPr="00A74CC6" w:rsidRDefault="006A1034" w:rsidP="006A1034">
      <w:pPr>
        <w:pStyle w:val="Heading2"/>
        <w:tabs>
          <w:tab w:val="center" w:pos="1728"/>
        </w:tabs>
        <w:spacing w:after="0" w:line="240" w:lineRule="auto"/>
        <w:ind w:left="567" w:hanging="567"/>
        <w:contextualSpacing/>
        <w:rPr>
          <w:b/>
          <w:u w:val="none"/>
          <w:lang w:val="sv-SE"/>
        </w:rPr>
      </w:pPr>
      <w:r w:rsidRPr="00A74CC6">
        <w:rPr>
          <w:b/>
          <w:u w:val="none"/>
          <w:lang w:val="sv-SE"/>
        </w:rPr>
        <w:t>4.</w:t>
      </w:r>
      <w:r w:rsidRPr="00A74CC6">
        <w:rPr>
          <w:b/>
          <w:u w:val="none"/>
          <w:lang w:val="sv-SE"/>
        </w:rPr>
        <w:tab/>
      </w:r>
      <w:r w:rsidR="00264096" w:rsidRPr="00A74CC6">
        <w:rPr>
          <w:b/>
          <w:u w:val="none"/>
          <w:lang w:val="sv-SE"/>
        </w:rPr>
        <w:t>Eventuella biverkningar</w:t>
      </w:r>
    </w:p>
    <w:p w14:paraId="0E3F3BB1" w14:textId="77777777" w:rsidR="00174BB8" w:rsidRPr="00A74CC6" w:rsidRDefault="00174BB8" w:rsidP="001E7238">
      <w:pPr>
        <w:keepNext/>
        <w:keepLines/>
        <w:spacing w:after="0" w:line="240" w:lineRule="auto"/>
        <w:ind w:left="-1" w:firstLine="0"/>
        <w:contextualSpacing/>
        <w:rPr>
          <w:lang w:val="sv-SE"/>
        </w:rPr>
      </w:pPr>
    </w:p>
    <w:p w14:paraId="2AE1AFF9" w14:textId="5348F449" w:rsidR="005027AB" w:rsidRPr="00A74CC6" w:rsidRDefault="00264096" w:rsidP="001E7238">
      <w:pPr>
        <w:spacing w:after="0" w:line="240" w:lineRule="auto"/>
        <w:ind w:left="4" w:right="13"/>
        <w:contextualSpacing/>
        <w:rPr>
          <w:lang w:val="sv-SE"/>
        </w:rPr>
      </w:pPr>
      <w:r w:rsidRPr="00A74CC6">
        <w:rPr>
          <w:lang w:val="sv-SE"/>
        </w:rPr>
        <w:t xml:space="preserve">Liksom alla läkemedel kan </w:t>
      </w:r>
      <w:r w:rsidR="00CE264A" w:rsidRPr="00A74CC6">
        <w:rPr>
          <w:lang w:val="sv-SE"/>
        </w:rPr>
        <w:t xml:space="preserve">KANJINTI </w:t>
      </w:r>
      <w:r w:rsidRPr="00A74CC6">
        <w:rPr>
          <w:lang w:val="sv-SE"/>
        </w:rPr>
        <w:t>orsaka biverkningar</w:t>
      </w:r>
      <w:r w:rsidR="005E1172">
        <w:rPr>
          <w:lang w:val="sv-SE"/>
        </w:rPr>
        <w:t>,</w:t>
      </w:r>
      <w:r w:rsidRPr="00A74CC6">
        <w:rPr>
          <w:lang w:val="sv-SE"/>
        </w:rPr>
        <w:t xml:space="preserve"> men alla användare behöver inte få dem. Några av dessa biverkningar kan vara allvarliga och kan </w:t>
      </w:r>
      <w:r w:rsidR="008D46EC" w:rsidRPr="00A74CC6">
        <w:rPr>
          <w:lang w:val="sv-SE"/>
        </w:rPr>
        <w:t>leda till inläggning på</w:t>
      </w:r>
      <w:r w:rsidRPr="00A74CC6">
        <w:rPr>
          <w:lang w:val="sv-SE"/>
        </w:rPr>
        <w:t xml:space="preserve"> sjukhus.</w:t>
      </w:r>
    </w:p>
    <w:p w14:paraId="2F289F8D" w14:textId="77777777" w:rsidR="009A3DE7" w:rsidRPr="00A74CC6" w:rsidRDefault="009A3DE7" w:rsidP="001E7238">
      <w:pPr>
        <w:spacing w:after="0" w:line="240" w:lineRule="auto"/>
        <w:ind w:left="4" w:right="13"/>
        <w:contextualSpacing/>
        <w:rPr>
          <w:lang w:val="sv-SE"/>
        </w:rPr>
      </w:pPr>
    </w:p>
    <w:p w14:paraId="447DB1A0" w14:textId="2A121AF1" w:rsidR="005027AB" w:rsidRPr="00A74CC6" w:rsidRDefault="00264096" w:rsidP="001E7238">
      <w:pPr>
        <w:spacing w:after="0" w:line="240" w:lineRule="auto"/>
        <w:ind w:left="4" w:right="13"/>
        <w:contextualSpacing/>
        <w:rPr>
          <w:lang w:val="sv-SE"/>
        </w:rPr>
      </w:pPr>
      <w:r w:rsidRPr="00A74CC6">
        <w:rPr>
          <w:lang w:val="sv-SE"/>
        </w:rPr>
        <w:t xml:space="preserve">Under en infusion med </w:t>
      </w:r>
      <w:r w:rsidR="00CE264A" w:rsidRPr="00A74CC6">
        <w:rPr>
          <w:lang w:val="sv-SE"/>
        </w:rPr>
        <w:t xml:space="preserve">KANJINTI </w:t>
      </w:r>
      <w:r w:rsidRPr="00A74CC6">
        <w:rPr>
          <w:lang w:val="sv-SE"/>
        </w:rPr>
        <w:t>kan frossa, feber och andra influensaliknande symtom förekomma. Dessa biverkningar är mycket vanliga (kan förekomma hos fler än 1 av 10</w:t>
      </w:r>
      <w:r w:rsidR="008D46EC" w:rsidRPr="00A74CC6">
        <w:rPr>
          <w:lang w:val="sv-SE"/>
        </w:rPr>
        <w:t> </w:t>
      </w:r>
      <w:r w:rsidRPr="00A74CC6">
        <w:rPr>
          <w:lang w:val="sv-SE"/>
        </w:rPr>
        <w:t xml:space="preserve">patienter). Andra symtom </w:t>
      </w:r>
      <w:r w:rsidR="008D46EC" w:rsidRPr="00A74CC6">
        <w:rPr>
          <w:lang w:val="sv-SE"/>
        </w:rPr>
        <w:t xml:space="preserve">som kan </w:t>
      </w:r>
      <w:r w:rsidRPr="00A74CC6">
        <w:rPr>
          <w:lang w:val="sv-SE"/>
        </w:rPr>
        <w:t>orsaka</w:t>
      </w:r>
      <w:r w:rsidR="008D46EC" w:rsidRPr="00A74CC6">
        <w:rPr>
          <w:lang w:val="sv-SE"/>
        </w:rPr>
        <w:t>s</w:t>
      </w:r>
      <w:r w:rsidRPr="00A74CC6">
        <w:rPr>
          <w:lang w:val="sv-SE"/>
        </w:rPr>
        <w:t xml:space="preserve"> av infusionen är: illamående, kräkningar, smärta, ökad muskelspänning och skakningar, huvudvärk, yrsel, andningssvårigheter, högt eller lågt blodtryck, ändrad hjärtrytm (hjärtklappning, hjärtfladder eller oregelbundna hjärtslag), svullnad av ansiktet och läpparna, </w:t>
      </w:r>
      <w:r w:rsidRPr="00A74CC6">
        <w:rPr>
          <w:lang w:val="sv-SE"/>
        </w:rPr>
        <w:lastRenderedPageBreak/>
        <w:t xml:space="preserve">hudutslag och </w:t>
      </w:r>
      <w:r w:rsidR="008D46EC" w:rsidRPr="00A74CC6">
        <w:rPr>
          <w:lang w:val="sv-SE"/>
        </w:rPr>
        <w:t>trötthet</w:t>
      </w:r>
      <w:r w:rsidRPr="00A74CC6">
        <w:rPr>
          <w:lang w:val="sv-SE"/>
        </w:rPr>
        <w:t>. Vissa av dessa symtom kan vara allvarliga och några patienter har avlidit (se avsnitt</w:t>
      </w:r>
      <w:r w:rsidR="008D46EC" w:rsidRPr="00A74CC6">
        <w:rPr>
          <w:lang w:val="sv-SE"/>
        </w:rPr>
        <w:t> </w:t>
      </w:r>
      <w:r w:rsidRPr="00A74CC6">
        <w:rPr>
          <w:lang w:val="sv-SE"/>
        </w:rPr>
        <w:t>2 under ”Varningar och försiktighet”).</w:t>
      </w:r>
    </w:p>
    <w:p w14:paraId="251412F4" w14:textId="77777777" w:rsidR="009A3DE7" w:rsidRPr="00A74CC6" w:rsidRDefault="009A3DE7" w:rsidP="001E7238">
      <w:pPr>
        <w:spacing w:after="0" w:line="240" w:lineRule="auto"/>
        <w:ind w:left="4" w:right="13"/>
        <w:contextualSpacing/>
        <w:rPr>
          <w:lang w:val="sv-SE"/>
        </w:rPr>
      </w:pPr>
    </w:p>
    <w:p w14:paraId="0E27ED97" w14:textId="1E171990" w:rsidR="005027AB" w:rsidRPr="00A74CC6" w:rsidRDefault="00264096" w:rsidP="001E7238">
      <w:pPr>
        <w:spacing w:after="0" w:line="240" w:lineRule="auto"/>
        <w:ind w:left="4" w:right="13"/>
        <w:contextualSpacing/>
        <w:rPr>
          <w:lang w:val="sv-SE"/>
        </w:rPr>
      </w:pPr>
      <w:r w:rsidRPr="00A74CC6">
        <w:rPr>
          <w:lang w:val="sv-SE"/>
        </w:rPr>
        <w:t xml:space="preserve">Dessa effekter inträffar huvudsakligen i samband med första intravenösa infusionen (”droppet”) och under de första timmarna efter starten av infusionen. De är vanligen </w:t>
      </w:r>
      <w:r w:rsidR="008D46EC" w:rsidRPr="00A74CC6">
        <w:rPr>
          <w:lang w:val="sv-SE"/>
        </w:rPr>
        <w:t>övergående</w:t>
      </w:r>
      <w:r w:rsidRPr="00A74CC6">
        <w:rPr>
          <w:lang w:val="sv-SE"/>
        </w:rPr>
        <w:t>. Du kommer att övervakas av sjukvårdspersonal under infusionen och under åtminstone sex timmar efter starten av den första infusionen och två timmar efter starten av de andra infusionerna. Om du utvecklar symtom kommer sjukvårdspersonalen att sakta ner eller avbryta infusionen och de kan ge dig behandling för att motverka biverkningarna. Efter förbättring av symtomen kan infusionen fortsätta.</w:t>
      </w:r>
    </w:p>
    <w:p w14:paraId="2CD27041" w14:textId="77777777" w:rsidR="009A3DE7" w:rsidRPr="00A74CC6" w:rsidRDefault="009A3DE7" w:rsidP="001E7238">
      <w:pPr>
        <w:spacing w:after="0" w:line="240" w:lineRule="auto"/>
        <w:ind w:left="4" w:right="13"/>
        <w:contextualSpacing/>
        <w:rPr>
          <w:lang w:val="sv-SE"/>
        </w:rPr>
      </w:pPr>
    </w:p>
    <w:p w14:paraId="20294282" w14:textId="665D76A9" w:rsidR="005027AB" w:rsidRPr="00A74CC6" w:rsidRDefault="00264096" w:rsidP="00C35BA9">
      <w:pPr>
        <w:spacing w:after="0" w:line="240" w:lineRule="auto"/>
        <w:ind w:left="-1" w:right="13" w:firstLine="1"/>
        <w:contextualSpacing/>
        <w:rPr>
          <w:lang w:val="sv-SE"/>
        </w:rPr>
      </w:pPr>
      <w:r w:rsidRPr="00A74CC6">
        <w:rPr>
          <w:lang w:val="sv-SE"/>
        </w:rPr>
        <w:t xml:space="preserve">Ibland kan symtom </w:t>
      </w:r>
      <w:r w:rsidR="008D46EC" w:rsidRPr="00A74CC6">
        <w:rPr>
          <w:lang w:val="sv-SE"/>
        </w:rPr>
        <w:t>uppstå</w:t>
      </w:r>
      <w:r w:rsidRPr="00A74CC6">
        <w:rPr>
          <w:lang w:val="sv-SE"/>
        </w:rPr>
        <w:t xml:space="preserve"> senare än sex timmar efter det att infusionen påbörjats. Om detta </w:t>
      </w:r>
      <w:r w:rsidR="008D46EC" w:rsidRPr="00A74CC6">
        <w:rPr>
          <w:lang w:val="sv-SE"/>
        </w:rPr>
        <w:t>händer</w:t>
      </w:r>
      <w:r w:rsidRPr="00A74CC6">
        <w:rPr>
          <w:lang w:val="sv-SE"/>
        </w:rPr>
        <w:t xml:space="preserve"> dig ska du omedelbart kontakta din läkare. Ibland kan symtomen förbättras och senare försämras.</w:t>
      </w:r>
    </w:p>
    <w:p w14:paraId="69E94759" w14:textId="77777777" w:rsidR="009A3DE7" w:rsidRPr="00A74CC6" w:rsidRDefault="009A3DE7" w:rsidP="001E7238">
      <w:pPr>
        <w:spacing w:after="0" w:line="240" w:lineRule="auto"/>
        <w:ind w:left="-1" w:right="13" w:firstLine="55"/>
        <w:contextualSpacing/>
        <w:rPr>
          <w:lang w:val="sv-SE"/>
        </w:rPr>
      </w:pPr>
    </w:p>
    <w:p w14:paraId="62791F52" w14:textId="77777777" w:rsidR="00CD60AF" w:rsidRDefault="00CD60AF" w:rsidP="001E7238">
      <w:pPr>
        <w:spacing w:after="0" w:line="240" w:lineRule="auto"/>
        <w:ind w:left="4" w:right="13"/>
        <w:contextualSpacing/>
        <w:rPr>
          <w:b/>
          <w:lang w:val="sv-SE"/>
        </w:rPr>
      </w:pPr>
      <w:r>
        <w:rPr>
          <w:b/>
          <w:lang w:val="sv-SE"/>
        </w:rPr>
        <w:t>Allvarliga biverkningar</w:t>
      </w:r>
    </w:p>
    <w:p w14:paraId="31213EC5" w14:textId="7366282E" w:rsidR="00CD60AF" w:rsidRDefault="00264096" w:rsidP="001E7238">
      <w:pPr>
        <w:spacing w:after="0" w:line="240" w:lineRule="auto"/>
        <w:ind w:left="4" w:right="13"/>
        <w:contextualSpacing/>
        <w:rPr>
          <w:lang w:val="sv-SE"/>
        </w:rPr>
      </w:pPr>
      <w:r w:rsidRPr="00A74CC6">
        <w:rPr>
          <w:lang w:val="sv-SE"/>
        </w:rPr>
        <w:t xml:space="preserve">Andra biverkningar kan förekomma när som helst </w:t>
      </w:r>
      <w:r w:rsidR="008D46EC" w:rsidRPr="00A74CC6">
        <w:rPr>
          <w:lang w:val="sv-SE"/>
        </w:rPr>
        <w:t>under</w:t>
      </w:r>
      <w:r w:rsidRPr="00A74CC6">
        <w:rPr>
          <w:lang w:val="sv-SE"/>
        </w:rPr>
        <w:t xml:space="preserve"> behandling med </w:t>
      </w:r>
      <w:r w:rsidR="00CD60AF" w:rsidRPr="00C35BA9">
        <w:rPr>
          <w:lang w:val="sv-SE"/>
        </w:rPr>
        <w:t>trastuzumab</w:t>
      </w:r>
      <w:r w:rsidR="00CE264A" w:rsidRPr="00A74CC6">
        <w:rPr>
          <w:lang w:val="sv-SE"/>
        </w:rPr>
        <w:t xml:space="preserve"> </w:t>
      </w:r>
      <w:r w:rsidRPr="00A74CC6">
        <w:rPr>
          <w:lang w:val="sv-SE"/>
        </w:rPr>
        <w:t xml:space="preserve">och är inte förknippade med själva infusionen av </w:t>
      </w:r>
      <w:r w:rsidR="00CD60AF" w:rsidRPr="00C14F35">
        <w:rPr>
          <w:lang w:val="sv-SE"/>
        </w:rPr>
        <w:t>trastuzumab</w:t>
      </w:r>
      <w:r w:rsidRPr="00A74CC6">
        <w:rPr>
          <w:lang w:val="sv-SE"/>
        </w:rPr>
        <w:t xml:space="preserve">. </w:t>
      </w:r>
      <w:r w:rsidR="00CD60AF" w:rsidRPr="00C14F35">
        <w:rPr>
          <w:rFonts w:eastAsia="SimSun"/>
          <w:b/>
          <w:lang w:val="sv-SE"/>
        </w:rPr>
        <w:t>Tala omedelbart om för en läkare eller sjuksköterska om du m</w:t>
      </w:r>
      <w:r w:rsidR="00CD60AF">
        <w:rPr>
          <w:rFonts w:eastAsia="SimSun"/>
          <w:b/>
          <w:lang w:val="sv-SE"/>
        </w:rPr>
        <w:t>ä</w:t>
      </w:r>
      <w:r w:rsidR="00CD60AF" w:rsidRPr="00C14F35">
        <w:rPr>
          <w:rFonts w:eastAsia="SimSun"/>
          <w:b/>
          <w:lang w:val="sv-SE"/>
        </w:rPr>
        <w:t>rker någon av följande biverkningar:</w:t>
      </w:r>
      <w:r w:rsidR="00CD60AF" w:rsidRPr="00F85F94">
        <w:rPr>
          <w:lang w:val="sv-SE"/>
        </w:rPr>
        <w:t xml:space="preserve"> </w:t>
      </w:r>
    </w:p>
    <w:p w14:paraId="2080DABA" w14:textId="77777777" w:rsidR="00CD60AF" w:rsidRDefault="00CD60AF" w:rsidP="001E7238">
      <w:pPr>
        <w:spacing w:after="0" w:line="240" w:lineRule="auto"/>
        <w:ind w:left="4" w:right="13"/>
        <w:contextualSpacing/>
        <w:rPr>
          <w:lang w:val="sv-SE"/>
        </w:rPr>
      </w:pPr>
    </w:p>
    <w:p w14:paraId="3C3CADB4" w14:textId="19A8CEE1" w:rsidR="001D7519" w:rsidRPr="00746042" w:rsidRDefault="00264096" w:rsidP="00746042">
      <w:pPr>
        <w:numPr>
          <w:ilvl w:val="0"/>
          <w:numId w:val="18"/>
        </w:numPr>
        <w:spacing w:after="0" w:line="240" w:lineRule="auto"/>
        <w:ind w:left="567" w:hanging="567"/>
        <w:contextualSpacing/>
        <w:rPr>
          <w:lang w:val="sv-SE"/>
        </w:rPr>
      </w:pPr>
      <w:r w:rsidRPr="001D7519">
        <w:rPr>
          <w:lang w:val="sv-SE"/>
        </w:rPr>
        <w:t xml:space="preserve">Hjärtproblem kan ibland förekomma under behandlingen och ibland efter att behandlingen </w:t>
      </w:r>
      <w:r w:rsidR="008D46EC" w:rsidRPr="001D7519">
        <w:rPr>
          <w:lang w:val="sv-SE"/>
        </w:rPr>
        <w:t xml:space="preserve">har </w:t>
      </w:r>
      <w:r w:rsidRPr="001D7519">
        <w:rPr>
          <w:lang w:val="sv-SE"/>
        </w:rPr>
        <w:t>avslutats</w:t>
      </w:r>
      <w:r w:rsidR="008D46EC" w:rsidRPr="001D7519">
        <w:rPr>
          <w:lang w:val="sv-SE"/>
        </w:rPr>
        <w:t>,</w:t>
      </w:r>
      <w:r w:rsidRPr="001D7519">
        <w:rPr>
          <w:lang w:val="sv-SE"/>
        </w:rPr>
        <w:t xml:space="preserve"> och kan vara allvarliga. De omfattar försvagning av hjärtmuskeln som eventuellt kan leda till hjärtsvikt, inflammation </w:t>
      </w:r>
      <w:r w:rsidR="007D3C64" w:rsidRPr="001D7519">
        <w:rPr>
          <w:lang w:val="sv-SE"/>
        </w:rPr>
        <w:t xml:space="preserve">runt hjärtat </w:t>
      </w:r>
      <w:r w:rsidRPr="001D7519">
        <w:rPr>
          <w:lang w:val="sv-SE"/>
        </w:rPr>
        <w:t>och ändrad hjärtrytm. Detta kan leda till symtom såsom</w:t>
      </w:r>
      <w:r w:rsidR="001D7519" w:rsidRPr="001D7519">
        <w:rPr>
          <w:lang w:val="sv-SE"/>
        </w:rPr>
        <w:t xml:space="preserve"> </w:t>
      </w:r>
      <w:r w:rsidR="001D7519" w:rsidRPr="00A74CC6">
        <w:rPr>
          <w:lang w:val="sv-SE"/>
        </w:rPr>
        <w:t>andfåddhet (även andfåddhet under natten),</w:t>
      </w:r>
      <w:r w:rsidR="001D7519" w:rsidRPr="001D7519">
        <w:rPr>
          <w:lang w:val="sv-SE"/>
        </w:rPr>
        <w:t xml:space="preserve"> </w:t>
      </w:r>
      <w:r w:rsidR="001D7519" w:rsidRPr="00A74CC6">
        <w:rPr>
          <w:lang w:val="sv-SE"/>
        </w:rPr>
        <w:t>hosta, vätskeansamling (svullnad) i benen eller armarna, hjärtklappning (hjärtfladder eller oregelbundna hjärtslag)</w:t>
      </w:r>
      <w:r w:rsidR="001D7519">
        <w:rPr>
          <w:lang w:val="sv-SE"/>
        </w:rPr>
        <w:t xml:space="preserve"> </w:t>
      </w:r>
      <w:r w:rsidR="001D7519" w:rsidRPr="00A54E91">
        <w:rPr>
          <w:lang w:val="sv-SE"/>
        </w:rPr>
        <w:t>(se</w:t>
      </w:r>
      <w:r w:rsidR="002C123C">
        <w:rPr>
          <w:lang w:val="sv-SE"/>
        </w:rPr>
        <w:t xml:space="preserve"> avsnitt</w:t>
      </w:r>
      <w:r w:rsidR="00760255">
        <w:rPr>
          <w:lang w:val="sv-SE"/>
        </w:rPr>
        <w:t> </w:t>
      </w:r>
      <w:r w:rsidR="001D7519" w:rsidRPr="00A54E91">
        <w:rPr>
          <w:lang w:val="sv-SE"/>
        </w:rPr>
        <w:t>2. Kontroll av hjärtat)</w:t>
      </w:r>
      <w:r w:rsidR="001D7519" w:rsidRPr="00A74CC6">
        <w:rPr>
          <w:lang w:val="sv-SE"/>
        </w:rPr>
        <w:t>.</w:t>
      </w:r>
    </w:p>
    <w:p w14:paraId="17AB55B9" w14:textId="77777777" w:rsidR="009A3DE7" w:rsidRPr="00A74CC6" w:rsidRDefault="009A3DE7" w:rsidP="00B30F54">
      <w:pPr>
        <w:spacing w:after="0" w:line="240" w:lineRule="auto"/>
        <w:ind w:left="0" w:firstLine="0"/>
        <w:contextualSpacing/>
        <w:rPr>
          <w:lang w:val="sv-SE"/>
        </w:rPr>
      </w:pPr>
    </w:p>
    <w:p w14:paraId="230460F1" w14:textId="3B70EDC2" w:rsidR="005027AB" w:rsidRDefault="00264096" w:rsidP="001E7238">
      <w:pPr>
        <w:spacing w:after="0" w:line="240" w:lineRule="auto"/>
        <w:ind w:left="4" w:right="13"/>
        <w:contextualSpacing/>
        <w:rPr>
          <w:lang w:val="sv-SE"/>
        </w:rPr>
      </w:pPr>
      <w:r w:rsidRPr="00A74CC6">
        <w:rPr>
          <w:lang w:val="sv-SE"/>
        </w:rPr>
        <w:t>Din läkare kommer regelbundet att kontrollera ditt hjärta under och efter behandlingen, men du ska omedelbart tala om för din läkare om du upplever något av ovanstående symtom.</w:t>
      </w:r>
    </w:p>
    <w:p w14:paraId="765E10ED" w14:textId="11BC520E" w:rsidR="001D7519" w:rsidRDefault="001D7519" w:rsidP="001E7238">
      <w:pPr>
        <w:spacing w:after="0" w:line="240" w:lineRule="auto"/>
        <w:ind w:left="4" w:right="13"/>
        <w:contextualSpacing/>
        <w:rPr>
          <w:lang w:val="sv-SE"/>
        </w:rPr>
      </w:pPr>
    </w:p>
    <w:p w14:paraId="00A4A39A" w14:textId="70C4AB76" w:rsidR="001D7519" w:rsidRPr="001D7519" w:rsidRDefault="001D7519" w:rsidP="004E12EF">
      <w:pPr>
        <w:numPr>
          <w:ilvl w:val="0"/>
          <w:numId w:val="18"/>
        </w:numPr>
        <w:spacing w:after="0" w:line="240" w:lineRule="auto"/>
        <w:ind w:left="567" w:hanging="567"/>
        <w:contextualSpacing/>
        <w:rPr>
          <w:lang w:val="sv-SE"/>
        </w:rPr>
      </w:pPr>
      <w:r w:rsidRPr="00A54E91">
        <w:rPr>
          <w:noProof/>
          <w:lang w:val="sv-SE"/>
        </w:rPr>
        <w:t>Tumörlyssyndrom</w:t>
      </w:r>
      <w:r>
        <w:rPr>
          <w:noProof/>
          <w:lang w:val="sv-SE"/>
        </w:rPr>
        <w:t xml:space="preserve"> (</w:t>
      </w:r>
      <w:r w:rsidRPr="00A54E91">
        <w:rPr>
          <w:noProof/>
          <w:lang w:val="sv-SE"/>
        </w:rPr>
        <w:t>grupp av metaboliska komplikationer som inträffar efter cancerbehandling och kännetecknas av höga nivåer av kalium och fosfat i blodet och låga nivåer av kalcium i blodet).</w:t>
      </w:r>
      <w:r w:rsidRPr="007B030F">
        <w:rPr>
          <w:noProof/>
          <w:lang w:val="sv-SE"/>
        </w:rPr>
        <w:t xml:space="preserve"> </w:t>
      </w:r>
      <w:r>
        <w:rPr>
          <w:noProof/>
          <w:lang w:val="sv-SE"/>
        </w:rPr>
        <w:t>S</w:t>
      </w:r>
      <w:r w:rsidRPr="007B030F">
        <w:rPr>
          <w:noProof/>
          <w:lang w:val="sv-SE"/>
        </w:rPr>
        <w:t>ymtom</w:t>
      </w:r>
      <w:r>
        <w:rPr>
          <w:noProof/>
          <w:lang w:val="sv-SE"/>
        </w:rPr>
        <w:t>en</w:t>
      </w:r>
      <w:r w:rsidRPr="007B030F">
        <w:rPr>
          <w:noProof/>
          <w:lang w:val="sv-SE"/>
        </w:rPr>
        <w:t xml:space="preserve"> kan innefatta problem med njurarna (svaghet, andfåddhet, trötthet och förvirring), h</w:t>
      </w:r>
      <w:r>
        <w:rPr>
          <w:noProof/>
          <w:lang w:val="sv-SE"/>
        </w:rPr>
        <w:t>järtproblem</w:t>
      </w:r>
      <w:r w:rsidRPr="007B030F">
        <w:rPr>
          <w:noProof/>
          <w:lang w:val="sv-SE"/>
        </w:rPr>
        <w:t xml:space="preserve"> (</w:t>
      </w:r>
      <w:r>
        <w:rPr>
          <w:noProof/>
          <w:lang w:val="sv-SE"/>
        </w:rPr>
        <w:t>hjärtfladder med en snabbare eller långsammare hjärtrytm)</w:t>
      </w:r>
      <w:r w:rsidRPr="007B030F">
        <w:rPr>
          <w:noProof/>
          <w:lang w:val="sv-SE"/>
        </w:rPr>
        <w:t xml:space="preserve">, </w:t>
      </w:r>
      <w:r>
        <w:rPr>
          <w:noProof/>
          <w:lang w:val="sv-SE"/>
        </w:rPr>
        <w:t>kramper, kräkningar eller diarré samt stickningar i munnen, händerna eller fötterna.</w:t>
      </w:r>
    </w:p>
    <w:p w14:paraId="7A07C302" w14:textId="77777777" w:rsidR="007245D2" w:rsidRPr="00A74CC6" w:rsidRDefault="007245D2" w:rsidP="001E7238">
      <w:pPr>
        <w:spacing w:after="0" w:line="240" w:lineRule="auto"/>
        <w:ind w:left="4" w:right="13"/>
        <w:contextualSpacing/>
        <w:rPr>
          <w:lang w:val="sv-SE"/>
        </w:rPr>
      </w:pPr>
    </w:p>
    <w:p w14:paraId="16D10C2E" w14:textId="015A2AA3" w:rsidR="005027AB" w:rsidRPr="00A74CC6" w:rsidRDefault="00264096" w:rsidP="001E7238">
      <w:pPr>
        <w:spacing w:after="0" w:line="240" w:lineRule="auto"/>
        <w:ind w:left="4" w:right="13"/>
        <w:contextualSpacing/>
        <w:rPr>
          <w:lang w:val="sv-SE"/>
        </w:rPr>
      </w:pPr>
      <w:r w:rsidRPr="00A74CC6">
        <w:rPr>
          <w:lang w:val="sv-SE"/>
        </w:rPr>
        <w:t xml:space="preserve">Om du upplever något av ovan nämnda symtom efter att behandlingen med </w:t>
      </w:r>
      <w:r w:rsidR="00CE264A" w:rsidRPr="00A74CC6">
        <w:rPr>
          <w:lang w:val="sv-SE"/>
        </w:rPr>
        <w:t xml:space="preserve">KANJINTI </w:t>
      </w:r>
      <w:r w:rsidRPr="00A74CC6">
        <w:rPr>
          <w:lang w:val="sv-SE"/>
        </w:rPr>
        <w:t xml:space="preserve">har avslutats, ska du </w:t>
      </w:r>
      <w:r w:rsidR="006E5D51" w:rsidRPr="00A74CC6">
        <w:rPr>
          <w:lang w:val="sv-SE"/>
        </w:rPr>
        <w:t>kontakta</w:t>
      </w:r>
      <w:r w:rsidRPr="00A74CC6">
        <w:rPr>
          <w:lang w:val="sv-SE"/>
        </w:rPr>
        <w:t xml:space="preserve"> läkare och tala om för läkaren att du tidigare har behandlats med </w:t>
      </w:r>
      <w:r w:rsidR="00CE264A" w:rsidRPr="00A74CC6">
        <w:rPr>
          <w:lang w:val="sv-SE"/>
        </w:rPr>
        <w:t>KANJINTI</w:t>
      </w:r>
      <w:r w:rsidRPr="00A74CC6">
        <w:rPr>
          <w:lang w:val="sv-SE"/>
        </w:rPr>
        <w:t>.</w:t>
      </w:r>
    </w:p>
    <w:p w14:paraId="6CCCFC47" w14:textId="77777777" w:rsidR="009A3DE7" w:rsidRDefault="009A3DE7" w:rsidP="001E7238">
      <w:pPr>
        <w:spacing w:after="0" w:line="240" w:lineRule="auto"/>
        <w:ind w:left="4" w:right="13"/>
        <w:contextualSpacing/>
        <w:rPr>
          <w:lang w:val="sv-SE"/>
        </w:rPr>
      </w:pPr>
    </w:p>
    <w:p w14:paraId="7BEFFDD0" w14:textId="1921EE6E" w:rsidR="000E4E4B" w:rsidRPr="009E7EB8" w:rsidRDefault="00BD15A5" w:rsidP="001E7238">
      <w:pPr>
        <w:spacing w:after="0" w:line="240" w:lineRule="auto"/>
        <w:ind w:left="4" w:right="13"/>
        <w:contextualSpacing/>
        <w:rPr>
          <w:b/>
          <w:bCs/>
          <w:lang w:val="sv-SE"/>
        </w:rPr>
      </w:pPr>
      <w:r w:rsidRPr="009E7EB8">
        <w:rPr>
          <w:b/>
          <w:bCs/>
          <w:lang w:val="sv-SE"/>
        </w:rPr>
        <w:t>Övriga biverkningar</w:t>
      </w:r>
    </w:p>
    <w:p w14:paraId="1071B3E1" w14:textId="77777777" w:rsidR="000524D1" w:rsidRPr="00A74CC6" w:rsidRDefault="000524D1" w:rsidP="001E7238">
      <w:pPr>
        <w:spacing w:after="0" w:line="240" w:lineRule="auto"/>
        <w:ind w:left="4" w:right="13"/>
        <w:contextualSpacing/>
        <w:rPr>
          <w:lang w:val="sv-SE"/>
        </w:rPr>
      </w:pPr>
    </w:p>
    <w:p w14:paraId="0EF71925" w14:textId="7DFDFC99" w:rsidR="005027AB" w:rsidRPr="00A74CC6" w:rsidRDefault="00264096" w:rsidP="001E7238">
      <w:pPr>
        <w:keepNext/>
        <w:keepLines/>
        <w:spacing w:after="0" w:line="240" w:lineRule="auto"/>
        <w:ind w:left="6" w:right="11" w:hanging="6"/>
        <w:contextualSpacing/>
        <w:rPr>
          <w:lang w:val="sv-SE"/>
        </w:rPr>
      </w:pPr>
      <w:r w:rsidRPr="00A74CC6">
        <w:rPr>
          <w:b/>
          <w:lang w:val="sv-SE"/>
        </w:rPr>
        <w:t>Mycket vanliga biverkningar</w:t>
      </w:r>
      <w:r w:rsidRPr="00A74CC6">
        <w:rPr>
          <w:lang w:val="sv-SE"/>
        </w:rPr>
        <w:t xml:space="preserve"> </w:t>
      </w:r>
      <w:r w:rsidR="00CE264A" w:rsidRPr="00A74CC6">
        <w:rPr>
          <w:lang w:val="sv-SE"/>
        </w:rPr>
        <w:t>(</w:t>
      </w:r>
      <w:r w:rsidRPr="00A74CC6">
        <w:rPr>
          <w:lang w:val="sv-SE"/>
        </w:rPr>
        <w:t>kan förekomma hos fler än 1 av 10</w:t>
      </w:r>
      <w:r w:rsidR="008D46EC" w:rsidRPr="00A74CC6">
        <w:rPr>
          <w:lang w:val="sv-SE"/>
        </w:rPr>
        <w:t> </w:t>
      </w:r>
      <w:r w:rsidRPr="00A74CC6">
        <w:rPr>
          <w:lang w:val="sv-SE"/>
        </w:rPr>
        <w:t>patienter</w:t>
      </w:r>
      <w:r w:rsidR="00CE264A" w:rsidRPr="00A74CC6">
        <w:rPr>
          <w:lang w:val="sv-SE"/>
        </w:rPr>
        <w:t>)</w:t>
      </w:r>
    </w:p>
    <w:p w14:paraId="388C62E7" w14:textId="1F585C37" w:rsidR="005027AB" w:rsidRPr="00A74CC6" w:rsidRDefault="00264096" w:rsidP="001E7238">
      <w:pPr>
        <w:numPr>
          <w:ilvl w:val="0"/>
          <w:numId w:val="18"/>
        </w:numPr>
        <w:spacing w:after="0" w:line="240" w:lineRule="auto"/>
        <w:ind w:left="567" w:hanging="567"/>
        <w:contextualSpacing/>
        <w:rPr>
          <w:lang w:val="sv-SE"/>
        </w:rPr>
      </w:pPr>
      <w:r w:rsidRPr="00A74CC6">
        <w:rPr>
          <w:lang w:val="sv-SE"/>
        </w:rPr>
        <w:t>infektioner</w:t>
      </w:r>
    </w:p>
    <w:p w14:paraId="7CBB162D" w14:textId="4482CE79" w:rsidR="005027AB" w:rsidRPr="00A74CC6" w:rsidRDefault="00264096" w:rsidP="001E7238">
      <w:pPr>
        <w:numPr>
          <w:ilvl w:val="0"/>
          <w:numId w:val="18"/>
        </w:numPr>
        <w:spacing w:after="0" w:line="240" w:lineRule="auto"/>
        <w:ind w:left="567" w:hanging="567"/>
        <w:contextualSpacing/>
        <w:rPr>
          <w:lang w:val="sv-SE"/>
        </w:rPr>
      </w:pPr>
      <w:r w:rsidRPr="00A74CC6">
        <w:rPr>
          <w:lang w:val="sv-SE"/>
        </w:rPr>
        <w:t>diarré</w:t>
      </w:r>
    </w:p>
    <w:p w14:paraId="304EA985" w14:textId="77777777" w:rsidR="005027AB" w:rsidRPr="00A74CC6" w:rsidRDefault="00264096" w:rsidP="001E7238">
      <w:pPr>
        <w:numPr>
          <w:ilvl w:val="0"/>
          <w:numId w:val="18"/>
        </w:numPr>
        <w:spacing w:after="0" w:line="240" w:lineRule="auto"/>
        <w:ind w:left="567" w:hanging="567"/>
        <w:contextualSpacing/>
        <w:rPr>
          <w:lang w:val="sv-SE"/>
        </w:rPr>
      </w:pPr>
      <w:r w:rsidRPr="00A74CC6">
        <w:rPr>
          <w:lang w:val="sv-SE"/>
        </w:rPr>
        <w:t>förstoppning</w:t>
      </w:r>
    </w:p>
    <w:p w14:paraId="54CA1FD1" w14:textId="77777777" w:rsidR="005027AB" w:rsidRPr="00A74CC6" w:rsidRDefault="00264096" w:rsidP="001E7238">
      <w:pPr>
        <w:numPr>
          <w:ilvl w:val="0"/>
          <w:numId w:val="18"/>
        </w:numPr>
        <w:spacing w:after="0" w:line="240" w:lineRule="auto"/>
        <w:ind w:left="567" w:hanging="567"/>
        <w:contextualSpacing/>
        <w:rPr>
          <w:lang w:val="sv-SE"/>
        </w:rPr>
      </w:pPr>
      <w:r w:rsidRPr="00A74CC6">
        <w:rPr>
          <w:lang w:val="sv-SE"/>
        </w:rPr>
        <w:t>halsbränna (dyspepsi)</w:t>
      </w:r>
    </w:p>
    <w:p w14:paraId="69338039" w14:textId="78D463CB" w:rsidR="005027AB" w:rsidRPr="00A74CC6" w:rsidRDefault="001D7519" w:rsidP="001E7238">
      <w:pPr>
        <w:numPr>
          <w:ilvl w:val="0"/>
          <w:numId w:val="18"/>
        </w:numPr>
        <w:spacing w:after="0" w:line="240" w:lineRule="auto"/>
        <w:ind w:left="567" w:hanging="567"/>
        <w:contextualSpacing/>
        <w:rPr>
          <w:lang w:val="sv-SE"/>
        </w:rPr>
      </w:pPr>
      <w:r w:rsidRPr="00A54E91">
        <w:rPr>
          <w:lang w:val="sv-SE"/>
        </w:rPr>
        <w:t>trötthet</w:t>
      </w:r>
    </w:p>
    <w:p w14:paraId="77CAE8BD" w14:textId="7E0E8256" w:rsidR="005027AB" w:rsidRPr="00A74CC6" w:rsidRDefault="00264096" w:rsidP="001E7238">
      <w:pPr>
        <w:numPr>
          <w:ilvl w:val="0"/>
          <w:numId w:val="18"/>
        </w:numPr>
        <w:spacing w:after="0" w:line="240" w:lineRule="auto"/>
        <w:ind w:left="567" w:hanging="567"/>
        <w:contextualSpacing/>
        <w:rPr>
          <w:lang w:val="sv-SE"/>
        </w:rPr>
      </w:pPr>
      <w:r w:rsidRPr="00A74CC6">
        <w:rPr>
          <w:lang w:val="sv-SE"/>
        </w:rPr>
        <w:t>hudutslag</w:t>
      </w:r>
    </w:p>
    <w:p w14:paraId="3E4F994A" w14:textId="3EA98554" w:rsidR="005027AB" w:rsidRPr="00A74CC6" w:rsidRDefault="00264096" w:rsidP="001E7238">
      <w:pPr>
        <w:numPr>
          <w:ilvl w:val="0"/>
          <w:numId w:val="18"/>
        </w:numPr>
        <w:spacing w:after="0" w:line="240" w:lineRule="auto"/>
        <w:ind w:left="567" w:hanging="567"/>
        <w:contextualSpacing/>
        <w:rPr>
          <w:lang w:val="sv-SE"/>
        </w:rPr>
      </w:pPr>
      <w:r w:rsidRPr="00A74CC6">
        <w:rPr>
          <w:lang w:val="sv-SE"/>
        </w:rPr>
        <w:t>bröstsmärta</w:t>
      </w:r>
    </w:p>
    <w:p w14:paraId="0EB884D3" w14:textId="2B1C12B9" w:rsidR="005027AB" w:rsidRPr="00A74CC6" w:rsidRDefault="00264096" w:rsidP="001E7238">
      <w:pPr>
        <w:numPr>
          <w:ilvl w:val="0"/>
          <w:numId w:val="18"/>
        </w:numPr>
        <w:spacing w:after="0" w:line="240" w:lineRule="auto"/>
        <w:ind w:left="567" w:hanging="567"/>
        <w:contextualSpacing/>
        <w:rPr>
          <w:lang w:val="sv-SE"/>
        </w:rPr>
      </w:pPr>
      <w:r w:rsidRPr="00A74CC6">
        <w:rPr>
          <w:lang w:val="sv-SE"/>
        </w:rPr>
        <w:t>buksmärta</w:t>
      </w:r>
    </w:p>
    <w:p w14:paraId="57CC5D6E" w14:textId="77777777" w:rsidR="005027AB" w:rsidRPr="00A74CC6" w:rsidRDefault="00264096" w:rsidP="001E7238">
      <w:pPr>
        <w:numPr>
          <w:ilvl w:val="0"/>
          <w:numId w:val="18"/>
        </w:numPr>
        <w:spacing w:after="0" w:line="240" w:lineRule="auto"/>
        <w:ind w:left="567" w:hanging="567"/>
        <w:contextualSpacing/>
        <w:rPr>
          <w:lang w:val="sv-SE"/>
        </w:rPr>
      </w:pPr>
      <w:r w:rsidRPr="00A74CC6">
        <w:rPr>
          <w:lang w:val="sv-SE"/>
        </w:rPr>
        <w:t>ledsmärta</w:t>
      </w:r>
    </w:p>
    <w:p w14:paraId="56292970" w14:textId="77777777" w:rsidR="005027AB" w:rsidRPr="00A74CC6" w:rsidRDefault="00264096" w:rsidP="001E7238">
      <w:pPr>
        <w:numPr>
          <w:ilvl w:val="0"/>
          <w:numId w:val="18"/>
        </w:numPr>
        <w:spacing w:after="0" w:line="240" w:lineRule="auto"/>
        <w:ind w:left="567" w:hanging="567"/>
        <w:contextualSpacing/>
        <w:rPr>
          <w:lang w:val="sv-SE"/>
        </w:rPr>
      </w:pPr>
      <w:r w:rsidRPr="00A74CC6">
        <w:rPr>
          <w:lang w:val="sv-SE"/>
        </w:rPr>
        <w:t>låga nivåer av röda blodkroppar och vita blodkroppar (som hjälper till att bekämpa</w:t>
      </w:r>
      <w:r w:rsidR="007D3C64" w:rsidRPr="00A74CC6">
        <w:rPr>
          <w:lang w:val="sv-SE"/>
        </w:rPr>
        <w:t xml:space="preserve"> infektioner) ibland med feber</w:t>
      </w:r>
    </w:p>
    <w:p w14:paraId="04279DC9" w14:textId="77777777" w:rsidR="005027AB" w:rsidRPr="00A74CC6" w:rsidRDefault="00264096" w:rsidP="001E7238">
      <w:pPr>
        <w:numPr>
          <w:ilvl w:val="0"/>
          <w:numId w:val="18"/>
        </w:numPr>
        <w:spacing w:after="0" w:line="240" w:lineRule="auto"/>
        <w:ind w:left="567" w:hanging="567"/>
        <w:contextualSpacing/>
        <w:rPr>
          <w:lang w:val="sv-SE"/>
        </w:rPr>
      </w:pPr>
      <w:r w:rsidRPr="00A74CC6">
        <w:rPr>
          <w:lang w:val="sv-SE"/>
        </w:rPr>
        <w:t>muskelsmärta</w:t>
      </w:r>
    </w:p>
    <w:p w14:paraId="7EDCD14D" w14:textId="77777777" w:rsidR="005027AB" w:rsidRPr="00A74CC6" w:rsidRDefault="00264096" w:rsidP="001E7238">
      <w:pPr>
        <w:numPr>
          <w:ilvl w:val="0"/>
          <w:numId w:val="18"/>
        </w:numPr>
        <w:spacing w:after="0" w:line="240" w:lineRule="auto"/>
        <w:ind w:left="567" w:hanging="567"/>
        <w:contextualSpacing/>
        <w:rPr>
          <w:lang w:val="sv-SE"/>
        </w:rPr>
      </w:pPr>
      <w:r w:rsidRPr="00A74CC6">
        <w:rPr>
          <w:lang w:val="sv-SE"/>
        </w:rPr>
        <w:t>konjunktivit (bindhinneinflammation i ögat)</w:t>
      </w:r>
    </w:p>
    <w:p w14:paraId="78567A65" w14:textId="77777777" w:rsidR="005027AB" w:rsidRPr="00A74CC6" w:rsidRDefault="00264096" w:rsidP="001E7238">
      <w:pPr>
        <w:numPr>
          <w:ilvl w:val="0"/>
          <w:numId w:val="18"/>
        </w:numPr>
        <w:spacing w:after="0" w:line="240" w:lineRule="auto"/>
        <w:ind w:left="567" w:hanging="567"/>
        <w:contextualSpacing/>
        <w:rPr>
          <w:lang w:val="sv-SE"/>
        </w:rPr>
      </w:pPr>
      <w:r w:rsidRPr="00A74CC6">
        <w:rPr>
          <w:lang w:val="sv-SE"/>
        </w:rPr>
        <w:t>vätskande ögon</w:t>
      </w:r>
    </w:p>
    <w:p w14:paraId="28A2659C" w14:textId="77777777" w:rsidR="005027AB" w:rsidRPr="00A74CC6" w:rsidRDefault="00264096" w:rsidP="001E7238">
      <w:pPr>
        <w:numPr>
          <w:ilvl w:val="0"/>
          <w:numId w:val="18"/>
        </w:numPr>
        <w:spacing w:after="0" w:line="240" w:lineRule="auto"/>
        <w:ind w:left="567" w:hanging="567"/>
        <w:contextualSpacing/>
        <w:rPr>
          <w:lang w:val="sv-SE"/>
        </w:rPr>
      </w:pPr>
      <w:r w:rsidRPr="00A74CC6">
        <w:rPr>
          <w:lang w:val="sv-SE"/>
        </w:rPr>
        <w:t>näsblod</w:t>
      </w:r>
    </w:p>
    <w:p w14:paraId="7920E151" w14:textId="77777777" w:rsidR="005027AB" w:rsidRPr="00A74CC6" w:rsidRDefault="00264096" w:rsidP="001E7238">
      <w:pPr>
        <w:numPr>
          <w:ilvl w:val="0"/>
          <w:numId w:val="18"/>
        </w:numPr>
        <w:spacing w:after="0" w:line="240" w:lineRule="auto"/>
        <w:ind w:left="567" w:hanging="567"/>
        <w:contextualSpacing/>
        <w:rPr>
          <w:lang w:val="sv-SE"/>
        </w:rPr>
      </w:pPr>
      <w:r w:rsidRPr="00A74CC6">
        <w:rPr>
          <w:lang w:val="sv-SE"/>
        </w:rPr>
        <w:t>rinnsnuva</w:t>
      </w:r>
    </w:p>
    <w:p w14:paraId="7D70E3D9" w14:textId="77777777" w:rsidR="005027AB" w:rsidRPr="00A74CC6" w:rsidRDefault="00264096" w:rsidP="001E7238">
      <w:pPr>
        <w:numPr>
          <w:ilvl w:val="0"/>
          <w:numId w:val="18"/>
        </w:numPr>
        <w:spacing w:after="0" w:line="240" w:lineRule="auto"/>
        <w:ind w:left="567" w:hanging="567"/>
        <w:contextualSpacing/>
        <w:rPr>
          <w:lang w:val="sv-SE"/>
        </w:rPr>
      </w:pPr>
      <w:r w:rsidRPr="00A74CC6">
        <w:rPr>
          <w:lang w:val="sv-SE"/>
        </w:rPr>
        <w:t>håravfall</w:t>
      </w:r>
    </w:p>
    <w:p w14:paraId="6EE1ECBF" w14:textId="77777777" w:rsidR="005027AB" w:rsidRPr="00A74CC6" w:rsidRDefault="00264096" w:rsidP="001E7238">
      <w:pPr>
        <w:numPr>
          <w:ilvl w:val="0"/>
          <w:numId w:val="18"/>
        </w:numPr>
        <w:spacing w:after="0" w:line="240" w:lineRule="auto"/>
        <w:ind w:left="567" w:hanging="567"/>
        <w:contextualSpacing/>
        <w:rPr>
          <w:lang w:val="sv-SE"/>
        </w:rPr>
      </w:pPr>
      <w:r w:rsidRPr="00A74CC6">
        <w:rPr>
          <w:lang w:val="sv-SE"/>
        </w:rPr>
        <w:lastRenderedPageBreak/>
        <w:t>darrningar</w:t>
      </w:r>
    </w:p>
    <w:p w14:paraId="6C445165" w14:textId="77777777" w:rsidR="005027AB" w:rsidRPr="00A74CC6" w:rsidRDefault="00264096" w:rsidP="001E7238">
      <w:pPr>
        <w:numPr>
          <w:ilvl w:val="0"/>
          <w:numId w:val="18"/>
        </w:numPr>
        <w:spacing w:after="0" w:line="240" w:lineRule="auto"/>
        <w:ind w:left="567" w:hanging="567"/>
        <w:contextualSpacing/>
        <w:rPr>
          <w:lang w:val="sv-SE"/>
        </w:rPr>
      </w:pPr>
      <w:r w:rsidRPr="00A74CC6">
        <w:rPr>
          <w:lang w:val="sv-SE"/>
        </w:rPr>
        <w:t>värmevallningar</w:t>
      </w:r>
    </w:p>
    <w:p w14:paraId="13F39332" w14:textId="77777777" w:rsidR="005027AB" w:rsidRPr="00A74CC6" w:rsidRDefault="00264096" w:rsidP="001E7238">
      <w:pPr>
        <w:numPr>
          <w:ilvl w:val="0"/>
          <w:numId w:val="18"/>
        </w:numPr>
        <w:spacing w:after="0" w:line="240" w:lineRule="auto"/>
        <w:ind w:left="567" w:hanging="567"/>
        <w:contextualSpacing/>
        <w:rPr>
          <w:lang w:val="sv-SE"/>
        </w:rPr>
      </w:pPr>
      <w:r w:rsidRPr="00A74CC6">
        <w:rPr>
          <w:lang w:val="sv-SE"/>
        </w:rPr>
        <w:t>yrsel</w:t>
      </w:r>
    </w:p>
    <w:p w14:paraId="02629040" w14:textId="77777777" w:rsidR="005027AB" w:rsidRPr="00A74CC6" w:rsidRDefault="00264096" w:rsidP="001E7238">
      <w:pPr>
        <w:numPr>
          <w:ilvl w:val="0"/>
          <w:numId w:val="18"/>
        </w:numPr>
        <w:spacing w:after="0" w:line="240" w:lineRule="auto"/>
        <w:ind w:left="567" w:hanging="567"/>
        <w:contextualSpacing/>
        <w:rPr>
          <w:lang w:val="sv-SE"/>
        </w:rPr>
      </w:pPr>
      <w:r w:rsidRPr="00A74CC6">
        <w:rPr>
          <w:lang w:val="sv-SE"/>
        </w:rPr>
        <w:t>nagelförändringar</w:t>
      </w:r>
    </w:p>
    <w:p w14:paraId="1A44ABBD" w14:textId="77777777" w:rsidR="005027AB" w:rsidRPr="00A74CC6" w:rsidRDefault="00264096" w:rsidP="001E7238">
      <w:pPr>
        <w:numPr>
          <w:ilvl w:val="0"/>
          <w:numId w:val="18"/>
        </w:numPr>
        <w:spacing w:after="0" w:line="240" w:lineRule="auto"/>
        <w:ind w:left="567" w:hanging="567"/>
        <w:contextualSpacing/>
        <w:rPr>
          <w:lang w:val="sv-SE"/>
        </w:rPr>
      </w:pPr>
      <w:r w:rsidRPr="00A74CC6">
        <w:rPr>
          <w:lang w:val="sv-SE"/>
        </w:rPr>
        <w:t>viktminskning</w:t>
      </w:r>
    </w:p>
    <w:p w14:paraId="577D25E3" w14:textId="77777777" w:rsidR="005027AB" w:rsidRPr="00A74CC6" w:rsidRDefault="00264096" w:rsidP="001E7238">
      <w:pPr>
        <w:numPr>
          <w:ilvl w:val="0"/>
          <w:numId w:val="18"/>
        </w:numPr>
        <w:spacing w:after="0" w:line="240" w:lineRule="auto"/>
        <w:ind w:left="567" w:hanging="567"/>
        <w:contextualSpacing/>
        <w:rPr>
          <w:lang w:val="sv-SE"/>
        </w:rPr>
      </w:pPr>
      <w:r w:rsidRPr="00A74CC6">
        <w:rPr>
          <w:lang w:val="sv-SE"/>
        </w:rPr>
        <w:t>aptitlöshet</w:t>
      </w:r>
    </w:p>
    <w:p w14:paraId="77235718" w14:textId="13D062DC" w:rsidR="005027AB" w:rsidRPr="00A74CC6" w:rsidRDefault="00264096" w:rsidP="001E7238">
      <w:pPr>
        <w:numPr>
          <w:ilvl w:val="0"/>
          <w:numId w:val="18"/>
        </w:numPr>
        <w:spacing w:after="0" w:line="240" w:lineRule="auto"/>
        <w:ind w:left="567" w:hanging="567"/>
        <w:contextualSpacing/>
        <w:rPr>
          <w:lang w:val="sv-SE"/>
        </w:rPr>
      </w:pPr>
      <w:r w:rsidRPr="00A74CC6">
        <w:rPr>
          <w:lang w:val="sv-SE"/>
        </w:rPr>
        <w:t>sömnlöshet (insomni)</w:t>
      </w:r>
    </w:p>
    <w:p w14:paraId="21D1278F" w14:textId="77777777" w:rsidR="005027AB" w:rsidRPr="00A74CC6" w:rsidRDefault="00264096" w:rsidP="001E7238">
      <w:pPr>
        <w:numPr>
          <w:ilvl w:val="0"/>
          <w:numId w:val="18"/>
        </w:numPr>
        <w:spacing w:after="0" w:line="240" w:lineRule="auto"/>
        <w:ind w:left="567" w:hanging="567"/>
        <w:contextualSpacing/>
        <w:rPr>
          <w:lang w:val="sv-SE"/>
        </w:rPr>
      </w:pPr>
      <w:r w:rsidRPr="00A74CC6">
        <w:rPr>
          <w:lang w:val="sv-SE"/>
        </w:rPr>
        <w:t>smakförändringar</w:t>
      </w:r>
    </w:p>
    <w:p w14:paraId="6FE76BE4" w14:textId="77777777" w:rsidR="005027AB" w:rsidRPr="00A74CC6" w:rsidRDefault="00264096" w:rsidP="001E7238">
      <w:pPr>
        <w:numPr>
          <w:ilvl w:val="0"/>
          <w:numId w:val="18"/>
        </w:numPr>
        <w:spacing w:after="0" w:line="240" w:lineRule="auto"/>
        <w:ind w:left="567" w:hanging="567"/>
        <w:contextualSpacing/>
        <w:rPr>
          <w:lang w:val="sv-SE"/>
        </w:rPr>
      </w:pPr>
      <w:r w:rsidRPr="00A74CC6">
        <w:rPr>
          <w:lang w:val="sv-SE"/>
        </w:rPr>
        <w:t>minskat antal blodplättar</w:t>
      </w:r>
    </w:p>
    <w:p w14:paraId="1C230CF5" w14:textId="77777777" w:rsidR="005027AB" w:rsidRPr="00A74CC6" w:rsidRDefault="00264096" w:rsidP="001E7238">
      <w:pPr>
        <w:numPr>
          <w:ilvl w:val="0"/>
          <w:numId w:val="18"/>
        </w:numPr>
        <w:spacing w:after="0" w:line="240" w:lineRule="auto"/>
        <w:ind w:left="567" w:hanging="567"/>
        <w:contextualSpacing/>
        <w:rPr>
          <w:lang w:val="sv-SE"/>
        </w:rPr>
      </w:pPr>
      <w:r w:rsidRPr="00A74CC6">
        <w:rPr>
          <w:lang w:val="sv-SE"/>
        </w:rPr>
        <w:t>blåmärken</w:t>
      </w:r>
    </w:p>
    <w:p w14:paraId="07B4C1B0" w14:textId="7E11076D" w:rsidR="005027AB" w:rsidRPr="00A74CC6" w:rsidRDefault="00264096" w:rsidP="001E7238">
      <w:pPr>
        <w:numPr>
          <w:ilvl w:val="0"/>
          <w:numId w:val="18"/>
        </w:numPr>
        <w:spacing w:after="0" w:line="240" w:lineRule="auto"/>
        <w:ind w:left="567" w:hanging="567"/>
        <w:contextualSpacing/>
        <w:rPr>
          <w:lang w:val="sv-SE"/>
        </w:rPr>
      </w:pPr>
      <w:r w:rsidRPr="00A74CC6">
        <w:rPr>
          <w:lang w:val="sv-SE"/>
        </w:rPr>
        <w:t>domningar eller stickningar i fingrarna och tårna</w:t>
      </w:r>
      <w:r w:rsidR="00C50D7B" w:rsidRPr="00E5647A">
        <w:rPr>
          <w:lang w:val="sv-SE"/>
        </w:rPr>
        <w:t>, vilket ibland kan spridas till resten av armen respektive benet</w:t>
      </w:r>
    </w:p>
    <w:p w14:paraId="3C7736A2" w14:textId="77777777" w:rsidR="005027AB" w:rsidRPr="00A74CC6" w:rsidRDefault="00264096" w:rsidP="001E7238">
      <w:pPr>
        <w:numPr>
          <w:ilvl w:val="0"/>
          <w:numId w:val="18"/>
        </w:numPr>
        <w:spacing w:after="0" w:line="240" w:lineRule="auto"/>
        <w:ind w:left="567" w:hanging="567"/>
        <w:contextualSpacing/>
        <w:rPr>
          <w:lang w:val="sv-SE"/>
        </w:rPr>
      </w:pPr>
      <w:r w:rsidRPr="00A74CC6">
        <w:rPr>
          <w:lang w:val="sv-SE"/>
        </w:rPr>
        <w:t>rodnad, svullnad eller sår i munnen och/eller halsen</w:t>
      </w:r>
    </w:p>
    <w:p w14:paraId="4477B972" w14:textId="77777777" w:rsidR="005027AB" w:rsidRPr="00A74CC6" w:rsidRDefault="00264096" w:rsidP="001E7238">
      <w:pPr>
        <w:numPr>
          <w:ilvl w:val="0"/>
          <w:numId w:val="18"/>
        </w:numPr>
        <w:spacing w:after="0" w:line="240" w:lineRule="auto"/>
        <w:ind w:left="567" w:hanging="567"/>
        <w:contextualSpacing/>
        <w:rPr>
          <w:lang w:val="sv-SE"/>
        </w:rPr>
      </w:pPr>
      <w:r w:rsidRPr="00A74CC6">
        <w:rPr>
          <w:lang w:val="sv-SE"/>
        </w:rPr>
        <w:t>smärta, svullnad, rodnad eller pirrningar i händer och/eller fötter</w:t>
      </w:r>
    </w:p>
    <w:p w14:paraId="40122707" w14:textId="5C2752AE" w:rsidR="005027AB" w:rsidRPr="00A74CC6" w:rsidRDefault="00264096" w:rsidP="001E7238">
      <w:pPr>
        <w:numPr>
          <w:ilvl w:val="0"/>
          <w:numId w:val="18"/>
        </w:numPr>
        <w:spacing w:after="0" w:line="240" w:lineRule="auto"/>
        <w:ind w:left="567" w:hanging="567"/>
        <w:contextualSpacing/>
        <w:rPr>
          <w:lang w:val="sv-SE"/>
        </w:rPr>
      </w:pPr>
      <w:r w:rsidRPr="00A74CC6">
        <w:rPr>
          <w:lang w:val="sv-SE"/>
        </w:rPr>
        <w:t>andfåddhet</w:t>
      </w:r>
    </w:p>
    <w:p w14:paraId="136FFE81" w14:textId="77777777" w:rsidR="005027AB" w:rsidRPr="00A74CC6" w:rsidRDefault="00264096" w:rsidP="001E7238">
      <w:pPr>
        <w:numPr>
          <w:ilvl w:val="0"/>
          <w:numId w:val="18"/>
        </w:numPr>
        <w:spacing w:after="0" w:line="240" w:lineRule="auto"/>
        <w:ind w:left="567" w:hanging="567"/>
        <w:contextualSpacing/>
        <w:rPr>
          <w:lang w:val="sv-SE"/>
        </w:rPr>
      </w:pPr>
      <w:r w:rsidRPr="00A74CC6">
        <w:rPr>
          <w:lang w:val="sv-SE"/>
        </w:rPr>
        <w:t>huvudvärk</w:t>
      </w:r>
    </w:p>
    <w:p w14:paraId="4A834EDD" w14:textId="2137AFB4" w:rsidR="005027AB" w:rsidRPr="00A74CC6" w:rsidRDefault="00264096" w:rsidP="001E7238">
      <w:pPr>
        <w:numPr>
          <w:ilvl w:val="0"/>
          <w:numId w:val="18"/>
        </w:numPr>
        <w:spacing w:after="0" w:line="240" w:lineRule="auto"/>
        <w:ind w:left="567" w:hanging="567"/>
        <w:contextualSpacing/>
        <w:rPr>
          <w:lang w:val="sv-SE"/>
        </w:rPr>
      </w:pPr>
      <w:r w:rsidRPr="00A74CC6">
        <w:rPr>
          <w:lang w:val="sv-SE"/>
        </w:rPr>
        <w:t>hosta</w:t>
      </w:r>
    </w:p>
    <w:p w14:paraId="2A755060" w14:textId="77777777" w:rsidR="005027AB" w:rsidRPr="00A74CC6" w:rsidRDefault="00264096" w:rsidP="001E7238">
      <w:pPr>
        <w:numPr>
          <w:ilvl w:val="0"/>
          <w:numId w:val="18"/>
        </w:numPr>
        <w:spacing w:after="0" w:line="240" w:lineRule="auto"/>
        <w:ind w:left="567" w:hanging="567"/>
        <w:contextualSpacing/>
        <w:rPr>
          <w:lang w:val="sv-SE"/>
        </w:rPr>
      </w:pPr>
      <w:r w:rsidRPr="00A74CC6">
        <w:rPr>
          <w:lang w:val="sv-SE"/>
        </w:rPr>
        <w:t>kräkningar</w:t>
      </w:r>
    </w:p>
    <w:p w14:paraId="71992F6A" w14:textId="21CE1F27" w:rsidR="005027AB" w:rsidRPr="00A74CC6" w:rsidRDefault="00264096" w:rsidP="001E7238">
      <w:pPr>
        <w:numPr>
          <w:ilvl w:val="0"/>
          <w:numId w:val="18"/>
        </w:numPr>
        <w:spacing w:after="0" w:line="240" w:lineRule="auto"/>
        <w:ind w:left="567" w:hanging="567"/>
        <w:contextualSpacing/>
        <w:rPr>
          <w:lang w:val="sv-SE"/>
        </w:rPr>
      </w:pPr>
      <w:r w:rsidRPr="00A74CC6">
        <w:rPr>
          <w:lang w:val="sv-SE"/>
        </w:rPr>
        <w:t>illamående</w:t>
      </w:r>
    </w:p>
    <w:p w14:paraId="1CBCECB9" w14:textId="77777777" w:rsidR="009A3DE7" w:rsidRPr="00A74CC6" w:rsidRDefault="009A3DE7" w:rsidP="00E5647A">
      <w:pPr>
        <w:keepNext/>
        <w:spacing w:after="0" w:line="240" w:lineRule="auto"/>
        <w:ind w:left="0" w:right="13" w:firstLine="0"/>
        <w:contextualSpacing/>
        <w:rPr>
          <w:lang w:val="sv-SE"/>
        </w:rPr>
      </w:pPr>
    </w:p>
    <w:p w14:paraId="16D22863" w14:textId="621E305E" w:rsidR="005027AB" w:rsidRPr="00A74CC6" w:rsidRDefault="00264096" w:rsidP="00E5647A">
      <w:pPr>
        <w:keepNext/>
        <w:spacing w:after="0" w:line="240" w:lineRule="auto"/>
        <w:ind w:left="6" w:right="11" w:hanging="6"/>
        <w:contextualSpacing/>
        <w:rPr>
          <w:lang w:val="sv-SE"/>
        </w:rPr>
      </w:pPr>
      <w:r w:rsidRPr="00A74CC6">
        <w:rPr>
          <w:b/>
          <w:lang w:val="sv-SE"/>
        </w:rPr>
        <w:t>Vanliga biverkningar</w:t>
      </w:r>
      <w:r w:rsidRPr="00A74CC6">
        <w:rPr>
          <w:lang w:val="sv-SE"/>
        </w:rPr>
        <w:t xml:space="preserve"> </w:t>
      </w:r>
      <w:r w:rsidR="00CE264A" w:rsidRPr="00A74CC6">
        <w:rPr>
          <w:lang w:val="sv-SE"/>
        </w:rPr>
        <w:t>(</w:t>
      </w:r>
      <w:r w:rsidRPr="00A74CC6">
        <w:rPr>
          <w:lang w:val="sv-SE"/>
        </w:rPr>
        <w:t>kan förekomma hos upp till 1 av 10</w:t>
      </w:r>
      <w:r w:rsidR="006E5D51" w:rsidRPr="00A74CC6">
        <w:rPr>
          <w:lang w:val="sv-SE"/>
        </w:rPr>
        <w:t> </w:t>
      </w:r>
      <w:r w:rsidRPr="00A74CC6">
        <w:rPr>
          <w:lang w:val="sv-SE"/>
        </w:rPr>
        <w:t>patienter</w:t>
      </w:r>
      <w:r w:rsidR="00CE264A" w:rsidRPr="00A74CC6">
        <w:rPr>
          <w:lang w:val="sv-SE"/>
        </w:rPr>
        <w:t>)</w:t>
      </w:r>
    </w:p>
    <w:p w14:paraId="0736B247" w14:textId="77777777" w:rsidR="003C6A9E" w:rsidRDefault="003C6A9E" w:rsidP="00166EC7">
      <w:pPr>
        <w:pStyle w:val="ListParagraph"/>
        <w:keepNext/>
        <w:numPr>
          <w:ilvl w:val="0"/>
          <w:numId w:val="18"/>
        </w:numPr>
        <w:tabs>
          <w:tab w:val="center" w:pos="1469"/>
        </w:tabs>
        <w:spacing w:after="0" w:line="240" w:lineRule="auto"/>
        <w:ind w:left="567" w:hanging="567"/>
        <w:rPr>
          <w:lang w:val="sv-SE"/>
        </w:rPr>
        <w:sectPr w:rsidR="003C6A9E" w:rsidSect="008E787A">
          <w:footerReference w:type="even" r:id="rId11"/>
          <w:footerReference w:type="default" r:id="rId12"/>
          <w:footerReference w:type="first" r:id="rId13"/>
          <w:type w:val="continuous"/>
          <w:pgSz w:w="11905" w:h="16838"/>
          <w:pgMar w:top="1134" w:right="1418" w:bottom="1134" w:left="1418" w:header="720" w:footer="720" w:gutter="0"/>
          <w:cols w:space="720"/>
        </w:sectPr>
      </w:pPr>
    </w:p>
    <w:p w14:paraId="639FD274" w14:textId="292EE5E8" w:rsidR="0031506B" w:rsidRPr="00A74CC6" w:rsidRDefault="0031506B" w:rsidP="00A9086C">
      <w:pPr>
        <w:pStyle w:val="ListParagraph"/>
        <w:numPr>
          <w:ilvl w:val="0"/>
          <w:numId w:val="18"/>
        </w:numPr>
        <w:spacing w:after="0" w:line="240" w:lineRule="auto"/>
        <w:ind w:left="567" w:hanging="567"/>
        <w:contextualSpacing w:val="0"/>
        <w:rPr>
          <w:lang w:val="sv-SE"/>
        </w:rPr>
      </w:pPr>
      <w:proofErr w:type="spellStart"/>
      <w:r w:rsidRPr="00A9086C">
        <w:rPr>
          <w:color w:val="auto"/>
          <w:lang w:val="en-GB"/>
        </w:rPr>
        <w:t>allergiska</w:t>
      </w:r>
      <w:proofErr w:type="spellEnd"/>
      <w:r w:rsidRPr="00A9086C">
        <w:rPr>
          <w:color w:val="auto"/>
          <w:lang w:val="en-GB"/>
        </w:rPr>
        <w:t xml:space="preserve"> </w:t>
      </w:r>
      <w:proofErr w:type="spellStart"/>
      <w:r w:rsidRPr="00A9086C">
        <w:rPr>
          <w:color w:val="auto"/>
          <w:lang w:val="en-GB"/>
        </w:rPr>
        <w:t>reaktioner</w:t>
      </w:r>
      <w:proofErr w:type="spellEnd"/>
    </w:p>
    <w:p w14:paraId="05599605" w14:textId="77777777" w:rsidR="0031506B" w:rsidRPr="001A6D1A" w:rsidRDefault="0031506B" w:rsidP="001A6D1A">
      <w:pPr>
        <w:pStyle w:val="ListParagraph"/>
        <w:numPr>
          <w:ilvl w:val="0"/>
          <w:numId w:val="18"/>
        </w:numPr>
        <w:spacing w:after="0" w:line="240" w:lineRule="auto"/>
        <w:ind w:left="567" w:hanging="567"/>
        <w:contextualSpacing w:val="0"/>
        <w:rPr>
          <w:color w:val="auto"/>
          <w:lang w:val="en-GB"/>
        </w:rPr>
      </w:pPr>
      <w:proofErr w:type="spellStart"/>
      <w:r w:rsidRPr="001A6D1A">
        <w:rPr>
          <w:color w:val="auto"/>
          <w:lang w:val="en-GB"/>
        </w:rPr>
        <w:t>halsinfektion</w:t>
      </w:r>
      <w:proofErr w:type="spellEnd"/>
    </w:p>
    <w:p w14:paraId="58DCE42E" w14:textId="77777777" w:rsidR="0031506B" w:rsidRPr="00472A6C" w:rsidRDefault="0031506B" w:rsidP="001A6D1A">
      <w:pPr>
        <w:pStyle w:val="ListParagraph"/>
        <w:numPr>
          <w:ilvl w:val="0"/>
          <w:numId w:val="18"/>
        </w:numPr>
        <w:spacing w:after="0" w:line="240" w:lineRule="auto"/>
        <w:ind w:left="567" w:hanging="567"/>
        <w:contextualSpacing w:val="0"/>
        <w:rPr>
          <w:color w:val="auto"/>
          <w:lang w:val="it-IT"/>
        </w:rPr>
      </w:pPr>
      <w:r w:rsidRPr="00472A6C">
        <w:rPr>
          <w:color w:val="auto"/>
          <w:lang w:val="it-IT"/>
        </w:rPr>
        <w:t>infektioner i urinblåsa och på hud</w:t>
      </w:r>
    </w:p>
    <w:p w14:paraId="5544FCE5" w14:textId="77777777" w:rsidR="0031506B" w:rsidRPr="001A6D1A" w:rsidRDefault="0031506B" w:rsidP="001A6D1A">
      <w:pPr>
        <w:pStyle w:val="ListParagraph"/>
        <w:numPr>
          <w:ilvl w:val="0"/>
          <w:numId w:val="18"/>
        </w:numPr>
        <w:spacing w:after="0" w:line="240" w:lineRule="auto"/>
        <w:ind w:left="567" w:hanging="567"/>
        <w:contextualSpacing w:val="0"/>
        <w:rPr>
          <w:color w:val="auto"/>
          <w:lang w:val="en-GB"/>
        </w:rPr>
      </w:pPr>
      <w:r w:rsidRPr="001A6D1A">
        <w:rPr>
          <w:color w:val="auto"/>
          <w:lang w:val="en-GB"/>
        </w:rPr>
        <w:t xml:space="preserve">inflammation </w:t>
      </w:r>
      <w:proofErr w:type="spellStart"/>
      <w:r w:rsidRPr="001A6D1A">
        <w:rPr>
          <w:color w:val="auto"/>
          <w:lang w:val="en-GB"/>
        </w:rPr>
        <w:t>i</w:t>
      </w:r>
      <w:proofErr w:type="spellEnd"/>
      <w:r w:rsidRPr="001A6D1A">
        <w:rPr>
          <w:color w:val="auto"/>
          <w:lang w:val="en-GB"/>
        </w:rPr>
        <w:t xml:space="preserve"> </w:t>
      </w:r>
      <w:proofErr w:type="spellStart"/>
      <w:r w:rsidRPr="001A6D1A">
        <w:rPr>
          <w:color w:val="auto"/>
          <w:lang w:val="en-GB"/>
        </w:rPr>
        <w:t>bröstet</w:t>
      </w:r>
      <w:proofErr w:type="spellEnd"/>
    </w:p>
    <w:p w14:paraId="52A6B694" w14:textId="77777777" w:rsidR="0031506B" w:rsidRPr="001A6D1A" w:rsidRDefault="0031506B" w:rsidP="001A6D1A">
      <w:pPr>
        <w:pStyle w:val="ListParagraph"/>
        <w:numPr>
          <w:ilvl w:val="0"/>
          <w:numId w:val="18"/>
        </w:numPr>
        <w:spacing w:after="0" w:line="240" w:lineRule="auto"/>
        <w:ind w:left="567" w:hanging="567"/>
        <w:contextualSpacing w:val="0"/>
        <w:rPr>
          <w:color w:val="auto"/>
          <w:lang w:val="en-GB"/>
        </w:rPr>
      </w:pPr>
      <w:r w:rsidRPr="001A6D1A">
        <w:rPr>
          <w:color w:val="auto"/>
          <w:lang w:val="en-GB"/>
        </w:rPr>
        <w:t xml:space="preserve">inflammation </w:t>
      </w:r>
      <w:proofErr w:type="spellStart"/>
      <w:r w:rsidRPr="001A6D1A">
        <w:rPr>
          <w:color w:val="auto"/>
          <w:lang w:val="en-GB"/>
        </w:rPr>
        <w:t>i</w:t>
      </w:r>
      <w:proofErr w:type="spellEnd"/>
      <w:r w:rsidRPr="001A6D1A">
        <w:rPr>
          <w:color w:val="auto"/>
          <w:lang w:val="en-GB"/>
        </w:rPr>
        <w:t xml:space="preserve"> </w:t>
      </w:r>
      <w:proofErr w:type="spellStart"/>
      <w:r w:rsidRPr="001A6D1A">
        <w:rPr>
          <w:color w:val="auto"/>
          <w:lang w:val="en-GB"/>
        </w:rPr>
        <w:t>levern</w:t>
      </w:r>
      <w:proofErr w:type="spellEnd"/>
    </w:p>
    <w:p w14:paraId="60B7405A" w14:textId="77777777" w:rsidR="0031506B" w:rsidRPr="001A6D1A" w:rsidRDefault="0031506B" w:rsidP="001A6D1A">
      <w:pPr>
        <w:pStyle w:val="ListParagraph"/>
        <w:numPr>
          <w:ilvl w:val="0"/>
          <w:numId w:val="18"/>
        </w:numPr>
        <w:spacing w:after="0" w:line="240" w:lineRule="auto"/>
        <w:ind w:left="567" w:hanging="567"/>
        <w:contextualSpacing w:val="0"/>
        <w:rPr>
          <w:color w:val="auto"/>
          <w:lang w:val="en-GB"/>
        </w:rPr>
      </w:pPr>
      <w:proofErr w:type="spellStart"/>
      <w:r w:rsidRPr="001A6D1A">
        <w:rPr>
          <w:color w:val="auto"/>
          <w:lang w:val="en-GB"/>
        </w:rPr>
        <w:t>njurpåverkan</w:t>
      </w:r>
      <w:proofErr w:type="spellEnd"/>
    </w:p>
    <w:p w14:paraId="712CAECF" w14:textId="77777777" w:rsidR="0031506B" w:rsidRPr="001A6D1A" w:rsidRDefault="0031506B" w:rsidP="001A6D1A">
      <w:pPr>
        <w:pStyle w:val="ListParagraph"/>
        <w:numPr>
          <w:ilvl w:val="0"/>
          <w:numId w:val="18"/>
        </w:numPr>
        <w:spacing w:after="0" w:line="240" w:lineRule="auto"/>
        <w:ind w:left="567" w:hanging="567"/>
        <w:contextualSpacing w:val="0"/>
        <w:rPr>
          <w:color w:val="auto"/>
          <w:lang w:val="en-GB"/>
        </w:rPr>
      </w:pPr>
      <w:proofErr w:type="spellStart"/>
      <w:r w:rsidRPr="001A6D1A">
        <w:rPr>
          <w:color w:val="auto"/>
          <w:lang w:val="en-GB"/>
        </w:rPr>
        <w:t>ökad</w:t>
      </w:r>
      <w:proofErr w:type="spellEnd"/>
      <w:r w:rsidRPr="001A6D1A">
        <w:rPr>
          <w:color w:val="auto"/>
          <w:lang w:val="en-GB"/>
        </w:rPr>
        <w:t xml:space="preserve"> </w:t>
      </w:r>
      <w:proofErr w:type="spellStart"/>
      <w:r w:rsidRPr="001A6D1A">
        <w:rPr>
          <w:color w:val="auto"/>
          <w:lang w:val="en-GB"/>
        </w:rPr>
        <w:t>muskeltonus</w:t>
      </w:r>
      <w:proofErr w:type="spellEnd"/>
      <w:r w:rsidRPr="001A6D1A">
        <w:rPr>
          <w:color w:val="auto"/>
          <w:lang w:val="en-GB"/>
        </w:rPr>
        <w:t xml:space="preserve"> </w:t>
      </w:r>
      <w:proofErr w:type="spellStart"/>
      <w:r w:rsidRPr="001A6D1A">
        <w:rPr>
          <w:color w:val="auto"/>
          <w:lang w:val="en-GB"/>
        </w:rPr>
        <w:t>eller</w:t>
      </w:r>
      <w:proofErr w:type="spellEnd"/>
      <w:r w:rsidRPr="001A6D1A">
        <w:rPr>
          <w:color w:val="auto"/>
          <w:lang w:val="en-GB"/>
        </w:rPr>
        <w:t xml:space="preserve"> </w:t>
      </w:r>
      <w:proofErr w:type="spellStart"/>
      <w:r w:rsidRPr="001A6D1A">
        <w:rPr>
          <w:color w:val="auto"/>
          <w:lang w:val="en-GB"/>
        </w:rPr>
        <w:t>spänning</w:t>
      </w:r>
      <w:proofErr w:type="spellEnd"/>
      <w:r w:rsidRPr="001A6D1A">
        <w:rPr>
          <w:color w:val="auto"/>
          <w:lang w:val="en-GB"/>
        </w:rPr>
        <w:t xml:space="preserve"> (hypertonus)</w:t>
      </w:r>
    </w:p>
    <w:p w14:paraId="5A3B2D8A" w14:textId="77777777" w:rsidR="0031506B" w:rsidRPr="00472A6C" w:rsidRDefault="0031506B" w:rsidP="001A6D1A">
      <w:pPr>
        <w:pStyle w:val="ListParagraph"/>
        <w:numPr>
          <w:ilvl w:val="0"/>
          <w:numId w:val="18"/>
        </w:numPr>
        <w:spacing w:after="0" w:line="240" w:lineRule="auto"/>
        <w:ind w:left="567" w:hanging="567"/>
        <w:contextualSpacing w:val="0"/>
        <w:rPr>
          <w:color w:val="auto"/>
          <w:lang w:val="it-IT"/>
        </w:rPr>
      </w:pPr>
      <w:r w:rsidRPr="00472A6C">
        <w:rPr>
          <w:color w:val="auto"/>
          <w:lang w:val="it-IT"/>
        </w:rPr>
        <w:t>smärtor i armar och/eller ben</w:t>
      </w:r>
    </w:p>
    <w:p w14:paraId="2B4EE82B" w14:textId="77777777" w:rsidR="0031506B" w:rsidRPr="001A6D1A" w:rsidRDefault="0031506B" w:rsidP="001A6D1A">
      <w:pPr>
        <w:pStyle w:val="ListParagraph"/>
        <w:numPr>
          <w:ilvl w:val="0"/>
          <w:numId w:val="18"/>
        </w:numPr>
        <w:spacing w:after="0" w:line="240" w:lineRule="auto"/>
        <w:ind w:left="567" w:hanging="567"/>
        <w:contextualSpacing w:val="0"/>
        <w:rPr>
          <w:color w:val="auto"/>
          <w:lang w:val="en-GB"/>
        </w:rPr>
      </w:pPr>
      <w:proofErr w:type="spellStart"/>
      <w:r w:rsidRPr="001A6D1A">
        <w:rPr>
          <w:color w:val="auto"/>
          <w:lang w:val="en-GB"/>
        </w:rPr>
        <w:t>kliande</w:t>
      </w:r>
      <w:proofErr w:type="spellEnd"/>
      <w:r w:rsidRPr="001A6D1A">
        <w:rPr>
          <w:color w:val="auto"/>
          <w:lang w:val="en-GB"/>
        </w:rPr>
        <w:t xml:space="preserve"> </w:t>
      </w:r>
      <w:proofErr w:type="spellStart"/>
      <w:r w:rsidRPr="001A6D1A">
        <w:rPr>
          <w:color w:val="auto"/>
          <w:lang w:val="en-GB"/>
        </w:rPr>
        <w:t>hudutslag</w:t>
      </w:r>
      <w:proofErr w:type="spellEnd"/>
    </w:p>
    <w:p w14:paraId="0D2D75B8" w14:textId="77777777" w:rsidR="0031506B" w:rsidRPr="001A6D1A" w:rsidRDefault="0031506B" w:rsidP="001A6D1A">
      <w:pPr>
        <w:pStyle w:val="ListParagraph"/>
        <w:numPr>
          <w:ilvl w:val="0"/>
          <w:numId w:val="18"/>
        </w:numPr>
        <w:spacing w:after="0" w:line="240" w:lineRule="auto"/>
        <w:ind w:left="567" w:hanging="567"/>
        <w:contextualSpacing w:val="0"/>
        <w:rPr>
          <w:color w:val="auto"/>
          <w:lang w:val="en-GB"/>
        </w:rPr>
      </w:pPr>
      <w:proofErr w:type="spellStart"/>
      <w:r w:rsidRPr="001A6D1A">
        <w:rPr>
          <w:color w:val="auto"/>
          <w:lang w:val="en-GB"/>
        </w:rPr>
        <w:t>sömnighet</w:t>
      </w:r>
      <w:proofErr w:type="spellEnd"/>
      <w:r w:rsidRPr="001A6D1A">
        <w:rPr>
          <w:color w:val="auto"/>
          <w:lang w:val="en-GB"/>
        </w:rPr>
        <w:t xml:space="preserve"> (</w:t>
      </w:r>
      <w:proofErr w:type="spellStart"/>
      <w:r w:rsidRPr="001A6D1A">
        <w:rPr>
          <w:color w:val="auto"/>
          <w:lang w:val="en-GB"/>
        </w:rPr>
        <w:t>somnolens</w:t>
      </w:r>
      <w:proofErr w:type="spellEnd"/>
      <w:r w:rsidRPr="001A6D1A">
        <w:rPr>
          <w:color w:val="auto"/>
          <w:lang w:val="en-GB"/>
        </w:rPr>
        <w:t>)</w:t>
      </w:r>
    </w:p>
    <w:p w14:paraId="2409BAE2" w14:textId="77777777" w:rsidR="0031506B" w:rsidRPr="001A6D1A" w:rsidRDefault="0031506B" w:rsidP="001A6D1A">
      <w:pPr>
        <w:pStyle w:val="ListParagraph"/>
        <w:numPr>
          <w:ilvl w:val="0"/>
          <w:numId w:val="18"/>
        </w:numPr>
        <w:spacing w:after="0" w:line="240" w:lineRule="auto"/>
        <w:ind w:left="567" w:hanging="567"/>
        <w:contextualSpacing w:val="0"/>
        <w:rPr>
          <w:color w:val="auto"/>
          <w:lang w:val="en-GB"/>
        </w:rPr>
      </w:pPr>
      <w:proofErr w:type="spellStart"/>
      <w:r w:rsidRPr="001A6D1A">
        <w:rPr>
          <w:color w:val="auto"/>
          <w:lang w:val="en-GB"/>
        </w:rPr>
        <w:t>hemorrojder</w:t>
      </w:r>
      <w:proofErr w:type="spellEnd"/>
    </w:p>
    <w:p w14:paraId="24533BEE" w14:textId="77777777" w:rsidR="0031506B" w:rsidRPr="001A6D1A" w:rsidRDefault="0031506B" w:rsidP="001A6D1A">
      <w:pPr>
        <w:pStyle w:val="ListParagraph"/>
        <w:numPr>
          <w:ilvl w:val="0"/>
          <w:numId w:val="18"/>
        </w:numPr>
        <w:spacing w:after="0" w:line="240" w:lineRule="auto"/>
        <w:ind w:left="567" w:hanging="567"/>
        <w:contextualSpacing w:val="0"/>
        <w:rPr>
          <w:color w:val="auto"/>
          <w:lang w:val="en-GB"/>
        </w:rPr>
      </w:pPr>
      <w:proofErr w:type="spellStart"/>
      <w:r w:rsidRPr="001A6D1A">
        <w:rPr>
          <w:color w:val="auto"/>
          <w:lang w:val="en-GB"/>
        </w:rPr>
        <w:t>klåda</w:t>
      </w:r>
      <w:proofErr w:type="spellEnd"/>
    </w:p>
    <w:p w14:paraId="72765F63" w14:textId="00D7E125" w:rsidR="0031506B" w:rsidRPr="00A74CC6" w:rsidRDefault="003C6A9E" w:rsidP="003C6A9E">
      <w:pPr>
        <w:pStyle w:val="ListParagraph"/>
        <w:keepNext/>
        <w:numPr>
          <w:ilvl w:val="0"/>
          <w:numId w:val="18"/>
        </w:numPr>
        <w:tabs>
          <w:tab w:val="left" w:pos="528"/>
          <w:tab w:val="center" w:pos="1469"/>
        </w:tabs>
        <w:spacing w:after="0" w:line="240" w:lineRule="auto"/>
        <w:ind w:left="567" w:hanging="567"/>
        <w:rPr>
          <w:lang w:val="sv-SE"/>
        </w:rPr>
      </w:pPr>
      <w:r>
        <w:rPr>
          <w:lang w:val="sv-SE"/>
        </w:rPr>
        <w:br w:type="column"/>
      </w:r>
      <w:r w:rsidR="0031506B" w:rsidRPr="00A74CC6">
        <w:rPr>
          <w:lang w:val="sv-SE"/>
        </w:rPr>
        <w:t>torr mun och hud</w:t>
      </w:r>
    </w:p>
    <w:p w14:paraId="42365173" w14:textId="77777777" w:rsidR="0031506B" w:rsidRPr="00A74CC6" w:rsidRDefault="0031506B" w:rsidP="003C6A9E">
      <w:pPr>
        <w:pStyle w:val="ListParagraph"/>
        <w:keepNext/>
        <w:numPr>
          <w:ilvl w:val="0"/>
          <w:numId w:val="18"/>
        </w:numPr>
        <w:tabs>
          <w:tab w:val="left" w:pos="528"/>
          <w:tab w:val="center" w:pos="1469"/>
        </w:tabs>
        <w:spacing w:after="0" w:line="240" w:lineRule="auto"/>
        <w:ind w:left="567" w:hanging="567"/>
        <w:rPr>
          <w:lang w:val="sv-SE"/>
        </w:rPr>
      </w:pPr>
      <w:r w:rsidRPr="00A74CC6">
        <w:rPr>
          <w:lang w:val="sv-SE"/>
        </w:rPr>
        <w:t>torra ögon</w:t>
      </w:r>
    </w:p>
    <w:p w14:paraId="38DF859D" w14:textId="77777777" w:rsidR="0031506B" w:rsidRPr="00A74CC6" w:rsidRDefault="0031506B" w:rsidP="003C6A9E">
      <w:pPr>
        <w:pStyle w:val="ListParagraph"/>
        <w:keepNext/>
        <w:numPr>
          <w:ilvl w:val="0"/>
          <w:numId w:val="18"/>
        </w:numPr>
        <w:tabs>
          <w:tab w:val="left" w:pos="528"/>
          <w:tab w:val="center" w:pos="1469"/>
        </w:tabs>
        <w:spacing w:after="0" w:line="240" w:lineRule="auto"/>
        <w:ind w:left="567" w:hanging="567"/>
        <w:rPr>
          <w:lang w:val="sv-SE"/>
        </w:rPr>
      </w:pPr>
      <w:r w:rsidRPr="00A74CC6">
        <w:rPr>
          <w:lang w:val="sv-SE"/>
        </w:rPr>
        <w:t>svettning</w:t>
      </w:r>
    </w:p>
    <w:p w14:paraId="7215B3E5" w14:textId="77777777" w:rsidR="0031506B" w:rsidRPr="00A74CC6" w:rsidRDefault="0031506B" w:rsidP="003C6A9E">
      <w:pPr>
        <w:pStyle w:val="ListParagraph"/>
        <w:keepNext/>
        <w:numPr>
          <w:ilvl w:val="0"/>
          <w:numId w:val="18"/>
        </w:numPr>
        <w:tabs>
          <w:tab w:val="left" w:pos="528"/>
          <w:tab w:val="center" w:pos="1469"/>
        </w:tabs>
        <w:spacing w:after="0" w:line="240" w:lineRule="auto"/>
        <w:ind w:left="567" w:hanging="567"/>
        <w:rPr>
          <w:lang w:val="sv-SE"/>
        </w:rPr>
      </w:pPr>
      <w:r w:rsidRPr="00A74CC6">
        <w:rPr>
          <w:lang w:val="sv-SE"/>
        </w:rPr>
        <w:t>svaghet och sjukdomskänsla</w:t>
      </w:r>
    </w:p>
    <w:p w14:paraId="45A34C8E" w14:textId="77777777" w:rsidR="0031506B" w:rsidRPr="00A74CC6" w:rsidRDefault="0031506B" w:rsidP="003C6A9E">
      <w:pPr>
        <w:pStyle w:val="ListParagraph"/>
        <w:keepNext/>
        <w:numPr>
          <w:ilvl w:val="0"/>
          <w:numId w:val="18"/>
        </w:numPr>
        <w:tabs>
          <w:tab w:val="left" w:pos="528"/>
          <w:tab w:val="center" w:pos="1469"/>
        </w:tabs>
        <w:spacing w:after="0" w:line="240" w:lineRule="auto"/>
        <w:ind w:left="567" w:hanging="567"/>
        <w:rPr>
          <w:lang w:val="sv-SE"/>
        </w:rPr>
      </w:pPr>
      <w:r w:rsidRPr="00A74CC6">
        <w:rPr>
          <w:lang w:val="sv-SE"/>
        </w:rPr>
        <w:t>oro</w:t>
      </w:r>
    </w:p>
    <w:p w14:paraId="24BCC0E0" w14:textId="77777777" w:rsidR="0031506B" w:rsidRPr="00A74CC6" w:rsidRDefault="0031506B" w:rsidP="003C6A9E">
      <w:pPr>
        <w:pStyle w:val="ListParagraph"/>
        <w:keepNext/>
        <w:numPr>
          <w:ilvl w:val="0"/>
          <w:numId w:val="18"/>
        </w:numPr>
        <w:tabs>
          <w:tab w:val="left" w:pos="528"/>
          <w:tab w:val="center" w:pos="1469"/>
        </w:tabs>
        <w:spacing w:after="0" w:line="240" w:lineRule="auto"/>
        <w:ind w:left="567" w:hanging="567"/>
        <w:rPr>
          <w:lang w:val="sv-SE"/>
        </w:rPr>
      </w:pPr>
      <w:r w:rsidRPr="00A74CC6">
        <w:rPr>
          <w:lang w:val="sv-SE"/>
        </w:rPr>
        <w:t>depression</w:t>
      </w:r>
    </w:p>
    <w:p w14:paraId="4BD8C76D" w14:textId="77777777" w:rsidR="0031506B" w:rsidRPr="00A74CC6" w:rsidDel="00A3497D" w:rsidRDefault="0031506B" w:rsidP="003C6A9E">
      <w:pPr>
        <w:pStyle w:val="ListParagraph"/>
        <w:keepNext/>
        <w:numPr>
          <w:ilvl w:val="0"/>
          <w:numId w:val="18"/>
        </w:numPr>
        <w:tabs>
          <w:tab w:val="left" w:pos="528"/>
          <w:tab w:val="center" w:pos="1469"/>
        </w:tabs>
        <w:spacing w:after="0" w:line="240" w:lineRule="auto"/>
        <w:ind w:left="567" w:hanging="567"/>
        <w:rPr>
          <w:lang w:val="sv-SE"/>
        </w:rPr>
      </w:pPr>
      <w:r w:rsidRPr="00A74CC6">
        <w:rPr>
          <w:lang w:val="sv-SE"/>
        </w:rPr>
        <w:t>astma</w:t>
      </w:r>
    </w:p>
    <w:p w14:paraId="56678021" w14:textId="77777777" w:rsidR="0031506B" w:rsidRPr="00A74CC6" w:rsidRDefault="0031506B" w:rsidP="003C6A9E">
      <w:pPr>
        <w:pStyle w:val="ListParagraph"/>
        <w:keepNext/>
        <w:numPr>
          <w:ilvl w:val="0"/>
          <w:numId w:val="18"/>
        </w:numPr>
        <w:tabs>
          <w:tab w:val="left" w:pos="528"/>
          <w:tab w:val="center" w:pos="1469"/>
        </w:tabs>
        <w:spacing w:after="0" w:line="240" w:lineRule="auto"/>
        <w:ind w:left="567" w:hanging="567"/>
        <w:rPr>
          <w:lang w:val="sv-SE"/>
        </w:rPr>
      </w:pPr>
      <w:r w:rsidRPr="00A74CC6">
        <w:rPr>
          <w:lang w:val="sv-SE"/>
        </w:rPr>
        <w:t>lunginfektion</w:t>
      </w:r>
    </w:p>
    <w:p w14:paraId="5BAB6287" w14:textId="77777777" w:rsidR="0031506B" w:rsidRPr="00A74CC6" w:rsidRDefault="0031506B" w:rsidP="003C6A9E">
      <w:pPr>
        <w:pStyle w:val="ListParagraph"/>
        <w:keepNext/>
        <w:numPr>
          <w:ilvl w:val="0"/>
          <w:numId w:val="18"/>
        </w:numPr>
        <w:tabs>
          <w:tab w:val="left" w:pos="528"/>
          <w:tab w:val="center" w:pos="1469"/>
        </w:tabs>
        <w:spacing w:after="0" w:line="240" w:lineRule="auto"/>
        <w:ind w:left="567" w:hanging="567"/>
        <w:rPr>
          <w:lang w:val="sv-SE"/>
        </w:rPr>
      </w:pPr>
      <w:r w:rsidRPr="00A74CC6">
        <w:rPr>
          <w:lang w:val="sv-SE"/>
        </w:rPr>
        <w:t>lungpåverkan</w:t>
      </w:r>
    </w:p>
    <w:p w14:paraId="58EFCE80" w14:textId="77777777" w:rsidR="0031506B" w:rsidRPr="00A74CC6" w:rsidRDefault="0031506B" w:rsidP="003C6A9E">
      <w:pPr>
        <w:pStyle w:val="ListParagraph"/>
        <w:keepNext/>
        <w:numPr>
          <w:ilvl w:val="0"/>
          <w:numId w:val="18"/>
        </w:numPr>
        <w:tabs>
          <w:tab w:val="left" w:pos="528"/>
          <w:tab w:val="center" w:pos="1469"/>
        </w:tabs>
        <w:spacing w:after="0" w:line="240" w:lineRule="auto"/>
        <w:ind w:left="567" w:hanging="567"/>
        <w:rPr>
          <w:lang w:val="sv-SE"/>
        </w:rPr>
      </w:pPr>
      <w:r w:rsidRPr="00A74CC6">
        <w:rPr>
          <w:lang w:val="sv-SE"/>
        </w:rPr>
        <w:t>ryggvärk</w:t>
      </w:r>
    </w:p>
    <w:p w14:paraId="02D1EF34" w14:textId="77777777" w:rsidR="0031506B" w:rsidRPr="00A74CC6" w:rsidRDefault="0031506B" w:rsidP="003C6A9E">
      <w:pPr>
        <w:pStyle w:val="ListParagraph"/>
        <w:keepNext/>
        <w:numPr>
          <w:ilvl w:val="0"/>
          <w:numId w:val="18"/>
        </w:numPr>
        <w:tabs>
          <w:tab w:val="left" w:pos="528"/>
          <w:tab w:val="center" w:pos="1469"/>
        </w:tabs>
        <w:spacing w:after="0" w:line="240" w:lineRule="auto"/>
        <w:ind w:left="567" w:hanging="567"/>
        <w:rPr>
          <w:lang w:val="sv-SE"/>
        </w:rPr>
      </w:pPr>
      <w:r w:rsidRPr="00A74CC6">
        <w:rPr>
          <w:lang w:val="sv-SE"/>
        </w:rPr>
        <w:t>nacksmärta</w:t>
      </w:r>
    </w:p>
    <w:p w14:paraId="4AD2442E" w14:textId="77777777" w:rsidR="0031506B" w:rsidRPr="00A74CC6" w:rsidRDefault="0031506B" w:rsidP="003C6A9E">
      <w:pPr>
        <w:pStyle w:val="ListParagraph"/>
        <w:keepNext/>
        <w:numPr>
          <w:ilvl w:val="0"/>
          <w:numId w:val="18"/>
        </w:numPr>
        <w:tabs>
          <w:tab w:val="left" w:pos="528"/>
          <w:tab w:val="center" w:pos="1469"/>
        </w:tabs>
        <w:spacing w:after="0" w:line="240" w:lineRule="auto"/>
        <w:ind w:left="567" w:hanging="567"/>
        <w:rPr>
          <w:lang w:val="sv-SE"/>
        </w:rPr>
      </w:pPr>
      <w:r w:rsidRPr="00A74CC6">
        <w:rPr>
          <w:lang w:val="sv-SE"/>
        </w:rPr>
        <w:t>skelettsmärta</w:t>
      </w:r>
    </w:p>
    <w:p w14:paraId="7F8E6B95" w14:textId="77777777" w:rsidR="0031506B" w:rsidRPr="00A74CC6" w:rsidRDefault="0031506B" w:rsidP="003C6A9E">
      <w:pPr>
        <w:pStyle w:val="ListParagraph"/>
        <w:keepNext/>
        <w:numPr>
          <w:ilvl w:val="0"/>
          <w:numId w:val="18"/>
        </w:numPr>
        <w:tabs>
          <w:tab w:val="left" w:pos="528"/>
          <w:tab w:val="center" w:pos="1469"/>
        </w:tabs>
        <w:spacing w:after="0" w:line="240" w:lineRule="auto"/>
        <w:ind w:left="567" w:hanging="567"/>
        <w:rPr>
          <w:lang w:val="sv-SE"/>
        </w:rPr>
      </w:pPr>
      <w:r w:rsidRPr="00A74CC6">
        <w:rPr>
          <w:lang w:val="sv-SE"/>
        </w:rPr>
        <w:t>akne</w:t>
      </w:r>
    </w:p>
    <w:p w14:paraId="15C21FED" w14:textId="77777777" w:rsidR="0031506B" w:rsidRPr="00A74CC6" w:rsidRDefault="0031506B" w:rsidP="003C6A9E">
      <w:pPr>
        <w:pStyle w:val="ListParagraph"/>
        <w:keepNext/>
        <w:numPr>
          <w:ilvl w:val="0"/>
          <w:numId w:val="18"/>
        </w:numPr>
        <w:tabs>
          <w:tab w:val="left" w:pos="528"/>
          <w:tab w:val="center" w:pos="1469"/>
        </w:tabs>
        <w:spacing w:after="0" w:line="240" w:lineRule="auto"/>
        <w:ind w:left="567" w:hanging="567"/>
        <w:rPr>
          <w:lang w:val="sv-SE"/>
        </w:rPr>
      </w:pPr>
      <w:r w:rsidRPr="00A74CC6">
        <w:rPr>
          <w:lang w:val="sv-SE"/>
        </w:rPr>
        <w:t>benkramper</w:t>
      </w:r>
    </w:p>
    <w:p w14:paraId="4202CF4F" w14:textId="77777777" w:rsidR="003C6A9E" w:rsidRDefault="003C6A9E" w:rsidP="003C6A9E">
      <w:pPr>
        <w:keepNext/>
        <w:tabs>
          <w:tab w:val="left" w:pos="528"/>
          <w:tab w:val="center" w:pos="1469"/>
        </w:tabs>
        <w:spacing w:after="0" w:line="240" w:lineRule="auto"/>
        <w:ind w:left="567" w:hanging="567"/>
        <w:rPr>
          <w:lang w:val="sv-SE"/>
        </w:rPr>
        <w:sectPr w:rsidR="003C6A9E" w:rsidSect="003C6A9E">
          <w:type w:val="continuous"/>
          <w:pgSz w:w="11905" w:h="16838"/>
          <w:pgMar w:top="1134" w:right="1418" w:bottom="1134" w:left="1418" w:header="720" w:footer="720" w:gutter="0"/>
          <w:cols w:num="2" w:space="720"/>
        </w:sectPr>
      </w:pPr>
    </w:p>
    <w:p w14:paraId="72D86CB8" w14:textId="77777777" w:rsidR="007245D2" w:rsidRPr="00A74CC6" w:rsidRDefault="007245D2" w:rsidP="00364A49">
      <w:pPr>
        <w:spacing w:after="0" w:line="240" w:lineRule="auto"/>
        <w:ind w:left="0" w:firstLine="0"/>
        <w:contextualSpacing/>
        <w:rPr>
          <w:lang w:val="sv-SE"/>
        </w:rPr>
      </w:pPr>
    </w:p>
    <w:p w14:paraId="73CFC5C1" w14:textId="27773F95" w:rsidR="005027AB" w:rsidRPr="00A74CC6" w:rsidRDefault="00264096" w:rsidP="00364A49">
      <w:pPr>
        <w:keepNext/>
        <w:keepLines/>
        <w:spacing w:after="0" w:line="240" w:lineRule="auto"/>
        <w:ind w:left="6" w:right="11" w:hanging="6"/>
        <w:contextualSpacing/>
        <w:rPr>
          <w:lang w:val="sv-SE"/>
        </w:rPr>
      </w:pPr>
      <w:r w:rsidRPr="00A74CC6">
        <w:rPr>
          <w:b/>
          <w:lang w:val="sv-SE"/>
        </w:rPr>
        <w:t>Mindre vanliga biverkningar</w:t>
      </w:r>
      <w:r w:rsidRPr="00A74CC6">
        <w:rPr>
          <w:lang w:val="sv-SE"/>
        </w:rPr>
        <w:t xml:space="preserve"> </w:t>
      </w:r>
      <w:r w:rsidR="00CE264A" w:rsidRPr="00A74CC6">
        <w:rPr>
          <w:lang w:val="sv-SE"/>
        </w:rPr>
        <w:t>(</w:t>
      </w:r>
      <w:r w:rsidRPr="00A74CC6">
        <w:rPr>
          <w:lang w:val="sv-SE"/>
        </w:rPr>
        <w:t>kan förekomma hos upp till 1 av 100</w:t>
      </w:r>
      <w:r w:rsidR="006E5D51" w:rsidRPr="00A74CC6">
        <w:rPr>
          <w:lang w:val="sv-SE"/>
        </w:rPr>
        <w:t> </w:t>
      </w:r>
      <w:r w:rsidRPr="00A74CC6">
        <w:rPr>
          <w:lang w:val="sv-SE"/>
        </w:rPr>
        <w:t>patienter</w:t>
      </w:r>
      <w:r w:rsidR="00CE264A" w:rsidRPr="00A74CC6">
        <w:rPr>
          <w:lang w:val="sv-SE"/>
        </w:rPr>
        <w:t>)</w:t>
      </w:r>
    </w:p>
    <w:p w14:paraId="04E26126" w14:textId="77777777" w:rsidR="005027AB" w:rsidRPr="00A74CC6" w:rsidRDefault="00264096" w:rsidP="00364A49">
      <w:pPr>
        <w:numPr>
          <w:ilvl w:val="0"/>
          <w:numId w:val="18"/>
        </w:numPr>
        <w:spacing w:after="0" w:line="240" w:lineRule="auto"/>
        <w:ind w:left="567" w:hanging="600"/>
        <w:contextualSpacing/>
        <w:rPr>
          <w:lang w:val="sv-SE"/>
        </w:rPr>
      </w:pPr>
      <w:r w:rsidRPr="00A74CC6">
        <w:rPr>
          <w:lang w:val="sv-SE"/>
        </w:rPr>
        <w:t>dövhet</w:t>
      </w:r>
    </w:p>
    <w:p w14:paraId="463F912E" w14:textId="77777777" w:rsidR="009144D8" w:rsidRDefault="00264096" w:rsidP="00364A49">
      <w:pPr>
        <w:numPr>
          <w:ilvl w:val="0"/>
          <w:numId w:val="18"/>
        </w:numPr>
        <w:spacing w:after="0" w:line="240" w:lineRule="auto"/>
        <w:ind w:left="567" w:hanging="600"/>
        <w:contextualSpacing/>
        <w:rPr>
          <w:lang w:val="sv-SE"/>
        </w:rPr>
      </w:pPr>
      <w:r w:rsidRPr="00A74CC6">
        <w:rPr>
          <w:lang w:val="sv-SE"/>
        </w:rPr>
        <w:t>knottriga hudutslag</w:t>
      </w:r>
    </w:p>
    <w:p w14:paraId="7BB58ECC" w14:textId="308F85BF" w:rsidR="005027AB" w:rsidRPr="00A74CC6" w:rsidRDefault="000D5AAD" w:rsidP="00364A49">
      <w:pPr>
        <w:numPr>
          <w:ilvl w:val="0"/>
          <w:numId w:val="18"/>
        </w:numPr>
        <w:spacing w:after="0" w:line="240" w:lineRule="auto"/>
        <w:ind w:left="567" w:hanging="600"/>
        <w:contextualSpacing/>
        <w:rPr>
          <w:lang w:val="sv-SE"/>
        </w:rPr>
      </w:pPr>
      <w:r>
        <w:rPr>
          <w:lang w:val="sv-SE"/>
        </w:rPr>
        <w:t>rosslande</w:t>
      </w:r>
      <w:r w:rsidR="00854585">
        <w:rPr>
          <w:lang w:val="sv-SE"/>
        </w:rPr>
        <w:t>/pipande andning</w:t>
      </w:r>
    </w:p>
    <w:p w14:paraId="1C1FE38D" w14:textId="0E695FDC" w:rsidR="00854585" w:rsidRPr="00A74CC6" w:rsidRDefault="00854585" w:rsidP="00364A49">
      <w:pPr>
        <w:numPr>
          <w:ilvl w:val="0"/>
          <w:numId w:val="18"/>
        </w:numPr>
        <w:spacing w:after="0" w:line="240" w:lineRule="auto"/>
        <w:ind w:left="567" w:hanging="600"/>
        <w:contextualSpacing/>
        <w:rPr>
          <w:lang w:val="sv-SE"/>
        </w:rPr>
      </w:pPr>
      <w:r w:rsidRPr="00A74CC6">
        <w:rPr>
          <w:lang w:val="sv-SE"/>
        </w:rPr>
        <w:t>inflammation eller ärrbildning i lungorna</w:t>
      </w:r>
    </w:p>
    <w:p w14:paraId="0C7493FC" w14:textId="77777777" w:rsidR="00187AC1" w:rsidRPr="00A74CC6" w:rsidRDefault="00187AC1" w:rsidP="00364A49">
      <w:pPr>
        <w:spacing w:after="0" w:line="240" w:lineRule="auto"/>
        <w:ind w:left="0" w:right="13" w:firstLine="0"/>
        <w:contextualSpacing/>
        <w:rPr>
          <w:lang w:val="sv-SE"/>
        </w:rPr>
      </w:pPr>
    </w:p>
    <w:p w14:paraId="6F5DF21A" w14:textId="38276E53" w:rsidR="005027AB" w:rsidRPr="00A74CC6" w:rsidRDefault="00264096" w:rsidP="00364A49">
      <w:pPr>
        <w:keepNext/>
        <w:keepLines/>
        <w:spacing w:after="0" w:line="240" w:lineRule="auto"/>
        <w:ind w:left="6" w:right="11" w:hanging="6"/>
        <w:contextualSpacing/>
        <w:rPr>
          <w:lang w:val="sv-SE"/>
        </w:rPr>
      </w:pPr>
      <w:r w:rsidRPr="00A74CC6">
        <w:rPr>
          <w:b/>
          <w:lang w:val="sv-SE"/>
        </w:rPr>
        <w:t>Sällsynta biverkningar</w:t>
      </w:r>
      <w:r w:rsidRPr="00A74CC6">
        <w:rPr>
          <w:lang w:val="sv-SE"/>
        </w:rPr>
        <w:t xml:space="preserve"> </w:t>
      </w:r>
      <w:r w:rsidR="00CE264A" w:rsidRPr="00A74CC6">
        <w:rPr>
          <w:lang w:val="sv-SE"/>
        </w:rPr>
        <w:t>(</w:t>
      </w:r>
      <w:r w:rsidRPr="00A74CC6">
        <w:rPr>
          <w:lang w:val="sv-SE"/>
        </w:rPr>
        <w:t>kan förekomma hos upp till 1 av 1</w:t>
      </w:r>
      <w:r w:rsidR="006E5D51" w:rsidRPr="00A74CC6">
        <w:rPr>
          <w:lang w:val="sv-SE"/>
        </w:rPr>
        <w:t> </w:t>
      </w:r>
      <w:r w:rsidRPr="00A74CC6">
        <w:rPr>
          <w:lang w:val="sv-SE"/>
        </w:rPr>
        <w:t>000</w:t>
      </w:r>
      <w:r w:rsidR="006E5D51" w:rsidRPr="00A74CC6">
        <w:rPr>
          <w:lang w:val="sv-SE"/>
        </w:rPr>
        <w:t> </w:t>
      </w:r>
      <w:r w:rsidRPr="00A74CC6">
        <w:rPr>
          <w:lang w:val="sv-SE"/>
        </w:rPr>
        <w:t>patienter</w:t>
      </w:r>
      <w:r w:rsidR="00CE264A" w:rsidRPr="00A74CC6">
        <w:rPr>
          <w:lang w:val="sv-SE"/>
        </w:rPr>
        <w:t>)</w:t>
      </w:r>
    </w:p>
    <w:p w14:paraId="49A3286F" w14:textId="67C18DE4" w:rsidR="005027AB" w:rsidRDefault="00264096" w:rsidP="00364A49">
      <w:pPr>
        <w:numPr>
          <w:ilvl w:val="0"/>
          <w:numId w:val="18"/>
        </w:numPr>
        <w:spacing w:after="0" w:line="240" w:lineRule="auto"/>
        <w:ind w:left="567" w:hanging="600"/>
        <w:contextualSpacing/>
        <w:rPr>
          <w:lang w:val="sv-SE"/>
        </w:rPr>
      </w:pPr>
      <w:r w:rsidRPr="00A74CC6">
        <w:rPr>
          <w:lang w:val="sv-SE"/>
        </w:rPr>
        <w:t>gulsot</w:t>
      </w:r>
    </w:p>
    <w:p w14:paraId="076D5067" w14:textId="63F45AA1" w:rsidR="007271D1" w:rsidRPr="00A74CC6" w:rsidRDefault="007271D1" w:rsidP="00364A49">
      <w:pPr>
        <w:numPr>
          <w:ilvl w:val="0"/>
          <w:numId w:val="18"/>
        </w:numPr>
        <w:spacing w:after="0" w:line="240" w:lineRule="auto"/>
        <w:ind w:left="567" w:hanging="600"/>
        <w:contextualSpacing/>
        <w:rPr>
          <w:lang w:val="sv-SE"/>
        </w:rPr>
      </w:pPr>
      <w:r w:rsidRPr="00A74CC6">
        <w:rPr>
          <w:lang w:val="sv-SE"/>
        </w:rPr>
        <w:t>anafylaktiska reaktioner</w:t>
      </w:r>
    </w:p>
    <w:p w14:paraId="70F95D45" w14:textId="77777777" w:rsidR="00187AC1" w:rsidRPr="00A74CC6" w:rsidRDefault="00187AC1" w:rsidP="00364A49">
      <w:pPr>
        <w:spacing w:after="0" w:line="240" w:lineRule="auto"/>
        <w:ind w:left="0" w:right="13" w:firstLine="0"/>
        <w:contextualSpacing/>
        <w:rPr>
          <w:lang w:val="sv-SE"/>
        </w:rPr>
      </w:pPr>
    </w:p>
    <w:p w14:paraId="297C0C31" w14:textId="0FF211B2" w:rsidR="005027AB" w:rsidRPr="00A74CC6" w:rsidRDefault="009815E0" w:rsidP="00364A49">
      <w:pPr>
        <w:pStyle w:val="Heading1"/>
        <w:spacing w:after="0" w:line="240" w:lineRule="auto"/>
        <w:ind w:left="11" w:hanging="11"/>
        <w:contextualSpacing/>
        <w:rPr>
          <w:b w:val="0"/>
          <w:lang w:val="sv-SE"/>
        </w:rPr>
      </w:pPr>
      <w:r>
        <w:rPr>
          <w:lang w:val="sv-SE"/>
        </w:rPr>
        <w:t>B</w:t>
      </w:r>
      <w:r w:rsidR="00264096" w:rsidRPr="00A74CC6">
        <w:rPr>
          <w:lang w:val="sv-SE"/>
        </w:rPr>
        <w:t xml:space="preserve">iverkningar </w:t>
      </w:r>
      <w:r w:rsidR="00C640B0">
        <w:rPr>
          <w:lang w:val="sv-SE"/>
        </w:rPr>
        <w:t>utan känd frekvens</w:t>
      </w:r>
      <w:r w:rsidR="00264096" w:rsidRPr="00A74CC6">
        <w:rPr>
          <w:lang w:val="sv-SE"/>
        </w:rPr>
        <w:t xml:space="preserve"> </w:t>
      </w:r>
      <w:r w:rsidR="00264096" w:rsidRPr="00A74CC6">
        <w:rPr>
          <w:b w:val="0"/>
          <w:lang w:val="sv-SE"/>
        </w:rPr>
        <w:t>(frekvens</w:t>
      </w:r>
      <w:r w:rsidR="006E5D51" w:rsidRPr="00A74CC6">
        <w:rPr>
          <w:b w:val="0"/>
          <w:lang w:val="sv-SE"/>
        </w:rPr>
        <w:t xml:space="preserve"> </w:t>
      </w:r>
      <w:r w:rsidR="00264096" w:rsidRPr="00A74CC6">
        <w:rPr>
          <w:b w:val="0"/>
          <w:lang w:val="sv-SE"/>
        </w:rPr>
        <w:t>kan inte beräknas från tillgängliga data)</w:t>
      </w:r>
    </w:p>
    <w:p w14:paraId="16EC6B7A" w14:textId="77777777" w:rsidR="005027AB" w:rsidRPr="00A74CC6" w:rsidRDefault="00264096" w:rsidP="00364A49">
      <w:pPr>
        <w:numPr>
          <w:ilvl w:val="0"/>
          <w:numId w:val="19"/>
        </w:numPr>
        <w:spacing w:after="0" w:line="240" w:lineRule="auto"/>
        <w:ind w:left="567" w:hanging="600"/>
        <w:contextualSpacing/>
        <w:rPr>
          <w:lang w:val="sv-SE"/>
        </w:rPr>
      </w:pPr>
      <w:r w:rsidRPr="00A74CC6">
        <w:rPr>
          <w:lang w:val="sv-SE"/>
        </w:rPr>
        <w:t>onormal eller försämrad blodkoagulation</w:t>
      </w:r>
    </w:p>
    <w:p w14:paraId="6E11387F" w14:textId="77777777" w:rsidR="005027AB" w:rsidRPr="00A74CC6" w:rsidRDefault="00264096" w:rsidP="00364A49">
      <w:pPr>
        <w:numPr>
          <w:ilvl w:val="0"/>
          <w:numId w:val="19"/>
        </w:numPr>
        <w:spacing w:after="0" w:line="240" w:lineRule="auto"/>
        <w:ind w:left="567" w:hanging="600"/>
        <w:contextualSpacing/>
        <w:rPr>
          <w:lang w:val="sv-SE"/>
        </w:rPr>
      </w:pPr>
      <w:r w:rsidRPr="00A74CC6">
        <w:rPr>
          <w:lang w:val="sv-SE"/>
        </w:rPr>
        <w:t>höga kaliumnivåer</w:t>
      </w:r>
    </w:p>
    <w:p w14:paraId="1C714D54" w14:textId="77777777" w:rsidR="005027AB" w:rsidRPr="00A74CC6" w:rsidRDefault="00264096" w:rsidP="00364A49">
      <w:pPr>
        <w:numPr>
          <w:ilvl w:val="0"/>
          <w:numId w:val="19"/>
        </w:numPr>
        <w:spacing w:after="0" w:line="240" w:lineRule="auto"/>
        <w:ind w:left="567" w:hanging="600"/>
        <w:contextualSpacing/>
        <w:rPr>
          <w:lang w:val="sv-SE"/>
        </w:rPr>
      </w:pPr>
      <w:r w:rsidRPr="00A74CC6">
        <w:rPr>
          <w:lang w:val="sv-SE"/>
        </w:rPr>
        <w:t>svullnad eller blödning bakom ögonen</w:t>
      </w:r>
    </w:p>
    <w:p w14:paraId="41B0587F" w14:textId="79680659" w:rsidR="005027AB" w:rsidRPr="00A74CC6" w:rsidRDefault="00264096" w:rsidP="00364A49">
      <w:pPr>
        <w:numPr>
          <w:ilvl w:val="0"/>
          <w:numId w:val="19"/>
        </w:numPr>
        <w:spacing w:after="0" w:line="240" w:lineRule="auto"/>
        <w:ind w:left="567" w:hanging="600"/>
        <w:contextualSpacing/>
        <w:rPr>
          <w:lang w:val="sv-SE"/>
        </w:rPr>
      </w:pPr>
      <w:r w:rsidRPr="00A74CC6">
        <w:rPr>
          <w:lang w:val="sv-SE"/>
        </w:rPr>
        <w:t>chock</w:t>
      </w:r>
    </w:p>
    <w:p w14:paraId="24DCE4C2" w14:textId="77777777" w:rsidR="005027AB" w:rsidRPr="00A74CC6" w:rsidRDefault="00264096" w:rsidP="00364A49">
      <w:pPr>
        <w:numPr>
          <w:ilvl w:val="0"/>
          <w:numId w:val="19"/>
        </w:numPr>
        <w:spacing w:after="0" w:line="240" w:lineRule="auto"/>
        <w:ind w:left="567" w:hanging="600"/>
        <w:contextualSpacing/>
        <w:rPr>
          <w:lang w:val="sv-SE"/>
        </w:rPr>
      </w:pPr>
      <w:r w:rsidRPr="00A74CC6">
        <w:rPr>
          <w:lang w:val="sv-SE"/>
        </w:rPr>
        <w:t>onormal hjärtrytm</w:t>
      </w:r>
    </w:p>
    <w:p w14:paraId="4940A4F7" w14:textId="77777777" w:rsidR="005027AB" w:rsidRPr="00A74CC6" w:rsidRDefault="00264096" w:rsidP="00364A49">
      <w:pPr>
        <w:numPr>
          <w:ilvl w:val="0"/>
          <w:numId w:val="19"/>
        </w:numPr>
        <w:spacing w:after="0" w:line="240" w:lineRule="auto"/>
        <w:ind w:left="567" w:hanging="600"/>
        <w:contextualSpacing/>
        <w:rPr>
          <w:lang w:val="sv-SE"/>
        </w:rPr>
      </w:pPr>
      <w:r w:rsidRPr="00A74CC6">
        <w:rPr>
          <w:lang w:val="sv-SE"/>
        </w:rPr>
        <w:t>andnöd</w:t>
      </w:r>
    </w:p>
    <w:p w14:paraId="5005844D" w14:textId="77777777" w:rsidR="005027AB" w:rsidRPr="00A74CC6" w:rsidRDefault="00264096" w:rsidP="00364A49">
      <w:pPr>
        <w:numPr>
          <w:ilvl w:val="0"/>
          <w:numId w:val="19"/>
        </w:numPr>
        <w:spacing w:after="0" w:line="240" w:lineRule="auto"/>
        <w:ind w:left="567" w:hanging="600"/>
        <w:contextualSpacing/>
        <w:rPr>
          <w:lang w:val="sv-SE"/>
        </w:rPr>
      </w:pPr>
      <w:r w:rsidRPr="00A74CC6">
        <w:rPr>
          <w:lang w:val="sv-SE"/>
        </w:rPr>
        <w:t>andningsproblem</w:t>
      </w:r>
    </w:p>
    <w:p w14:paraId="7EB15F60" w14:textId="77777777" w:rsidR="005027AB" w:rsidRPr="00A74CC6" w:rsidRDefault="00264096" w:rsidP="00364A49">
      <w:pPr>
        <w:numPr>
          <w:ilvl w:val="0"/>
          <w:numId w:val="19"/>
        </w:numPr>
        <w:spacing w:after="0" w:line="240" w:lineRule="auto"/>
        <w:ind w:left="567" w:hanging="600"/>
        <w:contextualSpacing/>
        <w:rPr>
          <w:lang w:val="sv-SE"/>
        </w:rPr>
      </w:pPr>
      <w:r w:rsidRPr="00A74CC6">
        <w:rPr>
          <w:lang w:val="sv-SE"/>
        </w:rPr>
        <w:t>akut ansamling av vätska i lungorna</w:t>
      </w:r>
    </w:p>
    <w:p w14:paraId="75A4EB2B" w14:textId="77777777" w:rsidR="005027AB" w:rsidRPr="00A74CC6" w:rsidRDefault="00264096" w:rsidP="00364A49">
      <w:pPr>
        <w:numPr>
          <w:ilvl w:val="0"/>
          <w:numId w:val="19"/>
        </w:numPr>
        <w:spacing w:after="0" w:line="240" w:lineRule="auto"/>
        <w:ind w:left="567" w:hanging="600"/>
        <w:contextualSpacing/>
        <w:rPr>
          <w:lang w:val="sv-SE"/>
        </w:rPr>
      </w:pPr>
      <w:r w:rsidRPr="00A74CC6">
        <w:rPr>
          <w:lang w:val="sv-SE"/>
        </w:rPr>
        <w:t>akut trängre luftvägar</w:t>
      </w:r>
    </w:p>
    <w:p w14:paraId="52DED638" w14:textId="77777777" w:rsidR="005027AB" w:rsidRPr="00A74CC6" w:rsidRDefault="00264096" w:rsidP="00364A49">
      <w:pPr>
        <w:numPr>
          <w:ilvl w:val="0"/>
          <w:numId w:val="19"/>
        </w:numPr>
        <w:spacing w:after="0" w:line="240" w:lineRule="auto"/>
        <w:ind w:left="567" w:hanging="600"/>
        <w:contextualSpacing/>
        <w:rPr>
          <w:lang w:val="sv-SE"/>
        </w:rPr>
      </w:pPr>
      <w:r w:rsidRPr="00A74CC6">
        <w:rPr>
          <w:lang w:val="sv-SE"/>
        </w:rPr>
        <w:t>onormalt låg syrehalt i blodet</w:t>
      </w:r>
    </w:p>
    <w:p w14:paraId="49CCF716" w14:textId="77777777" w:rsidR="005027AB" w:rsidRPr="00A74CC6" w:rsidRDefault="00264096" w:rsidP="00364A49">
      <w:pPr>
        <w:numPr>
          <w:ilvl w:val="0"/>
          <w:numId w:val="19"/>
        </w:numPr>
        <w:spacing w:after="0" w:line="240" w:lineRule="auto"/>
        <w:ind w:left="567" w:hanging="600"/>
        <w:contextualSpacing/>
        <w:rPr>
          <w:lang w:val="sv-SE"/>
        </w:rPr>
      </w:pPr>
      <w:r w:rsidRPr="00A74CC6">
        <w:rPr>
          <w:lang w:val="sv-SE"/>
        </w:rPr>
        <w:lastRenderedPageBreak/>
        <w:t>svårigheter att andas då man ligger raklång</w:t>
      </w:r>
    </w:p>
    <w:p w14:paraId="572FF18A" w14:textId="7148B1F2" w:rsidR="005027AB" w:rsidRPr="00A74CC6" w:rsidRDefault="00264096" w:rsidP="00364A49">
      <w:pPr>
        <w:numPr>
          <w:ilvl w:val="0"/>
          <w:numId w:val="19"/>
        </w:numPr>
        <w:spacing w:after="0" w:line="240" w:lineRule="auto"/>
        <w:ind w:left="567" w:hanging="600"/>
        <w:contextualSpacing/>
        <w:rPr>
          <w:lang w:val="sv-SE"/>
        </w:rPr>
      </w:pPr>
      <w:r w:rsidRPr="00A74CC6">
        <w:rPr>
          <w:lang w:val="sv-SE"/>
        </w:rPr>
        <w:t>leverskada</w:t>
      </w:r>
    </w:p>
    <w:p w14:paraId="65522036" w14:textId="425B52BB" w:rsidR="005027AB" w:rsidRPr="00A74CC6" w:rsidRDefault="00264096" w:rsidP="00364A49">
      <w:pPr>
        <w:numPr>
          <w:ilvl w:val="0"/>
          <w:numId w:val="19"/>
        </w:numPr>
        <w:spacing w:after="0" w:line="240" w:lineRule="auto"/>
        <w:ind w:left="567" w:hanging="600"/>
        <w:contextualSpacing/>
        <w:rPr>
          <w:lang w:val="sv-SE"/>
        </w:rPr>
      </w:pPr>
      <w:r w:rsidRPr="00A74CC6">
        <w:rPr>
          <w:lang w:val="sv-SE"/>
        </w:rPr>
        <w:t>svullnad av ansikte, läppar och hals</w:t>
      </w:r>
    </w:p>
    <w:p w14:paraId="1AAA92BC" w14:textId="77777777" w:rsidR="005027AB" w:rsidRPr="00A74CC6" w:rsidRDefault="00264096" w:rsidP="00364A49">
      <w:pPr>
        <w:numPr>
          <w:ilvl w:val="0"/>
          <w:numId w:val="19"/>
        </w:numPr>
        <w:spacing w:after="0" w:line="240" w:lineRule="auto"/>
        <w:ind w:left="567" w:hanging="600"/>
        <w:contextualSpacing/>
        <w:rPr>
          <w:lang w:val="sv-SE"/>
        </w:rPr>
      </w:pPr>
      <w:r w:rsidRPr="00A74CC6">
        <w:rPr>
          <w:lang w:val="sv-SE"/>
        </w:rPr>
        <w:t>njursvikt</w:t>
      </w:r>
    </w:p>
    <w:p w14:paraId="1CCBE4FB" w14:textId="1399A94D" w:rsidR="005027AB" w:rsidRPr="00A74CC6" w:rsidRDefault="00264096" w:rsidP="00364A49">
      <w:pPr>
        <w:numPr>
          <w:ilvl w:val="0"/>
          <w:numId w:val="19"/>
        </w:numPr>
        <w:spacing w:after="0" w:line="240" w:lineRule="auto"/>
        <w:ind w:left="567" w:hanging="600"/>
        <w:contextualSpacing/>
        <w:rPr>
          <w:lang w:val="sv-SE"/>
        </w:rPr>
      </w:pPr>
      <w:r w:rsidRPr="00A74CC6">
        <w:rPr>
          <w:lang w:val="sv-SE"/>
        </w:rPr>
        <w:t>onormalt lite fostervatten runt fostret i livmodern</w:t>
      </w:r>
    </w:p>
    <w:p w14:paraId="551C2AE1" w14:textId="5607474A" w:rsidR="005027AB" w:rsidRPr="00A74CC6" w:rsidRDefault="00264096" w:rsidP="00364A49">
      <w:pPr>
        <w:numPr>
          <w:ilvl w:val="0"/>
          <w:numId w:val="19"/>
        </w:numPr>
        <w:spacing w:after="0" w:line="240" w:lineRule="auto"/>
        <w:ind w:left="567" w:hanging="600"/>
        <w:contextualSpacing/>
        <w:rPr>
          <w:lang w:val="sv-SE"/>
        </w:rPr>
      </w:pPr>
      <w:r w:rsidRPr="00A74CC6">
        <w:rPr>
          <w:lang w:val="sv-SE"/>
        </w:rPr>
        <w:t>underutvecklade lungor hos fost</w:t>
      </w:r>
      <w:r w:rsidR="004934E7">
        <w:rPr>
          <w:lang w:val="sv-SE"/>
        </w:rPr>
        <w:t>ret</w:t>
      </w:r>
      <w:r w:rsidRPr="00A74CC6">
        <w:rPr>
          <w:lang w:val="sv-SE"/>
        </w:rPr>
        <w:t xml:space="preserve"> i livmodern</w:t>
      </w:r>
    </w:p>
    <w:p w14:paraId="34A5CE55" w14:textId="0F4F7E11" w:rsidR="005027AB" w:rsidRPr="00A74CC6" w:rsidRDefault="00264096" w:rsidP="00364A49">
      <w:pPr>
        <w:numPr>
          <w:ilvl w:val="0"/>
          <w:numId w:val="19"/>
        </w:numPr>
        <w:spacing w:after="0" w:line="240" w:lineRule="auto"/>
        <w:ind w:left="567" w:hanging="600"/>
        <w:contextualSpacing/>
        <w:rPr>
          <w:lang w:val="sv-SE"/>
        </w:rPr>
      </w:pPr>
      <w:r w:rsidRPr="00A74CC6">
        <w:rPr>
          <w:lang w:val="sv-SE"/>
        </w:rPr>
        <w:t>onormal utveckling</w:t>
      </w:r>
      <w:r w:rsidR="004934E7">
        <w:rPr>
          <w:lang w:val="sv-SE"/>
        </w:rPr>
        <w:t xml:space="preserve"> av njurarna </w:t>
      </w:r>
      <w:r w:rsidRPr="00A74CC6">
        <w:rPr>
          <w:lang w:val="sv-SE"/>
        </w:rPr>
        <w:t>hos fost</w:t>
      </w:r>
      <w:r w:rsidR="004934E7">
        <w:rPr>
          <w:lang w:val="sv-SE"/>
        </w:rPr>
        <w:t>ret</w:t>
      </w:r>
      <w:r w:rsidRPr="00A74CC6">
        <w:rPr>
          <w:lang w:val="sv-SE"/>
        </w:rPr>
        <w:t xml:space="preserve"> i livmodern</w:t>
      </w:r>
    </w:p>
    <w:p w14:paraId="57E96F7D" w14:textId="77777777" w:rsidR="00FF670D" w:rsidRPr="00A74CC6" w:rsidRDefault="00FF670D" w:rsidP="00364A49">
      <w:pPr>
        <w:spacing w:after="0" w:line="240" w:lineRule="auto"/>
        <w:ind w:left="0" w:right="13" w:firstLine="0"/>
        <w:contextualSpacing/>
        <w:rPr>
          <w:lang w:val="sv-SE"/>
        </w:rPr>
      </w:pPr>
    </w:p>
    <w:p w14:paraId="3166FBBB" w14:textId="2DD62446" w:rsidR="005027AB" w:rsidRPr="00A74CC6" w:rsidRDefault="00264096" w:rsidP="00364A49">
      <w:pPr>
        <w:spacing w:after="0" w:line="240" w:lineRule="auto"/>
        <w:ind w:left="4" w:right="13"/>
        <w:contextualSpacing/>
        <w:rPr>
          <w:lang w:val="sv-SE"/>
        </w:rPr>
      </w:pPr>
      <w:r w:rsidRPr="00A74CC6">
        <w:rPr>
          <w:lang w:val="sv-SE"/>
        </w:rPr>
        <w:t>Vissa av de biverkningar som du upplever kan bero på din grundsjukdom</w:t>
      </w:r>
      <w:r w:rsidR="00B84530">
        <w:rPr>
          <w:lang w:val="sv-SE"/>
        </w:rPr>
        <w:t xml:space="preserve"> </w:t>
      </w:r>
      <w:r w:rsidRPr="00A74CC6">
        <w:rPr>
          <w:lang w:val="sv-SE"/>
        </w:rPr>
        <w:t xml:space="preserve">cancer. Om du behandlas med </w:t>
      </w:r>
      <w:r w:rsidR="007D1DB2" w:rsidRPr="00A74CC6">
        <w:rPr>
          <w:lang w:val="sv-SE"/>
        </w:rPr>
        <w:t xml:space="preserve">KANJINTI </w:t>
      </w:r>
      <w:r w:rsidRPr="00A74CC6">
        <w:rPr>
          <w:lang w:val="sv-SE"/>
        </w:rPr>
        <w:t>tillsammans med cellgifter kan vissa av biverkningarna också bero på cellgifterna.</w:t>
      </w:r>
    </w:p>
    <w:p w14:paraId="56D40F4C" w14:textId="77777777" w:rsidR="009B1DAD" w:rsidRPr="00A74CC6" w:rsidRDefault="009B1DAD" w:rsidP="00364A49">
      <w:pPr>
        <w:spacing w:after="0" w:line="240" w:lineRule="auto"/>
        <w:ind w:left="4" w:right="13"/>
        <w:contextualSpacing/>
        <w:rPr>
          <w:lang w:val="sv-SE"/>
        </w:rPr>
      </w:pPr>
    </w:p>
    <w:p w14:paraId="205BB2B3" w14:textId="1E17E090" w:rsidR="005027AB" w:rsidRPr="00A74CC6" w:rsidRDefault="00264096" w:rsidP="00364A49">
      <w:pPr>
        <w:spacing w:after="0" w:line="240" w:lineRule="auto"/>
        <w:ind w:left="4" w:right="13"/>
        <w:contextualSpacing/>
        <w:rPr>
          <w:lang w:val="sv-SE"/>
        </w:rPr>
      </w:pPr>
      <w:r w:rsidRPr="00A74CC6">
        <w:rPr>
          <w:lang w:val="sv-SE"/>
        </w:rPr>
        <w:t>Om du får biverkningar, tala med läkare, apotekspersonal eller sjuksköterska.</w:t>
      </w:r>
    </w:p>
    <w:p w14:paraId="78E33991" w14:textId="77777777" w:rsidR="00FF670D" w:rsidRPr="00A74CC6" w:rsidRDefault="00FF670D" w:rsidP="00364A49">
      <w:pPr>
        <w:spacing w:after="0" w:line="240" w:lineRule="auto"/>
        <w:ind w:left="4" w:right="13"/>
        <w:contextualSpacing/>
        <w:rPr>
          <w:lang w:val="sv-SE"/>
        </w:rPr>
      </w:pPr>
    </w:p>
    <w:p w14:paraId="402466E3" w14:textId="77777777" w:rsidR="005027AB" w:rsidRPr="00A74CC6" w:rsidRDefault="00264096" w:rsidP="00364A49">
      <w:pPr>
        <w:pStyle w:val="Heading1"/>
        <w:spacing w:after="0" w:line="240" w:lineRule="auto"/>
        <w:ind w:left="11" w:hanging="11"/>
        <w:contextualSpacing/>
        <w:rPr>
          <w:lang w:val="sv-SE"/>
        </w:rPr>
      </w:pPr>
      <w:r w:rsidRPr="00A74CC6">
        <w:rPr>
          <w:lang w:val="sv-SE"/>
        </w:rPr>
        <w:t>Rapportering av biverkningar</w:t>
      </w:r>
    </w:p>
    <w:p w14:paraId="4F8BEC01" w14:textId="104FA742" w:rsidR="005027AB" w:rsidRPr="00A74CC6" w:rsidRDefault="00264096" w:rsidP="00364A49">
      <w:pPr>
        <w:spacing w:after="0" w:line="240" w:lineRule="auto"/>
        <w:ind w:left="4" w:right="13"/>
        <w:contextualSpacing/>
        <w:rPr>
          <w:lang w:val="sv-SE"/>
        </w:rPr>
      </w:pPr>
      <w:r w:rsidRPr="00A74CC6">
        <w:rPr>
          <w:lang w:val="sv-SE"/>
        </w:rPr>
        <w:t>Om du får biverkningar, tala med läkare</w:t>
      </w:r>
      <w:r w:rsidR="002F43D5">
        <w:rPr>
          <w:lang w:val="sv-SE"/>
        </w:rPr>
        <w:t>, apotekspersonal eller sjuksköterska</w:t>
      </w:r>
      <w:r w:rsidRPr="00A74CC6">
        <w:rPr>
          <w:lang w:val="sv-SE"/>
        </w:rPr>
        <w:t>. Detta gäller även biverkningar som inte nämns i denna information. Du kan också rapportera biverkningar direkt via</w:t>
      </w:r>
      <w:r w:rsidR="00751354" w:rsidRPr="00A74CC6">
        <w:rPr>
          <w:lang w:val="sv-SE"/>
        </w:rPr>
        <w:t xml:space="preserve"> </w:t>
      </w:r>
      <w:r w:rsidR="00751354">
        <w:rPr>
          <w:highlight w:val="lightGray"/>
          <w:lang w:val="sv-SE"/>
        </w:rPr>
        <w:t xml:space="preserve">det nationella rapporteringssystemet listat i </w:t>
      </w:r>
      <w:r w:rsidR="00751354">
        <w:fldChar w:fldCharType="begin"/>
      </w:r>
      <w:r w:rsidR="00751354" w:rsidRPr="00472A6C">
        <w:rPr>
          <w:lang w:val="it-IT"/>
        </w:rPr>
        <w:instrText>HYPERLINK "http://www.ema.europa.eu/docs/en_GB/document_library/Template_or_form/2013/03/WC500139752.doc" \h</w:instrText>
      </w:r>
      <w:r w:rsidR="00751354">
        <w:fldChar w:fldCharType="separate"/>
      </w:r>
      <w:r w:rsidR="00751354">
        <w:rPr>
          <w:rStyle w:val="Hyperlink"/>
          <w:highlight w:val="lightGray"/>
          <w:lang w:val="sv-SE"/>
        </w:rPr>
        <w:t>bilaga V</w:t>
      </w:r>
      <w:r w:rsidR="00751354">
        <w:fldChar w:fldCharType="end"/>
      </w:r>
      <w:r w:rsidR="00751354" w:rsidRPr="00A74CC6">
        <w:rPr>
          <w:lang w:val="sv-SE"/>
        </w:rPr>
        <w:t>.</w:t>
      </w:r>
      <w:r w:rsidR="00703506">
        <w:rPr>
          <w:lang w:val="sv-SE"/>
        </w:rPr>
        <w:t xml:space="preserve"> </w:t>
      </w:r>
      <w:r w:rsidRPr="00A74CC6">
        <w:rPr>
          <w:lang w:val="sv-SE"/>
        </w:rPr>
        <w:t>Genom att rapportera biverkningar kan du bidra till att öka informationen om läkemedels säkerhet.</w:t>
      </w:r>
    </w:p>
    <w:p w14:paraId="45E9BE86" w14:textId="77777777" w:rsidR="00FF670D" w:rsidRPr="00A74CC6" w:rsidRDefault="00FF670D" w:rsidP="00364A49">
      <w:pPr>
        <w:spacing w:after="0" w:line="240" w:lineRule="auto"/>
        <w:ind w:left="4" w:right="13"/>
        <w:contextualSpacing/>
        <w:rPr>
          <w:lang w:val="sv-SE"/>
        </w:rPr>
      </w:pPr>
    </w:p>
    <w:p w14:paraId="333F048E" w14:textId="77777777" w:rsidR="00FF670D" w:rsidRPr="00A74CC6" w:rsidRDefault="00FF670D" w:rsidP="00364A49">
      <w:pPr>
        <w:spacing w:after="0" w:line="240" w:lineRule="auto"/>
        <w:ind w:left="4" w:right="13"/>
        <w:contextualSpacing/>
        <w:rPr>
          <w:lang w:val="sv-SE"/>
        </w:rPr>
      </w:pPr>
    </w:p>
    <w:p w14:paraId="139E8851" w14:textId="0B3A613B" w:rsidR="005027AB" w:rsidRPr="00F06014" w:rsidRDefault="004A5027" w:rsidP="00364A49">
      <w:pPr>
        <w:pStyle w:val="Heading2"/>
        <w:tabs>
          <w:tab w:val="center" w:pos="1886"/>
        </w:tabs>
        <w:spacing w:after="0" w:line="240" w:lineRule="auto"/>
        <w:ind w:left="567" w:hanging="567"/>
        <w:contextualSpacing/>
        <w:rPr>
          <w:b/>
          <w:u w:val="none"/>
          <w:lang w:val="sv-SE"/>
        </w:rPr>
      </w:pPr>
      <w:r w:rsidRPr="00A74CC6">
        <w:rPr>
          <w:b/>
          <w:u w:val="none"/>
          <w:lang w:val="sv-SE"/>
        </w:rPr>
        <w:t>5.</w:t>
      </w:r>
      <w:r w:rsidRPr="00A74CC6">
        <w:rPr>
          <w:b/>
          <w:u w:val="none"/>
          <w:lang w:val="sv-SE"/>
        </w:rPr>
        <w:tab/>
      </w:r>
      <w:r w:rsidR="00264096" w:rsidRPr="00F06014">
        <w:rPr>
          <w:b/>
          <w:u w:val="none"/>
          <w:lang w:val="sv-SE"/>
        </w:rPr>
        <w:t xml:space="preserve">Hur </w:t>
      </w:r>
      <w:r w:rsidR="007D1DB2" w:rsidRPr="00F06014">
        <w:rPr>
          <w:b/>
          <w:u w:val="none"/>
          <w:lang w:val="sv-SE"/>
        </w:rPr>
        <w:t>KANJINTI</w:t>
      </w:r>
      <w:r w:rsidR="007D1DB2" w:rsidRPr="00F06014">
        <w:rPr>
          <w:u w:val="none"/>
          <w:lang w:val="sv-SE"/>
        </w:rPr>
        <w:t xml:space="preserve"> </w:t>
      </w:r>
      <w:r w:rsidR="00264096" w:rsidRPr="00F06014">
        <w:rPr>
          <w:b/>
          <w:u w:val="none"/>
          <w:lang w:val="sv-SE"/>
        </w:rPr>
        <w:t>ska förvaras</w:t>
      </w:r>
    </w:p>
    <w:p w14:paraId="43E03EE7" w14:textId="77777777" w:rsidR="004A5027" w:rsidRPr="00F06014" w:rsidRDefault="004A5027" w:rsidP="00364A49">
      <w:pPr>
        <w:pStyle w:val="ListParagraph"/>
        <w:keepNext/>
        <w:keepLines/>
        <w:spacing w:after="0" w:line="240" w:lineRule="auto"/>
        <w:ind w:left="0" w:firstLine="0"/>
        <w:rPr>
          <w:lang w:val="sv-SE"/>
        </w:rPr>
      </w:pPr>
    </w:p>
    <w:p w14:paraId="0240F561" w14:textId="43779441" w:rsidR="00940BDC" w:rsidRPr="00F06014" w:rsidRDefault="00940BDC" w:rsidP="00364A49">
      <w:pPr>
        <w:spacing w:after="0" w:line="240" w:lineRule="auto"/>
        <w:ind w:left="4" w:right="13"/>
        <w:contextualSpacing/>
        <w:rPr>
          <w:lang w:val="sv-SE"/>
        </w:rPr>
      </w:pPr>
      <w:r w:rsidRPr="00F06014">
        <w:rPr>
          <w:lang w:val="sv-SE"/>
        </w:rPr>
        <w:t xml:space="preserve">KANJINTI </w:t>
      </w:r>
      <w:r w:rsidRPr="00E5647A">
        <w:rPr>
          <w:lang w:val="sv-SE"/>
        </w:rPr>
        <w:t>ska förvaras av sjukvårdspersonal på sjukhuset eller kliniken.</w:t>
      </w:r>
    </w:p>
    <w:p w14:paraId="046620B1" w14:textId="77777777" w:rsidR="00940BDC" w:rsidRPr="00F06014" w:rsidRDefault="00940BDC" w:rsidP="00364A49">
      <w:pPr>
        <w:spacing w:after="0" w:line="240" w:lineRule="auto"/>
        <w:ind w:left="4" w:right="13"/>
        <w:contextualSpacing/>
        <w:rPr>
          <w:lang w:val="sv-SE"/>
        </w:rPr>
      </w:pPr>
    </w:p>
    <w:p w14:paraId="0CD9F598" w14:textId="11124177" w:rsidR="005027AB" w:rsidRPr="00F06014" w:rsidRDefault="00264096" w:rsidP="00364A49">
      <w:pPr>
        <w:spacing w:after="0" w:line="240" w:lineRule="auto"/>
        <w:ind w:left="4" w:right="13"/>
        <w:contextualSpacing/>
        <w:rPr>
          <w:lang w:val="sv-SE"/>
        </w:rPr>
      </w:pPr>
      <w:r w:rsidRPr="00F06014">
        <w:rPr>
          <w:lang w:val="sv-SE"/>
        </w:rPr>
        <w:t>Förvara detta läkemedel utom syn- och räckhåll för barn.</w:t>
      </w:r>
    </w:p>
    <w:p w14:paraId="20AF7B3F" w14:textId="77777777" w:rsidR="004A5027" w:rsidRPr="00F06014" w:rsidRDefault="004A5027" w:rsidP="00364A49">
      <w:pPr>
        <w:spacing w:after="0" w:line="240" w:lineRule="auto"/>
        <w:ind w:left="4" w:right="13"/>
        <w:contextualSpacing/>
        <w:rPr>
          <w:lang w:val="sv-SE"/>
        </w:rPr>
      </w:pPr>
    </w:p>
    <w:p w14:paraId="0717EE1E" w14:textId="0CDF7D44" w:rsidR="005027AB" w:rsidRPr="00F06014" w:rsidRDefault="005E1172" w:rsidP="00364A49">
      <w:pPr>
        <w:spacing w:after="0" w:line="240" w:lineRule="auto"/>
        <w:ind w:left="4" w:right="13"/>
        <w:contextualSpacing/>
        <w:rPr>
          <w:lang w:val="sv-SE"/>
        </w:rPr>
      </w:pPr>
      <w:r w:rsidRPr="004A019F">
        <w:rPr>
          <w:rFonts w:eastAsia="Yu Mincho"/>
          <w:color w:val="auto"/>
          <w:lang w:val="sv-SE"/>
        </w:rPr>
        <w:t>Används före utgångsdatum som anges</w:t>
      </w:r>
      <w:r w:rsidR="00264096" w:rsidRPr="00F06014">
        <w:rPr>
          <w:lang w:val="sv-SE"/>
        </w:rPr>
        <w:t xml:space="preserve"> på ytterkartongen (</w:t>
      </w:r>
      <w:r w:rsidR="00BD0995" w:rsidRPr="00F06014">
        <w:rPr>
          <w:lang w:val="sv-SE"/>
        </w:rPr>
        <w:t>EXP</w:t>
      </w:r>
      <w:r w:rsidR="00264096" w:rsidRPr="00F06014">
        <w:rPr>
          <w:lang w:val="sv-SE"/>
        </w:rPr>
        <w:t>) och på injektionsflaskans etikett (EXP). Utgångsdatumet är den sista dagen i angiven månad.</w:t>
      </w:r>
    </w:p>
    <w:p w14:paraId="3C169A4A" w14:textId="77777777" w:rsidR="00624D0C" w:rsidRPr="00F06014" w:rsidRDefault="00624D0C" w:rsidP="00364A49">
      <w:pPr>
        <w:spacing w:after="0" w:line="240" w:lineRule="auto"/>
        <w:ind w:left="4" w:right="13"/>
        <w:contextualSpacing/>
        <w:rPr>
          <w:lang w:val="sv-SE"/>
        </w:rPr>
      </w:pPr>
    </w:p>
    <w:p w14:paraId="4A29D4DC" w14:textId="2CACE521" w:rsidR="005027AB" w:rsidRPr="00A74CC6" w:rsidRDefault="00264096" w:rsidP="006E5D51">
      <w:pPr>
        <w:spacing w:after="0" w:line="240" w:lineRule="auto"/>
        <w:ind w:left="4" w:right="13"/>
        <w:contextualSpacing/>
        <w:rPr>
          <w:lang w:val="sv-SE"/>
        </w:rPr>
      </w:pPr>
      <w:r w:rsidRPr="00F06014">
        <w:rPr>
          <w:lang w:val="sv-SE"/>
        </w:rPr>
        <w:t>Förvar</w:t>
      </w:r>
      <w:r w:rsidRPr="00A74CC6">
        <w:rPr>
          <w:lang w:val="sv-SE"/>
        </w:rPr>
        <w:t>as i kylskåp (2</w:t>
      </w:r>
      <w:r w:rsidR="006E5D51" w:rsidRPr="00A74CC6">
        <w:rPr>
          <w:lang w:val="sv-SE"/>
        </w:rPr>
        <w:t> </w:t>
      </w:r>
      <w:r w:rsidR="004A5027" w:rsidRPr="00A74CC6">
        <w:rPr>
          <w:lang w:val="sv-SE"/>
        </w:rPr>
        <w:t>°C</w:t>
      </w:r>
      <w:r w:rsidR="006E5D51" w:rsidRPr="00A74CC6">
        <w:rPr>
          <w:lang w:val="sv-SE"/>
        </w:rPr>
        <w:t>–</w:t>
      </w:r>
      <w:r w:rsidRPr="00A74CC6">
        <w:rPr>
          <w:lang w:val="sv-SE"/>
        </w:rPr>
        <w:t>8</w:t>
      </w:r>
      <w:r w:rsidR="006E5D51" w:rsidRPr="00A74CC6">
        <w:rPr>
          <w:lang w:val="sv-SE"/>
        </w:rPr>
        <w:t> </w:t>
      </w:r>
      <w:r w:rsidR="004A5027" w:rsidRPr="00A74CC6">
        <w:rPr>
          <w:lang w:val="sv-SE"/>
        </w:rPr>
        <w:t>°</w:t>
      </w:r>
      <w:r w:rsidRPr="00A74CC6">
        <w:rPr>
          <w:lang w:val="sv-SE"/>
        </w:rPr>
        <w:t>C).</w:t>
      </w:r>
      <w:r w:rsidR="001E775B">
        <w:rPr>
          <w:lang w:val="sv-SE"/>
        </w:rPr>
        <w:t xml:space="preserve"> </w:t>
      </w:r>
      <w:r w:rsidR="00885F02">
        <w:rPr>
          <w:lang w:val="sv-SE"/>
        </w:rPr>
        <w:t>Den beredda lösningen f</w:t>
      </w:r>
      <w:r w:rsidR="001E775B">
        <w:rPr>
          <w:lang w:val="sv-SE"/>
        </w:rPr>
        <w:t>år ej frysas. Förvaras i originalförpackningen. Ljuskänsligt.</w:t>
      </w:r>
    </w:p>
    <w:p w14:paraId="41D7DCCE" w14:textId="77777777" w:rsidR="004A5027" w:rsidRPr="00A74CC6" w:rsidRDefault="004A5027" w:rsidP="00364A49">
      <w:pPr>
        <w:spacing w:after="0" w:line="240" w:lineRule="auto"/>
        <w:ind w:left="4" w:right="13"/>
        <w:contextualSpacing/>
        <w:rPr>
          <w:lang w:val="sv-SE"/>
        </w:rPr>
      </w:pPr>
    </w:p>
    <w:p w14:paraId="113E9F5C" w14:textId="423DBE57" w:rsidR="005027AB" w:rsidRPr="00A74CC6" w:rsidRDefault="00264096" w:rsidP="00364A49">
      <w:pPr>
        <w:spacing w:after="0" w:line="240" w:lineRule="auto"/>
        <w:ind w:left="4" w:right="13"/>
        <w:contextualSpacing/>
        <w:rPr>
          <w:lang w:val="sv-SE"/>
        </w:rPr>
      </w:pPr>
      <w:r w:rsidRPr="00A74CC6">
        <w:rPr>
          <w:lang w:val="sv-SE"/>
        </w:rPr>
        <w:t xml:space="preserve">Infusionslösningar ska användas omedelbart efter beredning. </w:t>
      </w:r>
      <w:r w:rsidR="006F672A">
        <w:rPr>
          <w:lang w:val="sv-SE"/>
        </w:rPr>
        <w:t xml:space="preserve">Om de inte används omedelbart är tillämpad förvaringstid och förvaringsbetingelser före användning användarens ansvar, och ska normalt inte vara längre än 24 timmar vid </w:t>
      </w:r>
      <w:r w:rsidR="006F672A" w:rsidRPr="00A74CC6">
        <w:rPr>
          <w:lang w:val="sv-SE"/>
        </w:rPr>
        <w:t>2 °C–8 °C</w:t>
      </w:r>
      <w:r w:rsidR="006F672A">
        <w:rPr>
          <w:lang w:val="sv-SE"/>
        </w:rPr>
        <w:t xml:space="preserve">. </w:t>
      </w:r>
      <w:r w:rsidRPr="00A74CC6">
        <w:rPr>
          <w:lang w:val="sv-SE"/>
        </w:rPr>
        <w:t xml:space="preserve">Använd inte </w:t>
      </w:r>
      <w:r w:rsidR="007D1DB2" w:rsidRPr="00A74CC6">
        <w:rPr>
          <w:lang w:val="sv-SE"/>
        </w:rPr>
        <w:t xml:space="preserve">KANJINTI </w:t>
      </w:r>
      <w:r w:rsidRPr="00A74CC6">
        <w:rPr>
          <w:lang w:val="sv-SE"/>
        </w:rPr>
        <w:t>om du ser partiklar eller missfärgningar före administrering.</w:t>
      </w:r>
    </w:p>
    <w:p w14:paraId="2A743BB4" w14:textId="77777777" w:rsidR="004A5027" w:rsidRPr="00A74CC6" w:rsidRDefault="004A5027" w:rsidP="00364A49">
      <w:pPr>
        <w:spacing w:after="0" w:line="240" w:lineRule="auto"/>
        <w:ind w:left="4" w:right="13"/>
        <w:contextualSpacing/>
        <w:rPr>
          <w:lang w:val="sv-SE"/>
        </w:rPr>
      </w:pPr>
    </w:p>
    <w:p w14:paraId="48233378" w14:textId="77777777" w:rsidR="005027AB" w:rsidRPr="00A74CC6" w:rsidRDefault="00264096" w:rsidP="00364A49">
      <w:pPr>
        <w:spacing w:after="0" w:line="240" w:lineRule="auto"/>
        <w:ind w:left="4" w:right="13"/>
        <w:contextualSpacing/>
        <w:rPr>
          <w:lang w:val="sv-SE"/>
        </w:rPr>
      </w:pPr>
      <w:r w:rsidRPr="00A74CC6">
        <w:rPr>
          <w:lang w:val="sv-SE"/>
        </w:rPr>
        <w:t>Medicinen ska inte kastas i avloppet eller bland hushållsavfall. Fråga apotekspersonalen hur man gör med mediciner som inte längre används. Dessa åtgärder är till för att skydda miljön.</w:t>
      </w:r>
    </w:p>
    <w:p w14:paraId="097A5C96" w14:textId="77777777" w:rsidR="00186923" w:rsidRPr="00A74CC6" w:rsidRDefault="00186923" w:rsidP="00364A49">
      <w:pPr>
        <w:spacing w:after="0" w:line="240" w:lineRule="auto"/>
        <w:ind w:left="4" w:right="13"/>
        <w:contextualSpacing/>
        <w:rPr>
          <w:lang w:val="sv-SE"/>
        </w:rPr>
      </w:pPr>
    </w:p>
    <w:p w14:paraId="363E9FBD" w14:textId="77777777" w:rsidR="00186923" w:rsidRPr="00A74CC6" w:rsidRDefault="00186923" w:rsidP="00364A49">
      <w:pPr>
        <w:spacing w:after="0" w:line="240" w:lineRule="auto"/>
        <w:ind w:left="4" w:right="13"/>
        <w:contextualSpacing/>
        <w:rPr>
          <w:lang w:val="sv-SE"/>
        </w:rPr>
      </w:pPr>
    </w:p>
    <w:p w14:paraId="1B82E6CF" w14:textId="77777777" w:rsidR="005027AB" w:rsidRPr="00A74CC6" w:rsidRDefault="00264096" w:rsidP="00364A49">
      <w:pPr>
        <w:keepNext/>
        <w:keepLines/>
        <w:tabs>
          <w:tab w:val="center" w:pos="2917"/>
        </w:tabs>
        <w:spacing w:after="0" w:line="240" w:lineRule="auto"/>
        <w:ind w:left="567" w:hanging="567"/>
        <w:contextualSpacing/>
        <w:rPr>
          <w:lang w:val="sv-SE"/>
        </w:rPr>
      </w:pPr>
      <w:r w:rsidRPr="00A74CC6">
        <w:rPr>
          <w:b/>
          <w:lang w:val="sv-SE"/>
        </w:rPr>
        <w:t>6.</w:t>
      </w:r>
      <w:r w:rsidRPr="00A74CC6">
        <w:rPr>
          <w:b/>
          <w:lang w:val="sv-SE"/>
        </w:rPr>
        <w:tab/>
        <w:t>Förpackningens innehåll och övriga upplysningar</w:t>
      </w:r>
    </w:p>
    <w:p w14:paraId="07DD622D" w14:textId="77777777" w:rsidR="00F06598" w:rsidRPr="00A74CC6" w:rsidRDefault="00F06598" w:rsidP="00364A49">
      <w:pPr>
        <w:pStyle w:val="Heading1"/>
        <w:spacing w:after="0" w:line="240" w:lineRule="auto"/>
        <w:ind w:left="9"/>
        <w:contextualSpacing/>
        <w:rPr>
          <w:lang w:val="sv-SE"/>
        </w:rPr>
      </w:pPr>
    </w:p>
    <w:p w14:paraId="530C1D0E" w14:textId="77777777" w:rsidR="005027AB" w:rsidRPr="00A74CC6" w:rsidRDefault="00264096" w:rsidP="00364A49">
      <w:pPr>
        <w:pStyle w:val="Heading1"/>
        <w:spacing w:after="0" w:line="240" w:lineRule="auto"/>
        <w:ind w:left="9"/>
        <w:contextualSpacing/>
        <w:rPr>
          <w:lang w:val="sv-SE"/>
        </w:rPr>
      </w:pPr>
      <w:r w:rsidRPr="00A74CC6">
        <w:rPr>
          <w:lang w:val="sv-SE"/>
        </w:rPr>
        <w:t>Innehållsdeklaration</w:t>
      </w:r>
    </w:p>
    <w:p w14:paraId="73B4BF64" w14:textId="77777777" w:rsidR="007D1DB2" w:rsidRPr="00A74CC6" w:rsidRDefault="00264096" w:rsidP="00364A49">
      <w:pPr>
        <w:keepNext/>
        <w:keepLines/>
        <w:numPr>
          <w:ilvl w:val="0"/>
          <w:numId w:val="20"/>
        </w:numPr>
        <w:spacing w:after="0" w:line="240" w:lineRule="auto"/>
        <w:ind w:left="567" w:hanging="567"/>
        <w:contextualSpacing/>
        <w:rPr>
          <w:lang w:val="sv-SE"/>
        </w:rPr>
      </w:pPr>
      <w:r w:rsidRPr="00A74CC6">
        <w:rPr>
          <w:lang w:val="sv-SE"/>
        </w:rPr>
        <w:t xml:space="preserve">Den aktiva substansen är trastuzumab. Varje </w:t>
      </w:r>
      <w:r w:rsidR="00F06598" w:rsidRPr="00A74CC6">
        <w:rPr>
          <w:lang w:val="sv-SE"/>
        </w:rPr>
        <w:t xml:space="preserve">injektionsflaska innehåller </w:t>
      </w:r>
      <w:r w:rsidR="007D1DB2" w:rsidRPr="00A74CC6">
        <w:rPr>
          <w:lang w:val="sv-SE"/>
        </w:rPr>
        <w:t>antingen:</w:t>
      </w:r>
    </w:p>
    <w:p w14:paraId="781F5D5B" w14:textId="6238D111" w:rsidR="007D1DB2" w:rsidRPr="00A74CC6" w:rsidRDefault="00F06598" w:rsidP="006D36D2">
      <w:pPr>
        <w:pStyle w:val="ListParagraph"/>
        <w:keepNext/>
        <w:keepLines/>
        <w:numPr>
          <w:ilvl w:val="1"/>
          <w:numId w:val="20"/>
        </w:numPr>
        <w:spacing w:after="0" w:line="240" w:lineRule="auto"/>
        <w:ind w:left="709" w:hanging="142"/>
        <w:contextualSpacing w:val="0"/>
        <w:rPr>
          <w:lang w:val="sv-SE"/>
        </w:rPr>
      </w:pPr>
      <w:r w:rsidRPr="00A74CC6">
        <w:rPr>
          <w:lang w:val="sv-SE"/>
        </w:rPr>
        <w:t>150 </w:t>
      </w:r>
      <w:r w:rsidR="00264096" w:rsidRPr="00A74CC6">
        <w:rPr>
          <w:lang w:val="sv-SE"/>
        </w:rPr>
        <w:t>mg trastuzumab som ska lösas i 7,2</w:t>
      </w:r>
      <w:r w:rsidRPr="00A74CC6">
        <w:rPr>
          <w:lang w:val="sv-SE"/>
        </w:rPr>
        <w:t> </w:t>
      </w:r>
      <w:r w:rsidR="00264096" w:rsidRPr="00A74CC6">
        <w:rPr>
          <w:lang w:val="sv-SE"/>
        </w:rPr>
        <w:t>ml vatten för injektion</w:t>
      </w:r>
      <w:r w:rsidR="007D1DB2" w:rsidRPr="00A74CC6">
        <w:rPr>
          <w:lang w:val="sv-SE"/>
        </w:rPr>
        <w:t>, eller</w:t>
      </w:r>
    </w:p>
    <w:p w14:paraId="664D59FA" w14:textId="77777777" w:rsidR="007D1DB2" w:rsidRPr="00A74CC6" w:rsidRDefault="007D1DB2" w:rsidP="006D36D2">
      <w:pPr>
        <w:pStyle w:val="ListParagraph"/>
        <w:keepNext/>
        <w:keepLines/>
        <w:numPr>
          <w:ilvl w:val="1"/>
          <w:numId w:val="20"/>
        </w:numPr>
        <w:spacing w:after="0" w:line="240" w:lineRule="auto"/>
        <w:ind w:left="709" w:hanging="142"/>
        <w:contextualSpacing w:val="0"/>
        <w:rPr>
          <w:lang w:val="sv-SE"/>
        </w:rPr>
      </w:pPr>
      <w:r w:rsidRPr="00A74CC6">
        <w:rPr>
          <w:lang w:val="sv-SE"/>
        </w:rPr>
        <w:t>420 mg trastuzumab som ska lösas i 20 ml vatten för injektion.</w:t>
      </w:r>
    </w:p>
    <w:p w14:paraId="4081B7A4" w14:textId="222E6F95" w:rsidR="005027AB" w:rsidRPr="00A74CC6" w:rsidRDefault="00264096" w:rsidP="008763E6">
      <w:pPr>
        <w:keepNext/>
        <w:keepLines/>
        <w:numPr>
          <w:ilvl w:val="0"/>
          <w:numId w:val="20"/>
        </w:numPr>
        <w:spacing w:after="0" w:line="240" w:lineRule="auto"/>
        <w:ind w:hanging="567"/>
        <w:contextualSpacing/>
        <w:rPr>
          <w:lang w:val="sv-SE"/>
        </w:rPr>
      </w:pPr>
      <w:r w:rsidRPr="00A74CC6">
        <w:rPr>
          <w:lang w:val="sv-SE"/>
        </w:rPr>
        <w:t xml:space="preserve">Den beredda </w:t>
      </w:r>
      <w:r w:rsidR="00F06598" w:rsidRPr="00A74CC6">
        <w:rPr>
          <w:lang w:val="sv-SE"/>
        </w:rPr>
        <w:t>lösningen innehåller ungefär 21 </w:t>
      </w:r>
      <w:r w:rsidRPr="00A74CC6">
        <w:rPr>
          <w:lang w:val="sv-SE"/>
        </w:rPr>
        <w:t>mg/ml trastuzumab.</w:t>
      </w:r>
    </w:p>
    <w:p w14:paraId="4B6EF707" w14:textId="6E9789BA" w:rsidR="005027AB" w:rsidRPr="00A74CC6" w:rsidRDefault="00264096" w:rsidP="00364A49">
      <w:pPr>
        <w:numPr>
          <w:ilvl w:val="0"/>
          <w:numId w:val="20"/>
        </w:numPr>
        <w:spacing w:after="0" w:line="240" w:lineRule="auto"/>
        <w:ind w:right="13" w:hanging="566"/>
        <w:contextualSpacing/>
        <w:rPr>
          <w:lang w:val="sv-SE"/>
        </w:rPr>
      </w:pPr>
      <w:r w:rsidRPr="00A74CC6">
        <w:rPr>
          <w:lang w:val="sv-SE"/>
        </w:rPr>
        <w:t xml:space="preserve">Övriga innehållsämnen är </w:t>
      </w:r>
      <w:r w:rsidR="001E775B">
        <w:rPr>
          <w:lang w:val="sv-SE"/>
        </w:rPr>
        <w:t xml:space="preserve">histidin, </w:t>
      </w:r>
      <w:r w:rsidR="00AB5B0D">
        <w:rPr>
          <w:lang w:val="sv-SE"/>
        </w:rPr>
        <w:t>histidinhydrokloridmonohydrat</w:t>
      </w:r>
      <w:r w:rsidR="001E775B">
        <w:rPr>
          <w:lang w:val="sv-SE"/>
        </w:rPr>
        <w:t xml:space="preserve">, </w:t>
      </w:r>
      <w:r w:rsidR="001E775B" w:rsidRPr="00A74CC6">
        <w:rPr>
          <w:lang w:val="sv-SE"/>
        </w:rPr>
        <w:t>trehalosdihydrat</w:t>
      </w:r>
      <w:r w:rsidRPr="00A74CC6">
        <w:rPr>
          <w:lang w:val="sv-SE"/>
        </w:rPr>
        <w:t>, polysorbat 20.</w:t>
      </w:r>
    </w:p>
    <w:p w14:paraId="7B07A952" w14:textId="77777777" w:rsidR="00186923" w:rsidRPr="00A74CC6" w:rsidRDefault="00186923" w:rsidP="00364A49">
      <w:pPr>
        <w:spacing w:after="0" w:line="240" w:lineRule="auto"/>
        <w:ind w:left="0" w:right="13" w:firstLine="0"/>
        <w:contextualSpacing/>
        <w:rPr>
          <w:lang w:val="sv-SE"/>
        </w:rPr>
      </w:pPr>
    </w:p>
    <w:p w14:paraId="6FF7B090" w14:textId="77777777" w:rsidR="005027AB" w:rsidRPr="00A74CC6" w:rsidRDefault="00264096" w:rsidP="00364A49">
      <w:pPr>
        <w:pStyle w:val="Heading1"/>
        <w:spacing w:after="0" w:line="240" w:lineRule="auto"/>
        <w:ind w:left="9"/>
        <w:contextualSpacing/>
        <w:rPr>
          <w:lang w:val="sv-SE"/>
        </w:rPr>
      </w:pPr>
      <w:r w:rsidRPr="00A74CC6">
        <w:rPr>
          <w:lang w:val="sv-SE"/>
        </w:rPr>
        <w:t>Läkemedlets utseende och förpackningsstorlekar</w:t>
      </w:r>
    </w:p>
    <w:p w14:paraId="0C3D753C" w14:textId="549D80B3" w:rsidR="005027AB" w:rsidRPr="00A74CC6" w:rsidRDefault="007D1DB2" w:rsidP="00364A49">
      <w:pPr>
        <w:spacing w:after="0" w:line="240" w:lineRule="auto"/>
        <w:ind w:left="4" w:right="13"/>
        <w:contextualSpacing/>
        <w:rPr>
          <w:lang w:val="sv-SE"/>
        </w:rPr>
      </w:pPr>
      <w:r w:rsidRPr="00A74CC6">
        <w:rPr>
          <w:lang w:val="sv-SE"/>
        </w:rPr>
        <w:t xml:space="preserve">KANJINTI </w:t>
      </w:r>
      <w:r w:rsidR="00264096" w:rsidRPr="00A74CC6">
        <w:rPr>
          <w:lang w:val="sv-SE"/>
        </w:rPr>
        <w:t>är ett pulver till koncentrat, lösning</w:t>
      </w:r>
      <w:r w:rsidR="006E5D51" w:rsidRPr="00A74CC6">
        <w:rPr>
          <w:lang w:val="sv-SE"/>
        </w:rPr>
        <w:t>,</w:t>
      </w:r>
      <w:r w:rsidR="00264096" w:rsidRPr="00A74CC6">
        <w:rPr>
          <w:lang w:val="sv-SE"/>
        </w:rPr>
        <w:t xml:space="preserve"> som tillhandahålls i en injektionsflaska av glas med gummipropp </w:t>
      </w:r>
      <w:r w:rsidR="006E5D51" w:rsidRPr="00A74CC6">
        <w:rPr>
          <w:lang w:val="sv-SE"/>
        </w:rPr>
        <w:t>som</w:t>
      </w:r>
      <w:r w:rsidR="00264096" w:rsidRPr="00A74CC6">
        <w:rPr>
          <w:lang w:val="sv-SE"/>
        </w:rPr>
        <w:t xml:space="preserve"> innehåller</w:t>
      </w:r>
      <w:r w:rsidRPr="00A74CC6">
        <w:rPr>
          <w:lang w:val="sv-SE"/>
        </w:rPr>
        <w:t xml:space="preserve"> antingen</w:t>
      </w:r>
      <w:r w:rsidR="00264096" w:rsidRPr="00A74CC6">
        <w:rPr>
          <w:lang w:val="sv-SE"/>
        </w:rPr>
        <w:t xml:space="preserve"> 150</w:t>
      </w:r>
      <w:r w:rsidR="00AB315E" w:rsidRPr="00A74CC6">
        <w:rPr>
          <w:lang w:val="sv-SE"/>
        </w:rPr>
        <w:t> </w:t>
      </w:r>
      <w:r w:rsidR="00264096" w:rsidRPr="00A74CC6">
        <w:rPr>
          <w:lang w:val="sv-SE"/>
        </w:rPr>
        <w:t>mg</w:t>
      </w:r>
      <w:r w:rsidRPr="00A74CC6">
        <w:rPr>
          <w:lang w:val="sv-SE"/>
        </w:rPr>
        <w:t xml:space="preserve"> eller 420 mg</w:t>
      </w:r>
      <w:r w:rsidR="00264096" w:rsidRPr="00A74CC6">
        <w:rPr>
          <w:lang w:val="sv-SE"/>
        </w:rPr>
        <w:t xml:space="preserve"> trastuzumab. Pulvret är frystorkat och vitt- till svagt gulfärgat. Varje kartong innehåller 1</w:t>
      </w:r>
      <w:r w:rsidR="006E5D51" w:rsidRPr="00A74CC6">
        <w:rPr>
          <w:lang w:val="sv-SE"/>
        </w:rPr>
        <w:t> </w:t>
      </w:r>
      <w:r w:rsidR="00264096" w:rsidRPr="00A74CC6">
        <w:rPr>
          <w:lang w:val="sv-SE"/>
        </w:rPr>
        <w:t>injektionsflaska med pulver.</w:t>
      </w:r>
    </w:p>
    <w:p w14:paraId="2CC72815" w14:textId="77777777" w:rsidR="007D1DB2" w:rsidRPr="00A74CC6" w:rsidRDefault="007D1DB2" w:rsidP="00364A49">
      <w:pPr>
        <w:spacing w:after="0" w:line="240" w:lineRule="auto"/>
        <w:ind w:left="4" w:right="13"/>
        <w:contextualSpacing/>
        <w:rPr>
          <w:lang w:val="sv-SE"/>
        </w:rPr>
      </w:pPr>
    </w:p>
    <w:p w14:paraId="6F598AB0" w14:textId="77777777" w:rsidR="007D1DB2" w:rsidRPr="00A74CC6" w:rsidRDefault="007D1DB2" w:rsidP="007D1DB2">
      <w:pPr>
        <w:pStyle w:val="Heading1"/>
        <w:spacing w:after="0" w:line="240" w:lineRule="auto"/>
        <w:ind w:left="11" w:hanging="11"/>
        <w:contextualSpacing/>
        <w:rPr>
          <w:lang w:val="sv-SE"/>
        </w:rPr>
      </w:pPr>
      <w:r w:rsidRPr="00A74CC6">
        <w:rPr>
          <w:lang w:val="sv-SE"/>
        </w:rPr>
        <w:lastRenderedPageBreak/>
        <w:t>Innehavare av godkännande för försäljning och tillverkare</w:t>
      </w:r>
    </w:p>
    <w:p w14:paraId="592A72B4" w14:textId="77777777" w:rsidR="007D1DB2" w:rsidRPr="00A74CC6" w:rsidRDefault="007D1DB2" w:rsidP="008763E6">
      <w:pPr>
        <w:keepNext/>
        <w:spacing w:after="0" w:line="240" w:lineRule="auto"/>
        <w:ind w:right="-1"/>
        <w:rPr>
          <w:lang w:val="sv-SE"/>
        </w:rPr>
      </w:pPr>
      <w:r w:rsidRPr="00A74CC6">
        <w:rPr>
          <w:lang w:val="sv-SE"/>
        </w:rPr>
        <w:t>Amgen Europe B.V.</w:t>
      </w:r>
    </w:p>
    <w:p w14:paraId="4C7F4B77" w14:textId="395F4538" w:rsidR="007D1DB2" w:rsidRPr="00A74CC6" w:rsidRDefault="007D1DB2" w:rsidP="008763E6">
      <w:pPr>
        <w:keepNext/>
        <w:spacing w:after="0" w:line="240" w:lineRule="auto"/>
        <w:ind w:right="-1"/>
        <w:rPr>
          <w:lang w:val="sv-SE"/>
        </w:rPr>
      </w:pPr>
      <w:r w:rsidRPr="00A74CC6">
        <w:rPr>
          <w:lang w:val="sv-SE"/>
        </w:rPr>
        <w:t>Minervum 7061</w:t>
      </w:r>
    </w:p>
    <w:p w14:paraId="4A7EF989" w14:textId="16EF484B" w:rsidR="007D1DB2" w:rsidRPr="00A74CC6" w:rsidRDefault="007D1DB2" w:rsidP="008763E6">
      <w:pPr>
        <w:keepNext/>
        <w:spacing w:after="0" w:line="240" w:lineRule="auto"/>
        <w:ind w:right="-1"/>
        <w:rPr>
          <w:lang w:val="sv-SE"/>
        </w:rPr>
      </w:pPr>
      <w:r w:rsidRPr="00A74CC6">
        <w:rPr>
          <w:lang w:val="sv-SE"/>
        </w:rPr>
        <w:t>NL</w:t>
      </w:r>
      <w:r w:rsidRPr="00A74CC6">
        <w:rPr>
          <w:lang w:val="sv-SE"/>
        </w:rPr>
        <w:noBreakHyphen/>
        <w:t>4817 ZK Breda</w:t>
      </w:r>
    </w:p>
    <w:p w14:paraId="0437C66E" w14:textId="77777777" w:rsidR="007D1DB2" w:rsidRPr="00A74CC6" w:rsidRDefault="007D1DB2" w:rsidP="008763E6">
      <w:pPr>
        <w:pStyle w:val="CM2"/>
        <w:widowControl/>
        <w:spacing w:line="240" w:lineRule="auto"/>
        <w:rPr>
          <w:lang w:val="sv-SE"/>
        </w:rPr>
      </w:pPr>
      <w:r w:rsidRPr="00A74CC6">
        <w:rPr>
          <w:sz w:val="22"/>
          <w:szCs w:val="22"/>
          <w:lang w:val="sv-SE" w:eastAsia="en-US"/>
        </w:rPr>
        <w:t>Nederländerna</w:t>
      </w:r>
    </w:p>
    <w:p w14:paraId="67F77617" w14:textId="66763E3D" w:rsidR="00186923" w:rsidRDefault="00186923" w:rsidP="00364A49">
      <w:pPr>
        <w:spacing w:after="0" w:line="240" w:lineRule="auto"/>
        <w:ind w:left="4" w:right="13"/>
        <w:contextualSpacing/>
        <w:rPr>
          <w:lang w:val="sv-SE"/>
        </w:rPr>
      </w:pPr>
    </w:p>
    <w:p w14:paraId="39ECDC8C" w14:textId="77777777" w:rsidR="009A581D" w:rsidRDefault="009A581D" w:rsidP="009A581D">
      <w:pPr>
        <w:keepNext/>
        <w:tabs>
          <w:tab w:val="left" w:pos="567"/>
        </w:tabs>
        <w:spacing w:after="0" w:line="240" w:lineRule="auto"/>
        <w:ind w:left="0" w:right="-1" w:firstLine="0"/>
        <w:rPr>
          <w:b/>
          <w:color w:val="auto"/>
          <w:szCs w:val="20"/>
          <w:highlight w:val="lightGray"/>
          <w:lang w:val="sv-SE"/>
        </w:rPr>
      </w:pPr>
      <w:r>
        <w:rPr>
          <w:b/>
          <w:color w:val="auto"/>
          <w:szCs w:val="20"/>
          <w:highlight w:val="lightGray"/>
          <w:lang w:val="sv-SE"/>
        </w:rPr>
        <w:t xml:space="preserve">Innehavare av godkännande för försäljning </w:t>
      </w:r>
    </w:p>
    <w:p w14:paraId="4ED5BA1B" w14:textId="208FCE76" w:rsidR="009A581D" w:rsidRDefault="009A581D" w:rsidP="009A581D">
      <w:pPr>
        <w:keepNext/>
        <w:tabs>
          <w:tab w:val="left" w:pos="567"/>
        </w:tabs>
        <w:spacing w:after="0" w:line="240" w:lineRule="auto"/>
        <w:ind w:left="0" w:right="-1" w:firstLine="0"/>
        <w:rPr>
          <w:color w:val="auto"/>
          <w:szCs w:val="20"/>
          <w:highlight w:val="lightGray"/>
          <w:lang w:val="sv-SE"/>
        </w:rPr>
      </w:pPr>
      <w:r>
        <w:rPr>
          <w:color w:val="auto"/>
          <w:szCs w:val="20"/>
          <w:highlight w:val="lightGray"/>
          <w:lang w:val="sv-SE"/>
        </w:rPr>
        <w:t>Amgen Europe B.V</w:t>
      </w:r>
    </w:p>
    <w:p w14:paraId="78517014" w14:textId="74B51BA4" w:rsidR="009A581D" w:rsidRDefault="009A581D" w:rsidP="009A581D">
      <w:pPr>
        <w:keepNext/>
        <w:tabs>
          <w:tab w:val="left" w:pos="567"/>
        </w:tabs>
        <w:spacing w:after="0" w:line="240" w:lineRule="auto"/>
        <w:ind w:left="0" w:right="-1" w:firstLine="0"/>
        <w:rPr>
          <w:color w:val="auto"/>
          <w:szCs w:val="20"/>
          <w:highlight w:val="lightGray"/>
          <w:lang w:val="sv-SE"/>
        </w:rPr>
      </w:pPr>
      <w:r>
        <w:rPr>
          <w:color w:val="auto"/>
          <w:szCs w:val="20"/>
          <w:highlight w:val="lightGray"/>
          <w:lang w:val="sv-SE"/>
        </w:rPr>
        <w:t>Minervum 7061</w:t>
      </w:r>
    </w:p>
    <w:p w14:paraId="67459A09" w14:textId="62F25DD5" w:rsidR="009A581D" w:rsidRDefault="009A581D" w:rsidP="009A581D">
      <w:pPr>
        <w:keepNext/>
        <w:tabs>
          <w:tab w:val="left" w:pos="567"/>
        </w:tabs>
        <w:spacing w:after="0" w:line="240" w:lineRule="auto"/>
        <w:ind w:left="0" w:right="-1" w:firstLine="0"/>
        <w:rPr>
          <w:color w:val="auto"/>
          <w:szCs w:val="20"/>
          <w:highlight w:val="lightGray"/>
          <w:lang w:val="sv-SE"/>
        </w:rPr>
      </w:pPr>
      <w:r>
        <w:rPr>
          <w:color w:val="auto"/>
          <w:szCs w:val="20"/>
          <w:highlight w:val="lightGray"/>
          <w:lang w:val="sv-SE"/>
        </w:rPr>
        <w:t>NL-4817 ZK Breda</w:t>
      </w:r>
    </w:p>
    <w:p w14:paraId="613E9BD3" w14:textId="6DF77D3B" w:rsidR="009A581D" w:rsidRDefault="009A581D" w:rsidP="009A581D">
      <w:pPr>
        <w:spacing w:after="0" w:line="240" w:lineRule="auto"/>
        <w:ind w:left="4" w:right="13"/>
        <w:contextualSpacing/>
        <w:rPr>
          <w:color w:val="auto"/>
          <w:szCs w:val="20"/>
          <w:highlight w:val="lightGray"/>
          <w:lang w:val="sv-SE"/>
        </w:rPr>
      </w:pPr>
      <w:r>
        <w:rPr>
          <w:color w:val="auto"/>
          <w:szCs w:val="20"/>
          <w:highlight w:val="lightGray"/>
          <w:lang w:val="sv-SE"/>
        </w:rPr>
        <w:t>Nederländerna</w:t>
      </w:r>
    </w:p>
    <w:p w14:paraId="4A8C38D8" w14:textId="5F08AB96" w:rsidR="009A581D" w:rsidRDefault="009A581D" w:rsidP="009A581D">
      <w:pPr>
        <w:spacing w:after="0" w:line="240" w:lineRule="auto"/>
        <w:ind w:left="4" w:right="13"/>
        <w:contextualSpacing/>
        <w:rPr>
          <w:highlight w:val="lightGray"/>
          <w:lang w:val="sv-SE"/>
        </w:rPr>
      </w:pPr>
    </w:p>
    <w:p w14:paraId="5144372F" w14:textId="77777777" w:rsidR="009A581D" w:rsidRDefault="009A581D">
      <w:pPr>
        <w:keepNext/>
        <w:kinsoku w:val="0"/>
        <w:overflowPunct w:val="0"/>
        <w:spacing w:after="0" w:line="240" w:lineRule="auto"/>
        <w:ind w:left="0" w:firstLine="0"/>
        <w:rPr>
          <w:b/>
          <w:highlight w:val="lightGray"/>
          <w:lang w:val="sv-SE"/>
        </w:rPr>
      </w:pPr>
      <w:r>
        <w:rPr>
          <w:b/>
          <w:highlight w:val="lightGray"/>
          <w:lang w:val="sv-SE"/>
        </w:rPr>
        <w:t>Tillverkare</w:t>
      </w:r>
    </w:p>
    <w:p w14:paraId="4590F8FD" w14:textId="04CDF276" w:rsidR="009A581D" w:rsidRDefault="009A581D" w:rsidP="00CE0099">
      <w:pPr>
        <w:keepNext/>
        <w:autoSpaceDE w:val="0"/>
        <w:autoSpaceDN w:val="0"/>
        <w:adjustRightInd w:val="0"/>
        <w:spacing w:after="0" w:line="240" w:lineRule="auto"/>
        <w:ind w:right="120" w:hanging="6"/>
        <w:rPr>
          <w:highlight w:val="lightGray"/>
          <w:lang w:val="sv-SE"/>
        </w:rPr>
      </w:pPr>
      <w:r>
        <w:rPr>
          <w:highlight w:val="lightGray"/>
          <w:lang w:val="sv-SE"/>
        </w:rPr>
        <w:t>Amgen NV</w:t>
      </w:r>
    </w:p>
    <w:p w14:paraId="65ACDD2C" w14:textId="3C257A34" w:rsidR="009A581D" w:rsidRDefault="009A581D" w:rsidP="00CE0099">
      <w:pPr>
        <w:keepNext/>
        <w:autoSpaceDE w:val="0"/>
        <w:autoSpaceDN w:val="0"/>
        <w:adjustRightInd w:val="0"/>
        <w:spacing w:after="0" w:line="240" w:lineRule="auto"/>
        <w:ind w:right="120" w:hanging="6"/>
        <w:rPr>
          <w:highlight w:val="lightGray"/>
          <w:lang w:val="sv-SE"/>
        </w:rPr>
      </w:pPr>
      <w:r>
        <w:rPr>
          <w:highlight w:val="lightGray"/>
          <w:lang w:val="sv-SE"/>
        </w:rPr>
        <w:t>Telecomlaan 5-7</w:t>
      </w:r>
    </w:p>
    <w:p w14:paraId="33ADC3F7" w14:textId="2C43B28C" w:rsidR="009A581D" w:rsidRDefault="009A581D" w:rsidP="00CE0099">
      <w:pPr>
        <w:keepNext/>
        <w:autoSpaceDE w:val="0"/>
        <w:autoSpaceDN w:val="0"/>
        <w:adjustRightInd w:val="0"/>
        <w:spacing w:after="0" w:line="240" w:lineRule="auto"/>
        <w:ind w:right="120" w:hanging="6"/>
        <w:rPr>
          <w:highlight w:val="lightGray"/>
          <w:lang w:val="sv-SE"/>
        </w:rPr>
      </w:pPr>
      <w:r>
        <w:rPr>
          <w:highlight w:val="lightGray"/>
          <w:lang w:val="sv-SE"/>
        </w:rPr>
        <w:t>1831 Diegem</w:t>
      </w:r>
    </w:p>
    <w:p w14:paraId="6AAB8618" w14:textId="67FB9F20" w:rsidR="009A581D" w:rsidRDefault="009A581D" w:rsidP="00CE0099">
      <w:pPr>
        <w:keepNext/>
        <w:spacing w:after="0" w:line="240" w:lineRule="auto"/>
        <w:ind w:left="4" w:right="13" w:hanging="6"/>
        <w:contextualSpacing/>
        <w:rPr>
          <w:highlight w:val="lightGray"/>
          <w:lang w:val="sv-SE"/>
        </w:rPr>
      </w:pPr>
      <w:r>
        <w:rPr>
          <w:highlight w:val="lightGray"/>
          <w:lang w:val="sv-SE"/>
        </w:rPr>
        <w:t>Belgien</w:t>
      </w:r>
    </w:p>
    <w:p w14:paraId="3B148D8E" w14:textId="77777777" w:rsidR="009A581D" w:rsidRPr="00A74CC6" w:rsidRDefault="009A581D" w:rsidP="009A581D">
      <w:pPr>
        <w:spacing w:after="0" w:line="240" w:lineRule="auto"/>
        <w:ind w:left="4" w:right="13"/>
        <w:contextualSpacing/>
        <w:rPr>
          <w:lang w:val="sv-SE"/>
        </w:rPr>
      </w:pPr>
    </w:p>
    <w:p w14:paraId="3B2CD541" w14:textId="3F83EBB4" w:rsidR="009147BB" w:rsidRPr="004A019F" w:rsidRDefault="002F43D5" w:rsidP="00EA2F1D">
      <w:pPr>
        <w:keepNext/>
        <w:spacing w:after="0" w:line="240" w:lineRule="auto"/>
        <w:ind w:left="17" w:hanging="6"/>
        <w:contextualSpacing/>
        <w:rPr>
          <w:rFonts w:ascii="TimesNewRomanPSMT" w:eastAsia="Yu Mincho" w:hAnsi="TimesNewRomanPSMT" w:cs="TimesNewRomanPSMT"/>
          <w:color w:val="auto"/>
          <w:lang w:val="sv-SE"/>
        </w:rPr>
      </w:pPr>
      <w:r w:rsidRPr="004A019F">
        <w:rPr>
          <w:rFonts w:ascii="TimesNewRomanPSMT" w:eastAsia="Yu Mincho" w:hAnsi="TimesNewRomanPSMT" w:cs="TimesNewRomanPSMT"/>
          <w:color w:val="auto"/>
          <w:lang w:val="sv-SE"/>
        </w:rPr>
        <w:t>Kontakta ombudet för innehavaren av godkännandet för försäljning om du vill veta mer om detta</w:t>
      </w:r>
      <w:r w:rsidR="005E1172" w:rsidRPr="004A019F">
        <w:rPr>
          <w:rFonts w:ascii="TimesNewRomanPSMT" w:eastAsia="Yu Mincho" w:hAnsi="TimesNewRomanPSMT" w:cs="TimesNewRomanPSMT"/>
          <w:color w:val="auto"/>
          <w:lang w:val="sv-SE"/>
        </w:rPr>
        <w:t xml:space="preserve"> </w:t>
      </w:r>
      <w:r w:rsidRPr="004A019F">
        <w:rPr>
          <w:rFonts w:ascii="TimesNewRomanPSMT" w:eastAsia="Yu Mincho" w:hAnsi="TimesNewRomanPSMT" w:cs="TimesNewRomanPSMT"/>
          <w:color w:val="auto"/>
          <w:lang w:val="sv-SE"/>
        </w:rPr>
        <w:t>läkemedel:</w:t>
      </w:r>
    </w:p>
    <w:p w14:paraId="42F63141" w14:textId="77777777" w:rsidR="008316FE" w:rsidRPr="00A74CC6" w:rsidRDefault="008316FE" w:rsidP="00EA2F1D">
      <w:pPr>
        <w:keepNext/>
        <w:spacing w:after="0" w:line="240" w:lineRule="auto"/>
        <w:ind w:left="17" w:hanging="6"/>
        <w:contextualSpacing/>
        <w:rPr>
          <w:lang w:val="sv-SE"/>
        </w:rPr>
      </w:pPr>
    </w:p>
    <w:tbl>
      <w:tblPr>
        <w:tblW w:w="9328" w:type="dxa"/>
        <w:tblInd w:w="108" w:type="dxa"/>
        <w:tblLook w:val="04A0" w:firstRow="1" w:lastRow="0" w:firstColumn="1" w:lastColumn="0" w:noHBand="0" w:noVBand="1"/>
      </w:tblPr>
      <w:tblGrid>
        <w:gridCol w:w="4649"/>
        <w:gridCol w:w="4679"/>
      </w:tblGrid>
      <w:tr w:rsidR="007D1DB2" w:rsidRPr="00B96B39" w14:paraId="4170BD12" w14:textId="77777777" w:rsidTr="00560848">
        <w:trPr>
          <w:cantSplit/>
        </w:trPr>
        <w:tc>
          <w:tcPr>
            <w:tcW w:w="4649" w:type="dxa"/>
            <w:shd w:val="clear" w:color="auto" w:fill="auto"/>
          </w:tcPr>
          <w:p w14:paraId="41FE01F8" w14:textId="77777777" w:rsidR="007D1DB2" w:rsidRPr="00B96B39" w:rsidRDefault="007D1DB2" w:rsidP="007D1DB2">
            <w:pPr>
              <w:pStyle w:val="lbltxt"/>
              <w:rPr>
                <w:noProof w:val="0"/>
                <w:szCs w:val="22"/>
                <w:lang w:val="fr-FR"/>
              </w:rPr>
            </w:pPr>
            <w:proofErr w:type="spellStart"/>
            <w:r w:rsidRPr="00B96B39">
              <w:rPr>
                <w:b/>
                <w:noProof w:val="0"/>
                <w:szCs w:val="22"/>
                <w:lang w:val="fr-FR"/>
              </w:rPr>
              <w:t>België</w:t>
            </w:r>
            <w:proofErr w:type="spellEnd"/>
            <w:r w:rsidRPr="00B96B39">
              <w:rPr>
                <w:b/>
                <w:noProof w:val="0"/>
                <w:szCs w:val="22"/>
                <w:lang w:val="fr-FR"/>
              </w:rPr>
              <w:t>/Belgique/</w:t>
            </w:r>
            <w:proofErr w:type="spellStart"/>
            <w:r w:rsidRPr="00B96B39">
              <w:rPr>
                <w:b/>
                <w:noProof w:val="0"/>
                <w:szCs w:val="22"/>
                <w:lang w:val="fr-FR"/>
              </w:rPr>
              <w:t>Belgien</w:t>
            </w:r>
            <w:proofErr w:type="spellEnd"/>
          </w:p>
          <w:p w14:paraId="489E5B63" w14:textId="77777777" w:rsidR="007D1DB2" w:rsidRPr="00B96B39" w:rsidRDefault="007D1DB2" w:rsidP="007D1DB2">
            <w:pPr>
              <w:pStyle w:val="lbltxt"/>
              <w:rPr>
                <w:noProof w:val="0"/>
                <w:szCs w:val="22"/>
                <w:lang w:val="fr-FR"/>
              </w:rPr>
            </w:pPr>
            <w:proofErr w:type="spellStart"/>
            <w:r w:rsidRPr="00B96B39">
              <w:rPr>
                <w:noProof w:val="0"/>
                <w:szCs w:val="22"/>
                <w:lang w:val="fr-FR"/>
              </w:rPr>
              <w:t>s.a.</w:t>
            </w:r>
            <w:proofErr w:type="spellEnd"/>
            <w:r w:rsidRPr="00B96B39">
              <w:rPr>
                <w:noProof w:val="0"/>
                <w:szCs w:val="22"/>
                <w:lang w:val="fr-FR"/>
              </w:rPr>
              <w:t xml:space="preserve"> Amgen </w:t>
            </w:r>
            <w:proofErr w:type="spellStart"/>
            <w:r w:rsidRPr="00B96B39">
              <w:rPr>
                <w:noProof w:val="0"/>
                <w:szCs w:val="22"/>
                <w:lang w:val="fr-FR"/>
              </w:rPr>
              <w:t>n.v</w:t>
            </w:r>
            <w:proofErr w:type="spellEnd"/>
            <w:r w:rsidRPr="00B96B39">
              <w:rPr>
                <w:noProof w:val="0"/>
                <w:szCs w:val="22"/>
                <w:lang w:val="fr-FR"/>
              </w:rPr>
              <w:t>.</w:t>
            </w:r>
          </w:p>
          <w:p w14:paraId="7E24CC10" w14:textId="77777777" w:rsidR="007D1DB2" w:rsidRPr="00B96B39" w:rsidRDefault="007D1DB2" w:rsidP="008763E6">
            <w:pPr>
              <w:spacing w:after="0" w:line="240" w:lineRule="auto"/>
              <w:rPr>
                <w:lang w:val="sv-SE"/>
              </w:rPr>
            </w:pPr>
            <w:r w:rsidRPr="00B96B39">
              <w:rPr>
                <w:lang w:val="sv-SE"/>
              </w:rPr>
              <w:t>Tel/Tél: +32 (0)2 7752711</w:t>
            </w:r>
          </w:p>
          <w:p w14:paraId="64B57F9D" w14:textId="77777777" w:rsidR="007D1DB2" w:rsidRPr="00B96B39" w:rsidRDefault="007D1DB2" w:rsidP="008763E6">
            <w:pPr>
              <w:spacing w:after="0" w:line="240" w:lineRule="auto"/>
              <w:rPr>
                <w:lang w:val="sv-SE"/>
              </w:rPr>
            </w:pPr>
          </w:p>
        </w:tc>
        <w:tc>
          <w:tcPr>
            <w:tcW w:w="4679" w:type="dxa"/>
            <w:shd w:val="clear" w:color="auto" w:fill="auto"/>
          </w:tcPr>
          <w:p w14:paraId="21EDA957" w14:textId="77777777" w:rsidR="007D1DB2" w:rsidRPr="00B96B39" w:rsidRDefault="007D1DB2" w:rsidP="007D1DB2">
            <w:pPr>
              <w:pStyle w:val="lbltxt"/>
              <w:rPr>
                <w:b/>
                <w:noProof w:val="0"/>
                <w:szCs w:val="22"/>
                <w:lang w:val="sv-SE"/>
              </w:rPr>
            </w:pPr>
            <w:r w:rsidRPr="00B96B39">
              <w:rPr>
                <w:b/>
                <w:noProof w:val="0"/>
                <w:szCs w:val="22"/>
                <w:lang w:val="sv-SE"/>
              </w:rPr>
              <w:t>Lietuva</w:t>
            </w:r>
          </w:p>
          <w:p w14:paraId="35863963" w14:textId="77777777" w:rsidR="007D1DB2" w:rsidRPr="00B96B39" w:rsidRDefault="007D1DB2" w:rsidP="007D1DB2">
            <w:pPr>
              <w:pStyle w:val="lbltxt"/>
              <w:rPr>
                <w:bCs/>
                <w:noProof w:val="0"/>
                <w:szCs w:val="22"/>
                <w:lang w:val="sv-SE"/>
              </w:rPr>
            </w:pPr>
            <w:r w:rsidRPr="00B96B39">
              <w:rPr>
                <w:noProof w:val="0"/>
                <w:szCs w:val="22"/>
                <w:lang w:val="sv-SE"/>
              </w:rPr>
              <w:t>Amgen Switzerland AG Vilniaus filialas</w:t>
            </w:r>
          </w:p>
          <w:p w14:paraId="79544914" w14:textId="01C99B6E" w:rsidR="007D1DB2" w:rsidRPr="00B96B39" w:rsidRDefault="007D1DB2" w:rsidP="007D1DB2">
            <w:pPr>
              <w:pStyle w:val="lbltxt"/>
              <w:rPr>
                <w:bCs/>
                <w:noProof w:val="0"/>
                <w:szCs w:val="22"/>
                <w:lang w:val="sv-SE"/>
              </w:rPr>
            </w:pPr>
            <w:r w:rsidRPr="00B96B39">
              <w:rPr>
                <w:bCs/>
                <w:noProof w:val="0"/>
                <w:szCs w:val="22"/>
                <w:lang w:val="sv-SE"/>
              </w:rPr>
              <w:t>Tel: +370 5 219 7474</w:t>
            </w:r>
          </w:p>
          <w:p w14:paraId="3184745C" w14:textId="77777777" w:rsidR="007D1DB2" w:rsidRPr="00B96B39" w:rsidRDefault="007D1DB2" w:rsidP="008763E6">
            <w:pPr>
              <w:spacing w:after="0" w:line="240" w:lineRule="auto"/>
              <w:rPr>
                <w:lang w:val="sv-SE"/>
              </w:rPr>
            </w:pPr>
          </w:p>
        </w:tc>
      </w:tr>
      <w:tr w:rsidR="007D1DB2" w:rsidRPr="00B96B39" w14:paraId="228A6C7D" w14:textId="77777777" w:rsidTr="00560848">
        <w:trPr>
          <w:cantSplit/>
        </w:trPr>
        <w:tc>
          <w:tcPr>
            <w:tcW w:w="4649" w:type="dxa"/>
            <w:shd w:val="clear" w:color="auto" w:fill="auto"/>
          </w:tcPr>
          <w:p w14:paraId="1D12389A" w14:textId="77777777" w:rsidR="007D1DB2" w:rsidRPr="003C6A9E" w:rsidRDefault="007D1DB2" w:rsidP="008763E6">
            <w:pPr>
              <w:autoSpaceDE w:val="0"/>
              <w:autoSpaceDN w:val="0"/>
              <w:adjustRightInd w:val="0"/>
              <w:spacing w:after="0" w:line="240" w:lineRule="auto"/>
              <w:rPr>
                <w:rFonts w:eastAsia="Arial Unicode MS"/>
                <w:b/>
                <w:bCs/>
                <w:lang w:val="ru-RU"/>
              </w:rPr>
            </w:pPr>
            <w:r w:rsidRPr="003C6A9E">
              <w:rPr>
                <w:rFonts w:eastAsia="Arial Unicode MS"/>
                <w:b/>
                <w:bCs/>
                <w:lang w:val="ru-RU"/>
              </w:rPr>
              <w:t>България</w:t>
            </w:r>
          </w:p>
          <w:p w14:paraId="5F123659" w14:textId="77777777" w:rsidR="007D1DB2" w:rsidRPr="003C6A9E" w:rsidRDefault="007D1DB2" w:rsidP="007D1DB2">
            <w:pPr>
              <w:pStyle w:val="lbltxt"/>
              <w:rPr>
                <w:rFonts w:eastAsia="Arial Unicode MS"/>
                <w:noProof w:val="0"/>
                <w:szCs w:val="22"/>
                <w:lang w:val="ru-RU" w:eastAsia="en-GB"/>
              </w:rPr>
            </w:pPr>
            <w:r w:rsidRPr="003C6A9E">
              <w:rPr>
                <w:rFonts w:eastAsia="Arial Unicode MS"/>
                <w:noProof w:val="0"/>
                <w:szCs w:val="22"/>
                <w:lang w:val="ru-RU" w:eastAsia="en-GB"/>
              </w:rPr>
              <w:t>Амджен България ЕООД</w:t>
            </w:r>
          </w:p>
          <w:p w14:paraId="58BBDC55" w14:textId="77777777" w:rsidR="007D1DB2" w:rsidRPr="003C6A9E" w:rsidRDefault="007D1DB2" w:rsidP="007D1DB2">
            <w:pPr>
              <w:pStyle w:val="lbltxt"/>
              <w:rPr>
                <w:rFonts w:eastAsia="Arial Unicode MS"/>
                <w:bCs/>
                <w:noProof w:val="0"/>
                <w:szCs w:val="22"/>
                <w:lang w:val="ru-RU"/>
              </w:rPr>
            </w:pPr>
            <w:r w:rsidRPr="003C6A9E">
              <w:rPr>
                <w:rFonts w:eastAsia="Arial Unicode MS"/>
                <w:noProof w:val="0"/>
                <w:szCs w:val="22"/>
                <w:lang w:val="ru-RU" w:eastAsia="en-GB"/>
              </w:rPr>
              <w:t xml:space="preserve">Тел.: +359 </w:t>
            </w:r>
            <w:r w:rsidRPr="003C6A9E">
              <w:rPr>
                <w:rFonts w:eastAsia="Arial Unicode MS"/>
                <w:bCs/>
                <w:noProof w:val="0"/>
                <w:szCs w:val="22"/>
                <w:lang w:val="ru-RU"/>
              </w:rPr>
              <w:t>(0)2</w:t>
            </w:r>
            <w:r w:rsidRPr="00B96B39">
              <w:rPr>
                <w:rFonts w:eastAsia="Arial Unicode MS"/>
                <w:bCs/>
                <w:noProof w:val="0"/>
                <w:szCs w:val="22"/>
                <w:lang w:val="en-US"/>
              </w:rPr>
              <w:t> </w:t>
            </w:r>
            <w:r w:rsidRPr="003C6A9E">
              <w:rPr>
                <w:rFonts w:eastAsia="Arial Unicode MS"/>
                <w:bCs/>
                <w:noProof w:val="0"/>
                <w:szCs w:val="22"/>
                <w:lang w:val="ru-RU"/>
              </w:rPr>
              <w:t>424 7440</w:t>
            </w:r>
          </w:p>
          <w:p w14:paraId="3A008737" w14:textId="77777777" w:rsidR="007D1DB2" w:rsidRPr="003C6A9E" w:rsidRDefault="007D1DB2" w:rsidP="008763E6">
            <w:pPr>
              <w:spacing w:after="0" w:line="240" w:lineRule="auto"/>
              <w:rPr>
                <w:lang w:val="ru-RU"/>
              </w:rPr>
            </w:pPr>
          </w:p>
        </w:tc>
        <w:tc>
          <w:tcPr>
            <w:tcW w:w="4679" w:type="dxa"/>
            <w:shd w:val="clear" w:color="auto" w:fill="auto"/>
          </w:tcPr>
          <w:p w14:paraId="415016C2" w14:textId="77777777" w:rsidR="007D1DB2" w:rsidRPr="00B96B39" w:rsidRDefault="007D1DB2" w:rsidP="007D1DB2">
            <w:pPr>
              <w:pStyle w:val="lbltxt"/>
              <w:rPr>
                <w:noProof w:val="0"/>
                <w:szCs w:val="22"/>
                <w:lang w:val="de-DE"/>
              </w:rPr>
            </w:pPr>
            <w:r w:rsidRPr="00B96B39">
              <w:rPr>
                <w:b/>
                <w:noProof w:val="0"/>
                <w:szCs w:val="22"/>
                <w:lang w:val="de-DE"/>
              </w:rPr>
              <w:t>Luxembourg/Luxemburg</w:t>
            </w:r>
          </w:p>
          <w:p w14:paraId="3885D8C8" w14:textId="77777777" w:rsidR="007D1DB2" w:rsidRPr="00B96B39" w:rsidRDefault="007D1DB2" w:rsidP="007D1DB2">
            <w:pPr>
              <w:pStyle w:val="lbltxt"/>
              <w:rPr>
                <w:noProof w:val="0"/>
                <w:szCs w:val="22"/>
                <w:lang w:val="de-DE"/>
              </w:rPr>
            </w:pPr>
            <w:r w:rsidRPr="00B96B39">
              <w:rPr>
                <w:noProof w:val="0"/>
                <w:szCs w:val="22"/>
                <w:lang w:val="de-DE"/>
              </w:rPr>
              <w:t xml:space="preserve">s.a. Amgen </w:t>
            </w:r>
          </w:p>
          <w:p w14:paraId="01DA555D" w14:textId="77777777" w:rsidR="007D1DB2" w:rsidRPr="00B96B39" w:rsidRDefault="007D1DB2" w:rsidP="007D1DB2">
            <w:pPr>
              <w:pStyle w:val="lbltxt"/>
              <w:rPr>
                <w:noProof w:val="0"/>
                <w:szCs w:val="22"/>
                <w:lang w:val="de-DE"/>
              </w:rPr>
            </w:pPr>
            <w:r w:rsidRPr="00B96B39">
              <w:rPr>
                <w:noProof w:val="0"/>
                <w:szCs w:val="22"/>
                <w:lang w:val="de-DE"/>
              </w:rPr>
              <w:t>Belgique/Belgien</w:t>
            </w:r>
          </w:p>
          <w:p w14:paraId="3009890F" w14:textId="77777777" w:rsidR="007D1DB2" w:rsidRPr="00B96B39" w:rsidRDefault="007D1DB2" w:rsidP="007D1DB2">
            <w:pPr>
              <w:pStyle w:val="lbltxt"/>
              <w:rPr>
                <w:noProof w:val="0"/>
                <w:szCs w:val="22"/>
                <w:lang w:val="fr-FR"/>
              </w:rPr>
            </w:pPr>
            <w:r w:rsidRPr="00B96B39">
              <w:rPr>
                <w:noProof w:val="0"/>
                <w:szCs w:val="22"/>
                <w:lang w:val="fr-FR"/>
              </w:rPr>
              <w:t>Tel/</w:t>
            </w:r>
            <w:proofErr w:type="gramStart"/>
            <w:r w:rsidRPr="00B96B39">
              <w:rPr>
                <w:noProof w:val="0"/>
                <w:szCs w:val="22"/>
                <w:lang w:val="fr-FR"/>
              </w:rPr>
              <w:t>Tél:</w:t>
            </w:r>
            <w:proofErr w:type="gramEnd"/>
            <w:r w:rsidRPr="00B96B39">
              <w:rPr>
                <w:noProof w:val="0"/>
                <w:szCs w:val="22"/>
                <w:lang w:val="fr-FR"/>
              </w:rPr>
              <w:t xml:space="preserve"> +32 (0)2 7752711</w:t>
            </w:r>
          </w:p>
          <w:p w14:paraId="78DBC7BC" w14:textId="77777777" w:rsidR="007D1DB2" w:rsidRPr="00B96B39" w:rsidRDefault="007D1DB2" w:rsidP="008763E6">
            <w:pPr>
              <w:spacing w:after="0" w:line="240" w:lineRule="auto"/>
              <w:rPr>
                <w:lang w:val="fr-FR"/>
              </w:rPr>
            </w:pPr>
          </w:p>
        </w:tc>
      </w:tr>
      <w:tr w:rsidR="007D1DB2" w:rsidRPr="00B96B39" w14:paraId="714A543B" w14:textId="77777777" w:rsidTr="00560848">
        <w:trPr>
          <w:cantSplit/>
        </w:trPr>
        <w:tc>
          <w:tcPr>
            <w:tcW w:w="4649" w:type="dxa"/>
            <w:shd w:val="clear" w:color="auto" w:fill="auto"/>
          </w:tcPr>
          <w:p w14:paraId="3370AE2F" w14:textId="77777777" w:rsidR="007D1DB2" w:rsidRPr="00B96B39" w:rsidRDefault="007D1DB2" w:rsidP="007D1DB2">
            <w:pPr>
              <w:pStyle w:val="lbltxt"/>
              <w:rPr>
                <w:b/>
                <w:noProof w:val="0"/>
                <w:szCs w:val="22"/>
                <w:lang w:val="sv-SE"/>
              </w:rPr>
            </w:pPr>
            <w:r w:rsidRPr="00B96B39">
              <w:rPr>
                <w:b/>
                <w:noProof w:val="0"/>
                <w:szCs w:val="22"/>
                <w:lang w:val="sv-SE"/>
              </w:rPr>
              <w:t>Česká republika</w:t>
            </w:r>
          </w:p>
          <w:p w14:paraId="04D71273" w14:textId="77777777" w:rsidR="007D1DB2" w:rsidRPr="00B96B39" w:rsidRDefault="007D1DB2" w:rsidP="007D1DB2">
            <w:pPr>
              <w:pStyle w:val="lbltxt"/>
              <w:rPr>
                <w:bCs/>
                <w:noProof w:val="0"/>
                <w:szCs w:val="22"/>
                <w:lang w:val="sv-SE"/>
              </w:rPr>
            </w:pPr>
            <w:r w:rsidRPr="00B96B39">
              <w:rPr>
                <w:bCs/>
                <w:noProof w:val="0"/>
                <w:szCs w:val="22"/>
                <w:lang w:val="sv-SE"/>
              </w:rPr>
              <w:t>Amgen s.r.o.</w:t>
            </w:r>
          </w:p>
          <w:p w14:paraId="49EB834B" w14:textId="77777777" w:rsidR="007D1DB2" w:rsidRPr="00B96B39" w:rsidRDefault="007D1DB2" w:rsidP="007D1DB2">
            <w:pPr>
              <w:pStyle w:val="lbltxt"/>
              <w:rPr>
                <w:bCs/>
                <w:noProof w:val="0"/>
                <w:szCs w:val="22"/>
                <w:lang w:val="sv-SE"/>
              </w:rPr>
            </w:pPr>
            <w:r w:rsidRPr="00B96B39">
              <w:rPr>
                <w:bCs/>
                <w:noProof w:val="0"/>
                <w:szCs w:val="22"/>
                <w:lang w:val="sv-SE"/>
              </w:rPr>
              <w:t>Tel: +420 221 773 500</w:t>
            </w:r>
          </w:p>
          <w:p w14:paraId="6B18B2F4" w14:textId="77777777" w:rsidR="007D1DB2" w:rsidRPr="00B96B39" w:rsidRDefault="007D1DB2" w:rsidP="008763E6">
            <w:pPr>
              <w:spacing w:after="0" w:line="240" w:lineRule="auto"/>
              <w:rPr>
                <w:lang w:val="sv-SE"/>
              </w:rPr>
            </w:pPr>
          </w:p>
        </w:tc>
        <w:tc>
          <w:tcPr>
            <w:tcW w:w="4679" w:type="dxa"/>
            <w:shd w:val="clear" w:color="auto" w:fill="auto"/>
          </w:tcPr>
          <w:p w14:paraId="2D962B42" w14:textId="77777777" w:rsidR="007D1DB2" w:rsidRPr="00B96B39" w:rsidRDefault="007D1DB2" w:rsidP="007D1DB2">
            <w:pPr>
              <w:pStyle w:val="lbltxt"/>
              <w:rPr>
                <w:b/>
                <w:noProof w:val="0"/>
                <w:szCs w:val="22"/>
                <w:lang w:val="sv-SE"/>
              </w:rPr>
            </w:pPr>
            <w:r w:rsidRPr="00B96B39">
              <w:rPr>
                <w:b/>
                <w:noProof w:val="0"/>
                <w:szCs w:val="22"/>
                <w:lang w:val="sv-SE"/>
              </w:rPr>
              <w:t>Magyarország</w:t>
            </w:r>
          </w:p>
          <w:p w14:paraId="75065D1D" w14:textId="77777777" w:rsidR="007D1DB2" w:rsidRPr="00B96B39" w:rsidRDefault="007D1DB2" w:rsidP="007D1DB2">
            <w:pPr>
              <w:pStyle w:val="lbltxt"/>
              <w:rPr>
                <w:bCs/>
                <w:noProof w:val="0"/>
                <w:szCs w:val="22"/>
                <w:lang w:val="sv-SE"/>
              </w:rPr>
            </w:pPr>
            <w:r w:rsidRPr="00B96B39">
              <w:rPr>
                <w:bCs/>
                <w:noProof w:val="0"/>
                <w:szCs w:val="22"/>
                <w:lang w:val="sv-SE"/>
              </w:rPr>
              <w:t>Amgen Kft.</w:t>
            </w:r>
          </w:p>
          <w:p w14:paraId="102F0F15" w14:textId="77777777" w:rsidR="007D1DB2" w:rsidRPr="00B96B39" w:rsidRDefault="007D1DB2" w:rsidP="007D1DB2">
            <w:pPr>
              <w:pStyle w:val="lbltxt"/>
              <w:rPr>
                <w:bCs/>
                <w:noProof w:val="0"/>
                <w:szCs w:val="22"/>
                <w:lang w:val="sv-SE"/>
              </w:rPr>
            </w:pPr>
            <w:r w:rsidRPr="00B96B39">
              <w:rPr>
                <w:bCs/>
                <w:noProof w:val="0"/>
                <w:szCs w:val="22"/>
                <w:lang w:val="sv-SE"/>
              </w:rPr>
              <w:t>Tel.: +36 1 35 44 700</w:t>
            </w:r>
          </w:p>
          <w:p w14:paraId="786261AE" w14:textId="77777777" w:rsidR="007D1DB2" w:rsidRPr="00B96B39" w:rsidRDefault="007D1DB2" w:rsidP="008763E6">
            <w:pPr>
              <w:spacing w:after="0" w:line="240" w:lineRule="auto"/>
              <w:rPr>
                <w:lang w:val="sv-SE"/>
              </w:rPr>
            </w:pPr>
          </w:p>
        </w:tc>
      </w:tr>
      <w:tr w:rsidR="007D1DB2" w:rsidRPr="00B96B39" w14:paraId="6F41D206" w14:textId="77777777" w:rsidTr="00560848">
        <w:trPr>
          <w:cantSplit/>
        </w:trPr>
        <w:tc>
          <w:tcPr>
            <w:tcW w:w="4649" w:type="dxa"/>
            <w:shd w:val="clear" w:color="auto" w:fill="auto"/>
          </w:tcPr>
          <w:p w14:paraId="4B8E5DBC" w14:textId="77777777" w:rsidR="007D1DB2" w:rsidRPr="00B96B39" w:rsidRDefault="007D1DB2" w:rsidP="007D1DB2">
            <w:pPr>
              <w:pStyle w:val="lbltxt"/>
              <w:rPr>
                <w:noProof w:val="0"/>
                <w:szCs w:val="22"/>
                <w:lang w:val="da-DK"/>
              </w:rPr>
            </w:pPr>
            <w:r w:rsidRPr="00B96B39">
              <w:rPr>
                <w:b/>
                <w:noProof w:val="0"/>
                <w:szCs w:val="22"/>
                <w:lang w:val="da-DK"/>
              </w:rPr>
              <w:t>Danmark</w:t>
            </w:r>
          </w:p>
          <w:p w14:paraId="2FAECA58" w14:textId="77777777" w:rsidR="007D1DB2" w:rsidRPr="00B96B39" w:rsidRDefault="007D1DB2" w:rsidP="007D1DB2">
            <w:pPr>
              <w:pStyle w:val="lbltxt"/>
              <w:rPr>
                <w:noProof w:val="0"/>
                <w:szCs w:val="22"/>
                <w:lang w:val="da-DK"/>
              </w:rPr>
            </w:pPr>
            <w:r w:rsidRPr="00B96B39">
              <w:rPr>
                <w:noProof w:val="0"/>
                <w:szCs w:val="22"/>
                <w:lang w:val="da-DK"/>
              </w:rPr>
              <w:t>Amgen, filial af Amgen AB, Sverige</w:t>
            </w:r>
          </w:p>
          <w:p w14:paraId="5F954BA9" w14:textId="77777777" w:rsidR="007D1DB2" w:rsidRPr="00B96B39" w:rsidRDefault="007D1DB2" w:rsidP="007D1DB2">
            <w:pPr>
              <w:pStyle w:val="lbltxt"/>
              <w:rPr>
                <w:noProof w:val="0"/>
                <w:szCs w:val="22"/>
                <w:lang w:val="sv-SE"/>
              </w:rPr>
            </w:pPr>
            <w:r w:rsidRPr="00B96B39">
              <w:rPr>
                <w:noProof w:val="0"/>
                <w:szCs w:val="22"/>
                <w:lang w:val="sv-SE"/>
              </w:rPr>
              <w:t>Tlf: +45 39617500</w:t>
            </w:r>
          </w:p>
          <w:p w14:paraId="7D848D59" w14:textId="77777777" w:rsidR="007D1DB2" w:rsidRPr="00B96B39" w:rsidRDefault="007D1DB2" w:rsidP="008763E6">
            <w:pPr>
              <w:spacing w:after="0" w:line="240" w:lineRule="auto"/>
              <w:rPr>
                <w:lang w:val="sv-SE"/>
              </w:rPr>
            </w:pPr>
          </w:p>
        </w:tc>
        <w:tc>
          <w:tcPr>
            <w:tcW w:w="4679" w:type="dxa"/>
            <w:shd w:val="clear" w:color="auto" w:fill="auto"/>
          </w:tcPr>
          <w:p w14:paraId="612F924E" w14:textId="77777777" w:rsidR="007D1DB2" w:rsidRPr="00B96B39" w:rsidRDefault="007D1DB2" w:rsidP="007D1DB2">
            <w:pPr>
              <w:pStyle w:val="lbltxt"/>
              <w:rPr>
                <w:b/>
                <w:noProof w:val="0"/>
                <w:szCs w:val="22"/>
                <w:lang w:val="sv-SE"/>
              </w:rPr>
            </w:pPr>
            <w:r w:rsidRPr="00B96B39">
              <w:rPr>
                <w:b/>
                <w:noProof w:val="0"/>
                <w:szCs w:val="22"/>
                <w:lang w:val="sv-SE"/>
              </w:rPr>
              <w:t>Malta</w:t>
            </w:r>
          </w:p>
          <w:p w14:paraId="29C49B1F" w14:textId="77777777" w:rsidR="00821175" w:rsidRDefault="00821175" w:rsidP="00821175">
            <w:pPr>
              <w:pStyle w:val="lbltxt"/>
              <w:rPr>
                <w:szCs w:val="22"/>
                <w:lang w:val="hr-HR"/>
              </w:rPr>
            </w:pPr>
            <w:r>
              <w:rPr>
                <w:szCs w:val="22"/>
                <w:lang w:val="hr-HR"/>
              </w:rPr>
              <w:t>Amgen S.r.l.</w:t>
            </w:r>
          </w:p>
          <w:p w14:paraId="767FB2E6" w14:textId="77777777" w:rsidR="00821175" w:rsidRDefault="00821175" w:rsidP="00821175">
            <w:pPr>
              <w:pStyle w:val="lbltxt"/>
              <w:rPr>
                <w:szCs w:val="22"/>
                <w:lang w:val="hr-HR"/>
              </w:rPr>
            </w:pPr>
            <w:r>
              <w:rPr>
                <w:szCs w:val="22"/>
                <w:lang w:val="hr-HR"/>
              </w:rPr>
              <w:t>Tel: +39 02 6241121</w:t>
            </w:r>
          </w:p>
          <w:p w14:paraId="1DCD7D04" w14:textId="77777777" w:rsidR="007D1DB2" w:rsidRPr="00B96B39" w:rsidRDefault="007D1DB2" w:rsidP="006074FE">
            <w:pPr>
              <w:pStyle w:val="lbltxt"/>
              <w:rPr>
                <w:lang w:val="sv-SE"/>
              </w:rPr>
            </w:pPr>
          </w:p>
        </w:tc>
      </w:tr>
      <w:tr w:rsidR="007D1DB2" w:rsidRPr="0049523A" w14:paraId="18FBAD17" w14:textId="77777777" w:rsidTr="00560848">
        <w:trPr>
          <w:cantSplit/>
        </w:trPr>
        <w:tc>
          <w:tcPr>
            <w:tcW w:w="4649" w:type="dxa"/>
            <w:shd w:val="clear" w:color="auto" w:fill="auto"/>
          </w:tcPr>
          <w:p w14:paraId="4B232CA3" w14:textId="77777777" w:rsidR="007D1DB2" w:rsidRPr="00B96B39" w:rsidRDefault="007D1DB2" w:rsidP="007D1DB2">
            <w:pPr>
              <w:pStyle w:val="lbltxt"/>
              <w:rPr>
                <w:noProof w:val="0"/>
                <w:szCs w:val="22"/>
                <w:lang w:val="sv-SE"/>
              </w:rPr>
            </w:pPr>
            <w:r w:rsidRPr="00B96B39">
              <w:rPr>
                <w:b/>
                <w:noProof w:val="0"/>
                <w:szCs w:val="22"/>
                <w:lang w:val="sv-SE"/>
              </w:rPr>
              <w:t>Deutschland</w:t>
            </w:r>
          </w:p>
          <w:p w14:paraId="1F7437D1" w14:textId="39026163" w:rsidR="007D1DB2" w:rsidRPr="00B96B39" w:rsidRDefault="007D1DB2" w:rsidP="007D1DB2">
            <w:pPr>
              <w:pStyle w:val="lbltxt"/>
              <w:rPr>
                <w:noProof w:val="0"/>
                <w:szCs w:val="22"/>
                <w:lang w:val="sv-SE"/>
              </w:rPr>
            </w:pPr>
            <w:r w:rsidRPr="00B96B39">
              <w:rPr>
                <w:noProof w:val="0"/>
                <w:szCs w:val="22"/>
                <w:lang w:val="sv-SE"/>
              </w:rPr>
              <w:t>A</w:t>
            </w:r>
            <w:r w:rsidR="00C50D7B">
              <w:rPr>
                <w:noProof w:val="0"/>
                <w:szCs w:val="22"/>
                <w:lang w:val="sv-SE"/>
              </w:rPr>
              <w:t>mgen</w:t>
            </w:r>
            <w:r w:rsidRPr="00B96B39">
              <w:rPr>
                <w:noProof w:val="0"/>
                <w:szCs w:val="22"/>
                <w:lang w:val="sv-SE"/>
              </w:rPr>
              <w:t xml:space="preserve"> GmbH</w:t>
            </w:r>
          </w:p>
          <w:p w14:paraId="488E1528" w14:textId="77777777" w:rsidR="007D1DB2" w:rsidRPr="00B96B39" w:rsidRDefault="007D1DB2" w:rsidP="007D1DB2">
            <w:pPr>
              <w:pStyle w:val="lbltxt"/>
              <w:rPr>
                <w:noProof w:val="0"/>
                <w:szCs w:val="22"/>
                <w:lang w:val="sv-SE"/>
              </w:rPr>
            </w:pPr>
            <w:r w:rsidRPr="00B96B39">
              <w:rPr>
                <w:noProof w:val="0"/>
                <w:szCs w:val="22"/>
                <w:lang w:val="sv-SE"/>
              </w:rPr>
              <w:t>Tel.: +49 89 1490960</w:t>
            </w:r>
          </w:p>
          <w:p w14:paraId="0DCE7D45" w14:textId="77777777" w:rsidR="007D1DB2" w:rsidRPr="00B96B39" w:rsidRDefault="007D1DB2" w:rsidP="008763E6">
            <w:pPr>
              <w:spacing w:after="0" w:line="240" w:lineRule="auto"/>
              <w:rPr>
                <w:lang w:val="sv-SE"/>
              </w:rPr>
            </w:pPr>
          </w:p>
        </w:tc>
        <w:tc>
          <w:tcPr>
            <w:tcW w:w="4679" w:type="dxa"/>
            <w:shd w:val="clear" w:color="auto" w:fill="auto"/>
          </w:tcPr>
          <w:p w14:paraId="45A87C75" w14:textId="77777777" w:rsidR="007D1DB2" w:rsidRPr="00472A6C" w:rsidRDefault="007D1DB2" w:rsidP="007D1DB2">
            <w:pPr>
              <w:pStyle w:val="lbltxt"/>
              <w:rPr>
                <w:noProof w:val="0"/>
                <w:szCs w:val="22"/>
                <w:lang w:val="nl-NL"/>
              </w:rPr>
            </w:pPr>
            <w:r w:rsidRPr="00472A6C">
              <w:rPr>
                <w:b/>
                <w:noProof w:val="0"/>
                <w:szCs w:val="22"/>
                <w:lang w:val="nl-NL"/>
              </w:rPr>
              <w:t>Nederland</w:t>
            </w:r>
          </w:p>
          <w:p w14:paraId="6BBB7DC7" w14:textId="77777777" w:rsidR="007D1DB2" w:rsidRPr="00472A6C" w:rsidRDefault="007D1DB2" w:rsidP="007D1DB2">
            <w:pPr>
              <w:pStyle w:val="lbltxt"/>
              <w:rPr>
                <w:noProof w:val="0"/>
                <w:szCs w:val="22"/>
                <w:lang w:val="nl-NL"/>
              </w:rPr>
            </w:pPr>
            <w:r w:rsidRPr="00472A6C">
              <w:rPr>
                <w:noProof w:val="0"/>
                <w:szCs w:val="22"/>
                <w:lang w:val="nl-NL"/>
              </w:rPr>
              <w:t>Amgen B.V.</w:t>
            </w:r>
          </w:p>
          <w:p w14:paraId="12D51D01" w14:textId="77777777" w:rsidR="007D1DB2" w:rsidRPr="00472A6C" w:rsidRDefault="007D1DB2" w:rsidP="007D1DB2">
            <w:pPr>
              <w:pStyle w:val="lbltxt"/>
              <w:rPr>
                <w:bCs/>
                <w:noProof w:val="0"/>
                <w:szCs w:val="22"/>
                <w:lang w:val="nl-NL"/>
              </w:rPr>
            </w:pPr>
            <w:r w:rsidRPr="00472A6C">
              <w:rPr>
                <w:noProof w:val="0"/>
                <w:szCs w:val="22"/>
                <w:lang w:val="nl-NL"/>
              </w:rPr>
              <w:t>Tel: +31 (0)76 5732500</w:t>
            </w:r>
          </w:p>
          <w:p w14:paraId="14C65D72" w14:textId="77777777" w:rsidR="007D1DB2" w:rsidRPr="00472A6C" w:rsidRDefault="007D1DB2" w:rsidP="008763E6">
            <w:pPr>
              <w:spacing w:after="0" w:line="240" w:lineRule="auto"/>
              <w:rPr>
                <w:lang w:val="nl-NL"/>
              </w:rPr>
            </w:pPr>
          </w:p>
        </w:tc>
      </w:tr>
      <w:tr w:rsidR="007D1DB2" w:rsidRPr="00B96B39" w14:paraId="75D96418" w14:textId="77777777" w:rsidTr="00560848">
        <w:trPr>
          <w:cantSplit/>
        </w:trPr>
        <w:tc>
          <w:tcPr>
            <w:tcW w:w="4649" w:type="dxa"/>
            <w:shd w:val="clear" w:color="auto" w:fill="auto"/>
          </w:tcPr>
          <w:p w14:paraId="0A2C1A8F" w14:textId="77777777" w:rsidR="007D1DB2" w:rsidRPr="0093020C" w:rsidRDefault="007D1DB2" w:rsidP="007D1DB2">
            <w:pPr>
              <w:pStyle w:val="lbltxt"/>
              <w:rPr>
                <w:b/>
                <w:noProof w:val="0"/>
                <w:szCs w:val="22"/>
                <w:lang w:val="sv-SE"/>
              </w:rPr>
            </w:pPr>
            <w:r w:rsidRPr="0093020C">
              <w:rPr>
                <w:b/>
                <w:noProof w:val="0"/>
                <w:szCs w:val="22"/>
                <w:lang w:val="sv-SE"/>
              </w:rPr>
              <w:t>Eesti</w:t>
            </w:r>
          </w:p>
          <w:p w14:paraId="59039333" w14:textId="77777777" w:rsidR="007D1DB2" w:rsidRPr="0093020C" w:rsidRDefault="007D1DB2" w:rsidP="007D1DB2">
            <w:pPr>
              <w:pStyle w:val="lbltxt"/>
              <w:rPr>
                <w:bCs/>
                <w:noProof w:val="0"/>
                <w:szCs w:val="22"/>
                <w:lang w:val="sv-SE"/>
              </w:rPr>
            </w:pPr>
            <w:r w:rsidRPr="0093020C">
              <w:rPr>
                <w:bCs/>
                <w:noProof w:val="0"/>
                <w:szCs w:val="22"/>
                <w:lang w:val="sv-SE"/>
              </w:rPr>
              <w:t xml:space="preserve">Amgen Switzerland AG </w:t>
            </w:r>
            <w:r w:rsidRPr="0093020C">
              <w:rPr>
                <w:noProof w:val="0"/>
                <w:szCs w:val="22"/>
                <w:lang w:val="sv-SE"/>
              </w:rPr>
              <w:t>Vilniaus filialas</w:t>
            </w:r>
          </w:p>
          <w:p w14:paraId="7932EEA8" w14:textId="77777777" w:rsidR="007D1DB2" w:rsidRPr="00B96B39" w:rsidRDefault="007D1DB2" w:rsidP="007D1DB2">
            <w:pPr>
              <w:pStyle w:val="lbltxt"/>
              <w:rPr>
                <w:noProof w:val="0"/>
                <w:szCs w:val="22"/>
                <w:lang w:val="sv-SE"/>
              </w:rPr>
            </w:pPr>
            <w:r w:rsidRPr="00B96B39">
              <w:rPr>
                <w:bCs/>
                <w:noProof w:val="0"/>
                <w:szCs w:val="22"/>
                <w:lang w:val="sv-SE"/>
              </w:rPr>
              <w:t>Tel: +</w:t>
            </w:r>
            <w:r w:rsidRPr="00B96B39">
              <w:rPr>
                <w:noProof w:val="0"/>
                <w:szCs w:val="22"/>
                <w:lang w:val="sv-SE"/>
              </w:rPr>
              <w:t>372 586 09553</w:t>
            </w:r>
          </w:p>
          <w:p w14:paraId="31FA88C9" w14:textId="77777777" w:rsidR="007D1DB2" w:rsidRPr="00B96B39" w:rsidRDefault="007D1DB2" w:rsidP="008763E6">
            <w:pPr>
              <w:spacing w:after="0" w:line="240" w:lineRule="auto"/>
              <w:rPr>
                <w:lang w:val="sv-SE"/>
              </w:rPr>
            </w:pPr>
          </w:p>
        </w:tc>
        <w:tc>
          <w:tcPr>
            <w:tcW w:w="4679" w:type="dxa"/>
            <w:shd w:val="clear" w:color="auto" w:fill="auto"/>
          </w:tcPr>
          <w:p w14:paraId="735E5445" w14:textId="77777777" w:rsidR="007D1DB2" w:rsidRPr="00B96B39" w:rsidRDefault="007D1DB2" w:rsidP="007D1DB2">
            <w:pPr>
              <w:pStyle w:val="lbltxt"/>
              <w:rPr>
                <w:b/>
                <w:bCs/>
                <w:noProof w:val="0"/>
                <w:szCs w:val="22"/>
                <w:lang w:val="sv-SE"/>
              </w:rPr>
            </w:pPr>
            <w:r w:rsidRPr="00B96B39">
              <w:rPr>
                <w:b/>
                <w:bCs/>
                <w:noProof w:val="0"/>
                <w:szCs w:val="22"/>
                <w:lang w:val="sv-SE"/>
              </w:rPr>
              <w:t>Norge</w:t>
            </w:r>
          </w:p>
          <w:p w14:paraId="04D3BF53" w14:textId="77777777" w:rsidR="007D1DB2" w:rsidRPr="00B96B39" w:rsidRDefault="007D1DB2" w:rsidP="007D1DB2">
            <w:pPr>
              <w:pStyle w:val="lbltxt"/>
              <w:rPr>
                <w:rStyle w:val="CommentReference"/>
                <w:noProof w:val="0"/>
                <w:sz w:val="22"/>
                <w:szCs w:val="22"/>
                <w:lang w:val="sv-SE"/>
              </w:rPr>
            </w:pPr>
            <w:r w:rsidRPr="00B96B39">
              <w:rPr>
                <w:rStyle w:val="CommentReference"/>
                <w:noProof w:val="0"/>
                <w:sz w:val="22"/>
                <w:szCs w:val="22"/>
                <w:lang w:val="sv-SE"/>
              </w:rPr>
              <w:t>Amgen AB</w:t>
            </w:r>
          </w:p>
          <w:p w14:paraId="4A5F8820" w14:textId="77777777" w:rsidR="007D1DB2" w:rsidRPr="00B96B39" w:rsidRDefault="007D1DB2" w:rsidP="007D1DB2">
            <w:pPr>
              <w:pStyle w:val="lbltxt"/>
              <w:rPr>
                <w:noProof w:val="0"/>
                <w:szCs w:val="22"/>
                <w:lang w:val="sv-SE"/>
              </w:rPr>
            </w:pPr>
            <w:r w:rsidRPr="00B96B39">
              <w:rPr>
                <w:rStyle w:val="CommentReference"/>
                <w:noProof w:val="0"/>
                <w:sz w:val="22"/>
                <w:szCs w:val="22"/>
                <w:lang w:val="sv-SE"/>
              </w:rPr>
              <w:t>Tel: +47 23308000</w:t>
            </w:r>
          </w:p>
          <w:p w14:paraId="4DF61D93" w14:textId="77777777" w:rsidR="007D1DB2" w:rsidRPr="00B96B39" w:rsidRDefault="007D1DB2" w:rsidP="008763E6">
            <w:pPr>
              <w:spacing w:after="0" w:line="240" w:lineRule="auto"/>
              <w:rPr>
                <w:lang w:val="sv-SE"/>
              </w:rPr>
            </w:pPr>
          </w:p>
        </w:tc>
      </w:tr>
      <w:tr w:rsidR="007D1DB2" w:rsidRPr="00B96B39" w14:paraId="611E9CF8" w14:textId="77777777" w:rsidTr="00560848">
        <w:trPr>
          <w:cantSplit/>
        </w:trPr>
        <w:tc>
          <w:tcPr>
            <w:tcW w:w="4649" w:type="dxa"/>
            <w:shd w:val="clear" w:color="auto" w:fill="auto"/>
          </w:tcPr>
          <w:p w14:paraId="2FE1E8CD" w14:textId="77777777" w:rsidR="007D1DB2" w:rsidRPr="00B96B39" w:rsidRDefault="007D1DB2" w:rsidP="007D1DB2">
            <w:pPr>
              <w:pStyle w:val="lbltxt"/>
              <w:rPr>
                <w:b/>
                <w:bCs/>
                <w:noProof w:val="0"/>
                <w:szCs w:val="22"/>
                <w:lang w:val="el-GR"/>
              </w:rPr>
            </w:pPr>
            <w:r w:rsidRPr="00B96B39">
              <w:rPr>
                <w:b/>
                <w:bCs/>
                <w:noProof w:val="0"/>
                <w:szCs w:val="22"/>
                <w:lang w:val="el-GR"/>
              </w:rPr>
              <w:t>Ελλάδα</w:t>
            </w:r>
          </w:p>
          <w:p w14:paraId="08ACD286" w14:textId="77777777" w:rsidR="007D1DB2" w:rsidRPr="00B96B39" w:rsidRDefault="007D1DB2" w:rsidP="007D1DB2">
            <w:pPr>
              <w:pStyle w:val="lbltxt"/>
              <w:rPr>
                <w:noProof w:val="0"/>
                <w:szCs w:val="22"/>
                <w:lang w:val="el-GR"/>
              </w:rPr>
            </w:pPr>
            <w:r w:rsidRPr="00B96B39">
              <w:rPr>
                <w:noProof w:val="0"/>
                <w:szCs w:val="22"/>
                <w:lang w:val="en-US"/>
              </w:rPr>
              <w:t>Amgen</w:t>
            </w:r>
            <w:r w:rsidRPr="00B96B39">
              <w:rPr>
                <w:noProof w:val="0"/>
                <w:szCs w:val="22"/>
                <w:lang w:val="el-GR"/>
              </w:rPr>
              <w:t xml:space="preserve"> Ελλάς Φαρμακευτικά Ε.Π.Ε. </w:t>
            </w:r>
          </w:p>
          <w:p w14:paraId="69150E2F" w14:textId="77777777" w:rsidR="007D1DB2" w:rsidRPr="00B96B39" w:rsidRDefault="007D1DB2" w:rsidP="007D1DB2">
            <w:pPr>
              <w:pStyle w:val="lbltxt"/>
              <w:rPr>
                <w:noProof w:val="0"/>
                <w:szCs w:val="22"/>
                <w:lang w:val="sv-SE"/>
              </w:rPr>
            </w:pPr>
            <w:r w:rsidRPr="00B96B39">
              <w:rPr>
                <w:noProof w:val="0"/>
                <w:szCs w:val="22"/>
                <w:lang w:val="sv-SE"/>
              </w:rPr>
              <w:t>Τηλ.: +30 210 3447000</w:t>
            </w:r>
          </w:p>
          <w:p w14:paraId="67CE010E" w14:textId="77777777" w:rsidR="007D1DB2" w:rsidRPr="00B96B39" w:rsidRDefault="007D1DB2" w:rsidP="008763E6">
            <w:pPr>
              <w:spacing w:after="0" w:line="240" w:lineRule="auto"/>
              <w:rPr>
                <w:lang w:val="sv-SE"/>
              </w:rPr>
            </w:pPr>
          </w:p>
        </w:tc>
        <w:tc>
          <w:tcPr>
            <w:tcW w:w="4679" w:type="dxa"/>
            <w:shd w:val="clear" w:color="auto" w:fill="auto"/>
          </w:tcPr>
          <w:p w14:paraId="650B6A13" w14:textId="77777777" w:rsidR="007D1DB2" w:rsidRPr="00B96B39" w:rsidRDefault="007D1DB2" w:rsidP="007D1DB2">
            <w:pPr>
              <w:pStyle w:val="lbltxt"/>
              <w:rPr>
                <w:noProof w:val="0"/>
                <w:szCs w:val="22"/>
                <w:lang w:val="sv-SE"/>
              </w:rPr>
            </w:pPr>
            <w:r w:rsidRPr="00B96B39">
              <w:rPr>
                <w:b/>
                <w:noProof w:val="0"/>
                <w:szCs w:val="22"/>
                <w:lang w:val="sv-SE"/>
              </w:rPr>
              <w:t>Österreich</w:t>
            </w:r>
          </w:p>
          <w:p w14:paraId="01F13BA4" w14:textId="77777777" w:rsidR="007D1DB2" w:rsidRPr="00B96B39" w:rsidRDefault="007D1DB2" w:rsidP="007D1DB2">
            <w:pPr>
              <w:pStyle w:val="lbltxt"/>
              <w:rPr>
                <w:noProof w:val="0"/>
                <w:szCs w:val="22"/>
                <w:lang w:val="sv-SE"/>
              </w:rPr>
            </w:pPr>
            <w:r w:rsidRPr="00B96B39">
              <w:rPr>
                <w:noProof w:val="0"/>
                <w:szCs w:val="22"/>
                <w:lang w:val="sv-SE"/>
              </w:rPr>
              <w:t xml:space="preserve">Amgen GmbH </w:t>
            </w:r>
          </w:p>
          <w:p w14:paraId="1E89A2CD" w14:textId="77777777" w:rsidR="007D1DB2" w:rsidRPr="00B96B39" w:rsidRDefault="007D1DB2" w:rsidP="007D1DB2">
            <w:pPr>
              <w:pStyle w:val="lbltxt"/>
              <w:rPr>
                <w:noProof w:val="0"/>
                <w:szCs w:val="22"/>
                <w:lang w:val="sv-SE"/>
              </w:rPr>
            </w:pPr>
            <w:r w:rsidRPr="00B96B39">
              <w:rPr>
                <w:noProof w:val="0"/>
                <w:szCs w:val="22"/>
                <w:lang w:val="sv-SE"/>
              </w:rPr>
              <w:t>Tel: +43 (0)1 50 217</w:t>
            </w:r>
          </w:p>
          <w:p w14:paraId="21374A00" w14:textId="77777777" w:rsidR="007D1DB2" w:rsidRPr="00B96B39" w:rsidRDefault="007D1DB2" w:rsidP="008763E6">
            <w:pPr>
              <w:spacing w:after="0" w:line="240" w:lineRule="auto"/>
              <w:rPr>
                <w:lang w:val="sv-SE"/>
              </w:rPr>
            </w:pPr>
          </w:p>
        </w:tc>
      </w:tr>
      <w:tr w:rsidR="007D1DB2" w:rsidRPr="00B96B39" w14:paraId="717F40CF" w14:textId="77777777" w:rsidTr="00560848">
        <w:trPr>
          <w:cantSplit/>
        </w:trPr>
        <w:tc>
          <w:tcPr>
            <w:tcW w:w="4649" w:type="dxa"/>
            <w:shd w:val="clear" w:color="auto" w:fill="auto"/>
          </w:tcPr>
          <w:p w14:paraId="6E78AE0F" w14:textId="77777777" w:rsidR="007D1DB2" w:rsidRPr="00B96B39" w:rsidRDefault="007D1DB2" w:rsidP="007D1DB2">
            <w:pPr>
              <w:pStyle w:val="lbltxt"/>
              <w:rPr>
                <w:noProof w:val="0"/>
                <w:szCs w:val="22"/>
                <w:lang w:val="es-ES"/>
              </w:rPr>
            </w:pPr>
            <w:r w:rsidRPr="00B96B39">
              <w:rPr>
                <w:b/>
                <w:noProof w:val="0"/>
                <w:szCs w:val="22"/>
                <w:lang w:val="es-ES"/>
              </w:rPr>
              <w:t>España</w:t>
            </w:r>
          </w:p>
          <w:p w14:paraId="26BA58BB" w14:textId="77777777" w:rsidR="007D1DB2" w:rsidRPr="00B96B39" w:rsidRDefault="007D1DB2" w:rsidP="007D1DB2">
            <w:pPr>
              <w:pStyle w:val="lbltxt"/>
              <w:rPr>
                <w:noProof w:val="0"/>
                <w:spacing w:val="-2"/>
                <w:szCs w:val="22"/>
                <w:lang w:val="es-ES"/>
              </w:rPr>
            </w:pPr>
            <w:r w:rsidRPr="00B96B39">
              <w:rPr>
                <w:noProof w:val="0"/>
                <w:spacing w:val="-2"/>
                <w:szCs w:val="22"/>
                <w:lang w:val="es-ES"/>
              </w:rPr>
              <w:t>Amgen S.A.</w:t>
            </w:r>
          </w:p>
          <w:p w14:paraId="55EACB55" w14:textId="77777777" w:rsidR="007D1DB2" w:rsidRPr="00B96B39" w:rsidRDefault="007D1DB2" w:rsidP="007D1DB2">
            <w:pPr>
              <w:pStyle w:val="lbltxt"/>
              <w:rPr>
                <w:rStyle w:val="Initial"/>
                <w:rFonts w:ascii="Times New Roman" w:hAnsi="Times New Roman" w:cs="Times New Roman"/>
                <w:sz w:val="22"/>
                <w:szCs w:val="22"/>
                <w:lang w:val="es-ES"/>
              </w:rPr>
            </w:pPr>
            <w:r w:rsidRPr="00B96B39">
              <w:rPr>
                <w:noProof w:val="0"/>
                <w:szCs w:val="22"/>
                <w:lang w:val="es-ES"/>
              </w:rPr>
              <w:t xml:space="preserve">Tel: +34 93 600 18 60 </w:t>
            </w:r>
          </w:p>
          <w:p w14:paraId="2B876E12" w14:textId="77777777" w:rsidR="007D1DB2" w:rsidRPr="00B96B39" w:rsidRDefault="007D1DB2" w:rsidP="008763E6">
            <w:pPr>
              <w:spacing w:after="0" w:line="240" w:lineRule="auto"/>
              <w:rPr>
                <w:lang w:val="es-ES"/>
              </w:rPr>
            </w:pPr>
          </w:p>
        </w:tc>
        <w:tc>
          <w:tcPr>
            <w:tcW w:w="4679" w:type="dxa"/>
            <w:shd w:val="clear" w:color="auto" w:fill="auto"/>
          </w:tcPr>
          <w:p w14:paraId="05967B7D" w14:textId="77777777" w:rsidR="007D1DB2" w:rsidRPr="003C6A9E" w:rsidRDefault="007D1DB2" w:rsidP="007D1DB2">
            <w:pPr>
              <w:pStyle w:val="lbltxt"/>
              <w:rPr>
                <w:b/>
                <w:noProof w:val="0"/>
                <w:szCs w:val="22"/>
                <w:lang w:val="sv-SE"/>
              </w:rPr>
            </w:pPr>
            <w:r w:rsidRPr="003C6A9E">
              <w:rPr>
                <w:b/>
                <w:noProof w:val="0"/>
                <w:szCs w:val="22"/>
                <w:lang w:val="sv-SE"/>
              </w:rPr>
              <w:t>Polska</w:t>
            </w:r>
          </w:p>
          <w:p w14:paraId="790C20CE" w14:textId="77777777" w:rsidR="007D1DB2" w:rsidRPr="003C6A9E" w:rsidRDefault="007D1DB2" w:rsidP="007D1DB2">
            <w:pPr>
              <w:pStyle w:val="lbltxt"/>
              <w:rPr>
                <w:noProof w:val="0"/>
                <w:szCs w:val="22"/>
                <w:lang w:val="sv-SE"/>
              </w:rPr>
            </w:pPr>
            <w:r w:rsidRPr="003C6A9E">
              <w:rPr>
                <w:noProof w:val="0"/>
                <w:szCs w:val="22"/>
                <w:lang w:val="sv-SE"/>
              </w:rPr>
              <w:t xml:space="preserve">Amgen </w:t>
            </w:r>
            <w:r w:rsidRPr="003C6A9E">
              <w:rPr>
                <w:noProof w:val="0"/>
                <w:color w:val="000000"/>
                <w:szCs w:val="22"/>
                <w:lang w:val="sv-SE" w:eastAsia="en-GB"/>
              </w:rPr>
              <w:t>Biotechnologia</w:t>
            </w:r>
            <w:r w:rsidRPr="003C6A9E">
              <w:rPr>
                <w:noProof w:val="0"/>
                <w:szCs w:val="22"/>
                <w:lang w:val="sv-SE"/>
              </w:rPr>
              <w:t xml:space="preserve"> Sp. z o.o.</w:t>
            </w:r>
          </w:p>
          <w:p w14:paraId="61537A17" w14:textId="77777777" w:rsidR="007D1DB2" w:rsidRPr="00B96B39" w:rsidRDefault="007D1DB2" w:rsidP="007D1DB2">
            <w:pPr>
              <w:pStyle w:val="lbltxt"/>
              <w:rPr>
                <w:bCs/>
                <w:noProof w:val="0"/>
                <w:szCs w:val="22"/>
                <w:lang w:val="es-ES"/>
              </w:rPr>
            </w:pPr>
            <w:r w:rsidRPr="00B96B39">
              <w:rPr>
                <w:bCs/>
                <w:noProof w:val="0"/>
                <w:szCs w:val="22"/>
                <w:lang w:val="es-ES"/>
              </w:rPr>
              <w:t>Tel.: +48 22 581 3000</w:t>
            </w:r>
          </w:p>
          <w:p w14:paraId="5A7FBCEA" w14:textId="77777777" w:rsidR="007D1DB2" w:rsidRPr="00B96B39" w:rsidRDefault="007D1DB2" w:rsidP="008763E6">
            <w:pPr>
              <w:spacing w:after="0" w:line="240" w:lineRule="auto"/>
              <w:rPr>
                <w:lang w:val="es-ES"/>
              </w:rPr>
            </w:pPr>
          </w:p>
        </w:tc>
      </w:tr>
      <w:tr w:rsidR="007D1DB2" w:rsidRPr="001C3090" w14:paraId="5D20E840" w14:textId="77777777" w:rsidTr="00560848">
        <w:trPr>
          <w:cantSplit/>
        </w:trPr>
        <w:tc>
          <w:tcPr>
            <w:tcW w:w="4649" w:type="dxa"/>
            <w:shd w:val="clear" w:color="auto" w:fill="auto"/>
          </w:tcPr>
          <w:p w14:paraId="39E6434E" w14:textId="77777777" w:rsidR="007D1DB2" w:rsidRPr="00B96B39" w:rsidRDefault="007D1DB2" w:rsidP="007D1DB2">
            <w:pPr>
              <w:pStyle w:val="lbltxt"/>
              <w:rPr>
                <w:noProof w:val="0"/>
                <w:szCs w:val="22"/>
                <w:lang w:val="fr-FR"/>
              </w:rPr>
            </w:pPr>
            <w:r w:rsidRPr="00B96B39">
              <w:rPr>
                <w:b/>
                <w:noProof w:val="0"/>
                <w:szCs w:val="22"/>
                <w:lang w:val="fr-FR"/>
              </w:rPr>
              <w:lastRenderedPageBreak/>
              <w:t>France</w:t>
            </w:r>
          </w:p>
          <w:p w14:paraId="51B0D5C9" w14:textId="77777777" w:rsidR="007D1DB2" w:rsidRPr="00B96B39" w:rsidRDefault="007D1DB2" w:rsidP="007D1DB2">
            <w:pPr>
              <w:pStyle w:val="lbltxt"/>
              <w:rPr>
                <w:noProof w:val="0"/>
                <w:szCs w:val="22"/>
                <w:lang w:val="fr-FR"/>
              </w:rPr>
            </w:pPr>
            <w:r w:rsidRPr="00B96B39">
              <w:rPr>
                <w:noProof w:val="0"/>
                <w:szCs w:val="22"/>
                <w:lang w:val="fr-FR"/>
              </w:rPr>
              <w:t>Amgen S.A.S.</w:t>
            </w:r>
          </w:p>
          <w:p w14:paraId="080660AE" w14:textId="77777777" w:rsidR="007D1DB2" w:rsidRPr="001C3090" w:rsidRDefault="007D1DB2" w:rsidP="008763E6">
            <w:pPr>
              <w:spacing w:after="0" w:line="240" w:lineRule="auto"/>
              <w:rPr>
                <w:lang w:val="fr-FR"/>
              </w:rPr>
            </w:pPr>
            <w:proofErr w:type="gramStart"/>
            <w:r w:rsidRPr="001C3090">
              <w:rPr>
                <w:lang w:val="fr-FR"/>
              </w:rPr>
              <w:t>Tél:</w:t>
            </w:r>
            <w:proofErr w:type="gramEnd"/>
            <w:r w:rsidRPr="001C3090">
              <w:rPr>
                <w:lang w:val="fr-FR"/>
              </w:rPr>
              <w:t xml:space="preserve"> +33 (0)9 69 363 363</w:t>
            </w:r>
          </w:p>
          <w:p w14:paraId="77B7B2D2" w14:textId="77777777" w:rsidR="007D1DB2" w:rsidRPr="001C3090" w:rsidRDefault="007D1DB2" w:rsidP="008763E6">
            <w:pPr>
              <w:spacing w:after="0" w:line="240" w:lineRule="auto"/>
              <w:rPr>
                <w:lang w:val="fr-FR"/>
              </w:rPr>
            </w:pPr>
          </w:p>
        </w:tc>
        <w:tc>
          <w:tcPr>
            <w:tcW w:w="4679" w:type="dxa"/>
            <w:shd w:val="clear" w:color="auto" w:fill="auto"/>
          </w:tcPr>
          <w:p w14:paraId="5D542AA8" w14:textId="77777777" w:rsidR="007D1DB2" w:rsidRPr="003C6A9E" w:rsidRDefault="007D1DB2" w:rsidP="007D1DB2">
            <w:pPr>
              <w:pStyle w:val="lbltxt"/>
              <w:rPr>
                <w:noProof w:val="0"/>
                <w:szCs w:val="22"/>
                <w:lang w:val="es-ES"/>
              </w:rPr>
            </w:pPr>
            <w:r w:rsidRPr="003C6A9E">
              <w:rPr>
                <w:b/>
                <w:noProof w:val="0"/>
                <w:szCs w:val="22"/>
                <w:lang w:val="es-ES"/>
              </w:rPr>
              <w:t>Portugal</w:t>
            </w:r>
          </w:p>
          <w:p w14:paraId="00F55F5A" w14:textId="77777777" w:rsidR="007D1DB2" w:rsidRPr="003C6A9E" w:rsidRDefault="007D1DB2" w:rsidP="007D1DB2">
            <w:pPr>
              <w:pStyle w:val="lbltxt"/>
              <w:rPr>
                <w:noProof w:val="0"/>
                <w:szCs w:val="22"/>
                <w:lang w:val="es-ES"/>
              </w:rPr>
            </w:pPr>
            <w:r w:rsidRPr="003C6A9E">
              <w:rPr>
                <w:noProof w:val="0"/>
                <w:szCs w:val="22"/>
                <w:lang w:val="es-ES"/>
              </w:rPr>
              <w:t xml:space="preserve">Amgen </w:t>
            </w:r>
            <w:proofErr w:type="spellStart"/>
            <w:r w:rsidRPr="003C6A9E">
              <w:rPr>
                <w:noProof w:val="0"/>
                <w:szCs w:val="22"/>
                <w:lang w:val="es-ES"/>
              </w:rPr>
              <w:t>Biofarmacêutica</w:t>
            </w:r>
            <w:proofErr w:type="spellEnd"/>
            <w:r w:rsidRPr="003C6A9E">
              <w:rPr>
                <w:noProof w:val="0"/>
                <w:szCs w:val="22"/>
                <w:lang w:val="es-ES"/>
              </w:rPr>
              <w:t>, Lda.</w:t>
            </w:r>
          </w:p>
          <w:p w14:paraId="6057BDE2" w14:textId="574F31EE" w:rsidR="007D1DB2" w:rsidRPr="003C6A9E" w:rsidRDefault="007D1DB2" w:rsidP="007D1DB2">
            <w:pPr>
              <w:pStyle w:val="lbltxt"/>
              <w:rPr>
                <w:noProof w:val="0"/>
                <w:szCs w:val="22"/>
                <w:lang w:val="es-ES"/>
              </w:rPr>
            </w:pPr>
            <w:r w:rsidRPr="003C6A9E">
              <w:rPr>
                <w:noProof w:val="0"/>
                <w:szCs w:val="22"/>
                <w:lang w:val="es-ES"/>
              </w:rPr>
              <w:t>Tel: +351 21 4220</w:t>
            </w:r>
            <w:r w:rsidR="002123C3" w:rsidRPr="003C6A9E">
              <w:rPr>
                <w:noProof w:val="0"/>
                <w:szCs w:val="22"/>
                <w:lang w:val="es-ES"/>
              </w:rPr>
              <w:t>606</w:t>
            </w:r>
          </w:p>
          <w:p w14:paraId="211C7E2A" w14:textId="77777777" w:rsidR="007D1DB2" w:rsidRPr="003C6A9E" w:rsidRDefault="007D1DB2" w:rsidP="008763E6">
            <w:pPr>
              <w:spacing w:after="0" w:line="240" w:lineRule="auto"/>
              <w:rPr>
                <w:lang w:val="es-ES"/>
              </w:rPr>
            </w:pPr>
          </w:p>
        </w:tc>
      </w:tr>
      <w:tr w:rsidR="007D1DB2" w:rsidRPr="00472A6C" w14:paraId="5DFA9DD1" w14:textId="77777777" w:rsidTr="00560848">
        <w:trPr>
          <w:cantSplit/>
        </w:trPr>
        <w:tc>
          <w:tcPr>
            <w:tcW w:w="4649" w:type="dxa"/>
            <w:shd w:val="clear" w:color="auto" w:fill="auto"/>
          </w:tcPr>
          <w:p w14:paraId="527AB4AB" w14:textId="77777777" w:rsidR="007D1DB2" w:rsidRPr="00B96B39" w:rsidRDefault="007D1DB2" w:rsidP="008763E6">
            <w:pPr>
              <w:spacing w:after="0" w:line="240" w:lineRule="auto"/>
              <w:rPr>
                <w:lang w:val="sv-SE"/>
              </w:rPr>
            </w:pPr>
            <w:r w:rsidRPr="00B96B39">
              <w:rPr>
                <w:b/>
                <w:lang w:val="sv-SE"/>
              </w:rPr>
              <w:t>Hrvatska</w:t>
            </w:r>
          </w:p>
          <w:p w14:paraId="4871E0A8" w14:textId="77777777" w:rsidR="007D1DB2" w:rsidRPr="00B96B39" w:rsidRDefault="007D1DB2" w:rsidP="008763E6">
            <w:pPr>
              <w:spacing w:after="0" w:line="240" w:lineRule="auto"/>
              <w:rPr>
                <w:lang w:val="sv-SE"/>
              </w:rPr>
            </w:pPr>
            <w:r w:rsidRPr="00B96B39">
              <w:rPr>
                <w:lang w:val="sv-SE"/>
              </w:rPr>
              <w:t>Amgen d.o.o.</w:t>
            </w:r>
          </w:p>
          <w:p w14:paraId="53C47362" w14:textId="77777777" w:rsidR="007D1DB2" w:rsidRPr="00B96B39" w:rsidRDefault="007D1DB2" w:rsidP="008763E6">
            <w:pPr>
              <w:spacing w:after="0" w:line="240" w:lineRule="auto"/>
              <w:rPr>
                <w:lang w:val="sv-SE"/>
              </w:rPr>
            </w:pPr>
            <w:r w:rsidRPr="00B96B39">
              <w:rPr>
                <w:lang w:val="sv-SE"/>
              </w:rPr>
              <w:t>Tel: +385 (0)1 562 57 20</w:t>
            </w:r>
          </w:p>
          <w:p w14:paraId="328B5516" w14:textId="77777777" w:rsidR="007D1DB2" w:rsidRPr="00B96B39" w:rsidRDefault="007D1DB2" w:rsidP="008763E6">
            <w:pPr>
              <w:spacing w:after="0" w:line="240" w:lineRule="auto"/>
              <w:rPr>
                <w:lang w:val="sv-SE"/>
              </w:rPr>
            </w:pPr>
          </w:p>
        </w:tc>
        <w:tc>
          <w:tcPr>
            <w:tcW w:w="4679" w:type="dxa"/>
            <w:shd w:val="clear" w:color="auto" w:fill="auto"/>
          </w:tcPr>
          <w:p w14:paraId="264C08B5" w14:textId="77777777" w:rsidR="007D1DB2" w:rsidRPr="00CE0099" w:rsidRDefault="007D1DB2" w:rsidP="008763E6">
            <w:pPr>
              <w:suppressAutoHyphens/>
              <w:spacing w:after="0" w:line="240" w:lineRule="auto"/>
              <w:rPr>
                <w:b/>
                <w:lang w:val="fi-FI"/>
              </w:rPr>
            </w:pPr>
            <w:r w:rsidRPr="00CE0099">
              <w:rPr>
                <w:b/>
                <w:lang w:val="fi-FI"/>
              </w:rPr>
              <w:t>România</w:t>
            </w:r>
          </w:p>
          <w:p w14:paraId="4DF6C7D1" w14:textId="77777777" w:rsidR="007D1DB2" w:rsidRPr="00CE0099" w:rsidRDefault="007D1DB2" w:rsidP="008763E6">
            <w:pPr>
              <w:spacing w:after="0" w:line="240" w:lineRule="auto"/>
              <w:rPr>
                <w:lang w:val="fi-FI"/>
              </w:rPr>
            </w:pPr>
            <w:r w:rsidRPr="00CE0099">
              <w:rPr>
                <w:lang w:val="fi-FI"/>
              </w:rPr>
              <w:t>Amgen România SRL</w:t>
            </w:r>
          </w:p>
          <w:p w14:paraId="0F5C8262" w14:textId="77777777" w:rsidR="007D1DB2" w:rsidRPr="00CE0099" w:rsidRDefault="007D1DB2" w:rsidP="007D1DB2">
            <w:pPr>
              <w:pStyle w:val="lbltxt"/>
              <w:rPr>
                <w:noProof w:val="0"/>
                <w:szCs w:val="22"/>
                <w:lang w:val="fi-FI"/>
              </w:rPr>
            </w:pPr>
            <w:r w:rsidRPr="00CE0099">
              <w:rPr>
                <w:noProof w:val="0"/>
                <w:szCs w:val="22"/>
                <w:lang w:val="fi-FI"/>
              </w:rPr>
              <w:t>Tel: +4021 527 3000</w:t>
            </w:r>
          </w:p>
          <w:p w14:paraId="6B029AD4" w14:textId="77777777" w:rsidR="007D1DB2" w:rsidRPr="00CE0099" w:rsidRDefault="007D1DB2" w:rsidP="008763E6">
            <w:pPr>
              <w:spacing w:after="0" w:line="240" w:lineRule="auto"/>
              <w:rPr>
                <w:lang w:val="fi-FI"/>
              </w:rPr>
            </w:pPr>
          </w:p>
        </w:tc>
      </w:tr>
      <w:tr w:rsidR="007D1DB2" w:rsidRPr="00FB2E86" w14:paraId="5DD7D5B9" w14:textId="77777777" w:rsidTr="00560848">
        <w:trPr>
          <w:cantSplit/>
        </w:trPr>
        <w:tc>
          <w:tcPr>
            <w:tcW w:w="4649" w:type="dxa"/>
            <w:shd w:val="clear" w:color="auto" w:fill="auto"/>
          </w:tcPr>
          <w:p w14:paraId="72853CDB" w14:textId="77777777" w:rsidR="007D1DB2" w:rsidRPr="00B96B39" w:rsidRDefault="007D1DB2" w:rsidP="007D1DB2">
            <w:pPr>
              <w:pStyle w:val="lbltxt"/>
              <w:rPr>
                <w:rFonts w:eastAsia="Arial Unicode MS"/>
                <w:b/>
                <w:noProof w:val="0"/>
                <w:szCs w:val="22"/>
              </w:rPr>
            </w:pPr>
            <w:r w:rsidRPr="00B96B39">
              <w:rPr>
                <w:rFonts w:eastAsia="Arial Unicode MS"/>
                <w:b/>
                <w:noProof w:val="0"/>
                <w:szCs w:val="22"/>
              </w:rPr>
              <w:t>Ireland</w:t>
            </w:r>
          </w:p>
          <w:p w14:paraId="7C7C86E8" w14:textId="4252BEBE" w:rsidR="007D1DB2" w:rsidRPr="00B96B39" w:rsidRDefault="007D1DB2" w:rsidP="007D1DB2">
            <w:pPr>
              <w:pStyle w:val="lbltxt"/>
              <w:rPr>
                <w:rFonts w:eastAsia="Arial Unicode MS"/>
                <w:bCs/>
                <w:noProof w:val="0"/>
                <w:szCs w:val="22"/>
              </w:rPr>
            </w:pPr>
            <w:r w:rsidRPr="00B96B39">
              <w:rPr>
                <w:rFonts w:eastAsia="Arial Unicode MS"/>
                <w:bCs/>
                <w:noProof w:val="0"/>
                <w:szCs w:val="22"/>
              </w:rPr>
              <w:t>Amgen</w:t>
            </w:r>
            <w:r w:rsidR="002123C3">
              <w:rPr>
                <w:rFonts w:eastAsia="Arial Unicode MS"/>
                <w:bCs/>
                <w:szCs w:val="22"/>
                <w:lang w:val="hr-HR"/>
              </w:rPr>
              <w:t xml:space="preserve"> Ireland</w:t>
            </w:r>
            <w:r w:rsidRPr="00B96B39">
              <w:rPr>
                <w:rFonts w:eastAsia="Arial Unicode MS"/>
                <w:bCs/>
                <w:noProof w:val="0"/>
                <w:szCs w:val="22"/>
              </w:rPr>
              <w:t xml:space="preserve"> Limited</w:t>
            </w:r>
          </w:p>
          <w:p w14:paraId="35C3F925" w14:textId="4528EBEF" w:rsidR="007D1DB2" w:rsidRPr="00B96B39" w:rsidRDefault="007D1DB2" w:rsidP="007D1DB2">
            <w:pPr>
              <w:pStyle w:val="lbltxt"/>
              <w:rPr>
                <w:rStyle w:val="Initial"/>
                <w:rFonts w:ascii="Times New Roman" w:eastAsia="Arial Unicode MS" w:hAnsi="Times New Roman" w:cs="Times New Roman"/>
                <w:bCs/>
                <w:sz w:val="22"/>
                <w:szCs w:val="22"/>
                <w:lang w:val="en-GB"/>
              </w:rPr>
            </w:pPr>
            <w:r w:rsidRPr="00B96B39">
              <w:rPr>
                <w:rFonts w:eastAsia="Arial Unicode MS"/>
                <w:bCs/>
                <w:noProof w:val="0"/>
                <w:szCs w:val="22"/>
              </w:rPr>
              <w:t>Tel: +</w:t>
            </w:r>
            <w:r w:rsidR="002123C3" w:rsidRPr="00E61FEC">
              <w:rPr>
                <w:noProof w:val="0"/>
                <w:lang w:val="en-US"/>
              </w:rPr>
              <w:t>353 1 8527400</w:t>
            </w:r>
          </w:p>
          <w:p w14:paraId="3A39CE38" w14:textId="77777777" w:rsidR="007D1DB2" w:rsidRPr="00B96B39" w:rsidRDefault="007D1DB2" w:rsidP="007D1DB2">
            <w:pPr>
              <w:pStyle w:val="lbltxt"/>
              <w:rPr>
                <w:noProof w:val="0"/>
                <w:szCs w:val="22"/>
              </w:rPr>
            </w:pPr>
          </w:p>
        </w:tc>
        <w:tc>
          <w:tcPr>
            <w:tcW w:w="4679" w:type="dxa"/>
            <w:shd w:val="clear" w:color="auto" w:fill="auto"/>
          </w:tcPr>
          <w:p w14:paraId="56A902A6" w14:textId="77777777" w:rsidR="007D1DB2" w:rsidRPr="00CE0099" w:rsidRDefault="007D1DB2" w:rsidP="007D1DB2">
            <w:pPr>
              <w:pStyle w:val="lbltxt"/>
              <w:rPr>
                <w:b/>
                <w:noProof w:val="0"/>
                <w:szCs w:val="22"/>
                <w:lang w:val="fi-FI"/>
              </w:rPr>
            </w:pPr>
            <w:r w:rsidRPr="00CE0099">
              <w:rPr>
                <w:b/>
                <w:noProof w:val="0"/>
                <w:szCs w:val="22"/>
                <w:lang w:val="fi-FI"/>
              </w:rPr>
              <w:t>Slovenija</w:t>
            </w:r>
          </w:p>
          <w:p w14:paraId="2CD77F03" w14:textId="77777777" w:rsidR="007D1DB2" w:rsidRPr="00CE0099" w:rsidRDefault="007D1DB2" w:rsidP="007D1DB2">
            <w:pPr>
              <w:pStyle w:val="lbltxt"/>
              <w:rPr>
                <w:bCs/>
                <w:noProof w:val="0"/>
                <w:szCs w:val="22"/>
                <w:lang w:val="fi-FI"/>
              </w:rPr>
            </w:pPr>
            <w:r w:rsidRPr="00CE0099">
              <w:rPr>
                <w:noProof w:val="0"/>
                <w:szCs w:val="22"/>
                <w:lang w:val="fi-FI"/>
              </w:rPr>
              <w:t>AMGEN zdravila d.o.o.</w:t>
            </w:r>
          </w:p>
          <w:p w14:paraId="62304E5C" w14:textId="77777777" w:rsidR="007D1DB2" w:rsidRPr="003C6A9E" w:rsidRDefault="007D1DB2" w:rsidP="007D1DB2">
            <w:pPr>
              <w:pStyle w:val="lbltxt"/>
              <w:rPr>
                <w:bCs/>
                <w:noProof w:val="0"/>
                <w:szCs w:val="22"/>
                <w:lang w:val="es-ES"/>
              </w:rPr>
            </w:pPr>
            <w:r w:rsidRPr="003C6A9E">
              <w:rPr>
                <w:bCs/>
                <w:noProof w:val="0"/>
                <w:szCs w:val="22"/>
                <w:lang w:val="es-ES"/>
              </w:rPr>
              <w:t>Tel: +386 (0)1 585 1767</w:t>
            </w:r>
          </w:p>
          <w:p w14:paraId="723B0911" w14:textId="77777777" w:rsidR="007D1DB2" w:rsidRPr="003C6A9E" w:rsidRDefault="007D1DB2" w:rsidP="008763E6">
            <w:pPr>
              <w:spacing w:after="0" w:line="240" w:lineRule="auto"/>
              <w:rPr>
                <w:lang w:val="es-ES"/>
              </w:rPr>
            </w:pPr>
          </w:p>
        </w:tc>
      </w:tr>
      <w:tr w:rsidR="007D1DB2" w:rsidRPr="00B96B39" w14:paraId="5F11F5C2" w14:textId="77777777" w:rsidTr="00560848">
        <w:trPr>
          <w:cantSplit/>
        </w:trPr>
        <w:tc>
          <w:tcPr>
            <w:tcW w:w="4649" w:type="dxa"/>
            <w:shd w:val="clear" w:color="auto" w:fill="auto"/>
          </w:tcPr>
          <w:p w14:paraId="3C2F007C" w14:textId="77777777" w:rsidR="007D1DB2" w:rsidRPr="00B96B39" w:rsidRDefault="007D1DB2" w:rsidP="007D1DB2">
            <w:pPr>
              <w:pStyle w:val="lbltxt"/>
              <w:rPr>
                <w:b/>
                <w:noProof w:val="0"/>
                <w:szCs w:val="22"/>
                <w:lang w:val="sv-SE"/>
              </w:rPr>
            </w:pPr>
            <w:r w:rsidRPr="00B96B39">
              <w:rPr>
                <w:b/>
                <w:noProof w:val="0"/>
                <w:szCs w:val="22"/>
                <w:lang w:val="sv-SE"/>
              </w:rPr>
              <w:t>Ísland</w:t>
            </w:r>
          </w:p>
          <w:p w14:paraId="72326C8F" w14:textId="77777777" w:rsidR="007D1DB2" w:rsidRPr="00B96B39" w:rsidRDefault="007D1DB2" w:rsidP="007D1DB2">
            <w:pPr>
              <w:pStyle w:val="lbltxt"/>
              <w:rPr>
                <w:noProof w:val="0"/>
                <w:szCs w:val="22"/>
                <w:lang w:val="sv-SE"/>
              </w:rPr>
            </w:pPr>
            <w:r w:rsidRPr="00B96B39">
              <w:rPr>
                <w:noProof w:val="0"/>
                <w:szCs w:val="22"/>
                <w:lang w:val="sv-SE"/>
              </w:rPr>
              <w:t>Vistor hf.</w:t>
            </w:r>
          </w:p>
          <w:p w14:paraId="137BB026" w14:textId="77777777" w:rsidR="007D1DB2" w:rsidRPr="00B96B39" w:rsidRDefault="007D1DB2" w:rsidP="007D1DB2">
            <w:pPr>
              <w:pStyle w:val="lbltxt"/>
              <w:rPr>
                <w:noProof w:val="0"/>
                <w:szCs w:val="22"/>
                <w:lang w:val="sv-SE"/>
              </w:rPr>
            </w:pPr>
            <w:r w:rsidRPr="00B96B39">
              <w:rPr>
                <w:noProof w:val="0"/>
                <w:szCs w:val="22"/>
                <w:lang w:val="sv-SE"/>
              </w:rPr>
              <w:t>Sími: +354 535 7000</w:t>
            </w:r>
          </w:p>
          <w:p w14:paraId="0B216192" w14:textId="77777777" w:rsidR="007D1DB2" w:rsidRPr="00B96B39" w:rsidRDefault="007D1DB2" w:rsidP="008763E6">
            <w:pPr>
              <w:spacing w:after="0" w:line="240" w:lineRule="auto"/>
              <w:rPr>
                <w:lang w:val="sv-SE"/>
              </w:rPr>
            </w:pPr>
          </w:p>
        </w:tc>
        <w:tc>
          <w:tcPr>
            <w:tcW w:w="4679" w:type="dxa"/>
            <w:shd w:val="clear" w:color="auto" w:fill="auto"/>
          </w:tcPr>
          <w:p w14:paraId="1AA8E79F" w14:textId="77777777" w:rsidR="007D1DB2" w:rsidRPr="00B96B39" w:rsidRDefault="007D1DB2" w:rsidP="007D1DB2">
            <w:pPr>
              <w:pStyle w:val="lbltxt"/>
              <w:rPr>
                <w:b/>
                <w:noProof w:val="0"/>
                <w:szCs w:val="22"/>
                <w:lang w:val="sv-SE"/>
              </w:rPr>
            </w:pPr>
            <w:r w:rsidRPr="00B96B39">
              <w:rPr>
                <w:b/>
                <w:noProof w:val="0"/>
                <w:szCs w:val="22"/>
                <w:lang w:val="sv-SE"/>
              </w:rPr>
              <w:t>Slovenská republika</w:t>
            </w:r>
          </w:p>
          <w:p w14:paraId="5CCA8079" w14:textId="77777777" w:rsidR="007D1DB2" w:rsidRPr="00B96B39" w:rsidRDefault="007D1DB2" w:rsidP="007D1DB2">
            <w:pPr>
              <w:pStyle w:val="lbltxt"/>
              <w:rPr>
                <w:bCs/>
                <w:noProof w:val="0"/>
                <w:szCs w:val="22"/>
                <w:lang w:val="sv-SE"/>
              </w:rPr>
            </w:pPr>
            <w:r w:rsidRPr="00B96B39">
              <w:rPr>
                <w:bCs/>
                <w:noProof w:val="0"/>
                <w:szCs w:val="22"/>
                <w:lang w:val="sv-SE"/>
              </w:rPr>
              <w:t>Amgen Slovakia s.r.o.</w:t>
            </w:r>
          </w:p>
          <w:p w14:paraId="5FAF8742" w14:textId="77777777" w:rsidR="007D1DB2" w:rsidRPr="00B96B39" w:rsidRDefault="007D1DB2" w:rsidP="007D1DB2">
            <w:pPr>
              <w:pStyle w:val="lbltxt"/>
              <w:rPr>
                <w:bCs/>
                <w:noProof w:val="0"/>
                <w:szCs w:val="22"/>
                <w:lang w:val="sv-SE"/>
              </w:rPr>
            </w:pPr>
            <w:r w:rsidRPr="00B96B39">
              <w:rPr>
                <w:bCs/>
                <w:noProof w:val="0"/>
                <w:szCs w:val="22"/>
                <w:lang w:val="sv-SE"/>
              </w:rPr>
              <w:t xml:space="preserve">Tel: +421 </w:t>
            </w:r>
            <w:r w:rsidRPr="00B96B39">
              <w:rPr>
                <w:noProof w:val="0"/>
                <w:szCs w:val="22"/>
                <w:lang w:val="sv-SE" w:eastAsia="ja-JP"/>
              </w:rPr>
              <w:t>2 321 114 49</w:t>
            </w:r>
          </w:p>
          <w:p w14:paraId="6BE4DEFE" w14:textId="77777777" w:rsidR="007D1DB2" w:rsidRPr="00B96B39" w:rsidRDefault="007D1DB2" w:rsidP="007D1DB2">
            <w:pPr>
              <w:pStyle w:val="lbltxt"/>
              <w:rPr>
                <w:bCs/>
                <w:noProof w:val="0"/>
                <w:szCs w:val="22"/>
                <w:lang w:val="sv-SE"/>
              </w:rPr>
            </w:pPr>
          </w:p>
          <w:p w14:paraId="464BA551" w14:textId="77777777" w:rsidR="007D1DB2" w:rsidRPr="00B96B39" w:rsidRDefault="007D1DB2" w:rsidP="008763E6">
            <w:pPr>
              <w:spacing w:after="0" w:line="240" w:lineRule="auto"/>
              <w:rPr>
                <w:lang w:val="sv-SE"/>
              </w:rPr>
            </w:pPr>
          </w:p>
        </w:tc>
      </w:tr>
      <w:tr w:rsidR="007D1DB2" w:rsidRPr="0049523A" w14:paraId="551FEB6B" w14:textId="77777777" w:rsidTr="00560848">
        <w:trPr>
          <w:cantSplit/>
        </w:trPr>
        <w:tc>
          <w:tcPr>
            <w:tcW w:w="4649" w:type="dxa"/>
            <w:shd w:val="clear" w:color="auto" w:fill="auto"/>
          </w:tcPr>
          <w:p w14:paraId="4F0DEB71" w14:textId="77777777" w:rsidR="007D1DB2" w:rsidRPr="00B96B39" w:rsidRDefault="007D1DB2" w:rsidP="007D1DB2">
            <w:pPr>
              <w:pStyle w:val="lbltxt"/>
              <w:rPr>
                <w:noProof w:val="0"/>
                <w:szCs w:val="22"/>
                <w:lang w:val="es-ES"/>
              </w:rPr>
            </w:pPr>
            <w:r w:rsidRPr="00B96B39">
              <w:rPr>
                <w:b/>
                <w:noProof w:val="0"/>
                <w:szCs w:val="22"/>
                <w:lang w:val="es-ES"/>
              </w:rPr>
              <w:t>Italia</w:t>
            </w:r>
          </w:p>
          <w:p w14:paraId="640E3154" w14:textId="77777777" w:rsidR="007D1DB2" w:rsidRPr="00B96B39" w:rsidRDefault="007D1DB2" w:rsidP="007D1DB2">
            <w:pPr>
              <w:pStyle w:val="lbltxt"/>
              <w:rPr>
                <w:noProof w:val="0"/>
                <w:szCs w:val="22"/>
                <w:lang w:val="es-ES"/>
              </w:rPr>
            </w:pPr>
            <w:r w:rsidRPr="00B96B39">
              <w:rPr>
                <w:noProof w:val="0"/>
                <w:szCs w:val="22"/>
                <w:lang w:val="es-ES"/>
              </w:rPr>
              <w:t xml:space="preserve">Amgen </w:t>
            </w:r>
            <w:proofErr w:type="spellStart"/>
            <w:r w:rsidRPr="00B96B39">
              <w:rPr>
                <w:noProof w:val="0"/>
                <w:szCs w:val="22"/>
                <w:lang w:val="es-ES"/>
              </w:rPr>
              <w:t>S.r.l</w:t>
            </w:r>
            <w:proofErr w:type="spellEnd"/>
            <w:r w:rsidRPr="00B96B39">
              <w:rPr>
                <w:noProof w:val="0"/>
                <w:szCs w:val="22"/>
                <w:lang w:val="es-ES"/>
              </w:rPr>
              <w:t>.</w:t>
            </w:r>
          </w:p>
          <w:p w14:paraId="0F875735" w14:textId="77777777" w:rsidR="007D1DB2" w:rsidRPr="00B96B39" w:rsidRDefault="007D1DB2" w:rsidP="007D1DB2">
            <w:pPr>
              <w:pStyle w:val="lbltxt"/>
              <w:rPr>
                <w:noProof w:val="0"/>
                <w:szCs w:val="22"/>
                <w:lang w:val="sv-SE"/>
              </w:rPr>
            </w:pPr>
            <w:r w:rsidRPr="00B96B39">
              <w:rPr>
                <w:noProof w:val="0"/>
                <w:szCs w:val="22"/>
                <w:lang w:val="sv-SE"/>
              </w:rPr>
              <w:t>Tel: +39 02 6241121</w:t>
            </w:r>
          </w:p>
          <w:p w14:paraId="5629511D" w14:textId="77777777" w:rsidR="007D1DB2" w:rsidRPr="00B96B39" w:rsidRDefault="007D1DB2" w:rsidP="008763E6">
            <w:pPr>
              <w:spacing w:after="0" w:line="240" w:lineRule="auto"/>
              <w:rPr>
                <w:lang w:val="sv-SE"/>
              </w:rPr>
            </w:pPr>
          </w:p>
        </w:tc>
        <w:tc>
          <w:tcPr>
            <w:tcW w:w="4679" w:type="dxa"/>
            <w:shd w:val="clear" w:color="auto" w:fill="auto"/>
          </w:tcPr>
          <w:p w14:paraId="0A199C9B" w14:textId="77777777" w:rsidR="007D1DB2" w:rsidRPr="00B96B39" w:rsidRDefault="007D1DB2" w:rsidP="007D1DB2">
            <w:pPr>
              <w:pStyle w:val="lbltxt"/>
              <w:rPr>
                <w:noProof w:val="0"/>
                <w:szCs w:val="22"/>
                <w:lang w:val="sv-SE"/>
              </w:rPr>
            </w:pPr>
            <w:r w:rsidRPr="00B96B39">
              <w:rPr>
                <w:b/>
                <w:noProof w:val="0"/>
                <w:szCs w:val="22"/>
                <w:lang w:val="sv-SE"/>
              </w:rPr>
              <w:t>Suomi/Finland</w:t>
            </w:r>
          </w:p>
          <w:p w14:paraId="13999C56" w14:textId="77777777" w:rsidR="007D1DB2" w:rsidRPr="00B96B39" w:rsidRDefault="007D1DB2" w:rsidP="007D1DB2">
            <w:pPr>
              <w:pStyle w:val="lbltxt"/>
              <w:rPr>
                <w:noProof w:val="0"/>
                <w:szCs w:val="22"/>
                <w:lang w:val="sv-SE"/>
              </w:rPr>
            </w:pPr>
            <w:r w:rsidRPr="00B96B39">
              <w:rPr>
                <w:noProof w:val="0"/>
                <w:szCs w:val="22"/>
                <w:lang w:val="sv-SE"/>
              </w:rPr>
              <w:t>Amgen AB, sivuliike Suomessa/Amgen AB, filial i Finland</w:t>
            </w:r>
          </w:p>
          <w:p w14:paraId="070F414C" w14:textId="77777777" w:rsidR="007D1DB2" w:rsidRPr="00B96B39" w:rsidRDefault="007D1DB2" w:rsidP="007D1DB2">
            <w:pPr>
              <w:pStyle w:val="lbltxt"/>
              <w:rPr>
                <w:noProof w:val="0"/>
                <w:szCs w:val="22"/>
                <w:lang w:val="sv-SE"/>
              </w:rPr>
            </w:pPr>
            <w:r w:rsidRPr="00B96B39">
              <w:rPr>
                <w:noProof w:val="0"/>
                <w:szCs w:val="22"/>
                <w:lang w:val="sv-SE"/>
              </w:rPr>
              <w:t>Puh/Tel: +358 (0)9 54900500</w:t>
            </w:r>
          </w:p>
          <w:p w14:paraId="6F48C0F8" w14:textId="77777777" w:rsidR="007D1DB2" w:rsidRPr="00B96B39" w:rsidRDefault="007D1DB2" w:rsidP="008763E6">
            <w:pPr>
              <w:spacing w:after="0" w:line="240" w:lineRule="auto"/>
              <w:rPr>
                <w:lang w:val="sv-SE"/>
              </w:rPr>
            </w:pPr>
          </w:p>
        </w:tc>
      </w:tr>
      <w:tr w:rsidR="007D1DB2" w:rsidRPr="00B96B39" w14:paraId="695C4F4F" w14:textId="77777777" w:rsidTr="00560848">
        <w:trPr>
          <w:cantSplit/>
        </w:trPr>
        <w:tc>
          <w:tcPr>
            <w:tcW w:w="4649" w:type="dxa"/>
            <w:shd w:val="clear" w:color="auto" w:fill="auto"/>
          </w:tcPr>
          <w:p w14:paraId="4497557E" w14:textId="77777777" w:rsidR="007D1DB2" w:rsidRPr="0049523A" w:rsidRDefault="007D1DB2" w:rsidP="007D1DB2">
            <w:pPr>
              <w:pStyle w:val="lbltxt"/>
              <w:rPr>
                <w:b/>
                <w:noProof w:val="0"/>
                <w:szCs w:val="22"/>
                <w:lang w:val="sv-SE"/>
              </w:rPr>
            </w:pPr>
            <w:r w:rsidRPr="0049523A">
              <w:rPr>
                <w:b/>
                <w:noProof w:val="0"/>
                <w:szCs w:val="22"/>
                <w:lang w:val="sv-SE"/>
              </w:rPr>
              <w:t>K</w:t>
            </w:r>
            <w:r w:rsidRPr="00B96B39">
              <w:rPr>
                <w:b/>
                <w:noProof w:val="0"/>
                <w:szCs w:val="22"/>
                <w:lang w:val="sv-SE"/>
              </w:rPr>
              <w:t>ύπρος</w:t>
            </w:r>
          </w:p>
          <w:p w14:paraId="7CB792A5" w14:textId="77777777" w:rsidR="007D1DB2" w:rsidRPr="0049523A" w:rsidRDefault="007D1DB2" w:rsidP="008763E6">
            <w:pPr>
              <w:spacing w:after="0" w:line="240" w:lineRule="auto"/>
              <w:rPr>
                <w:lang w:val="sv-SE"/>
              </w:rPr>
            </w:pPr>
            <w:r w:rsidRPr="0049523A">
              <w:rPr>
                <w:lang w:val="sv-SE"/>
              </w:rPr>
              <w:t>C.A. Papaellinas Ltd</w:t>
            </w:r>
          </w:p>
          <w:p w14:paraId="2981B5E9" w14:textId="77777777" w:rsidR="007D1DB2" w:rsidRPr="0049523A" w:rsidRDefault="007D1DB2" w:rsidP="007D1DB2">
            <w:pPr>
              <w:pStyle w:val="lbltxt"/>
              <w:rPr>
                <w:noProof w:val="0"/>
                <w:szCs w:val="22"/>
                <w:lang w:val="sv-SE"/>
              </w:rPr>
            </w:pPr>
            <w:r w:rsidRPr="00B96B39">
              <w:rPr>
                <w:noProof w:val="0"/>
                <w:szCs w:val="22"/>
                <w:lang w:val="sv-SE"/>
              </w:rPr>
              <w:t>Τηλ</w:t>
            </w:r>
            <w:r w:rsidRPr="0049523A">
              <w:rPr>
                <w:noProof w:val="0"/>
                <w:szCs w:val="22"/>
                <w:lang w:val="sv-SE"/>
              </w:rPr>
              <w:t>.: +357 22741 741</w:t>
            </w:r>
          </w:p>
          <w:p w14:paraId="702C69C2" w14:textId="77777777" w:rsidR="007D1DB2" w:rsidRPr="0049523A" w:rsidRDefault="007D1DB2" w:rsidP="008763E6">
            <w:pPr>
              <w:spacing w:after="0" w:line="240" w:lineRule="auto"/>
              <w:rPr>
                <w:lang w:val="sv-SE"/>
              </w:rPr>
            </w:pPr>
          </w:p>
        </w:tc>
        <w:tc>
          <w:tcPr>
            <w:tcW w:w="4679" w:type="dxa"/>
            <w:shd w:val="clear" w:color="auto" w:fill="auto"/>
          </w:tcPr>
          <w:p w14:paraId="72E22791" w14:textId="77777777" w:rsidR="007D1DB2" w:rsidRPr="00B96B39" w:rsidRDefault="007D1DB2" w:rsidP="007D1DB2">
            <w:pPr>
              <w:pStyle w:val="lbltxt"/>
              <w:rPr>
                <w:noProof w:val="0"/>
                <w:szCs w:val="22"/>
                <w:lang w:val="sv-SE"/>
              </w:rPr>
            </w:pPr>
            <w:r w:rsidRPr="00B96B39">
              <w:rPr>
                <w:b/>
                <w:noProof w:val="0"/>
                <w:szCs w:val="22"/>
                <w:lang w:val="sv-SE"/>
              </w:rPr>
              <w:t>Sverige</w:t>
            </w:r>
          </w:p>
          <w:p w14:paraId="6914DBB0" w14:textId="77777777" w:rsidR="007D1DB2" w:rsidRPr="00B96B39" w:rsidRDefault="007D1DB2" w:rsidP="007D1DB2">
            <w:pPr>
              <w:pStyle w:val="lbltxt"/>
              <w:rPr>
                <w:noProof w:val="0"/>
                <w:szCs w:val="22"/>
                <w:lang w:val="sv-SE"/>
              </w:rPr>
            </w:pPr>
            <w:r w:rsidRPr="00B96B39">
              <w:rPr>
                <w:noProof w:val="0"/>
                <w:szCs w:val="22"/>
                <w:lang w:val="sv-SE"/>
              </w:rPr>
              <w:t xml:space="preserve">Amgen AB </w:t>
            </w:r>
          </w:p>
          <w:p w14:paraId="603CCC12" w14:textId="77777777" w:rsidR="007D1DB2" w:rsidRPr="00B96B39" w:rsidRDefault="007D1DB2" w:rsidP="007D1DB2">
            <w:pPr>
              <w:pStyle w:val="lbltxt"/>
              <w:rPr>
                <w:noProof w:val="0"/>
                <w:szCs w:val="22"/>
                <w:lang w:val="sv-SE"/>
              </w:rPr>
            </w:pPr>
            <w:r w:rsidRPr="00B96B39">
              <w:rPr>
                <w:noProof w:val="0"/>
                <w:szCs w:val="22"/>
                <w:lang w:val="sv-SE"/>
              </w:rPr>
              <w:t>Tel: +46 (0)8 6951100</w:t>
            </w:r>
          </w:p>
          <w:p w14:paraId="176DC647" w14:textId="77777777" w:rsidR="007D1DB2" w:rsidRPr="00B96B39" w:rsidRDefault="007D1DB2" w:rsidP="008763E6">
            <w:pPr>
              <w:spacing w:after="0" w:line="240" w:lineRule="auto"/>
              <w:rPr>
                <w:lang w:val="sv-SE"/>
              </w:rPr>
            </w:pPr>
          </w:p>
        </w:tc>
      </w:tr>
      <w:tr w:rsidR="007D1DB2" w:rsidRPr="00B96B39" w14:paraId="10764D5E" w14:textId="77777777" w:rsidTr="00560848">
        <w:trPr>
          <w:cantSplit/>
        </w:trPr>
        <w:tc>
          <w:tcPr>
            <w:tcW w:w="4649" w:type="dxa"/>
            <w:shd w:val="clear" w:color="auto" w:fill="auto"/>
          </w:tcPr>
          <w:p w14:paraId="155B6869" w14:textId="77777777" w:rsidR="007D1DB2" w:rsidRPr="00B96B39" w:rsidRDefault="007D1DB2" w:rsidP="007D1DB2">
            <w:pPr>
              <w:pStyle w:val="lbltxt"/>
              <w:rPr>
                <w:b/>
                <w:bCs/>
                <w:noProof w:val="0"/>
                <w:szCs w:val="22"/>
                <w:lang w:val="en-US"/>
              </w:rPr>
            </w:pPr>
            <w:proofErr w:type="spellStart"/>
            <w:r w:rsidRPr="00B96B39">
              <w:rPr>
                <w:b/>
                <w:bCs/>
                <w:noProof w:val="0"/>
                <w:szCs w:val="22"/>
                <w:lang w:val="en-US"/>
              </w:rPr>
              <w:t>Latvija</w:t>
            </w:r>
            <w:proofErr w:type="spellEnd"/>
          </w:p>
          <w:p w14:paraId="6EC14E65" w14:textId="77777777" w:rsidR="007D1DB2" w:rsidRPr="00B96B39" w:rsidRDefault="007D1DB2" w:rsidP="007D1DB2">
            <w:pPr>
              <w:pStyle w:val="lbltxt"/>
              <w:rPr>
                <w:noProof w:val="0"/>
                <w:szCs w:val="22"/>
                <w:lang w:val="en-US"/>
              </w:rPr>
            </w:pPr>
            <w:r w:rsidRPr="00B96B39">
              <w:rPr>
                <w:noProof w:val="0"/>
                <w:szCs w:val="22"/>
                <w:lang w:val="en-US"/>
              </w:rPr>
              <w:t xml:space="preserve">Amgen Switzerland AG </w:t>
            </w:r>
            <w:proofErr w:type="spellStart"/>
            <w:r w:rsidRPr="00B96B39">
              <w:rPr>
                <w:noProof w:val="0"/>
                <w:szCs w:val="22"/>
                <w:lang w:val="en-US"/>
              </w:rPr>
              <w:t>Rīgas</w:t>
            </w:r>
            <w:proofErr w:type="spellEnd"/>
            <w:r w:rsidRPr="00B96B39">
              <w:rPr>
                <w:noProof w:val="0"/>
                <w:szCs w:val="22"/>
                <w:lang w:val="en-US"/>
              </w:rPr>
              <w:t xml:space="preserve"> </w:t>
            </w:r>
            <w:proofErr w:type="spellStart"/>
            <w:r w:rsidRPr="00B96B39">
              <w:rPr>
                <w:noProof w:val="0"/>
                <w:szCs w:val="22"/>
                <w:lang w:val="en-US"/>
              </w:rPr>
              <w:t>filiāle</w:t>
            </w:r>
            <w:proofErr w:type="spellEnd"/>
          </w:p>
          <w:p w14:paraId="08E9791F" w14:textId="77777777" w:rsidR="007D1DB2" w:rsidRPr="00B96B39" w:rsidRDefault="007D1DB2" w:rsidP="007D1DB2">
            <w:pPr>
              <w:pStyle w:val="lbltxt"/>
              <w:rPr>
                <w:noProof w:val="0"/>
                <w:szCs w:val="22"/>
                <w:lang w:val="en-US"/>
              </w:rPr>
            </w:pPr>
            <w:r w:rsidRPr="00B96B39">
              <w:rPr>
                <w:bCs/>
                <w:noProof w:val="0"/>
                <w:szCs w:val="22"/>
                <w:lang w:val="en-US"/>
              </w:rPr>
              <w:t>Tel: +</w:t>
            </w:r>
            <w:r w:rsidRPr="00B96B39">
              <w:rPr>
                <w:noProof w:val="0"/>
                <w:szCs w:val="22"/>
                <w:lang w:val="en-US"/>
              </w:rPr>
              <w:t>371 257 25888</w:t>
            </w:r>
          </w:p>
          <w:p w14:paraId="7FD85A9F" w14:textId="77777777" w:rsidR="007D1DB2" w:rsidRPr="00B96B39" w:rsidRDefault="007D1DB2" w:rsidP="008763E6">
            <w:pPr>
              <w:spacing w:after="0" w:line="240" w:lineRule="auto"/>
            </w:pPr>
          </w:p>
        </w:tc>
        <w:tc>
          <w:tcPr>
            <w:tcW w:w="4679" w:type="dxa"/>
            <w:shd w:val="clear" w:color="auto" w:fill="auto"/>
          </w:tcPr>
          <w:p w14:paraId="2A198717" w14:textId="066B9088" w:rsidR="007D1DB2" w:rsidRPr="00B96B39" w:rsidRDefault="007D1DB2" w:rsidP="007D1DB2">
            <w:pPr>
              <w:pStyle w:val="lbltxt"/>
              <w:rPr>
                <w:noProof w:val="0"/>
                <w:szCs w:val="22"/>
              </w:rPr>
            </w:pPr>
            <w:r w:rsidRPr="00B96B39">
              <w:rPr>
                <w:b/>
                <w:noProof w:val="0"/>
                <w:szCs w:val="22"/>
              </w:rPr>
              <w:t>United Kingdom</w:t>
            </w:r>
            <w:r w:rsidR="007A090A">
              <w:rPr>
                <w:b/>
                <w:noProof w:val="0"/>
                <w:szCs w:val="22"/>
              </w:rPr>
              <w:t xml:space="preserve"> (Northern Ireland)</w:t>
            </w:r>
          </w:p>
          <w:p w14:paraId="3060449D" w14:textId="77777777" w:rsidR="007D1DB2" w:rsidRPr="00B96B39" w:rsidRDefault="007D1DB2" w:rsidP="007D1DB2">
            <w:pPr>
              <w:pStyle w:val="lbltxt"/>
              <w:rPr>
                <w:noProof w:val="0"/>
                <w:szCs w:val="22"/>
              </w:rPr>
            </w:pPr>
            <w:r w:rsidRPr="00B96B39">
              <w:rPr>
                <w:noProof w:val="0"/>
                <w:szCs w:val="22"/>
              </w:rPr>
              <w:t>Amgen Limited</w:t>
            </w:r>
          </w:p>
          <w:p w14:paraId="78350AE8" w14:textId="77777777" w:rsidR="007D1DB2" w:rsidRPr="00B96B39" w:rsidRDefault="007D1DB2" w:rsidP="007D1DB2">
            <w:pPr>
              <w:pStyle w:val="lbltxt"/>
              <w:rPr>
                <w:noProof w:val="0"/>
                <w:szCs w:val="22"/>
              </w:rPr>
            </w:pPr>
            <w:r w:rsidRPr="00B96B39">
              <w:rPr>
                <w:noProof w:val="0"/>
                <w:szCs w:val="22"/>
              </w:rPr>
              <w:t>Tel: +44 (0)1223 420305</w:t>
            </w:r>
          </w:p>
          <w:p w14:paraId="25F05840" w14:textId="77777777" w:rsidR="007D1DB2" w:rsidRPr="00B96B39" w:rsidRDefault="007D1DB2" w:rsidP="008763E6">
            <w:pPr>
              <w:spacing w:after="0" w:line="240" w:lineRule="auto"/>
              <w:rPr>
                <w:lang w:val="en-GB"/>
              </w:rPr>
            </w:pPr>
          </w:p>
        </w:tc>
      </w:tr>
    </w:tbl>
    <w:p w14:paraId="48BDCA0E" w14:textId="77777777" w:rsidR="00CC18C8" w:rsidRPr="008763E6" w:rsidRDefault="00CC18C8" w:rsidP="007D1DB2">
      <w:pPr>
        <w:pStyle w:val="Heading1"/>
        <w:keepNext w:val="0"/>
        <w:keepLines w:val="0"/>
        <w:spacing w:after="0" w:line="240" w:lineRule="auto"/>
        <w:ind w:left="0"/>
        <w:contextualSpacing/>
        <w:rPr>
          <w:lang w:val="en-GB"/>
        </w:rPr>
      </w:pPr>
    </w:p>
    <w:p w14:paraId="33FD53F4" w14:textId="77777777" w:rsidR="005027AB" w:rsidRPr="00A74CC6" w:rsidRDefault="00264096" w:rsidP="00364A49">
      <w:pPr>
        <w:pStyle w:val="Heading1"/>
        <w:spacing w:after="0" w:line="240" w:lineRule="auto"/>
        <w:ind w:left="0"/>
        <w:contextualSpacing/>
        <w:rPr>
          <w:lang w:val="sv-SE"/>
        </w:rPr>
      </w:pPr>
      <w:r w:rsidRPr="00A74CC6">
        <w:rPr>
          <w:lang w:val="sv-SE"/>
        </w:rPr>
        <w:t>Den</w:t>
      </w:r>
      <w:r w:rsidR="00CC18C8" w:rsidRPr="00A74CC6">
        <w:rPr>
          <w:lang w:val="sv-SE"/>
        </w:rPr>
        <w:t>na bipacksedel ändrades senast</w:t>
      </w:r>
    </w:p>
    <w:p w14:paraId="188A7B74" w14:textId="77777777" w:rsidR="00CC18C8" w:rsidRPr="00A74CC6" w:rsidRDefault="00CC18C8" w:rsidP="00364A49">
      <w:pPr>
        <w:keepNext/>
        <w:keepLines/>
        <w:spacing w:after="0" w:line="240" w:lineRule="auto"/>
        <w:ind w:left="0"/>
        <w:contextualSpacing/>
        <w:rPr>
          <w:lang w:val="sv-SE"/>
        </w:rPr>
      </w:pPr>
    </w:p>
    <w:p w14:paraId="13AED361" w14:textId="77777777" w:rsidR="007D1DB2" w:rsidRPr="00A74CC6" w:rsidRDefault="007D1DB2" w:rsidP="00364A49">
      <w:pPr>
        <w:keepNext/>
        <w:keepLines/>
        <w:spacing w:after="0" w:line="240" w:lineRule="auto"/>
        <w:ind w:left="0"/>
        <w:contextualSpacing/>
        <w:rPr>
          <w:lang w:val="sv-SE"/>
        </w:rPr>
      </w:pPr>
      <w:r w:rsidRPr="00A74CC6">
        <w:rPr>
          <w:b/>
          <w:lang w:val="sv-SE"/>
        </w:rPr>
        <w:t>Övriga informationskällor</w:t>
      </w:r>
    </w:p>
    <w:p w14:paraId="34EFF998" w14:textId="77777777" w:rsidR="007D1DB2" w:rsidRPr="00A74CC6" w:rsidRDefault="007D1DB2" w:rsidP="00364A49">
      <w:pPr>
        <w:keepNext/>
        <w:keepLines/>
        <w:spacing w:after="0" w:line="240" w:lineRule="auto"/>
        <w:ind w:left="0"/>
        <w:contextualSpacing/>
        <w:rPr>
          <w:lang w:val="sv-SE"/>
        </w:rPr>
      </w:pPr>
    </w:p>
    <w:p w14:paraId="1ABED4A1" w14:textId="21CED5F9" w:rsidR="00064222" w:rsidRPr="00A74CC6" w:rsidRDefault="00D50823" w:rsidP="008763E6">
      <w:pPr>
        <w:spacing w:after="0" w:line="240" w:lineRule="auto"/>
        <w:ind w:left="0" w:firstLine="0"/>
        <w:contextualSpacing/>
        <w:rPr>
          <w:color w:val="auto"/>
          <w:u w:val="single" w:color="0000FF"/>
          <w:lang w:val="sv-SE"/>
        </w:rPr>
      </w:pPr>
      <w:r>
        <w:rPr>
          <w:lang w:val="sv-SE"/>
        </w:rPr>
        <w:t>Ytterligare i</w:t>
      </w:r>
      <w:r w:rsidR="00264096" w:rsidRPr="00A74CC6">
        <w:rPr>
          <w:lang w:val="sv-SE"/>
        </w:rPr>
        <w:t xml:space="preserve">nformation om detta läkemedel finns på Europeiska läkemedelsmyndighetens </w:t>
      </w:r>
      <w:r>
        <w:rPr>
          <w:lang w:val="sv-SE"/>
        </w:rPr>
        <w:t>webbplats</w:t>
      </w:r>
      <w:r w:rsidRPr="00A74CC6">
        <w:rPr>
          <w:lang w:val="sv-SE"/>
        </w:rPr>
        <w:t xml:space="preserve"> </w:t>
      </w:r>
      <w:hyperlink r:id="rId14">
        <w:r w:rsidR="00264096" w:rsidRPr="00A74CC6">
          <w:rPr>
            <w:color w:val="0000FF"/>
            <w:u w:val="single" w:color="0000FF"/>
            <w:lang w:val="sv-SE"/>
          </w:rPr>
          <w:t>http://www.ema.europa.eu/</w:t>
        </w:r>
      </w:hyperlink>
      <w:r w:rsidR="00CF3F88" w:rsidRPr="00CF3F88">
        <w:rPr>
          <w:color w:val="auto"/>
          <w:lang w:val="sv-SE"/>
        </w:rPr>
        <w:t>.</w:t>
      </w:r>
    </w:p>
    <w:p w14:paraId="07347F61" w14:textId="77777777" w:rsidR="00064222" w:rsidRDefault="00064222" w:rsidP="008763E6">
      <w:pPr>
        <w:spacing w:after="0" w:line="240" w:lineRule="auto"/>
        <w:ind w:left="0"/>
        <w:contextualSpacing/>
        <w:rPr>
          <w:lang w:val="sv-SE"/>
        </w:rPr>
      </w:pPr>
    </w:p>
    <w:p w14:paraId="04074E56" w14:textId="77777777" w:rsidR="00064222" w:rsidRPr="00A74CC6" w:rsidRDefault="00064222" w:rsidP="008763E6">
      <w:pPr>
        <w:spacing w:after="0" w:line="240" w:lineRule="auto"/>
        <w:ind w:right="13"/>
        <w:contextualSpacing/>
        <w:rPr>
          <w:lang w:val="sv-SE"/>
        </w:rPr>
      </w:pPr>
      <w:r w:rsidRPr="00A74CC6">
        <w:rPr>
          <w:lang w:val="sv-SE"/>
        </w:rPr>
        <w:t>Denna bipacksedel finns på samtliga EU-/EES-språk på Europeiska läkemedelsmyndighetens webbplats.</w:t>
      </w:r>
    </w:p>
    <w:p w14:paraId="28E8DB18" w14:textId="77777777" w:rsidR="002624E6" w:rsidRPr="002624E6" w:rsidRDefault="002624E6" w:rsidP="002624E6">
      <w:pPr>
        <w:pStyle w:val="Heading1"/>
        <w:keepLines w:val="0"/>
        <w:spacing w:after="0" w:line="240" w:lineRule="auto"/>
        <w:ind w:left="0" w:firstLine="0"/>
        <w:contextualSpacing/>
        <w:rPr>
          <w:b w:val="0"/>
          <w:lang w:val="sv-SE"/>
        </w:rPr>
      </w:pPr>
    </w:p>
    <w:p w14:paraId="082A0276" w14:textId="77777777" w:rsidR="002624E6" w:rsidRPr="009E7EB8" w:rsidRDefault="002624E6" w:rsidP="002624E6">
      <w:pPr>
        <w:numPr>
          <w:ilvl w:val="12"/>
          <w:numId w:val="0"/>
        </w:numPr>
        <w:spacing w:after="0" w:line="240" w:lineRule="auto"/>
        <w:rPr>
          <w:noProof/>
          <w:lang w:val="sv-SE"/>
        </w:rPr>
      </w:pPr>
      <w:r w:rsidRPr="009E7EB8">
        <w:rPr>
          <w:noProof/>
          <w:lang w:val="sv-SE"/>
        </w:rPr>
        <w:t>------------------------------------------------------------------------------------------------------------------------</w:t>
      </w:r>
    </w:p>
    <w:p w14:paraId="4EAD1B12" w14:textId="77777777" w:rsidR="002624E6" w:rsidRPr="009E7EB8" w:rsidRDefault="002624E6" w:rsidP="002624E6">
      <w:pPr>
        <w:autoSpaceDE w:val="0"/>
        <w:autoSpaceDN w:val="0"/>
        <w:adjustRightInd w:val="0"/>
        <w:spacing w:after="0" w:line="240" w:lineRule="auto"/>
        <w:ind w:left="0" w:firstLine="0"/>
        <w:rPr>
          <w:rFonts w:eastAsia="Calibri"/>
          <w:lang w:val="sv-SE"/>
        </w:rPr>
      </w:pPr>
    </w:p>
    <w:p w14:paraId="494F726C" w14:textId="7C963129" w:rsidR="005027AB" w:rsidRPr="00A74CC6" w:rsidRDefault="00264096" w:rsidP="008763E6">
      <w:pPr>
        <w:pStyle w:val="Heading1"/>
        <w:keepLines w:val="0"/>
        <w:spacing w:after="0" w:line="240" w:lineRule="auto"/>
        <w:ind w:left="0" w:firstLine="0"/>
        <w:contextualSpacing/>
        <w:rPr>
          <w:lang w:val="sv-SE"/>
        </w:rPr>
      </w:pPr>
      <w:r w:rsidRPr="00A74CC6">
        <w:rPr>
          <w:lang w:val="sv-SE"/>
        </w:rPr>
        <w:t>Följande uppgifter är endast avsedda för hälso- och sjukvårdspersonal</w:t>
      </w:r>
    </w:p>
    <w:p w14:paraId="07E56956" w14:textId="77777777" w:rsidR="00CC18C8" w:rsidRPr="00A74CC6" w:rsidRDefault="00CC18C8" w:rsidP="001E7238">
      <w:pPr>
        <w:keepNext/>
        <w:spacing w:after="0" w:line="240" w:lineRule="auto"/>
        <w:contextualSpacing/>
        <w:rPr>
          <w:lang w:val="sv-SE"/>
        </w:rPr>
      </w:pPr>
    </w:p>
    <w:p w14:paraId="0B80DD4D" w14:textId="23743945" w:rsidR="00C57CAB" w:rsidRPr="006074FE" w:rsidRDefault="00C57CAB" w:rsidP="00E5647A">
      <w:pPr>
        <w:keepNext/>
        <w:keepLines/>
        <w:spacing w:after="0" w:line="240" w:lineRule="auto"/>
        <w:ind w:left="6" w:right="11" w:hanging="6"/>
        <w:rPr>
          <w:color w:val="auto"/>
          <w:lang w:val="sv-SE" w:eastAsia="sv-SE" w:bidi="sv-SE"/>
        </w:rPr>
      </w:pPr>
      <w:r>
        <w:rPr>
          <w:rFonts w:eastAsia="Calibri"/>
          <w:lang w:val="sv-SE"/>
        </w:rPr>
        <w:t xml:space="preserve">För att förhindra medicineringsfel är det viktigt att kontrollera injektionsflaskans märkning för att säkerställa att läkemedlet som bereds och administreras är KANJINTI (trastuzumab) och inte </w:t>
      </w:r>
      <w:r>
        <w:rPr>
          <w:lang w:val="sv-SE" w:eastAsia="sv-SE" w:bidi="sv-SE"/>
        </w:rPr>
        <w:t>någon annan produkt som innehåller trastuzumab (t ex trastuzumab emtansin eller trastuzumab deruxtecan).</w:t>
      </w:r>
    </w:p>
    <w:p w14:paraId="7C9C91CD" w14:textId="77777777" w:rsidR="003F59D9" w:rsidRDefault="003F59D9" w:rsidP="001E7238">
      <w:pPr>
        <w:spacing w:after="0" w:line="240" w:lineRule="auto"/>
        <w:ind w:left="4" w:right="13"/>
        <w:contextualSpacing/>
        <w:rPr>
          <w:lang w:val="sv-SE"/>
        </w:rPr>
      </w:pPr>
    </w:p>
    <w:p w14:paraId="4AA5C25D" w14:textId="7FEE8621" w:rsidR="005F7455" w:rsidRDefault="00264096" w:rsidP="001E7238">
      <w:pPr>
        <w:spacing w:after="0" w:line="240" w:lineRule="auto"/>
        <w:ind w:left="4" w:right="13"/>
        <w:contextualSpacing/>
        <w:rPr>
          <w:lang w:val="sv-SE"/>
        </w:rPr>
      </w:pPr>
      <w:r w:rsidRPr="00A74CC6">
        <w:rPr>
          <w:lang w:val="sv-SE"/>
        </w:rPr>
        <w:t>Ha alltid denna medicin i tillsluten originalförpackning och vid en temperatur av (2</w:t>
      </w:r>
      <w:r w:rsidR="009C638E" w:rsidRPr="00A74CC6">
        <w:rPr>
          <w:lang w:val="sv-SE"/>
        </w:rPr>
        <w:t> </w:t>
      </w:r>
      <w:r w:rsidR="00CC18C8" w:rsidRPr="00A74CC6">
        <w:rPr>
          <w:lang w:val="sv-SE"/>
        </w:rPr>
        <w:t>°C–8</w:t>
      </w:r>
      <w:r w:rsidR="009C638E" w:rsidRPr="00A74CC6">
        <w:rPr>
          <w:lang w:val="sv-SE"/>
        </w:rPr>
        <w:t> </w:t>
      </w:r>
      <w:r w:rsidR="00CC18C8" w:rsidRPr="00A74CC6">
        <w:rPr>
          <w:lang w:val="sv-SE"/>
        </w:rPr>
        <w:t>°</w:t>
      </w:r>
      <w:r w:rsidRPr="00A74CC6">
        <w:rPr>
          <w:lang w:val="sv-SE"/>
        </w:rPr>
        <w:t xml:space="preserve">C) i kylskåp. </w:t>
      </w:r>
    </w:p>
    <w:p w14:paraId="512D9B8D" w14:textId="77777777" w:rsidR="005F7455" w:rsidRDefault="005F7455" w:rsidP="001E7238">
      <w:pPr>
        <w:spacing w:after="0" w:line="240" w:lineRule="auto"/>
        <w:ind w:left="4" w:right="13"/>
        <w:contextualSpacing/>
        <w:rPr>
          <w:lang w:val="sv-SE"/>
        </w:rPr>
      </w:pPr>
    </w:p>
    <w:p w14:paraId="272C4D46" w14:textId="3E24C8D1" w:rsidR="005F7455" w:rsidRDefault="005F7455" w:rsidP="001E7238">
      <w:pPr>
        <w:spacing w:after="0" w:line="240" w:lineRule="auto"/>
        <w:ind w:left="4" w:right="13"/>
        <w:contextualSpacing/>
        <w:rPr>
          <w:lang w:val="sv-SE"/>
        </w:rPr>
      </w:pPr>
      <w:r w:rsidRPr="005F7455">
        <w:rPr>
          <w:lang w:val="sv-SE"/>
        </w:rPr>
        <w:t>Lämplig aseptisk teknik ska användas för beredning och utspädning. Noggrannhet måste iakttas för att säkerställa steriliteten på beredda lösningar. Eftersom läkemedlet inte innehåller några antimikrobiella konserveringsmedel eller bakteriostatiska medel måste aseptisk teknik användas.</w:t>
      </w:r>
    </w:p>
    <w:p w14:paraId="2438BF89" w14:textId="77777777" w:rsidR="00EF398E" w:rsidRDefault="00EF398E" w:rsidP="001E7238">
      <w:pPr>
        <w:spacing w:after="0" w:line="240" w:lineRule="auto"/>
        <w:ind w:left="4" w:right="13"/>
        <w:contextualSpacing/>
        <w:rPr>
          <w:lang w:val="sv-SE"/>
        </w:rPr>
      </w:pPr>
    </w:p>
    <w:p w14:paraId="0706C264" w14:textId="27D58B5B" w:rsidR="005027AB" w:rsidRDefault="00264096" w:rsidP="001E7238">
      <w:pPr>
        <w:spacing w:after="0" w:line="240" w:lineRule="auto"/>
        <w:ind w:left="4" w:right="13"/>
        <w:contextualSpacing/>
        <w:rPr>
          <w:lang w:val="sv-SE"/>
        </w:rPr>
      </w:pPr>
      <w:r w:rsidRPr="00A74CC6">
        <w:rPr>
          <w:lang w:val="sv-SE"/>
        </w:rPr>
        <w:lastRenderedPageBreak/>
        <w:t xml:space="preserve">En injektionsflaska med </w:t>
      </w:r>
      <w:r w:rsidR="00175E96" w:rsidRPr="00A74CC6">
        <w:rPr>
          <w:lang w:val="sv-SE"/>
        </w:rPr>
        <w:t xml:space="preserve">KANJINTI </w:t>
      </w:r>
      <w:r w:rsidR="00EF398E">
        <w:rPr>
          <w:lang w:val="sv-SE"/>
        </w:rPr>
        <w:t xml:space="preserve">som är aseptiskt </w:t>
      </w:r>
      <w:r w:rsidRPr="00A74CC6">
        <w:rPr>
          <w:lang w:val="sv-SE"/>
        </w:rPr>
        <w:t xml:space="preserve">spädd med </w:t>
      </w:r>
      <w:r w:rsidR="00EF398E">
        <w:rPr>
          <w:lang w:val="sv-SE"/>
        </w:rPr>
        <w:t xml:space="preserve">sterilt </w:t>
      </w:r>
      <w:r w:rsidRPr="00A74CC6">
        <w:rPr>
          <w:lang w:val="sv-SE"/>
        </w:rPr>
        <w:t>vatten för injektionsvätskor (</w:t>
      </w:r>
      <w:r w:rsidR="009C638E" w:rsidRPr="00A74CC6">
        <w:rPr>
          <w:lang w:val="sv-SE"/>
        </w:rPr>
        <w:t>medföljer ej</w:t>
      </w:r>
      <w:r w:rsidRPr="00A74CC6">
        <w:rPr>
          <w:lang w:val="sv-SE"/>
        </w:rPr>
        <w:t xml:space="preserve">) är </w:t>
      </w:r>
      <w:r w:rsidR="00EF398E">
        <w:rPr>
          <w:lang w:val="sv-SE"/>
        </w:rPr>
        <w:t xml:space="preserve">kemiskt och fysikaliskt </w:t>
      </w:r>
      <w:r w:rsidRPr="00A74CC6">
        <w:rPr>
          <w:lang w:val="sv-SE"/>
        </w:rPr>
        <w:t>stabilt i 48</w:t>
      </w:r>
      <w:r w:rsidR="009C638E" w:rsidRPr="00A74CC6">
        <w:rPr>
          <w:lang w:val="sv-SE"/>
        </w:rPr>
        <w:t> </w:t>
      </w:r>
      <w:r w:rsidRPr="00A74CC6">
        <w:rPr>
          <w:lang w:val="sv-SE"/>
        </w:rPr>
        <w:t>timmar vid 2</w:t>
      </w:r>
      <w:r w:rsidR="009C638E" w:rsidRPr="00A74CC6">
        <w:rPr>
          <w:lang w:val="sv-SE"/>
        </w:rPr>
        <w:t> </w:t>
      </w:r>
      <w:r w:rsidR="00CC18C8" w:rsidRPr="00A74CC6">
        <w:rPr>
          <w:lang w:val="sv-SE"/>
        </w:rPr>
        <w:t>°C–8</w:t>
      </w:r>
      <w:r w:rsidR="009C638E" w:rsidRPr="00A74CC6">
        <w:rPr>
          <w:lang w:val="sv-SE"/>
        </w:rPr>
        <w:t> </w:t>
      </w:r>
      <w:r w:rsidR="00CC18C8" w:rsidRPr="00A74CC6">
        <w:rPr>
          <w:lang w:val="sv-SE"/>
        </w:rPr>
        <w:t>°</w:t>
      </w:r>
      <w:r w:rsidRPr="00A74CC6">
        <w:rPr>
          <w:lang w:val="sv-SE"/>
        </w:rPr>
        <w:t>C efter utspädning och får ej frysas.</w:t>
      </w:r>
    </w:p>
    <w:p w14:paraId="6A5C6B59" w14:textId="768F2D40" w:rsidR="00EF398E" w:rsidRDefault="00EF398E" w:rsidP="001E7238">
      <w:pPr>
        <w:spacing w:after="0" w:line="240" w:lineRule="auto"/>
        <w:ind w:left="4" w:right="13"/>
        <w:contextualSpacing/>
        <w:rPr>
          <w:lang w:val="sv-SE"/>
        </w:rPr>
      </w:pPr>
    </w:p>
    <w:p w14:paraId="406DFB2B" w14:textId="464FDCBA" w:rsidR="00EF398E" w:rsidRPr="00EF398E" w:rsidRDefault="00EF398E" w:rsidP="00EF398E">
      <w:pPr>
        <w:spacing w:after="0" w:line="240" w:lineRule="auto"/>
        <w:ind w:left="4" w:right="13"/>
        <w:contextualSpacing/>
        <w:rPr>
          <w:lang w:val="sv-SE"/>
        </w:rPr>
      </w:pPr>
      <w:r w:rsidRPr="00EF398E">
        <w:rPr>
          <w:lang w:val="sv-SE"/>
        </w:rPr>
        <w:t>Efter aseptisk utspädning i polyvinylklorid-, polyetylen- eller polypropylenpåsar som innehåller natriumklorid 9</w:t>
      </w:r>
      <w:r>
        <w:rPr>
          <w:lang w:val="sv-SE"/>
        </w:rPr>
        <w:t> </w:t>
      </w:r>
      <w:r w:rsidRPr="00EF398E">
        <w:rPr>
          <w:lang w:val="sv-SE"/>
        </w:rPr>
        <w:t>mg/ml (0,9</w:t>
      </w:r>
      <w:r>
        <w:rPr>
          <w:lang w:val="sv-SE"/>
        </w:rPr>
        <w:t> </w:t>
      </w:r>
      <w:r w:rsidRPr="00EF398E">
        <w:rPr>
          <w:lang w:val="sv-SE"/>
        </w:rPr>
        <w:t xml:space="preserve">%) </w:t>
      </w:r>
      <w:r w:rsidRPr="00A74CC6">
        <w:rPr>
          <w:lang w:val="sv-SE"/>
        </w:rPr>
        <w:t>injektions</w:t>
      </w:r>
      <w:r>
        <w:rPr>
          <w:lang w:val="sv-SE"/>
        </w:rPr>
        <w:t xml:space="preserve">vätska, </w:t>
      </w:r>
      <w:r w:rsidRPr="00A74CC6">
        <w:rPr>
          <w:lang w:val="sv-SE"/>
        </w:rPr>
        <w:t>lösning</w:t>
      </w:r>
      <w:r>
        <w:rPr>
          <w:lang w:val="sv-SE"/>
        </w:rPr>
        <w:t>,</w:t>
      </w:r>
      <w:r w:rsidRPr="00A74CC6">
        <w:rPr>
          <w:lang w:val="sv-SE"/>
        </w:rPr>
        <w:t xml:space="preserve"> </w:t>
      </w:r>
      <w:r>
        <w:rPr>
          <w:lang w:val="sv-SE"/>
        </w:rPr>
        <w:t xml:space="preserve">har KANJINTI visats vara kemiskt och fysikaliskt stabil </w:t>
      </w:r>
      <w:r w:rsidRPr="00A74CC6">
        <w:rPr>
          <w:lang w:val="sv-SE"/>
        </w:rPr>
        <w:t>i</w:t>
      </w:r>
      <w:r>
        <w:rPr>
          <w:lang w:val="sv-SE"/>
        </w:rPr>
        <w:t xml:space="preserve"> upp till 3</w:t>
      </w:r>
      <w:r w:rsidR="00B54089">
        <w:rPr>
          <w:lang w:val="sv-SE"/>
        </w:rPr>
        <w:t>0</w:t>
      </w:r>
      <w:r>
        <w:rPr>
          <w:lang w:val="sv-SE"/>
        </w:rPr>
        <w:t xml:space="preserve"> dagar vid </w:t>
      </w:r>
      <w:r w:rsidRPr="00A74CC6">
        <w:rPr>
          <w:lang w:val="sv-SE"/>
        </w:rPr>
        <w:t>2 °C–8 °C</w:t>
      </w:r>
      <w:r>
        <w:rPr>
          <w:lang w:val="sv-SE"/>
        </w:rPr>
        <w:t xml:space="preserve"> och</w:t>
      </w:r>
      <w:r w:rsidRPr="00A74CC6">
        <w:rPr>
          <w:lang w:val="sv-SE"/>
        </w:rPr>
        <w:t xml:space="preserve"> </w:t>
      </w:r>
      <w:r w:rsidR="00BA6276">
        <w:rPr>
          <w:lang w:val="sv-SE"/>
        </w:rPr>
        <w:t xml:space="preserve">därefter </w:t>
      </w:r>
      <w:r w:rsidR="00EA7338">
        <w:rPr>
          <w:lang w:val="sv-SE"/>
        </w:rPr>
        <w:t xml:space="preserve">i </w:t>
      </w:r>
      <w:r w:rsidRPr="00A74CC6">
        <w:rPr>
          <w:lang w:val="sv-SE"/>
        </w:rPr>
        <w:t>24 timmar i rumstemperatur vid högst 30 °C.</w:t>
      </w:r>
      <w:r w:rsidRPr="00EF398E">
        <w:rPr>
          <w:lang w:val="sv-SE"/>
        </w:rPr>
        <w:t xml:space="preserve"> </w:t>
      </w:r>
    </w:p>
    <w:p w14:paraId="564971B1" w14:textId="77777777" w:rsidR="00EF398E" w:rsidRPr="00EF398E" w:rsidRDefault="00EF398E" w:rsidP="00EF398E">
      <w:pPr>
        <w:spacing w:after="0" w:line="240" w:lineRule="auto"/>
        <w:ind w:left="4" w:right="13"/>
        <w:contextualSpacing/>
        <w:rPr>
          <w:lang w:val="sv-SE"/>
        </w:rPr>
      </w:pPr>
    </w:p>
    <w:p w14:paraId="3AFC59C4" w14:textId="70E1C0B1" w:rsidR="00EF398E" w:rsidRPr="00A74CC6" w:rsidRDefault="00EF398E" w:rsidP="00EF398E">
      <w:pPr>
        <w:spacing w:after="0" w:line="240" w:lineRule="auto"/>
        <w:ind w:left="4" w:right="13"/>
        <w:contextualSpacing/>
        <w:rPr>
          <w:lang w:val="sv-SE"/>
        </w:rPr>
      </w:pPr>
      <w:r w:rsidRPr="00A74CC6">
        <w:rPr>
          <w:lang w:val="sv-SE"/>
        </w:rPr>
        <w:t xml:space="preserve">Ur mikrobiologisk synpunkt ska den utspädda lösningen och KANJINTI infusionslösning användas omedelbart. Om inte lösningen med KANJINTI används omedelbart är tillämpad förvaringstid och förvaringsbetingelser </w:t>
      </w:r>
      <w:r>
        <w:rPr>
          <w:lang w:val="sv-SE"/>
        </w:rPr>
        <w:t xml:space="preserve">före användning </w:t>
      </w:r>
      <w:r w:rsidRPr="00A74CC6">
        <w:rPr>
          <w:lang w:val="sv-SE"/>
        </w:rPr>
        <w:t>användarens ansvar</w:t>
      </w:r>
      <w:r>
        <w:rPr>
          <w:lang w:val="sv-SE"/>
        </w:rPr>
        <w:t xml:space="preserve">, och ska normalt inte vara längre än 24 timmar vid </w:t>
      </w:r>
      <w:r w:rsidRPr="00A74CC6">
        <w:rPr>
          <w:lang w:val="sv-SE"/>
        </w:rPr>
        <w:t>2 °C–8 °C</w:t>
      </w:r>
      <w:r>
        <w:rPr>
          <w:lang w:val="sv-SE"/>
        </w:rPr>
        <w:t>, om inte beredning och utspädning har skett under kontrollerade och validerade aseptiska förhållande</w:t>
      </w:r>
      <w:r w:rsidR="00733473">
        <w:rPr>
          <w:lang w:val="sv-SE"/>
        </w:rPr>
        <w:t>n</w:t>
      </w:r>
      <w:r w:rsidRPr="00A74CC6">
        <w:rPr>
          <w:lang w:val="sv-SE"/>
        </w:rPr>
        <w:t>.</w:t>
      </w:r>
    </w:p>
    <w:p w14:paraId="1ACA6C51" w14:textId="77777777" w:rsidR="00EF398E" w:rsidRPr="00EF398E" w:rsidRDefault="00EF398E" w:rsidP="00EF398E">
      <w:pPr>
        <w:spacing w:after="0" w:line="240" w:lineRule="auto"/>
        <w:ind w:left="4" w:right="13"/>
        <w:contextualSpacing/>
        <w:rPr>
          <w:lang w:val="sv-SE"/>
        </w:rPr>
      </w:pPr>
    </w:p>
    <w:p w14:paraId="62AA282E" w14:textId="0706ACF1" w:rsidR="00EF398E" w:rsidRDefault="00EF398E" w:rsidP="00EF398E">
      <w:pPr>
        <w:spacing w:after="0" w:line="240" w:lineRule="auto"/>
        <w:ind w:left="4" w:right="13"/>
        <w:contextualSpacing/>
        <w:rPr>
          <w:u w:val="single"/>
          <w:lang w:val="sv-SE"/>
        </w:rPr>
      </w:pPr>
      <w:r w:rsidRPr="00CE0099">
        <w:rPr>
          <w:u w:val="single"/>
          <w:lang w:val="sv-SE"/>
        </w:rPr>
        <w:t>Aseptisk beredning, hantering och förvaring</w:t>
      </w:r>
    </w:p>
    <w:p w14:paraId="16974BB6" w14:textId="77777777" w:rsidR="00B42E12" w:rsidRPr="00CE0099" w:rsidRDefault="00B42E12" w:rsidP="00EF398E">
      <w:pPr>
        <w:spacing w:after="0" w:line="240" w:lineRule="auto"/>
        <w:ind w:left="4" w:right="13"/>
        <w:contextualSpacing/>
        <w:rPr>
          <w:u w:val="single"/>
          <w:lang w:val="sv-SE"/>
        </w:rPr>
      </w:pPr>
    </w:p>
    <w:p w14:paraId="6D39E002" w14:textId="77777777" w:rsidR="00B42E12" w:rsidRPr="00CE0099" w:rsidRDefault="00B42E12" w:rsidP="00B42E12">
      <w:pPr>
        <w:autoSpaceDE w:val="0"/>
        <w:autoSpaceDN w:val="0"/>
        <w:adjustRightInd w:val="0"/>
        <w:spacing w:after="0" w:line="240" w:lineRule="auto"/>
        <w:ind w:left="0" w:firstLine="0"/>
        <w:rPr>
          <w:rFonts w:eastAsia="Calibri"/>
          <w:lang w:val="sv-SE"/>
        </w:rPr>
      </w:pPr>
      <w:r w:rsidRPr="00970B99">
        <w:rPr>
          <w:lang w:val="sv-SE"/>
        </w:rPr>
        <w:t xml:space="preserve">Aseptisk hantering måste garanteras vid </w:t>
      </w:r>
      <w:r w:rsidRPr="00CE0099">
        <w:rPr>
          <w:rFonts w:eastAsia="Calibri"/>
          <w:lang w:val="sv-SE"/>
        </w:rPr>
        <w:t>beredning av infusionen. Beredningen ska vara:</w:t>
      </w:r>
    </w:p>
    <w:p w14:paraId="60539CD1" w14:textId="77777777" w:rsidR="00B42E12" w:rsidRPr="00CE0099" w:rsidRDefault="00B42E12" w:rsidP="00B42E12">
      <w:pPr>
        <w:autoSpaceDE w:val="0"/>
        <w:autoSpaceDN w:val="0"/>
        <w:adjustRightInd w:val="0"/>
        <w:spacing w:after="0" w:line="240" w:lineRule="auto"/>
        <w:ind w:left="567" w:hanging="567"/>
        <w:rPr>
          <w:rFonts w:eastAsia="Calibri"/>
          <w:lang w:val="sv-SE"/>
        </w:rPr>
      </w:pPr>
      <w:r w:rsidRPr="00295797">
        <w:rPr>
          <w:rFonts w:eastAsia="Calibri"/>
          <w:lang w:val="en-GB"/>
        </w:rPr>
        <w:sym w:font="Symbol" w:char="F0B7"/>
      </w:r>
      <w:r w:rsidRPr="00CE0099">
        <w:rPr>
          <w:rFonts w:eastAsia="Calibri"/>
          <w:lang w:val="sv-SE"/>
        </w:rPr>
        <w:tab/>
        <w:t>utförd under aseptiska förhållanden med tränad personal i enlighet med god beredningssed särskilt med avseende på aseptisk beredning av parenterala produkter.</w:t>
      </w:r>
    </w:p>
    <w:p w14:paraId="02B3F3F1" w14:textId="4C86E6C2" w:rsidR="00B42E12" w:rsidRPr="00CE0099" w:rsidRDefault="00B42E12" w:rsidP="00B42E12">
      <w:pPr>
        <w:autoSpaceDE w:val="0"/>
        <w:autoSpaceDN w:val="0"/>
        <w:adjustRightInd w:val="0"/>
        <w:spacing w:after="0" w:line="240" w:lineRule="auto"/>
        <w:ind w:left="567" w:hanging="567"/>
        <w:rPr>
          <w:rFonts w:eastAsia="Calibri"/>
          <w:lang w:val="sv-SE"/>
        </w:rPr>
      </w:pPr>
      <w:r>
        <w:rPr>
          <w:lang w:val="sv-SE"/>
        </w:rPr>
        <w:sym w:font="Symbol" w:char="F0B7"/>
      </w:r>
      <w:r>
        <w:rPr>
          <w:lang w:val="sv-SE"/>
        </w:rPr>
        <w:tab/>
      </w:r>
      <w:r w:rsidRPr="00CE0099">
        <w:rPr>
          <w:rFonts w:eastAsia="Calibri"/>
          <w:lang w:val="sv-SE"/>
        </w:rPr>
        <w:t xml:space="preserve">beredd i </w:t>
      </w:r>
      <w:r w:rsidR="00FD5981">
        <w:rPr>
          <w:rFonts w:eastAsia="Calibri"/>
          <w:lang w:val="sv-SE"/>
        </w:rPr>
        <w:t>en LAF-bänk</w:t>
      </w:r>
      <w:r w:rsidRPr="00CE0099">
        <w:rPr>
          <w:rFonts w:eastAsia="Calibri"/>
          <w:lang w:val="sv-SE"/>
        </w:rPr>
        <w:t xml:space="preserve"> eller biologiskt säkerhetsskåp med användande av gängse försiktighetsmått för säker hantering av intravenösa läkemedel.</w:t>
      </w:r>
    </w:p>
    <w:p w14:paraId="4CA21B3F" w14:textId="59238921" w:rsidR="00B42E12" w:rsidRPr="00CE0099" w:rsidRDefault="00B42E12" w:rsidP="00B42E12">
      <w:pPr>
        <w:autoSpaceDE w:val="0"/>
        <w:autoSpaceDN w:val="0"/>
        <w:adjustRightInd w:val="0"/>
        <w:spacing w:after="0" w:line="240" w:lineRule="auto"/>
        <w:ind w:left="567" w:hanging="567"/>
        <w:rPr>
          <w:rFonts w:eastAsia="Calibri"/>
          <w:lang w:val="sv-SE"/>
        </w:rPr>
      </w:pPr>
      <w:r w:rsidRPr="00295797">
        <w:rPr>
          <w:rFonts w:eastAsia="Calibri"/>
          <w:lang w:val="en-GB"/>
        </w:rPr>
        <w:sym w:font="Symbol" w:char="F0B7"/>
      </w:r>
      <w:r w:rsidRPr="00CE0099">
        <w:rPr>
          <w:rFonts w:eastAsia="Calibri"/>
          <w:lang w:val="sv-SE"/>
        </w:rPr>
        <w:tab/>
        <w:t>följt av adekvat förvaring av beredd lösning för intravenös infusion för att säkerställa att aseptiska förhållanden bibehålls</w:t>
      </w:r>
      <w:r w:rsidR="00F06C96">
        <w:rPr>
          <w:rFonts w:eastAsia="Calibri"/>
          <w:lang w:val="sv-SE"/>
        </w:rPr>
        <w:t>.</w:t>
      </w:r>
    </w:p>
    <w:p w14:paraId="295C2802" w14:textId="77777777" w:rsidR="00CC18C8" w:rsidRPr="00A74CC6" w:rsidRDefault="00CC18C8" w:rsidP="001E7238">
      <w:pPr>
        <w:spacing w:after="0" w:line="240" w:lineRule="auto"/>
        <w:ind w:left="4" w:right="13"/>
        <w:contextualSpacing/>
        <w:rPr>
          <w:lang w:val="sv-SE"/>
        </w:rPr>
      </w:pPr>
    </w:p>
    <w:p w14:paraId="4F77989C" w14:textId="050C5CE6" w:rsidR="00175E96" w:rsidRPr="006D36D2" w:rsidRDefault="00175E96" w:rsidP="00175E96">
      <w:pPr>
        <w:keepNext/>
        <w:keepLines/>
        <w:spacing w:after="0" w:line="240" w:lineRule="auto"/>
        <w:ind w:left="9" w:hanging="10"/>
        <w:contextualSpacing/>
        <w:rPr>
          <w:i/>
          <w:iCs/>
          <w:u w:val="single"/>
          <w:lang w:val="sv-SE"/>
        </w:rPr>
      </w:pPr>
      <w:r w:rsidRPr="006D36D2">
        <w:rPr>
          <w:i/>
          <w:iCs/>
          <w:u w:val="single"/>
          <w:lang w:val="sv-SE"/>
        </w:rPr>
        <w:t>KANJINTI 150 mg pulver till koncentrat till infusionsvätska, lösning</w:t>
      </w:r>
    </w:p>
    <w:p w14:paraId="465484BF" w14:textId="77777777" w:rsidR="00F06C96" w:rsidRPr="00A74CC6" w:rsidRDefault="00F06C96" w:rsidP="00175E96">
      <w:pPr>
        <w:keepNext/>
        <w:keepLines/>
        <w:spacing w:after="0" w:line="240" w:lineRule="auto"/>
        <w:ind w:left="9" w:hanging="10"/>
        <w:contextualSpacing/>
        <w:rPr>
          <w:u w:val="single"/>
          <w:lang w:val="sv-SE"/>
        </w:rPr>
      </w:pPr>
    </w:p>
    <w:p w14:paraId="734577C1" w14:textId="00D3AE08" w:rsidR="00175E96" w:rsidRPr="00A74CC6" w:rsidRDefault="00264096" w:rsidP="001E7238">
      <w:pPr>
        <w:spacing w:after="0" w:line="240" w:lineRule="auto"/>
        <w:ind w:left="4" w:right="13"/>
        <w:contextualSpacing/>
        <w:rPr>
          <w:lang w:val="sv-SE"/>
        </w:rPr>
      </w:pPr>
      <w:r w:rsidRPr="00A74CC6">
        <w:rPr>
          <w:lang w:val="sv-SE"/>
        </w:rPr>
        <w:t xml:space="preserve">Varje injektionsflaska med </w:t>
      </w:r>
      <w:r w:rsidR="00175E96" w:rsidRPr="00A74CC6">
        <w:rPr>
          <w:lang w:val="sv-SE"/>
        </w:rPr>
        <w:t xml:space="preserve">150 mg KANJINTI </w:t>
      </w:r>
      <w:r w:rsidRPr="00A74CC6">
        <w:rPr>
          <w:lang w:val="sv-SE"/>
        </w:rPr>
        <w:t>ska spädas med 7,2</w:t>
      </w:r>
      <w:r w:rsidR="000A04E5" w:rsidRPr="00A74CC6">
        <w:rPr>
          <w:lang w:val="sv-SE"/>
        </w:rPr>
        <w:t> </w:t>
      </w:r>
      <w:r w:rsidRPr="00A74CC6">
        <w:rPr>
          <w:lang w:val="sv-SE"/>
        </w:rPr>
        <w:t>ml vatten för injektionsvätskor (</w:t>
      </w:r>
      <w:r w:rsidR="009C638E" w:rsidRPr="00A74CC6">
        <w:rPr>
          <w:lang w:val="sv-SE"/>
        </w:rPr>
        <w:t>medföljer ej</w:t>
      </w:r>
      <w:r w:rsidRPr="00A74CC6">
        <w:rPr>
          <w:lang w:val="sv-SE"/>
        </w:rPr>
        <w:t>). Användning av andra spädningsmedel ska undvikas. Den erhållna lösningen på 7,4</w:t>
      </w:r>
      <w:r w:rsidR="000A04E5" w:rsidRPr="00A74CC6">
        <w:rPr>
          <w:lang w:val="sv-SE"/>
        </w:rPr>
        <w:t> </w:t>
      </w:r>
      <w:r w:rsidRPr="00A74CC6">
        <w:rPr>
          <w:lang w:val="sv-SE"/>
        </w:rPr>
        <w:t>ml är avsedd för engångsanvän</w:t>
      </w:r>
      <w:r w:rsidR="000A04E5" w:rsidRPr="00A74CC6">
        <w:rPr>
          <w:lang w:val="sv-SE"/>
        </w:rPr>
        <w:t>dning och innehåller ungefär 21 </w:t>
      </w:r>
      <w:r w:rsidRPr="00A74CC6">
        <w:rPr>
          <w:lang w:val="sv-SE"/>
        </w:rPr>
        <w:t>mg/ml trastuzumab. En övers</w:t>
      </w:r>
      <w:r w:rsidR="00175E96" w:rsidRPr="00A74CC6">
        <w:rPr>
          <w:lang w:val="sv-SE"/>
        </w:rPr>
        <w:t>kotts</w:t>
      </w:r>
      <w:r w:rsidRPr="00A74CC6">
        <w:rPr>
          <w:lang w:val="sv-SE"/>
        </w:rPr>
        <w:t>volym på 4</w:t>
      </w:r>
      <w:r w:rsidR="00B268E6" w:rsidRPr="00A74CC6">
        <w:rPr>
          <w:lang w:val="sv-SE"/>
        </w:rPr>
        <w:t> %</w:t>
      </w:r>
      <w:r w:rsidRPr="00A74CC6">
        <w:rPr>
          <w:lang w:val="sv-SE"/>
        </w:rPr>
        <w:t xml:space="preserve"> säkerställer a</w:t>
      </w:r>
      <w:r w:rsidR="000A04E5" w:rsidRPr="00A74CC6">
        <w:rPr>
          <w:lang w:val="sv-SE"/>
        </w:rPr>
        <w:t>tt den föreskrivna dosen på 150 </w:t>
      </w:r>
      <w:r w:rsidRPr="00A74CC6">
        <w:rPr>
          <w:lang w:val="sv-SE"/>
        </w:rPr>
        <w:t xml:space="preserve">mg kan dras </w:t>
      </w:r>
      <w:r w:rsidR="009C638E" w:rsidRPr="00A74CC6">
        <w:rPr>
          <w:lang w:val="sv-SE"/>
        </w:rPr>
        <w:t xml:space="preserve">upp </w:t>
      </w:r>
      <w:r w:rsidRPr="00A74CC6">
        <w:rPr>
          <w:lang w:val="sv-SE"/>
        </w:rPr>
        <w:t>ur varje injektionsflaska.</w:t>
      </w:r>
    </w:p>
    <w:p w14:paraId="4B102105" w14:textId="1F321181" w:rsidR="005027AB" w:rsidRPr="00A74CC6" w:rsidRDefault="005027AB" w:rsidP="001E7238">
      <w:pPr>
        <w:spacing w:after="0" w:line="240" w:lineRule="auto"/>
        <w:ind w:left="4" w:right="13"/>
        <w:contextualSpacing/>
        <w:rPr>
          <w:lang w:val="sv-SE"/>
        </w:rPr>
      </w:pPr>
    </w:p>
    <w:p w14:paraId="44CFAB09" w14:textId="33757F22" w:rsidR="00175E96" w:rsidRPr="006D36D2" w:rsidRDefault="00175E96" w:rsidP="00175E96">
      <w:pPr>
        <w:keepNext/>
        <w:keepLines/>
        <w:spacing w:after="0" w:line="240" w:lineRule="auto"/>
        <w:ind w:left="9" w:hanging="10"/>
        <w:contextualSpacing/>
        <w:rPr>
          <w:i/>
          <w:iCs/>
          <w:u w:val="single"/>
          <w:lang w:val="sv-SE"/>
        </w:rPr>
      </w:pPr>
      <w:r w:rsidRPr="006D36D2">
        <w:rPr>
          <w:i/>
          <w:iCs/>
          <w:u w:val="single"/>
          <w:lang w:val="sv-SE"/>
        </w:rPr>
        <w:t>KANJINTI 420 mg pulver till koncentrat till infusionsvätska, lösning</w:t>
      </w:r>
    </w:p>
    <w:p w14:paraId="3D9B1CD5" w14:textId="77777777" w:rsidR="00F06C96" w:rsidRPr="00A74CC6" w:rsidRDefault="00F06C96" w:rsidP="00175E96">
      <w:pPr>
        <w:keepNext/>
        <w:keepLines/>
        <w:spacing w:after="0" w:line="240" w:lineRule="auto"/>
        <w:ind w:left="9" w:hanging="10"/>
        <w:contextualSpacing/>
        <w:rPr>
          <w:u w:val="single"/>
          <w:lang w:val="sv-SE"/>
        </w:rPr>
      </w:pPr>
    </w:p>
    <w:p w14:paraId="6DE15986" w14:textId="53C80FF1" w:rsidR="00175E96" w:rsidRPr="00A74CC6" w:rsidRDefault="00175E96" w:rsidP="00175E96">
      <w:pPr>
        <w:spacing w:after="0" w:line="240" w:lineRule="auto"/>
        <w:ind w:left="4" w:right="13"/>
        <w:contextualSpacing/>
        <w:rPr>
          <w:lang w:val="sv-SE"/>
        </w:rPr>
      </w:pPr>
      <w:r w:rsidRPr="00A74CC6">
        <w:rPr>
          <w:lang w:val="sv-SE"/>
        </w:rPr>
        <w:t>Varje injektionsflaska med 420 mg KANJINTI ska spädas med 20 ml sterilt vatten för injektionsvätskor (</w:t>
      </w:r>
      <w:r w:rsidR="009C638E" w:rsidRPr="00A74CC6">
        <w:rPr>
          <w:lang w:val="sv-SE"/>
        </w:rPr>
        <w:t>medföljer ej</w:t>
      </w:r>
      <w:r w:rsidRPr="00A74CC6">
        <w:rPr>
          <w:lang w:val="sv-SE"/>
        </w:rPr>
        <w:t xml:space="preserve">). Användning av andra spädningsmedel ska undvikas. Den erhållna lösningen på 21 ml är avsedd för engångsanvändning och innehåller ungefär 21 mg/ml trastuzumab. En överskottsvolym på 5 % säkerställer att den föreskrivna dosen på 420 mg kan dras </w:t>
      </w:r>
      <w:r w:rsidR="009C638E" w:rsidRPr="00A74CC6">
        <w:rPr>
          <w:lang w:val="sv-SE"/>
        </w:rPr>
        <w:t xml:space="preserve">upp </w:t>
      </w:r>
      <w:r w:rsidRPr="00A74CC6">
        <w:rPr>
          <w:lang w:val="sv-SE"/>
        </w:rPr>
        <w:t>ur varje injektionsflaska.</w:t>
      </w:r>
    </w:p>
    <w:p w14:paraId="7934610A" w14:textId="77777777" w:rsidR="00CC18C8" w:rsidRPr="00A74CC6" w:rsidRDefault="00CC18C8" w:rsidP="001E7238">
      <w:pPr>
        <w:spacing w:after="0" w:line="240" w:lineRule="auto"/>
        <w:ind w:left="4" w:right="13"/>
        <w:contextualSpacing/>
        <w:rPr>
          <w:lang w:val="sv-SE"/>
        </w:rPr>
      </w:pP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42"/>
        <w:gridCol w:w="3432"/>
        <w:gridCol w:w="342"/>
        <w:gridCol w:w="2766"/>
      </w:tblGrid>
      <w:tr w:rsidR="00AD14F8" w:rsidRPr="00A74CC6" w14:paraId="337432D8" w14:textId="77777777" w:rsidTr="004A019F">
        <w:tc>
          <w:tcPr>
            <w:tcW w:w="2381" w:type="dxa"/>
            <w:shd w:val="clear" w:color="auto" w:fill="auto"/>
          </w:tcPr>
          <w:p w14:paraId="47539A2B" w14:textId="77777777" w:rsidR="008306EB" w:rsidRPr="004A019F" w:rsidRDefault="008306EB" w:rsidP="004A019F">
            <w:pPr>
              <w:autoSpaceDE w:val="0"/>
              <w:autoSpaceDN w:val="0"/>
              <w:adjustRightInd w:val="0"/>
              <w:spacing w:after="0" w:line="240" w:lineRule="auto"/>
              <w:ind w:hanging="6"/>
              <w:rPr>
                <w:rFonts w:eastAsia="Calibri"/>
                <w:sz w:val="20"/>
                <w:szCs w:val="20"/>
                <w:lang w:val="sv-SE"/>
              </w:rPr>
            </w:pPr>
            <w:r w:rsidRPr="004A019F">
              <w:rPr>
                <w:rFonts w:eastAsia="Calibri"/>
                <w:sz w:val="20"/>
                <w:szCs w:val="20"/>
                <w:lang w:val="sv-SE"/>
              </w:rPr>
              <w:t>KANJINTI injektionsflaska</w:t>
            </w:r>
          </w:p>
        </w:tc>
        <w:tc>
          <w:tcPr>
            <w:tcW w:w="0" w:type="auto"/>
            <w:shd w:val="clear" w:color="auto" w:fill="auto"/>
          </w:tcPr>
          <w:p w14:paraId="6D4E2ED9" w14:textId="77777777" w:rsidR="008306EB" w:rsidRPr="004A019F" w:rsidRDefault="008306EB" w:rsidP="004A019F">
            <w:pPr>
              <w:autoSpaceDE w:val="0"/>
              <w:autoSpaceDN w:val="0"/>
              <w:adjustRightInd w:val="0"/>
              <w:spacing w:after="0" w:line="240" w:lineRule="auto"/>
              <w:ind w:hanging="6"/>
              <w:rPr>
                <w:rFonts w:eastAsia="Calibri"/>
                <w:sz w:val="20"/>
                <w:szCs w:val="20"/>
                <w:lang w:val="sv-SE"/>
              </w:rPr>
            </w:pPr>
          </w:p>
        </w:tc>
        <w:tc>
          <w:tcPr>
            <w:tcW w:w="0" w:type="auto"/>
            <w:shd w:val="clear" w:color="auto" w:fill="auto"/>
          </w:tcPr>
          <w:p w14:paraId="6B6822C1" w14:textId="77777777" w:rsidR="008306EB" w:rsidRPr="004A019F" w:rsidRDefault="008306EB" w:rsidP="004A019F">
            <w:pPr>
              <w:autoSpaceDE w:val="0"/>
              <w:autoSpaceDN w:val="0"/>
              <w:adjustRightInd w:val="0"/>
              <w:spacing w:after="0" w:line="240" w:lineRule="auto"/>
              <w:ind w:hanging="6"/>
              <w:rPr>
                <w:rFonts w:eastAsia="Calibri"/>
                <w:sz w:val="20"/>
                <w:szCs w:val="20"/>
                <w:lang w:val="sv-SE"/>
              </w:rPr>
            </w:pPr>
            <w:r w:rsidRPr="004A019F">
              <w:rPr>
                <w:rFonts w:eastAsia="Calibri"/>
                <w:sz w:val="20"/>
                <w:szCs w:val="20"/>
                <w:lang w:val="sv-SE"/>
              </w:rPr>
              <w:t>Volym sterilt vatten för injektion</w:t>
            </w:r>
            <w:r w:rsidR="00D739A3" w:rsidRPr="004A019F">
              <w:rPr>
                <w:rFonts w:eastAsia="Calibri"/>
                <w:sz w:val="20"/>
                <w:szCs w:val="20"/>
                <w:lang w:val="sv-SE"/>
              </w:rPr>
              <w:t>svätskor</w:t>
            </w:r>
          </w:p>
        </w:tc>
        <w:tc>
          <w:tcPr>
            <w:tcW w:w="0" w:type="auto"/>
            <w:shd w:val="clear" w:color="auto" w:fill="auto"/>
          </w:tcPr>
          <w:p w14:paraId="150A43EC" w14:textId="77777777" w:rsidR="008306EB" w:rsidRPr="004A019F" w:rsidRDefault="008306EB" w:rsidP="004A019F">
            <w:pPr>
              <w:autoSpaceDE w:val="0"/>
              <w:autoSpaceDN w:val="0"/>
              <w:adjustRightInd w:val="0"/>
              <w:spacing w:after="0" w:line="240" w:lineRule="auto"/>
              <w:ind w:hanging="6"/>
              <w:rPr>
                <w:rFonts w:eastAsia="Calibri"/>
                <w:sz w:val="20"/>
                <w:szCs w:val="20"/>
                <w:lang w:val="sv-SE"/>
              </w:rPr>
            </w:pPr>
          </w:p>
        </w:tc>
        <w:tc>
          <w:tcPr>
            <w:tcW w:w="2766" w:type="dxa"/>
            <w:shd w:val="clear" w:color="auto" w:fill="auto"/>
          </w:tcPr>
          <w:p w14:paraId="45DC6750" w14:textId="77777777" w:rsidR="008306EB" w:rsidRPr="004A019F" w:rsidRDefault="008306EB" w:rsidP="004A019F">
            <w:pPr>
              <w:autoSpaceDE w:val="0"/>
              <w:autoSpaceDN w:val="0"/>
              <w:adjustRightInd w:val="0"/>
              <w:spacing w:after="0" w:line="240" w:lineRule="auto"/>
              <w:ind w:hanging="6"/>
              <w:rPr>
                <w:rFonts w:eastAsia="Calibri"/>
                <w:sz w:val="20"/>
                <w:szCs w:val="20"/>
                <w:lang w:val="sv-SE"/>
              </w:rPr>
            </w:pPr>
            <w:r w:rsidRPr="004A019F">
              <w:rPr>
                <w:rFonts w:eastAsia="Calibri"/>
                <w:sz w:val="20"/>
                <w:szCs w:val="20"/>
                <w:lang w:val="sv-SE"/>
              </w:rPr>
              <w:t>Slutlig koncentration</w:t>
            </w:r>
          </w:p>
        </w:tc>
      </w:tr>
      <w:tr w:rsidR="00AD14F8" w:rsidRPr="00A74CC6" w14:paraId="557148C2" w14:textId="77777777" w:rsidTr="004A019F">
        <w:tc>
          <w:tcPr>
            <w:tcW w:w="2381" w:type="dxa"/>
            <w:shd w:val="clear" w:color="auto" w:fill="auto"/>
          </w:tcPr>
          <w:p w14:paraId="0BCF4696" w14:textId="207381A1" w:rsidR="008306EB" w:rsidRPr="004A019F" w:rsidRDefault="008306EB" w:rsidP="004A019F">
            <w:pPr>
              <w:autoSpaceDE w:val="0"/>
              <w:autoSpaceDN w:val="0"/>
              <w:adjustRightInd w:val="0"/>
              <w:spacing w:after="0" w:line="240" w:lineRule="auto"/>
              <w:ind w:hanging="6"/>
              <w:rPr>
                <w:rFonts w:eastAsia="Calibri"/>
                <w:sz w:val="20"/>
                <w:szCs w:val="20"/>
                <w:lang w:val="sv-SE"/>
              </w:rPr>
            </w:pPr>
            <w:r w:rsidRPr="004A019F">
              <w:rPr>
                <w:rFonts w:eastAsia="Calibri"/>
                <w:sz w:val="20"/>
                <w:szCs w:val="20"/>
                <w:lang w:val="sv-SE"/>
              </w:rPr>
              <w:t>150</w:t>
            </w:r>
            <w:r w:rsidR="009C638E" w:rsidRPr="004A019F">
              <w:rPr>
                <w:rFonts w:eastAsia="Calibri"/>
                <w:sz w:val="20"/>
                <w:szCs w:val="20"/>
                <w:lang w:val="sv-SE"/>
              </w:rPr>
              <w:t> </w:t>
            </w:r>
            <w:r w:rsidRPr="004A019F">
              <w:rPr>
                <w:rFonts w:eastAsia="Calibri"/>
                <w:sz w:val="20"/>
                <w:szCs w:val="20"/>
                <w:lang w:val="sv-SE"/>
              </w:rPr>
              <w:t>mg injektionsflaska</w:t>
            </w:r>
          </w:p>
        </w:tc>
        <w:tc>
          <w:tcPr>
            <w:tcW w:w="0" w:type="auto"/>
            <w:shd w:val="clear" w:color="auto" w:fill="auto"/>
          </w:tcPr>
          <w:p w14:paraId="29D3B239" w14:textId="77777777" w:rsidR="008306EB" w:rsidRPr="004A019F" w:rsidRDefault="008306EB" w:rsidP="004A019F">
            <w:pPr>
              <w:autoSpaceDE w:val="0"/>
              <w:autoSpaceDN w:val="0"/>
              <w:adjustRightInd w:val="0"/>
              <w:spacing w:after="0" w:line="240" w:lineRule="auto"/>
              <w:ind w:hanging="6"/>
              <w:rPr>
                <w:rFonts w:eastAsia="Calibri"/>
                <w:sz w:val="20"/>
                <w:szCs w:val="20"/>
                <w:lang w:val="sv-SE"/>
              </w:rPr>
            </w:pPr>
            <w:r w:rsidRPr="004A019F">
              <w:rPr>
                <w:rFonts w:eastAsia="Calibri"/>
                <w:sz w:val="20"/>
                <w:szCs w:val="20"/>
                <w:lang w:val="sv-SE"/>
              </w:rPr>
              <w:t>+</w:t>
            </w:r>
          </w:p>
        </w:tc>
        <w:tc>
          <w:tcPr>
            <w:tcW w:w="0" w:type="auto"/>
            <w:shd w:val="clear" w:color="auto" w:fill="auto"/>
          </w:tcPr>
          <w:p w14:paraId="3969045B" w14:textId="77777777" w:rsidR="008306EB" w:rsidRPr="004A019F" w:rsidRDefault="008306EB" w:rsidP="004A019F">
            <w:pPr>
              <w:autoSpaceDE w:val="0"/>
              <w:autoSpaceDN w:val="0"/>
              <w:adjustRightInd w:val="0"/>
              <w:spacing w:after="0" w:line="240" w:lineRule="auto"/>
              <w:ind w:hanging="6"/>
              <w:rPr>
                <w:rFonts w:eastAsia="Calibri"/>
                <w:sz w:val="20"/>
                <w:szCs w:val="20"/>
                <w:lang w:val="sv-SE"/>
              </w:rPr>
            </w:pPr>
            <w:r w:rsidRPr="004A019F">
              <w:rPr>
                <w:rFonts w:eastAsia="Calibri"/>
                <w:sz w:val="20"/>
                <w:szCs w:val="20"/>
                <w:lang w:val="sv-SE"/>
              </w:rPr>
              <w:t>7,2 ml</w:t>
            </w:r>
          </w:p>
        </w:tc>
        <w:tc>
          <w:tcPr>
            <w:tcW w:w="0" w:type="auto"/>
            <w:shd w:val="clear" w:color="auto" w:fill="auto"/>
          </w:tcPr>
          <w:p w14:paraId="0CD8F41F" w14:textId="77777777" w:rsidR="008306EB" w:rsidRPr="004A019F" w:rsidRDefault="008306EB" w:rsidP="004A019F">
            <w:pPr>
              <w:autoSpaceDE w:val="0"/>
              <w:autoSpaceDN w:val="0"/>
              <w:adjustRightInd w:val="0"/>
              <w:spacing w:after="0" w:line="240" w:lineRule="auto"/>
              <w:ind w:hanging="6"/>
              <w:rPr>
                <w:rFonts w:eastAsia="Calibri"/>
                <w:sz w:val="20"/>
                <w:szCs w:val="20"/>
                <w:lang w:val="sv-SE"/>
              </w:rPr>
            </w:pPr>
            <w:r w:rsidRPr="004A019F">
              <w:rPr>
                <w:rFonts w:eastAsia="Calibri"/>
                <w:sz w:val="20"/>
                <w:szCs w:val="20"/>
                <w:lang w:val="sv-SE"/>
              </w:rPr>
              <w:t>=</w:t>
            </w:r>
          </w:p>
        </w:tc>
        <w:tc>
          <w:tcPr>
            <w:tcW w:w="2766" w:type="dxa"/>
            <w:shd w:val="clear" w:color="auto" w:fill="auto"/>
          </w:tcPr>
          <w:p w14:paraId="7A1A13AA" w14:textId="77777777" w:rsidR="008306EB" w:rsidRPr="004A019F" w:rsidRDefault="008306EB" w:rsidP="004A019F">
            <w:pPr>
              <w:autoSpaceDE w:val="0"/>
              <w:autoSpaceDN w:val="0"/>
              <w:adjustRightInd w:val="0"/>
              <w:spacing w:after="0" w:line="240" w:lineRule="auto"/>
              <w:ind w:hanging="6"/>
              <w:rPr>
                <w:rFonts w:eastAsia="Calibri"/>
                <w:sz w:val="20"/>
                <w:szCs w:val="20"/>
                <w:lang w:val="sv-SE"/>
              </w:rPr>
            </w:pPr>
            <w:r w:rsidRPr="004A019F">
              <w:rPr>
                <w:rFonts w:eastAsia="Calibri"/>
                <w:sz w:val="20"/>
                <w:szCs w:val="20"/>
                <w:lang w:val="sv-SE"/>
              </w:rPr>
              <w:t>21 mg/ml</w:t>
            </w:r>
          </w:p>
        </w:tc>
      </w:tr>
      <w:tr w:rsidR="00AD14F8" w:rsidRPr="00A74CC6" w14:paraId="45E58EC9" w14:textId="77777777" w:rsidTr="004A019F">
        <w:tc>
          <w:tcPr>
            <w:tcW w:w="2381" w:type="dxa"/>
            <w:shd w:val="clear" w:color="auto" w:fill="auto"/>
          </w:tcPr>
          <w:p w14:paraId="760118CF" w14:textId="0A40BC82" w:rsidR="008306EB" w:rsidRPr="004A019F" w:rsidRDefault="008306EB" w:rsidP="004A019F">
            <w:pPr>
              <w:autoSpaceDE w:val="0"/>
              <w:autoSpaceDN w:val="0"/>
              <w:adjustRightInd w:val="0"/>
              <w:spacing w:after="0" w:line="240" w:lineRule="auto"/>
              <w:ind w:hanging="6"/>
              <w:rPr>
                <w:rFonts w:eastAsia="Calibri"/>
                <w:sz w:val="20"/>
                <w:szCs w:val="20"/>
                <w:lang w:val="sv-SE"/>
              </w:rPr>
            </w:pPr>
            <w:r w:rsidRPr="004A019F">
              <w:rPr>
                <w:rFonts w:eastAsia="Calibri"/>
                <w:sz w:val="20"/>
                <w:szCs w:val="20"/>
                <w:lang w:val="sv-SE"/>
              </w:rPr>
              <w:t>420</w:t>
            </w:r>
            <w:r w:rsidR="009C638E" w:rsidRPr="004A019F">
              <w:rPr>
                <w:rFonts w:eastAsia="Calibri"/>
                <w:sz w:val="20"/>
                <w:szCs w:val="20"/>
                <w:lang w:val="sv-SE"/>
              </w:rPr>
              <w:t> </w:t>
            </w:r>
            <w:r w:rsidRPr="004A019F">
              <w:rPr>
                <w:rFonts w:eastAsia="Calibri"/>
                <w:sz w:val="20"/>
                <w:szCs w:val="20"/>
                <w:lang w:val="sv-SE"/>
              </w:rPr>
              <w:t>mg injektionsflaska</w:t>
            </w:r>
          </w:p>
        </w:tc>
        <w:tc>
          <w:tcPr>
            <w:tcW w:w="0" w:type="auto"/>
            <w:shd w:val="clear" w:color="auto" w:fill="auto"/>
          </w:tcPr>
          <w:p w14:paraId="2321B157" w14:textId="77777777" w:rsidR="008306EB" w:rsidRPr="004A019F" w:rsidRDefault="008306EB" w:rsidP="004A019F">
            <w:pPr>
              <w:autoSpaceDE w:val="0"/>
              <w:autoSpaceDN w:val="0"/>
              <w:adjustRightInd w:val="0"/>
              <w:spacing w:after="0" w:line="240" w:lineRule="auto"/>
              <w:ind w:hanging="6"/>
              <w:rPr>
                <w:rFonts w:eastAsia="Calibri"/>
                <w:sz w:val="20"/>
                <w:szCs w:val="20"/>
                <w:lang w:val="sv-SE"/>
              </w:rPr>
            </w:pPr>
            <w:r w:rsidRPr="004A019F">
              <w:rPr>
                <w:rFonts w:eastAsia="Calibri"/>
                <w:sz w:val="20"/>
                <w:szCs w:val="20"/>
                <w:lang w:val="sv-SE"/>
              </w:rPr>
              <w:t>+</w:t>
            </w:r>
          </w:p>
        </w:tc>
        <w:tc>
          <w:tcPr>
            <w:tcW w:w="0" w:type="auto"/>
            <w:shd w:val="clear" w:color="auto" w:fill="auto"/>
          </w:tcPr>
          <w:p w14:paraId="5E9D1F0F" w14:textId="77777777" w:rsidR="008306EB" w:rsidRPr="004A019F" w:rsidRDefault="008306EB" w:rsidP="004A019F">
            <w:pPr>
              <w:autoSpaceDE w:val="0"/>
              <w:autoSpaceDN w:val="0"/>
              <w:adjustRightInd w:val="0"/>
              <w:spacing w:after="0" w:line="240" w:lineRule="auto"/>
              <w:ind w:hanging="6"/>
              <w:rPr>
                <w:rFonts w:eastAsia="Calibri"/>
                <w:sz w:val="20"/>
                <w:szCs w:val="20"/>
                <w:lang w:val="sv-SE"/>
              </w:rPr>
            </w:pPr>
            <w:r w:rsidRPr="004A019F">
              <w:rPr>
                <w:rFonts w:eastAsia="Calibri"/>
                <w:sz w:val="20"/>
                <w:szCs w:val="20"/>
                <w:lang w:val="sv-SE"/>
              </w:rPr>
              <w:t>20 ml</w:t>
            </w:r>
          </w:p>
        </w:tc>
        <w:tc>
          <w:tcPr>
            <w:tcW w:w="0" w:type="auto"/>
            <w:shd w:val="clear" w:color="auto" w:fill="auto"/>
          </w:tcPr>
          <w:p w14:paraId="4CBD7517" w14:textId="77777777" w:rsidR="008306EB" w:rsidRPr="004A019F" w:rsidRDefault="008306EB" w:rsidP="004A019F">
            <w:pPr>
              <w:autoSpaceDE w:val="0"/>
              <w:autoSpaceDN w:val="0"/>
              <w:adjustRightInd w:val="0"/>
              <w:spacing w:after="0" w:line="240" w:lineRule="auto"/>
              <w:ind w:hanging="6"/>
              <w:rPr>
                <w:rFonts w:eastAsia="Calibri"/>
                <w:sz w:val="20"/>
                <w:szCs w:val="20"/>
                <w:lang w:val="sv-SE"/>
              </w:rPr>
            </w:pPr>
            <w:r w:rsidRPr="004A019F">
              <w:rPr>
                <w:rFonts w:eastAsia="Calibri"/>
                <w:sz w:val="20"/>
                <w:szCs w:val="20"/>
                <w:lang w:val="sv-SE"/>
              </w:rPr>
              <w:t>=</w:t>
            </w:r>
          </w:p>
        </w:tc>
        <w:tc>
          <w:tcPr>
            <w:tcW w:w="2766" w:type="dxa"/>
            <w:shd w:val="clear" w:color="auto" w:fill="auto"/>
          </w:tcPr>
          <w:p w14:paraId="1B41C9C0" w14:textId="77777777" w:rsidR="008306EB" w:rsidRPr="004A019F" w:rsidRDefault="008306EB" w:rsidP="004A019F">
            <w:pPr>
              <w:autoSpaceDE w:val="0"/>
              <w:autoSpaceDN w:val="0"/>
              <w:adjustRightInd w:val="0"/>
              <w:spacing w:after="0" w:line="240" w:lineRule="auto"/>
              <w:ind w:hanging="6"/>
              <w:rPr>
                <w:rFonts w:eastAsia="Calibri"/>
                <w:sz w:val="20"/>
                <w:szCs w:val="20"/>
                <w:lang w:val="sv-SE"/>
              </w:rPr>
            </w:pPr>
            <w:r w:rsidRPr="004A019F">
              <w:rPr>
                <w:rFonts w:eastAsia="Calibri"/>
                <w:sz w:val="20"/>
                <w:szCs w:val="20"/>
                <w:lang w:val="sv-SE"/>
              </w:rPr>
              <w:t>21 mg/ml</w:t>
            </w:r>
          </w:p>
        </w:tc>
      </w:tr>
    </w:tbl>
    <w:p w14:paraId="12A38C2A" w14:textId="77777777" w:rsidR="008306EB" w:rsidRPr="00A74CC6" w:rsidRDefault="008306EB" w:rsidP="001E7238">
      <w:pPr>
        <w:spacing w:after="0" w:line="240" w:lineRule="auto"/>
        <w:ind w:left="4" w:right="13"/>
        <w:contextualSpacing/>
        <w:rPr>
          <w:lang w:val="sv-SE"/>
        </w:rPr>
      </w:pPr>
    </w:p>
    <w:p w14:paraId="2744E440" w14:textId="3D1882BE" w:rsidR="005027AB" w:rsidRPr="00A74CC6" w:rsidRDefault="00F06C96" w:rsidP="00CE0099">
      <w:pPr>
        <w:keepNext/>
        <w:spacing w:after="0" w:line="240" w:lineRule="auto"/>
        <w:ind w:left="9" w:hanging="10"/>
        <w:contextualSpacing/>
        <w:rPr>
          <w:u w:val="single" w:color="000000"/>
          <w:lang w:val="sv-SE"/>
        </w:rPr>
      </w:pPr>
      <w:r>
        <w:rPr>
          <w:u w:val="single" w:color="000000"/>
          <w:lang w:val="sv-SE"/>
        </w:rPr>
        <w:t>Aseptisk b</w:t>
      </w:r>
      <w:r w:rsidR="00264096" w:rsidRPr="00A74CC6">
        <w:rPr>
          <w:u w:val="single" w:color="000000"/>
          <w:lang w:val="sv-SE"/>
        </w:rPr>
        <w:t>eredningsanvisning:</w:t>
      </w:r>
    </w:p>
    <w:p w14:paraId="18F53F8C" w14:textId="77777777" w:rsidR="00AB315E" w:rsidRDefault="00AB315E" w:rsidP="00CE0099">
      <w:pPr>
        <w:keepNext/>
        <w:spacing w:after="0" w:line="240" w:lineRule="auto"/>
        <w:ind w:left="9" w:hanging="10"/>
        <w:contextualSpacing/>
        <w:rPr>
          <w:lang w:val="sv-SE"/>
        </w:rPr>
      </w:pPr>
    </w:p>
    <w:p w14:paraId="13939E9A" w14:textId="77777777" w:rsidR="00BC3E40" w:rsidRPr="00A74CC6" w:rsidRDefault="00BC3E40" w:rsidP="00CE0099">
      <w:pPr>
        <w:keepNext/>
        <w:spacing w:after="0" w:line="240" w:lineRule="auto"/>
        <w:ind w:left="4" w:right="13"/>
        <w:contextualSpacing/>
        <w:rPr>
          <w:lang w:val="sv-SE"/>
        </w:rPr>
      </w:pPr>
      <w:r w:rsidRPr="00A74CC6">
        <w:rPr>
          <w:lang w:val="sv-SE"/>
        </w:rPr>
        <w:t>KANJINTI ska hanteras försiktigt under beredningen. Om stark skumbildning orsakas under beredningen eller om den färdigberedda lösningen skakas kan problem uppstå med den mängd KANJINTI som kan dras upp ur injektionsflaskan.</w:t>
      </w:r>
    </w:p>
    <w:p w14:paraId="21382B07" w14:textId="77777777" w:rsidR="00BC3E40" w:rsidRPr="00A74CC6" w:rsidRDefault="00BC3E40" w:rsidP="001E7238">
      <w:pPr>
        <w:spacing w:after="0" w:line="240" w:lineRule="auto"/>
        <w:ind w:left="9" w:hanging="10"/>
        <w:contextualSpacing/>
        <w:rPr>
          <w:lang w:val="sv-SE"/>
        </w:rPr>
      </w:pPr>
    </w:p>
    <w:p w14:paraId="02D75E0C" w14:textId="57E1D74E" w:rsidR="00AB315E" w:rsidRPr="00A74CC6" w:rsidRDefault="00264096" w:rsidP="001E7238">
      <w:pPr>
        <w:spacing w:after="0" w:line="240" w:lineRule="auto"/>
        <w:ind w:left="4" w:right="476"/>
        <w:contextualSpacing/>
        <w:rPr>
          <w:lang w:val="sv-SE"/>
        </w:rPr>
      </w:pPr>
      <w:r w:rsidRPr="00A74CC6">
        <w:rPr>
          <w:lang w:val="sv-SE"/>
        </w:rPr>
        <w:t>1</w:t>
      </w:r>
      <w:r w:rsidR="00BD0995" w:rsidRPr="00A74CC6">
        <w:rPr>
          <w:lang w:val="sv-SE"/>
        </w:rPr>
        <w:t>)</w:t>
      </w:r>
      <w:r w:rsidR="00BD0995">
        <w:rPr>
          <w:lang w:val="sv-SE"/>
        </w:rPr>
        <w:t xml:space="preserve"> </w:t>
      </w:r>
      <w:r w:rsidRPr="00A74CC6">
        <w:rPr>
          <w:lang w:val="sv-SE"/>
        </w:rPr>
        <w:t>Använd en steril sp</w:t>
      </w:r>
      <w:r w:rsidR="007273DD" w:rsidRPr="00A74CC6">
        <w:rPr>
          <w:lang w:val="sv-SE"/>
        </w:rPr>
        <w:t xml:space="preserve">ruta, och injicera långsamt </w:t>
      </w:r>
      <w:r w:rsidR="008306EB" w:rsidRPr="00A74CC6">
        <w:rPr>
          <w:lang w:val="sv-SE"/>
        </w:rPr>
        <w:t>korrekt volym (anges ovan) sterilt</w:t>
      </w:r>
      <w:r w:rsidRPr="00A74CC6">
        <w:rPr>
          <w:lang w:val="sv-SE"/>
        </w:rPr>
        <w:t xml:space="preserve"> vatten för injektionsvätskor i injektionsflaskan som innehåller frystorkat </w:t>
      </w:r>
      <w:r w:rsidR="008306EB" w:rsidRPr="00A74CC6">
        <w:rPr>
          <w:lang w:val="sv-SE"/>
        </w:rPr>
        <w:t>KANJINTI</w:t>
      </w:r>
      <w:r w:rsidRPr="00A74CC6">
        <w:rPr>
          <w:lang w:val="sv-SE"/>
        </w:rPr>
        <w:t>. Rikta strålen mot den frystorkade kakan.</w:t>
      </w:r>
    </w:p>
    <w:p w14:paraId="1B3FB62C" w14:textId="77777777" w:rsidR="00667181" w:rsidRPr="00A74CC6" w:rsidRDefault="00667181" w:rsidP="001E7238">
      <w:pPr>
        <w:spacing w:after="0" w:line="240" w:lineRule="auto"/>
        <w:ind w:left="4" w:right="476"/>
        <w:contextualSpacing/>
        <w:rPr>
          <w:lang w:val="sv-SE"/>
        </w:rPr>
      </w:pPr>
    </w:p>
    <w:p w14:paraId="763C7838" w14:textId="0633D564" w:rsidR="005027AB" w:rsidRPr="00A74CC6" w:rsidRDefault="00264096" w:rsidP="001E7238">
      <w:pPr>
        <w:spacing w:after="0" w:line="240" w:lineRule="auto"/>
        <w:ind w:left="4" w:right="476"/>
        <w:contextualSpacing/>
        <w:rPr>
          <w:lang w:val="sv-SE"/>
        </w:rPr>
      </w:pPr>
      <w:r w:rsidRPr="00A74CC6">
        <w:rPr>
          <w:lang w:val="sv-SE"/>
        </w:rPr>
        <w:t>2</w:t>
      </w:r>
      <w:r w:rsidR="00BD0995" w:rsidRPr="00A74CC6">
        <w:rPr>
          <w:lang w:val="sv-SE"/>
        </w:rPr>
        <w:t>)</w:t>
      </w:r>
      <w:r w:rsidR="00BD0995">
        <w:rPr>
          <w:lang w:val="sv-SE"/>
        </w:rPr>
        <w:t xml:space="preserve"> </w:t>
      </w:r>
      <w:r w:rsidRPr="00A74CC6">
        <w:rPr>
          <w:lang w:val="sv-SE"/>
        </w:rPr>
        <w:t>Snurra injektionsflaskan försiktigt för att underlätta upp</w:t>
      </w:r>
      <w:r w:rsidR="009C638E" w:rsidRPr="00A74CC6">
        <w:rPr>
          <w:lang w:val="sv-SE"/>
        </w:rPr>
        <w:t>lösning av pulvret</w:t>
      </w:r>
      <w:r w:rsidRPr="00A74CC6">
        <w:rPr>
          <w:lang w:val="sv-SE"/>
        </w:rPr>
        <w:t>. SKAKA EJ</w:t>
      </w:r>
      <w:r w:rsidR="008306EB" w:rsidRPr="00A74CC6">
        <w:rPr>
          <w:lang w:val="sv-SE"/>
        </w:rPr>
        <w:t>.</w:t>
      </w:r>
    </w:p>
    <w:p w14:paraId="08DD0312" w14:textId="77777777" w:rsidR="007273DD" w:rsidRPr="00A74CC6" w:rsidRDefault="007273DD" w:rsidP="001E7238">
      <w:pPr>
        <w:spacing w:after="0" w:line="240" w:lineRule="auto"/>
        <w:ind w:left="4" w:right="476"/>
        <w:contextualSpacing/>
        <w:rPr>
          <w:lang w:val="sv-SE"/>
        </w:rPr>
      </w:pPr>
    </w:p>
    <w:p w14:paraId="21CB6D6F" w14:textId="0DE6FFAB" w:rsidR="005027AB" w:rsidRPr="00A74CC6" w:rsidRDefault="00264096" w:rsidP="001E7238">
      <w:pPr>
        <w:spacing w:after="0" w:line="240" w:lineRule="auto"/>
        <w:ind w:left="4" w:right="13"/>
        <w:contextualSpacing/>
        <w:rPr>
          <w:lang w:val="sv-SE"/>
        </w:rPr>
      </w:pPr>
      <w:r w:rsidRPr="00A74CC6">
        <w:rPr>
          <w:lang w:val="sv-SE"/>
        </w:rPr>
        <w:lastRenderedPageBreak/>
        <w:t>Det är inte ovanligt att produkten skummar lätt i samband med beredningen. Låt injektionsflaskan stå ca 5</w:t>
      </w:r>
      <w:r w:rsidR="009C638E" w:rsidRPr="00A74CC6">
        <w:rPr>
          <w:lang w:val="sv-SE"/>
        </w:rPr>
        <w:t> </w:t>
      </w:r>
      <w:r w:rsidRPr="00A74CC6">
        <w:rPr>
          <w:lang w:val="sv-SE"/>
        </w:rPr>
        <w:t xml:space="preserve">minuter. Den erhållna beredningen av </w:t>
      </w:r>
      <w:r w:rsidR="008306EB" w:rsidRPr="00A74CC6">
        <w:rPr>
          <w:lang w:val="sv-SE"/>
        </w:rPr>
        <w:t xml:space="preserve">KANJINTI </w:t>
      </w:r>
      <w:r w:rsidRPr="00A74CC6">
        <w:rPr>
          <w:lang w:val="sv-SE"/>
        </w:rPr>
        <w:t xml:space="preserve">är en färglös till svagt gulfärgad transparent lösning som ska vara väsentligen fri från synliga partiklar. </w:t>
      </w:r>
    </w:p>
    <w:p w14:paraId="1431EF07" w14:textId="708C7B4E" w:rsidR="007273DD" w:rsidRDefault="007273DD" w:rsidP="001E7238">
      <w:pPr>
        <w:spacing w:after="0" w:line="240" w:lineRule="auto"/>
        <w:ind w:left="4" w:right="13"/>
        <w:contextualSpacing/>
        <w:rPr>
          <w:lang w:val="sv-SE"/>
        </w:rPr>
      </w:pPr>
    </w:p>
    <w:p w14:paraId="58634C6E" w14:textId="6938A27A" w:rsidR="000D622F" w:rsidRPr="00CE0099" w:rsidRDefault="000D622F" w:rsidP="001E7238">
      <w:pPr>
        <w:spacing w:after="0" w:line="240" w:lineRule="auto"/>
        <w:ind w:left="4" w:right="13"/>
        <w:contextualSpacing/>
        <w:rPr>
          <w:u w:val="single"/>
          <w:lang w:val="sv-SE"/>
        </w:rPr>
      </w:pPr>
      <w:r w:rsidRPr="00CE0099">
        <w:rPr>
          <w:u w:val="single"/>
          <w:lang w:val="sv-SE"/>
        </w:rPr>
        <w:t>Instruktioner för aseptisk spädning av beredd lösning</w:t>
      </w:r>
    </w:p>
    <w:p w14:paraId="3CBE2153" w14:textId="77777777" w:rsidR="000D622F" w:rsidRPr="00A74CC6" w:rsidRDefault="000D622F" w:rsidP="001E7238">
      <w:pPr>
        <w:spacing w:after="0" w:line="240" w:lineRule="auto"/>
        <w:ind w:left="4" w:right="13"/>
        <w:contextualSpacing/>
        <w:rPr>
          <w:lang w:val="sv-SE"/>
        </w:rPr>
      </w:pPr>
    </w:p>
    <w:p w14:paraId="5AAB9FC1" w14:textId="77777777" w:rsidR="005027AB" w:rsidRPr="00A74CC6" w:rsidRDefault="00264096" w:rsidP="001E7238">
      <w:pPr>
        <w:keepNext/>
        <w:keepLines/>
        <w:spacing w:after="0" w:line="240" w:lineRule="auto"/>
        <w:ind w:left="4" w:right="11"/>
        <w:contextualSpacing/>
        <w:rPr>
          <w:lang w:val="sv-SE"/>
        </w:rPr>
      </w:pPr>
      <w:r w:rsidRPr="00A74CC6">
        <w:rPr>
          <w:lang w:val="sv-SE"/>
        </w:rPr>
        <w:t>Bestäm volymen av lösningen som behövs:</w:t>
      </w:r>
    </w:p>
    <w:p w14:paraId="051CA282" w14:textId="77777777" w:rsidR="005027AB" w:rsidRPr="00A74CC6" w:rsidRDefault="00AB315E" w:rsidP="00667181">
      <w:pPr>
        <w:pStyle w:val="ListParagraph"/>
        <w:keepNext/>
        <w:keepLines/>
        <w:numPr>
          <w:ilvl w:val="0"/>
          <w:numId w:val="31"/>
        </w:numPr>
        <w:spacing w:after="0" w:line="240" w:lineRule="auto"/>
        <w:ind w:left="567" w:hanging="567"/>
        <w:rPr>
          <w:lang w:val="sv-SE"/>
        </w:rPr>
      </w:pPr>
      <w:r w:rsidRPr="00A74CC6">
        <w:rPr>
          <w:lang w:val="sv-SE"/>
        </w:rPr>
        <w:t>för att få en startdos av 4 </w:t>
      </w:r>
      <w:r w:rsidR="00264096" w:rsidRPr="00A74CC6">
        <w:rPr>
          <w:lang w:val="sv-SE"/>
        </w:rPr>
        <w:t>mg trastuzumab/kg kroppsvikt, eller e</w:t>
      </w:r>
      <w:r w:rsidRPr="00A74CC6">
        <w:rPr>
          <w:lang w:val="sv-SE"/>
        </w:rPr>
        <w:t>fterföljande veckovisa dos på 2 </w:t>
      </w:r>
      <w:r w:rsidR="00264096" w:rsidRPr="00A74CC6">
        <w:rPr>
          <w:lang w:val="sv-SE"/>
        </w:rPr>
        <w:t>mg trastuzumab/kg kroppsvikt:</w:t>
      </w:r>
    </w:p>
    <w:p w14:paraId="3692FE37" w14:textId="77777777" w:rsidR="007273DD" w:rsidRPr="00A74CC6" w:rsidRDefault="007273DD" w:rsidP="001E7238">
      <w:pPr>
        <w:keepNext/>
        <w:keepLines/>
        <w:spacing w:after="0" w:line="240" w:lineRule="auto"/>
        <w:ind w:right="11"/>
        <w:rPr>
          <w:lang w:val="sv-SE"/>
        </w:rPr>
      </w:pPr>
    </w:p>
    <w:p w14:paraId="402F452B" w14:textId="262556FE" w:rsidR="005027AB" w:rsidRPr="00A74CC6" w:rsidRDefault="00264096" w:rsidP="001E7238">
      <w:pPr>
        <w:pStyle w:val="Heading2"/>
        <w:spacing w:after="0" w:line="240" w:lineRule="auto"/>
        <w:ind w:left="9"/>
        <w:contextualSpacing/>
        <w:rPr>
          <w:lang w:val="sv-SE"/>
        </w:rPr>
      </w:pPr>
      <w:r w:rsidRPr="00A74CC6">
        <w:rPr>
          <w:b/>
          <w:u w:val="none"/>
          <w:lang w:val="sv-SE"/>
        </w:rPr>
        <w:t xml:space="preserve">Volym </w:t>
      </w:r>
      <w:r w:rsidRPr="00A74CC6">
        <w:rPr>
          <w:u w:val="none"/>
          <w:lang w:val="sv-SE"/>
        </w:rPr>
        <w:t>(ml)</w:t>
      </w:r>
      <w:r w:rsidR="003E4275" w:rsidRPr="00A74CC6">
        <w:rPr>
          <w:u w:val="none"/>
          <w:lang w:val="sv-SE"/>
        </w:rPr>
        <w:t> </w:t>
      </w:r>
      <w:r w:rsidRPr="00A74CC6">
        <w:rPr>
          <w:u w:val="none"/>
          <w:lang w:val="sv-SE"/>
        </w:rPr>
        <w:t>=</w:t>
      </w:r>
      <w:r w:rsidR="003E4275" w:rsidRPr="00A74CC6">
        <w:rPr>
          <w:u w:val="none"/>
          <w:lang w:val="sv-SE"/>
        </w:rPr>
        <w:t> </w:t>
      </w:r>
      <w:r w:rsidRPr="00A74CC6">
        <w:rPr>
          <w:b/>
          <w:lang w:val="sv-SE"/>
        </w:rPr>
        <w:t xml:space="preserve">Kroppsvikt </w:t>
      </w:r>
      <w:r w:rsidRPr="00A74CC6">
        <w:rPr>
          <w:lang w:val="sv-SE"/>
        </w:rPr>
        <w:t xml:space="preserve">(kg) </w:t>
      </w:r>
      <w:r w:rsidR="00F37EBB" w:rsidRPr="009E7EB8">
        <w:rPr>
          <w:rFonts w:eastAsia="Calibri"/>
          <w:lang w:val="sv-SE"/>
        </w:rPr>
        <w:t>×</w:t>
      </w:r>
      <w:r w:rsidRPr="00A74CC6">
        <w:rPr>
          <w:lang w:val="sv-SE"/>
        </w:rPr>
        <w:t xml:space="preserve"> </w:t>
      </w:r>
      <w:r w:rsidRPr="00A74CC6">
        <w:rPr>
          <w:b/>
          <w:lang w:val="sv-SE"/>
        </w:rPr>
        <w:t xml:space="preserve">dos </w:t>
      </w:r>
      <w:r w:rsidRPr="00A74CC6">
        <w:rPr>
          <w:lang w:val="sv-SE"/>
        </w:rPr>
        <w:t>(</w:t>
      </w:r>
      <w:r w:rsidR="007273DD" w:rsidRPr="00A74CC6">
        <w:rPr>
          <w:b/>
          <w:lang w:val="sv-SE"/>
        </w:rPr>
        <w:t>4 </w:t>
      </w:r>
      <w:r w:rsidRPr="00A74CC6">
        <w:rPr>
          <w:lang w:val="sv-SE"/>
        </w:rPr>
        <w:t xml:space="preserve">mg/kg för startdos eller </w:t>
      </w:r>
      <w:r w:rsidRPr="00A74CC6">
        <w:rPr>
          <w:b/>
          <w:lang w:val="sv-SE"/>
        </w:rPr>
        <w:t>2</w:t>
      </w:r>
      <w:r w:rsidR="007273DD" w:rsidRPr="00A74CC6">
        <w:rPr>
          <w:b/>
          <w:lang w:val="sv-SE"/>
        </w:rPr>
        <w:t> </w:t>
      </w:r>
      <w:r w:rsidRPr="00A74CC6">
        <w:rPr>
          <w:lang w:val="sv-SE"/>
        </w:rPr>
        <w:t>mg/kg för underhållsdos)</w:t>
      </w:r>
    </w:p>
    <w:p w14:paraId="707D5D82" w14:textId="77777777" w:rsidR="005027AB" w:rsidRPr="00A74CC6" w:rsidRDefault="007273DD" w:rsidP="001E7238">
      <w:pPr>
        <w:spacing w:after="0" w:line="240" w:lineRule="auto"/>
        <w:ind w:left="2004" w:right="13"/>
        <w:contextualSpacing/>
        <w:rPr>
          <w:lang w:val="sv-SE"/>
        </w:rPr>
      </w:pPr>
      <w:r w:rsidRPr="00A74CC6">
        <w:rPr>
          <w:b/>
          <w:lang w:val="sv-SE"/>
        </w:rPr>
        <w:t>21 </w:t>
      </w:r>
      <w:r w:rsidR="00264096" w:rsidRPr="00A74CC6">
        <w:rPr>
          <w:lang w:val="sv-SE"/>
        </w:rPr>
        <w:t>(mg/ml, koncentration hos utspädd lösning)</w:t>
      </w:r>
    </w:p>
    <w:p w14:paraId="14792ABB" w14:textId="77777777" w:rsidR="007273DD" w:rsidRPr="00A74CC6" w:rsidRDefault="007273DD" w:rsidP="001E7238">
      <w:pPr>
        <w:spacing w:after="0" w:line="240" w:lineRule="auto"/>
        <w:ind w:left="0" w:right="13" w:firstLine="0"/>
        <w:contextualSpacing/>
        <w:rPr>
          <w:lang w:val="sv-SE"/>
        </w:rPr>
      </w:pPr>
    </w:p>
    <w:p w14:paraId="07690DFF" w14:textId="77777777" w:rsidR="005027AB" w:rsidRPr="00A74CC6" w:rsidRDefault="007273DD" w:rsidP="00667181">
      <w:pPr>
        <w:pStyle w:val="ListParagraph"/>
        <w:keepNext/>
        <w:keepLines/>
        <w:numPr>
          <w:ilvl w:val="0"/>
          <w:numId w:val="31"/>
        </w:numPr>
        <w:spacing w:after="0" w:line="240" w:lineRule="auto"/>
        <w:ind w:left="567" w:hanging="567"/>
        <w:rPr>
          <w:lang w:val="sv-SE"/>
        </w:rPr>
      </w:pPr>
      <w:r w:rsidRPr="00A74CC6">
        <w:rPr>
          <w:lang w:val="sv-SE"/>
        </w:rPr>
        <w:t>för att få en startdos av 8 </w:t>
      </w:r>
      <w:r w:rsidR="00264096" w:rsidRPr="00A74CC6">
        <w:rPr>
          <w:lang w:val="sv-SE"/>
        </w:rPr>
        <w:t>mg trastuzumab/kg kroppsvik</w:t>
      </w:r>
      <w:r w:rsidRPr="00A74CC6">
        <w:rPr>
          <w:lang w:val="sv-SE"/>
        </w:rPr>
        <w:t>t, eller efterföljande dos av 6 </w:t>
      </w:r>
      <w:r w:rsidR="00264096" w:rsidRPr="00A74CC6">
        <w:rPr>
          <w:lang w:val="sv-SE"/>
        </w:rPr>
        <w:t>mg trastuzumab/kg kroppsvikt var tredje vecka:</w:t>
      </w:r>
    </w:p>
    <w:p w14:paraId="644A9CBE" w14:textId="77777777" w:rsidR="007273DD" w:rsidRPr="00A74CC6" w:rsidRDefault="007273DD" w:rsidP="001E7238">
      <w:pPr>
        <w:pStyle w:val="Heading2"/>
        <w:keepNext w:val="0"/>
        <w:keepLines w:val="0"/>
        <w:spacing w:after="0" w:line="240" w:lineRule="auto"/>
        <w:ind w:left="9"/>
        <w:contextualSpacing/>
        <w:rPr>
          <w:b/>
          <w:u w:val="none"/>
          <w:lang w:val="sv-SE"/>
        </w:rPr>
      </w:pPr>
    </w:p>
    <w:p w14:paraId="1D6C0C34" w14:textId="01872605" w:rsidR="005027AB" w:rsidRPr="00A74CC6" w:rsidRDefault="00264096" w:rsidP="001E7238">
      <w:pPr>
        <w:pStyle w:val="Heading2"/>
        <w:keepNext w:val="0"/>
        <w:keepLines w:val="0"/>
        <w:spacing w:after="0" w:line="240" w:lineRule="auto"/>
        <w:ind w:left="9"/>
        <w:contextualSpacing/>
        <w:rPr>
          <w:lang w:val="sv-SE"/>
        </w:rPr>
      </w:pPr>
      <w:r w:rsidRPr="00A74CC6">
        <w:rPr>
          <w:b/>
          <w:u w:val="none"/>
          <w:lang w:val="sv-SE"/>
        </w:rPr>
        <w:t xml:space="preserve">Volym </w:t>
      </w:r>
      <w:r w:rsidRPr="00A74CC6">
        <w:rPr>
          <w:u w:val="none"/>
          <w:lang w:val="sv-SE"/>
        </w:rPr>
        <w:t>(ml)</w:t>
      </w:r>
      <w:r w:rsidR="003E4275" w:rsidRPr="00A74CC6">
        <w:rPr>
          <w:u w:val="none"/>
          <w:lang w:val="sv-SE"/>
        </w:rPr>
        <w:t> </w:t>
      </w:r>
      <w:r w:rsidRPr="00A74CC6">
        <w:rPr>
          <w:u w:val="none"/>
          <w:lang w:val="sv-SE"/>
        </w:rPr>
        <w:t>=</w:t>
      </w:r>
      <w:r w:rsidR="003E4275" w:rsidRPr="00A74CC6">
        <w:rPr>
          <w:u w:val="none"/>
          <w:lang w:val="sv-SE"/>
        </w:rPr>
        <w:t> </w:t>
      </w:r>
      <w:r w:rsidRPr="00A74CC6">
        <w:rPr>
          <w:b/>
          <w:lang w:val="sv-SE"/>
        </w:rPr>
        <w:t xml:space="preserve">Kroppsvikt </w:t>
      </w:r>
      <w:r w:rsidRPr="00A74CC6">
        <w:rPr>
          <w:lang w:val="sv-SE"/>
        </w:rPr>
        <w:t xml:space="preserve">(kg) </w:t>
      </w:r>
      <w:r w:rsidR="00F37EBB" w:rsidRPr="009E7EB8">
        <w:rPr>
          <w:rFonts w:eastAsia="Calibri"/>
          <w:lang w:val="sv-SE"/>
        </w:rPr>
        <w:t>×</w:t>
      </w:r>
      <w:r w:rsidRPr="00A74CC6">
        <w:rPr>
          <w:lang w:val="sv-SE"/>
        </w:rPr>
        <w:t xml:space="preserve"> </w:t>
      </w:r>
      <w:r w:rsidRPr="00A74CC6">
        <w:rPr>
          <w:b/>
          <w:lang w:val="sv-SE"/>
        </w:rPr>
        <w:t xml:space="preserve">dos </w:t>
      </w:r>
      <w:r w:rsidRPr="00A74CC6">
        <w:rPr>
          <w:lang w:val="sv-SE"/>
        </w:rPr>
        <w:t>(</w:t>
      </w:r>
      <w:r w:rsidR="007273DD" w:rsidRPr="00A74CC6">
        <w:rPr>
          <w:b/>
          <w:lang w:val="sv-SE"/>
        </w:rPr>
        <w:t>8 </w:t>
      </w:r>
      <w:r w:rsidRPr="00A74CC6">
        <w:rPr>
          <w:lang w:val="sv-SE"/>
        </w:rPr>
        <w:t xml:space="preserve">mg/kg för startdos eller </w:t>
      </w:r>
      <w:r w:rsidR="007273DD" w:rsidRPr="00A74CC6">
        <w:rPr>
          <w:b/>
          <w:lang w:val="sv-SE"/>
        </w:rPr>
        <w:t>6 </w:t>
      </w:r>
      <w:r w:rsidRPr="00A74CC6">
        <w:rPr>
          <w:lang w:val="sv-SE"/>
        </w:rPr>
        <w:t>mg/kg för underhållsdos)</w:t>
      </w:r>
    </w:p>
    <w:p w14:paraId="551CDEF0" w14:textId="77777777" w:rsidR="005027AB" w:rsidRPr="00A74CC6" w:rsidRDefault="00264096" w:rsidP="001E7238">
      <w:pPr>
        <w:spacing w:after="0" w:line="240" w:lineRule="auto"/>
        <w:ind w:left="2004" w:right="13"/>
        <w:contextualSpacing/>
        <w:rPr>
          <w:lang w:val="sv-SE"/>
        </w:rPr>
      </w:pPr>
      <w:r w:rsidRPr="00A74CC6">
        <w:rPr>
          <w:b/>
          <w:lang w:val="sv-SE"/>
        </w:rPr>
        <w:t>21</w:t>
      </w:r>
      <w:r w:rsidR="007273DD" w:rsidRPr="00A74CC6">
        <w:rPr>
          <w:b/>
          <w:lang w:val="sv-SE"/>
        </w:rPr>
        <w:t> </w:t>
      </w:r>
      <w:r w:rsidRPr="00A74CC6">
        <w:rPr>
          <w:lang w:val="sv-SE"/>
        </w:rPr>
        <w:t>(mg/ml, koncentration hos utspädd lösning)</w:t>
      </w:r>
    </w:p>
    <w:p w14:paraId="4FA171EE" w14:textId="77777777" w:rsidR="007273DD" w:rsidRPr="00A74CC6" w:rsidRDefault="007273DD" w:rsidP="002314CE">
      <w:pPr>
        <w:spacing w:after="0" w:line="240" w:lineRule="auto"/>
        <w:ind w:left="0" w:firstLine="0"/>
        <w:contextualSpacing/>
        <w:rPr>
          <w:lang w:val="sv-SE"/>
        </w:rPr>
      </w:pPr>
    </w:p>
    <w:p w14:paraId="7F9CA201" w14:textId="2E4DE392" w:rsidR="005027AB" w:rsidRPr="00A74CC6" w:rsidRDefault="00264096" w:rsidP="000A12DD">
      <w:pPr>
        <w:keepNext/>
        <w:keepLines/>
        <w:spacing w:after="0" w:line="240" w:lineRule="auto"/>
        <w:ind w:left="0" w:firstLine="0"/>
        <w:contextualSpacing/>
        <w:rPr>
          <w:lang w:val="sv-SE"/>
        </w:rPr>
      </w:pPr>
      <w:r w:rsidRPr="00A74CC6">
        <w:rPr>
          <w:lang w:val="sv-SE"/>
        </w:rPr>
        <w:t xml:space="preserve">Erforderlig mängd av lösningen ska dras upp från injektionsflaskan </w:t>
      </w:r>
      <w:r w:rsidR="007A090A" w:rsidRPr="007A090A">
        <w:rPr>
          <w:lang w:val="sv-SE"/>
        </w:rPr>
        <w:t>med en steril kanyl och spruta</w:t>
      </w:r>
      <w:r w:rsidR="007A090A">
        <w:rPr>
          <w:lang w:val="sv-SE"/>
        </w:rPr>
        <w:t xml:space="preserve"> </w:t>
      </w:r>
      <w:r w:rsidRPr="00A74CC6">
        <w:rPr>
          <w:lang w:val="sv-SE"/>
        </w:rPr>
        <w:t xml:space="preserve">och sättas till en infusionspåse av polyvinylklorid, polyetylen eller </w:t>
      </w:r>
      <w:r w:rsidR="000C0FB3" w:rsidRPr="00A74CC6">
        <w:rPr>
          <w:lang w:val="sv-SE"/>
        </w:rPr>
        <w:t xml:space="preserve">polypropylen som innehåller 250 ml </w:t>
      </w:r>
      <w:r w:rsidR="008306EB" w:rsidRPr="00A74CC6">
        <w:rPr>
          <w:lang w:val="sv-SE"/>
        </w:rPr>
        <w:t>natriumklorid 9 mg/ml (</w:t>
      </w:r>
      <w:r w:rsidR="000C0FB3" w:rsidRPr="00A74CC6">
        <w:rPr>
          <w:lang w:val="sv-SE"/>
        </w:rPr>
        <w:t>0,9</w:t>
      </w:r>
      <w:r w:rsidR="00092D6C" w:rsidRPr="00A74CC6">
        <w:rPr>
          <w:lang w:val="sv-SE"/>
        </w:rPr>
        <w:t> </w:t>
      </w:r>
      <w:r w:rsidRPr="00A74CC6">
        <w:rPr>
          <w:lang w:val="sv-SE"/>
        </w:rPr>
        <w:t>%</w:t>
      </w:r>
      <w:r w:rsidR="008306EB" w:rsidRPr="00A74CC6">
        <w:rPr>
          <w:lang w:val="sv-SE"/>
        </w:rPr>
        <w:t>) injektion</w:t>
      </w:r>
      <w:r w:rsidR="00E83727">
        <w:rPr>
          <w:lang w:val="sv-SE"/>
        </w:rPr>
        <w:t xml:space="preserve">svätska, </w:t>
      </w:r>
      <w:r w:rsidR="00E83727" w:rsidRPr="00A74CC6">
        <w:rPr>
          <w:lang w:val="sv-SE"/>
        </w:rPr>
        <w:t>lösning</w:t>
      </w:r>
      <w:r w:rsidRPr="00A74CC6">
        <w:rPr>
          <w:lang w:val="sv-SE"/>
        </w:rPr>
        <w:t xml:space="preserve">. Använd inte glukosinnehållande lösningar. </w:t>
      </w:r>
      <w:r w:rsidR="009C638E" w:rsidRPr="00A74CC6">
        <w:rPr>
          <w:lang w:val="sv-SE"/>
        </w:rPr>
        <w:t>B</w:t>
      </w:r>
      <w:r w:rsidRPr="00A74CC6">
        <w:rPr>
          <w:lang w:val="sv-SE"/>
        </w:rPr>
        <w:t>landa lösningen genom att sakta vända påsen</w:t>
      </w:r>
      <w:r w:rsidR="009C638E" w:rsidRPr="00A74CC6">
        <w:rPr>
          <w:lang w:val="sv-SE"/>
        </w:rPr>
        <w:t xml:space="preserve"> för att undvika skumbildning</w:t>
      </w:r>
      <w:r w:rsidRPr="00A74CC6">
        <w:rPr>
          <w:lang w:val="sv-SE"/>
        </w:rPr>
        <w:t>. Parenterala lösningar ska inspekteras visuellt med avseende på partiklar och missfärgningar före administrering.</w:t>
      </w:r>
    </w:p>
    <w:p w14:paraId="37000BCE" w14:textId="66D99726" w:rsidR="009147BB" w:rsidRPr="00A74CC6" w:rsidRDefault="009147BB" w:rsidP="000349F1">
      <w:pPr>
        <w:spacing w:after="160" w:line="259" w:lineRule="auto"/>
        <w:ind w:left="0" w:firstLine="0"/>
        <w:rPr>
          <w:lang w:val="sv-SE" w:eastAsia="sv-SE"/>
        </w:rPr>
      </w:pPr>
    </w:p>
    <w:sectPr w:rsidR="009147BB" w:rsidRPr="00A74CC6" w:rsidSect="008E787A">
      <w:type w:val="continuous"/>
      <w:pgSz w:w="11905"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1EFF3" w14:textId="77777777" w:rsidR="002C63A6" w:rsidRDefault="002C63A6">
      <w:pPr>
        <w:spacing w:after="0" w:line="240" w:lineRule="auto"/>
      </w:pPr>
      <w:r>
        <w:separator/>
      </w:r>
    </w:p>
  </w:endnote>
  <w:endnote w:type="continuationSeparator" w:id="0">
    <w:p w14:paraId="20F41692" w14:textId="77777777" w:rsidR="002C63A6" w:rsidRDefault="002C6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ymbol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3F623" w14:textId="77777777" w:rsidR="002E498F" w:rsidRDefault="002E498F">
    <w:pPr>
      <w:spacing w:after="0" w:line="259" w:lineRule="auto"/>
      <w:ind w:left="0" w:right="87" w:firstLine="0"/>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202A3" w14:textId="0B372C66" w:rsidR="002E498F" w:rsidRPr="008C64A6" w:rsidRDefault="002E498F" w:rsidP="008C64A6">
    <w:pPr>
      <w:spacing w:after="0" w:line="240" w:lineRule="auto"/>
      <w:ind w:left="0" w:firstLine="0"/>
      <w:jc w:val="center"/>
      <w:rPr>
        <w:rFonts w:ascii="Arial" w:hAnsi="Arial" w:cs="Arial"/>
        <w:color w:val="auto"/>
        <w:sz w:val="16"/>
        <w:szCs w:val="16"/>
      </w:rPr>
    </w:pPr>
    <w:r w:rsidRPr="008C64A6">
      <w:rPr>
        <w:rFonts w:ascii="Arial" w:hAnsi="Arial" w:cs="Arial"/>
        <w:color w:val="auto"/>
        <w:sz w:val="16"/>
        <w:szCs w:val="16"/>
      </w:rPr>
      <w:fldChar w:fldCharType="begin"/>
    </w:r>
    <w:r w:rsidRPr="008C64A6">
      <w:rPr>
        <w:rFonts w:ascii="Arial" w:hAnsi="Arial" w:cs="Arial"/>
        <w:color w:val="auto"/>
        <w:sz w:val="16"/>
        <w:szCs w:val="16"/>
      </w:rPr>
      <w:instrText xml:space="preserve"> PAGE   \* MERGEFORMAT </w:instrText>
    </w:r>
    <w:r w:rsidRPr="008C64A6">
      <w:rPr>
        <w:rFonts w:ascii="Arial" w:hAnsi="Arial" w:cs="Arial"/>
        <w:color w:val="auto"/>
        <w:sz w:val="16"/>
        <w:szCs w:val="16"/>
      </w:rPr>
      <w:fldChar w:fldCharType="separate"/>
    </w:r>
    <w:r w:rsidRPr="006074FE">
      <w:rPr>
        <w:rFonts w:ascii="Arial" w:eastAsia="Arial" w:hAnsi="Arial" w:cs="Arial"/>
        <w:noProof/>
        <w:color w:val="auto"/>
        <w:sz w:val="16"/>
        <w:szCs w:val="16"/>
      </w:rPr>
      <w:t>56</w:t>
    </w:r>
    <w:r w:rsidRPr="008C64A6">
      <w:rPr>
        <w:rFonts w:ascii="Arial" w:eastAsia="Arial" w:hAnsi="Arial" w:cs="Arial"/>
        <w:color w:val="auto"/>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FEB3" w14:textId="77777777" w:rsidR="002E498F" w:rsidRDefault="002E498F">
    <w:pPr>
      <w:spacing w:after="0" w:line="259" w:lineRule="auto"/>
      <w:ind w:left="0" w:right="87" w:firstLine="0"/>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6012F" w14:textId="77777777" w:rsidR="002C63A6" w:rsidRDefault="002C63A6">
      <w:pPr>
        <w:spacing w:after="0" w:line="240" w:lineRule="auto"/>
      </w:pPr>
      <w:r>
        <w:separator/>
      </w:r>
    </w:p>
  </w:footnote>
  <w:footnote w:type="continuationSeparator" w:id="0">
    <w:p w14:paraId="154A5D5F" w14:textId="77777777" w:rsidR="002C63A6" w:rsidRDefault="002C6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726"/>
    <w:multiLevelType w:val="hybridMultilevel"/>
    <w:tmpl w:val="7D7C83AA"/>
    <w:lvl w:ilvl="0" w:tplc="FB2EC70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20430"/>
    <w:multiLevelType w:val="hybridMultilevel"/>
    <w:tmpl w:val="2C26FA36"/>
    <w:lvl w:ilvl="0" w:tplc="8D1E18FA">
      <w:start w:val="1"/>
      <w:numFmt w:val="bullet"/>
      <w:lvlText w:val="•"/>
      <w:lvlJc w:val="left"/>
      <w:pPr>
        <w:ind w:left="212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0602A42">
      <w:start w:val="1"/>
      <w:numFmt w:val="bullet"/>
      <w:lvlText w:val="o"/>
      <w:lvlJc w:val="left"/>
      <w:pPr>
        <w:ind w:left="10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14EF56">
      <w:start w:val="1"/>
      <w:numFmt w:val="bullet"/>
      <w:lvlText w:val="▪"/>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3C325E">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5EEA4A">
      <w:start w:val="1"/>
      <w:numFmt w:val="bullet"/>
      <w:lvlText w:val="o"/>
      <w:lvlJc w:val="left"/>
      <w:pPr>
        <w:ind w:left="3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A8001C">
      <w:start w:val="1"/>
      <w:numFmt w:val="bullet"/>
      <w:lvlText w:val="▪"/>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DA7000">
      <w:start w:val="1"/>
      <w:numFmt w:val="bullet"/>
      <w:lvlText w:val="•"/>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30CC6A">
      <w:start w:val="1"/>
      <w:numFmt w:val="bullet"/>
      <w:lvlText w:val="o"/>
      <w:lvlJc w:val="left"/>
      <w:pPr>
        <w:ind w:left="5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F6D9D8">
      <w:start w:val="1"/>
      <w:numFmt w:val="bullet"/>
      <w:lvlText w:val="▪"/>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E350D8"/>
    <w:multiLevelType w:val="hybridMultilevel"/>
    <w:tmpl w:val="8E48E704"/>
    <w:lvl w:ilvl="0" w:tplc="041D0001">
      <w:start w:val="1"/>
      <w:numFmt w:val="bullet"/>
      <w:lvlText w:val=""/>
      <w:lvlJc w:val="left"/>
      <w:pPr>
        <w:ind w:left="719" w:hanging="360"/>
      </w:pPr>
      <w:rPr>
        <w:rFonts w:ascii="Symbol" w:hAnsi="Symbol" w:hint="default"/>
      </w:rPr>
    </w:lvl>
    <w:lvl w:ilvl="1" w:tplc="041D0003" w:tentative="1">
      <w:start w:val="1"/>
      <w:numFmt w:val="bullet"/>
      <w:lvlText w:val="o"/>
      <w:lvlJc w:val="left"/>
      <w:pPr>
        <w:ind w:left="1439" w:hanging="360"/>
      </w:pPr>
      <w:rPr>
        <w:rFonts w:ascii="Courier New" w:hAnsi="Courier New" w:cs="Courier New" w:hint="default"/>
      </w:rPr>
    </w:lvl>
    <w:lvl w:ilvl="2" w:tplc="041D0005" w:tentative="1">
      <w:start w:val="1"/>
      <w:numFmt w:val="bullet"/>
      <w:lvlText w:val=""/>
      <w:lvlJc w:val="left"/>
      <w:pPr>
        <w:ind w:left="2159" w:hanging="360"/>
      </w:pPr>
      <w:rPr>
        <w:rFonts w:ascii="Wingdings" w:hAnsi="Wingdings" w:hint="default"/>
      </w:rPr>
    </w:lvl>
    <w:lvl w:ilvl="3" w:tplc="041D0001" w:tentative="1">
      <w:start w:val="1"/>
      <w:numFmt w:val="bullet"/>
      <w:lvlText w:val=""/>
      <w:lvlJc w:val="left"/>
      <w:pPr>
        <w:ind w:left="2879" w:hanging="360"/>
      </w:pPr>
      <w:rPr>
        <w:rFonts w:ascii="Symbol" w:hAnsi="Symbol" w:hint="default"/>
      </w:rPr>
    </w:lvl>
    <w:lvl w:ilvl="4" w:tplc="041D0003" w:tentative="1">
      <w:start w:val="1"/>
      <w:numFmt w:val="bullet"/>
      <w:lvlText w:val="o"/>
      <w:lvlJc w:val="left"/>
      <w:pPr>
        <w:ind w:left="3599" w:hanging="360"/>
      </w:pPr>
      <w:rPr>
        <w:rFonts w:ascii="Courier New" w:hAnsi="Courier New" w:cs="Courier New" w:hint="default"/>
      </w:rPr>
    </w:lvl>
    <w:lvl w:ilvl="5" w:tplc="041D0005" w:tentative="1">
      <w:start w:val="1"/>
      <w:numFmt w:val="bullet"/>
      <w:lvlText w:val=""/>
      <w:lvlJc w:val="left"/>
      <w:pPr>
        <w:ind w:left="4319" w:hanging="360"/>
      </w:pPr>
      <w:rPr>
        <w:rFonts w:ascii="Wingdings" w:hAnsi="Wingdings" w:hint="default"/>
      </w:rPr>
    </w:lvl>
    <w:lvl w:ilvl="6" w:tplc="041D0001" w:tentative="1">
      <w:start w:val="1"/>
      <w:numFmt w:val="bullet"/>
      <w:lvlText w:val=""/>
      <w:lvlJc w:val="left"/>
      <w:pPr>
        <w:ind w:left="5039" w:hanging="360"/>
      </w:pPr>
      <w:rPr>
        <w:rFonts w:ascii="Symbol" w:hAnsi="Symbol" w:hint="default"/>
      </w:rPr>
    </w:lvl>
    <w:lvl w:ilvl="7" w:tplc="041D0003" w:tentative="1">
      <w:start w:val="1"/>
      <w:numFmt w:val="bullet"/>
      <w:lvlText w:val="o"/>
      <w:lvlJc w:val="left"/>
      <w:pPr>
        <w:ind w:left="5759" w:hanging="360"/>
      </w:pPr>
      <w:rPr>
        <w:rFonts w:ascii="Courier New" w:hAnsi="Courier New" w:cs="Courier New" w:hint="default"/>
      </w:rPr>
    </w:lvl>
    <w:lvl w:ilvl="8" w:tplc="041D0005" w:tentative="1">
      <w:start w:val="1"/>
      <w:numFmt w:val="bullet"/>
      <w:lvlText w:val=""/>
      <w:lvlJc w:val="left"/>
      <w:pPr>
        <w:ind w:left="6479" w:hanging="360"/>
      </w:pPr>
      <w:rPr>
        <w:rFonts w:ascii="Wingdings" w:hAnsi="Wingdings" w:hint="default"/>
      </w:rPr>
    </w:lvl>
  </w:abstractNum>
  <w:abstractNum w:abstractNumId="3" w15:restartNumberingAfterBreak="0">
    <w:nsid w:val="13526C1E"/>
    <w:multiLevelType w:val="hybridMultilevel"/>
    <w:tmpl w:val="A2725E0C"/>
    <w:lvl w:ilvl="0" w:tplc="4A3EA00E">
      <w:start w:val="1"/>
      <w:numFmt w:val="bullet"/>
      <w:lvlText w:val="•"/>
      <w:lvlJc w:val="left"/>
      <w:pPr>
        <w:ind w:left="56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87C48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1EFB6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78691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6406F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2873D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36B8C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B0E12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E4A02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056303"/>
    <w:multiLevelType w:val="hybridMultilevel"/>
    <w:tmpl w:val="FBEC41BE"/>
    <w:lvl w:ilvl="0" w:tplc="7F845216">
      <w:start w:val="1"/>
      <w:numFmt w:val="bullet"/>
      <w:lvlText w:val="•"/>
      <w:lvlJc w:val="left"/>
      <w:pPr>
        <w:ind w:left="581"/>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EF03A2A">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669CE8">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2EC708">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32B5EC">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985746">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66886E">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56B078">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1C7A82">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E40E9F"/>
    <w:multiLevelType w:val="hybridMultilevel"/>
    <w:tmpl w:val="87F06F18"/>
    <w:lvl w:ilvl="0" w:tplc="8D5EB23A">
      <w:start w:val="1"/>
      <w:numFmt w:val="bullet"/>
      <w:lvlText w:val="•"/>
      <w:lvlJc w:val="left"/>
      <w:pPr>
        <w:ind w:left="734"/>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CDE2E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5E3A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225F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7868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E6A7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C206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30F7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6881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18533FE"/>
    <w:multiLevelType w:val="hybridMultilevel"/>
    <w:tmpl w:val="3356F3E2"/>
    <w:lvl w:ilvl="0" w:tplc="FFFFFFFF">
      <w:start w:val="1"/>
      <w:numFmt w:val="bullet"/>
      <w:lvlText w:val="-"/>
      <w:lvlJc w:val="left"/>
      <w:pPr>
        <w:ind w:left="720" w:hanging="360"/>
      </w:pPr>
    </w:lvl>
    <w:lvl w:ilvl="1" w:tplc="AD645D98">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33387B"/>
    <w:multiLevelType w:val="hybridMultilevel"/>
    <w:tmpl w:val="1EA4CAA6"/>
    <w:lvl w:ilvl="0" w:tplc="15965F22">
      <w:start w:val="1"/>
      <w:numFmt w:val="upperLetter"/>
      <w:lvlText w:val="%1."/>
      <w:lvlJc w:val="left"/>
      <w:pPr>
        <w:ind w:left="3888" w:hanging="360"/>
      </w:pPr>
      <w:rPr>
        <w:rFonts w:hint="default"/>
      </w:rPr>
    </w:lvl>
    <w:lvl w:ilvl="1" w:tplc="04090019" w:tentative="1">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8" w15:restartNumberingAfterBreak="0">
    <w:nsid w:val="24D70A9A"/>
    <w:multiLevelType w:val="hybridMultilevel"/>
    <w:tmpl w:val="D14E15F4"/>
    <w:lvl w:ilvl="0" w:tplc="707A7E6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5C737E">
      <w:start w:val="1"/>
      <w:numFmt w:val="bullet"/>
      <w:lvlRestart w:val="0"/>
      <w:lvlText w:val="-"/>
      <w:lvlJc w:val="left"/>
      <w:pPr>
        <w:ind w:left="1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187CDE">
      <w:start w:val="1"/>
      <w:numFmt w:val="bullet"/>
      <w:lvlText w:val="▪"/>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1C7FEE">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9A4F00">
      <w:start w:val="1"/>
      <w:numFmt w:val="bullet"/>
      <w:lvlText w:val="o"/>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4C2EE0">
      <w:start w:val="1"/>
      <w:numFmt w:val="bullet"/>
      <w:lvlText w:val="▪"/>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AA023E">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CC2FD4">
      <w:start w:val="1"/>
      <w:numFmt w:val="bullet"/>
      <w:lvlText w:val="o"/>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104788">
      <w:start w:val="1"/>
      <w:numFmt w:val="bullet"/>
      <w:lvlText w:val="▪"/>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5B42263"/>
    <w:multiLevelType w:val="hybridMultilevel"/>
    <w:tmpl w:val="EC3C63FC"/>
    <w:lvl w:ilvl="0" w:tplc="168E9DE6">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46E9A4">
      <w:start w:val="1"/>
      <w:numFmt w:val="bullet"/>
      <w:lvlText w:val="o"/>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180A54">
      <w:start w:val="1"/>
      <w:numFmt w:val="bullet"/>
      <w:lvlText w:val="▪"/>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FCA5F0">
      <w:start w:val="1"/>
      <w:numFmt w:val="bullet"/>
      <w:lvlText w:val="•"/>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8C2116">
      <w:start w:val="1"/>
      <w:numFmt w:val="bullet"/>
      <w:lvlText w:val="o"/>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D85B5E">
      <w:start w:val="1"/>
      <w:numFmt w:val="bullet"/>
      <w:lvlText w:val="▪"/>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BAA542">
      <w:start w:val="1"/>
      <w:numFmt w:val="bullet"/>
      <w:lvlText w:val="•"/>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A483DE">
      <w:start w:val="1"/>
      <w:numFmt w:val="bullet"/>
      <w:lvlText w:val="o"/>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B28FC0">
      <w:start w:val="1"/>
      <w:numFmt w:val="bullet"/>
      <w:lvlText w:val="▪"/>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7633712"/>
    <w:multiLevelType w:val="hybridMultilevel"/>
    <w:tmpl w:val="CB400300"/>
    <w:lvl w:ilvl="0" w:tplc="8618CAAC">
      <w:start w:val="1"/>
      <w:numFmt w:val="bullet"/>
      <w:lvlText w:val="•"/>
      <w:lvlJc w:val="left"/>
      <w:pPr>
        <w:ind w:left="56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5EA8D8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70813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464D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048D7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604F4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8855E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DC87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A0364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898103C"/>
    <w:multiLevelType w:val="hybridMultilevel"/>
    <w:tmpl w:val="EBA853BA"/>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2" w15:restartNumberingAfterBreak="0">
    <w:nsid w:val="2933543F"/>
    <w:multiLevelType w:val="hybridMultilevel"/>
    <w:tmpl w:val="82A8D776"/>
    <w:lvl w:ilvl="0" w:tplc="DAA8F076">
      <w:start w:val="1"/>
      <w:numFmt w:val="decimal"/>
      <w:lvlText w:val="%1."/>
      <w:lvlJc w:val="left"/>
      <w:pPr>
        <w:ind w:left="473" w:hanging="360"/>
      </w:pPr>
      <w:rPr>
        <w:rFonts w:hint="default"/>
        <w:b/>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3" w15:restartNumberingAfterBreak="0">
    <w:nsid w:val="2A1517B5"/>
    <w:multiLevelType w:val="hybridMultilevel"/>
    <w:tmpl w:val="B36E3A60"/>
    <w:lvl w:ilvl="0" w:tplc="23E0BCAC">
      <w:start w:val="1"/>
      <w:numFmt w:val="decimal"/>
      <w:lvlText w:val="%1."/>
      <w:lvlJc w:val="left"/>
      <w:pPr>
        <w:ind w:left="569" w:hanging="57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4" w15:restartNumberingAfterBreak="0">
    <w:nsid w:val="2A7450DA"/>
    <w:multiLevelType w:val="hybridMultilevel"/>
    <w:tmpl w:val="E7C86AA2"/>
    <w:lvl w:ilvl="0" w:tplc="FB2EC708">
      <w:start w:val="1"/>
      <w:numFmt w:val="bullet"/>
      <w:lvlText w:val="•"/>
      <w:lvlJc w:val="left"/>
      <w:pPr>
        <w:ind w:left="1713"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5" w15:restartNumberingAfterBreak="0">
    <w:nsid w:val="33FC01D6"/>
    <w:multiLevelType w:val="hybridMultilevel"/>
    <w:tmpl w:val="2C309A54"/>
    <w:lvl w:ilvl="0" w:tplc="1C4AB788">
      <w:start w:val="1"/>
      <w:numFmt w:val="decimal"/>
      <w:lvlText w:val="%1."/>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502DC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B653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66AAA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56C286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50E6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608422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1832D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324C70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48E7B47"/>
    <w:multiLevelType w:val="hybridMultilevel"/>
    <w:tmpl w:val="F9E6B34C"/>
    <w:lvl w:ilvl="0" w:tplc="AE60395C">
      <w:start w:val="1"/>
      <w:numFmt w:val="bullet"/>
      <w:lvlText w:val="•"/>
      <w:lvlJc w:val="left"/>
      <w:pPr>
        <w:ind w:left="56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F845216">
      <w:start w:val="1"/>
      <w:numFmt w:val="bullet"/>
      <w:lvlText w:val="•"/>
      <w:lvlJc w:val="left"/>
      <w:pPr>
        <w:ind w:left="108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8A4C30A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F0AC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D2F7C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00AE0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10207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B08F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A273F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49E43F8"/>
    <w:multiLevelType w:val="hybridMultilevel"/>
    <w:tmpl w:val="7BF03DCE"/>
    <w:lvl w:ilvl="0" w:tplc="222A00D4">
      <w:start w:val="1"/>
      <w:numFmt w:val="bullet"/>
      <w:lvlText w:val="-"/>
      <w:lvlJc w:val="left"/>
      <w:pPr>
        <w:ind w:left="734"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8" w15:restartNumberingAfterBreak="0">
    <w:nsid w:val="36B32A19"/>
    <w:multiLevelType w:val="hybridMultilevel"/>
    <w:tmpl w:val="F6F605DE"/>
    <w:lvl w:ilvl="0" w:tplc="D076C1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60441E"/>
    <w:multiLevelType w:val="hybridMultilevel"/>
    <w:tmpl w:val="882212CC"/>
    <w:lvl w:ilvl="0" w:tplc="92BCBAC6">
      <w:start w:val="1"/>
      <w:numFmt w:val="bullet"/>
      <w:lvlText w:val="•"/>
      <w:lvlJc w:val="left"/>
      <w:pPr>
        <w:ind w:left="56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734BE6E">
      <w:start w:val="1"/>
      <w:numFmt w:val="bullet"/>
      <w:lvlText w:val="o"/>
      <w:lvlJc w:val="left"/>
      <w:pPr>
        <w:ind w:left="1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44D9E0">
      <w:start w:val="1"/>
      <w:numFmt w:val="bullet"/>
      <w:lvlText w:val="▪"/>
      <w:lvlJc w:val="left"/>
      <w:pPr>
        <w:ind w:left="1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8EBFAE">
      <w:start w:val="1"/>
      <w:numFmt w:val="bullet"/>
      <w:lvlText w:val="•"/>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FAB8BC">
      <w:start w:val="1"/>
      <w:numFmt w:val="bullet"/>
      <w:lvlText w:val="o"/>
      <w:lvlJc w:val="left"/>
      <w:pPr>
        <w:ind w:left="3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E2BD0C">
      <w:start w:val="1"/>
      <w:numFmt w:val="bullet"/>
      <w:lvlText w:val="▪"/>
      <w:lvlJc w:val="left"/>
      <w:pPr>
        <w:ind w:left="3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98F9C0">
      <w:start w:val="1"/>
      <w:numFmt w:val="bullet"/>
      <w:lvlText w:val="•"/>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6635D2">
      <w:start w:val="1"/>
      <w:numFmt w:val="bullet"/>
      <w:lvlText w:val="o"/>
      <w:lvlJc w:val="left"/>
      <w:pPr>
        <w:ind w:left="54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88281A">
      <w:start w:val="1"/>
      <w:numFmt w:val="bullet"/>
      <w:lvlText w:val="▪"/>
      <w:lvlJc w:val="left"/>
      <w:pPr>
        <w:ind w:left="61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2FB60C2"/>
    <w:multiLevelType w:val="hybridMultilevel"/>
    <w:tmpl w:val="9066083A"/>
    <w:lvl w:ilvl="0" w:tplc="EC44A442">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3275E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4C3B1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0A91F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F4AD8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92BF6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FA7F6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80D68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16C7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EF438DF"/>
    <w:multiLevelType w:val="hybridMultilevel"/>
    <w:tmpl w:val="07B2838C"/>
    <w:lvl w:ilvl="0" w:tplc="FFFFFFFF">
      <w:start w:val="1"/>
      <w:numFmt w:val="bullet"/>
      <w:lvlText w:val="-"/>
      <w:lvlJc w:val="left"/>
      <w:pPr>
        <w:ind w:left="742"/>
      </w:pPr>
      <w:rPr>
        <w:rFonts w:hint="default"/>
        <w:b w:val="0"/>
        <w:i w:val="0"/>
        <w:strike w:val="0"/>
        <w:dstrike w:val="0"/>
        <w:color w:val="000000"/>
        <w:sz w:val="22"/>
        <w:szCs w:val="22"/>
        <w:u w:val="none" w:color="000000"/>
        <w:bdr w:val="none" w:sz="0" w:space="0" w:color="auto"/>
        <w:shd w:val="clear" w:color="auto" w:fill="auto"/>
        <w:vertAlign w:val="baseline"/>
      </w:rPr>
    </w:lvl>
    <w:lvl w:ilvl="1" w:tplc="9912C10A">
      <w:start w:val="1"/>
      <w:numFmt w:val="bullet"/>
      <w:lvlText w:val="o"/>
      <w:lvlJc w:val="left"/>
      <w:pPr>
        <w:ind w:left="1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B07160">
      <w:start w:val="1"/>
      <w:numFmt w:val="bullet"/>
      <w:lvlText w:val="▪"/>
      <w:lvlJc w:val="left"/>
      <w:pPr>
        <w:ind w:left="2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244B7C">
      <w:start w:val="1"/>
      <w:numFmt w:val="bullet"/>
      <w:lvlText w:val="•"/>
      <w:lvlJc w:val="left"/>
      <w:pPr>
        <w:ind w:left="2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C4B5DA">
      <w:start w:val="1"/>
      <w:numFmt w:val="bullet"/>
      <w:lvlText w:val="o"/>
      <w:lvlJc w:val="left"/>
      <w:pPr>
        <w:ind w:left="3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E6F7A6">
      <w:start w:val="1"/>
      <w:numFmt w:val="bullet"/>
      <w:lvlText w:val="▪"/>
      <w:lvlJc w:val="left"/>
      <w:pPr>
        <w:ind w:left="43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8AED2A">
      <w:start w:val="1"/>
      <w:numFmt w:val="bullet"/>
      <w:lvlText w:val="•"/>
      <w:lvlJc w:val="left"/>
      <w:pPr>
        <w:ind w:left="5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5E7B62">
      <w:start w:val="1"/>
      <w:numFmt w:val="bullet"/>
      <w:lvlText w:val="o"/>
      <w:lvlJc w:val="left"/>
      <w:pPr>
        <w:ind w:left="5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D43FDA">
      <w:start w:val="1"/>
      <w:numFmt w:val="bullet"/>
      <w:lvlText w:val="▪"/>
      <w:lvlJc w:val="left"/>
      <w:pPr>
        <w:ind w:left="6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35402F4"/>
    <w:multiLevelType w:val="hybridMultilevel"/>
    <w:tmpl w:val="039E266E"/>
    <w:lvl w:ilvl="0" w:tplc="A920C72C">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F4B3D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ECC1D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185B1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867F9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26D2D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98BDB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1044F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F67E4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D50125E"/>
    <w:multiLevelType w:val="hybridMultilevel"/>
    <w:tmpl w:val="4F8E71F0"/>
    <w:lvl w:ilvl="0" w:tplc="62909010">
      <w:start w:val="1"/>
      <w:numFmt w:val="bullet"/>
      <w:lvlText w:val="•"/>
      <w:lvlJc w:val="left"/>
      <w:pPr>
        <w:ind w:left="60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35812B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F03C2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FCBA8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64740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A8961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0EF8D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4EF49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3450B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39E7B60"/>
    <w:multiLevelType w:val="hybridMultilevel"/>
    <w:tmpl w:val="E0863758"/>
    <w:lvl w:ilvl="0" w:tplc="041D0001">
      <w:start w:val="1"/>
      <w:numFmt w:val="bullet"/>
      <w:lvlText w:val=""/>
      <w:lvlJc w:val="left"/>
      <w:pPr>
        <w:ind w:left="719" w:hanging="360"/>
      </w:pPr>
      <w:rPr>
        <w:rFonts w:ascii="Symbol" w:hAnsi="Symbol" w:hint="default"/>
      </w:rPr>
    </w:lvl>
    <w:lvl w:ilvl="1" w:tplc="041D0003" w:tentative="1">
      <w:start w:val="1"/>
      <w:numFmt w:val="bullet"/>
      <w:lvlText w:val="o"/>
      <w:lvlJc w:val="left"/>
      <w:pPr>
        <w:ind w:left="1439" w:hanging="360"/>
      </w:pPr>
      <w:rPr>
        <w:rFonts w:ascii="Courier New" w:hAnsi="Courier New" w:cs="Courier New" w:hint="default"/>
      </w:rPr>
    </w:lvl>
    <w:lvl w:ilvl="2" w:tplc="041D0005" w:tentative="1">
      <w:start w:val="1"/>
      <w:numFmt w:val="bullet"/>
      <w:lvlText w:val=""/>
      <w:lvlJc w:val="left"/>
      <w:pPr>
        <w:ind w:left="2159" w:hanging="360"/>
      </w:pPr>
      <w:rPr>
        <w:rFonts w:ascii="Wingdings" w:hAnsi="Wingdings" w:hint="default"/>
      </w:rPr>
    </w:lvl>
    <w:lvl w:ilvl="3" w:tplc="041D0001" w:tentative="1">
      <w:start w:val="1"/>
      <w:numFmt w:val="bullet"/>
      <w:lvlText w:val=""/>
      <w:lvlJc w:val="left"/>
      <w:pPr>
        <w:ind w:left="2879" w:hanging="360"/>
      </w:pPr>
      <w:rPr>
        <w:rFonts w:ascii="Symbol" w:hAnsi="Symbol" w:hint="default"/>
      </w:rPr>
    </w:lvl>
    <w:lvl w:ilvl="4" w:tplc="041D0003" w:tentative="1">
      <w:start w:val="1"/>
      <w:numFmt w:val="bullet"/>
      <w:lvlText w:val="o"/>
      <w:lvlJc w:val="left"/>
      <w:pPr>
        <w:ind w:left="3599" w:hanging="360"/>
      </w:pPr>
      <w:rPr>
        <w:rFonts w:ascii="Courier New" w:hAnsi="Courier New" w:cs="Courier New" w:hint="default"/>
      </w:rPr>
    </w:lvl>
    <w:lvl w:ilvl="5" w:tplc="041D0005" w:tentative="1">
      <w:start w:val="1"/>
      <w:numFmt w:val="bullet"/>
      <w:lvlText w:val=""/>
      <w:lvlJc w:val="left"/>
      <w:pPr>
        <w:ind w:left="4319" w:hanging="360"/>
      </w:pPr>
      <w:rPr>
        <w:rFonts w:ascii="Wingdings" w:hAnsi="Wingdings" w:hint="default"/>
      </w:rPr>
    </w:lvl>
    <w:lvl w:ilvl="6" w:tplc="041D0001" w:tentative="1">
      <w:start w:val="1"/>
      <w:numFmt w:val="bullet"/>
      <w:lvlText w:val=""/>
      <w:lvlJc w:val="left"/>
      <w:pPr>
        <w:ind w:left="5039" w:hanging="360"/>
      </w:pPr>
      <w:rPr>
        <w:rFonts w:ascii="Symbol" w:hAnsi="Symbol" w:hint="default"/>
      </w:rPr>
    </w:lvl>
    <w:lvl w:ilvl="7" w:tplc="041D0003" w:tentative="1">
      <w:start w:val="1"/>
      <w:numFmt w:val="bullet"/>
      <w:lvlText w:val="o"/>
      <w:lvlJc w:val="left"/>
      <w:pPr>
        <w:ind w:left="5759" w:hanging="360"/>
      </w:pPr>
      <w:rPr>
        <w:rFonts w:ascii="Courier New" w:hAnsi="Courier New" w:cs="Courier New" w:hint="default"/>
      </w:rPr>
    </w:lvl>
    <w:lvl w:ilvl="8" w:tplc="041D0005" w:tentative="1">
      <w:start w:val="1"/>
      <w:numFmt w:val="bullet"/>
      <w:lvlText w:val=""/>
      <w:lvlJc w:val="left"/>
      <w:pPr>
        <w:ind w:left="6479" w:hanging="360"/>
      </w:pPr>
      <w:rPr>
        <w:rFonts w:ascii="Wingdings" w:hAnsi="Wingdings" w:hint="default"/>
      </w:rPr>
    </w:lvl>
  </w:abstractNum>
  <w:abstractNum w:abstractNumId="25" w15:restartNumberingAfterBreak="0">
    <w:nsid w:val="6C0B1DB5"/>
    <w:multiLevelType w:val="hybridMultilevel"/>
    <w:tmpl w:val="193EA188"/>
    <w:lvl w:ilvl="0" w:tplc="46547056">
      <w:start w:val="1"/>
      <w:numFmt w:val="bullet"/>
      <w:lvlText w:val="•"/>
      <w:lvlJc w:val="left"/>
      <w:pPr>
        <w:ind w:left="1713" w:hanging="36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6" w15:restartNumberingAfterBreak="0">
    <w:nsid w:val="6D69326E"/>
    <w:multiLevelType w:val="hybridMultilevel"/>
    <w:tmpl w:val="BA0CFE08"/>
    <w:lvl w:ilvl="0" w:tplc="2BB64604">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C02E6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A0503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F8CF6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D6BE5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16409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EEAFD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6A8E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E0798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28" w15:restartNumberingAfterBreak="0">
    <w:nsid w:val="721E4A6E"/>
    <w:multiLevelType w:val="hybridMultilevel"/>
    <w:tmpl w:val="648CE23E"/>
    <w:lvl w:ilvl="0" w:tplc="F2C40ED6">
      <w:start w:val="1"/>
      <w:numFmt w:val="bullet"/>
      <w:lvlText w:val="-"/>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C21C54">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C61FB6">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DE0706">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C89E78">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0EC84E">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64942C">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34A026">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B0B400">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5033F2C"/>
    <w:multiLevelType w:val="hybridMultilevel"/>
    <w:tmpl w:val="D8105D28"/>
    <w:lvl w:ilvl="0" w:tplc="04090001">
      <w:start w:val="1"/>
      <w:numFmt w:val="bullet"/>
      <w:lvlText w:val=""/>
      <w:lvlJc w:val="left"/>
      <w:pPr>
        <w:ind w:left="1159" w:hanging="360"/>
      </w:pPr>
      <w:rPr>
        <w:rFonts w:ascii="Symbol" w:hAnsi="Symbol" w:hint="default"/>
      </w:rPr>
    </w:lvl>
    <w:lvl w:ilvl="1" w:tplc="04090003" w:tentative="1">
      <w:start w:val="1"/>
      <w:numFmt w:val="bullet"/>
      <w:lvlText w:val="o"/>
      <w:lvlJc w:val="left"/>
      <w:pPr>
        <w:ind w:left="1879" w:hanging="360"/>
      </w:pPr>
      <w:rPr>
        <w:rFonts w:ascii="Courier New" w:hAnsi="Courier New" w:cs="Courier New" w:hint="default"/>
      </w:rPr>
    </w:lvl>
    <w:lvl w:ilvl="2" w:tplc="04090005" w:tentative="1">
      <w:start w:val="1"/>
      <w:numFmt w:val="bullet"/>
      <w:lvlText w:val=""/>
      <w:lvlJc w:val="left"/>
      <w:pPr>
        <w:ind w:left="2599" w:hanging="360"/>
      </w:pPr>
      <w:rPr>
        <w:rFonts w:ascii="Wingdings" w:hAnsi="Wingdings" w:hint="default"/>
      </w:rPr>
    </w:lvl>
    <w:lvl w:ilvl="3" w:tplc="04090001" w:tentative="1">
      <w:start w:val="1"/>
      <w:numFmt w:val="bullet"/>
      <w:lvlText w:val=""/>
      <w:lvlJc w:val="left"/>
      <w:pPr>
        <w:ind w:left="3319" w:hanging="360"/>
      </w:pPr>
      <w:rPr>
        <w:rFonts w:ascii="Symbol" w:hAnsi="Symbol" w:hint="default"/>
      </w:rPr>
    </w:lvl>
    <w:lvl w:ilvl="4" w:tplc="04090003" w:tentative="1">
      <w:start w:val="1"/>
      <w:numFmt w:val="bullet"/>
      <w:lvlText w:val="o"/>
      <w:lvlJc w:val="left"/>
      <w:pPr>
        <w:ind w:left="4039" w:hanging="360"/>
      </w:pPr>
      <w:rPr>
        <w:rFonts w:ascii="Courier New" w:hAnsi="Courier New" w:cs="Courier New" w:hint="default"/>
      </w:rPr>
    </w:lvl>
    <w:lvl w:ilvl="5" w:tplc="04090005" w:tentative="1">
      <w:start w:val="1"/>
      <w:numFmt w:val="bullet"/>
      <w:lvlText w:val=""/>
      <w:lvlJc w:val="left"/>
      <w:pPr>
        <w:ind w:left="4759" w:hanging="360"/>
      </w:pPr>
      <w:rPr>
        <w:rFonts w:ascii="Wingdings" w:hAnsi="Wingdings" w:hint="default"/>
      </w:rPr>
    </w:lvl>
    <w:lvl w:ilvl="6" w:tplc="04090001" w:tentative="1">
      <w:start w:val="1"/>
      <w:numFmt w:val="bullet"/>
      <w:lvlText w:val=""/>
      <w:lvlJc w:val="left"/>
      <w:pPr>
        <w:ind w:left="5479" w:hanging="360"/>
      </w:pPr>
      <w:rPr>
        <w:rFonts w:ascii="Symbol" w:hAnsi="Symbol" w:hint="default"/>
      </w:rPr>
    </w:lvl>
    <w:lvl w:ilvl="7" w:tplc="04090003" w:tentative="1">
      <w:start w:val="1"/>
      <w:numFmt w:val="bullet"/>
      <w:lvlText w:val="o"/>
      <w:lvlJc w:val="left"/>
      <w:pPr>
        <w:ind w:left="6199" w:hanging="360"/>
      </w:pPr>
      <w:rPr>
        <w:rFonts w:ascii="Courier New" w:hAnsi="Courier New" w:cs="Courier New" w:hint="default"/>
      </w:rPr>
    </w:lvl>
    <w:lvl w:ilvl="8" w:tplc="04090005" w:tentative="1">
      <w:start w:val="1"/>
      <w:numFmt w:val="bullet"/>
      <w:lvlText w:val=""/>
      <w:lvlJc w:val="left"/>
      <w:pPr>
        <w:ind w:left="6919" w:hanging="360"/>
      </w:pPr>
      <w:rPr>
        <w:rFonts w:ascii="Wingdings" w:hAnsi="Wingdings" w:hint="default"/>
      </w:rPr>
    </w:lvl>
  </w:abstractNum>
  <w:abstractNum w:abstractNumId="30" w15:restartNumberingAfterBreak="0">
    <w:nsid w:val="76EF7014"/>
    <w:multiLevelType w:val="hybridMultilevel"/>
    <w:tmpl w:val="EF66C256"/>
    <w:lvl w:ilvl="0" w:tplc="0492D7C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DCA334">
      <w:start w:val="1"/>
      <w:numFmt w:val="bullet"/>
      <w:lvlRestart w:val="0"/>
      <w:lvlText w:val="-"/>
      <w:lvlJc w:val="left"/>
      <w:pPr>
        <w:ind w:left="1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0E87E2">
      <w:start w:val="1"/>
      <w:numFmt w:val="bullet"/>
      <w:lvlText w:val="▪"/>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B84024">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D2CE94">
      <w:start w:val="1"/>
      <w:numFmt w:val="bullet"/>
      <w:lvlText w:val="o"/>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1E5AE8">
      <w:start w:val="1"/>
      <w:numFmt w:val="bullet"/>
      <w:lvlText w:val="▪"/>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4CBABC">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00FE0C">
      <w:start w:val="1"/>
      <w:numFmt w:val="bullet"/>
      <w:lvlText w:val="o"/>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F2E888">
      <w:start w:val="1"/>
      <w:numFmt w:val="bullet"/>
      <w:lvlText w:val="▪"/>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8093985"/>
    <w:multiLevelType w:val="hybridMultilevel"/>
    <w:tmpl w:val="B6B27DD0"/>
    <w:lvl w:ilvl="0" w:tplc="222A00D4">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0A90C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6091F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8AE97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BE315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BE6F9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204C7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925B9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C0054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85514A1"/>
    <w:multiLevelType w:val="hybridMultilevel"/>
    <w:tmpl w:val="4218F91C"/>
    <w:lvl w:ilvl="0" w:tplc="5ED209D4">
      <w:start w:val="1"/>
      <w:numFmt w:val="decimal"/>
      <w:lvlText w:val="%1."/>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262CE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5022F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6C9C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4EE30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EA467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A14CAE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F4E13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E4F4A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BAA6D24"/>
    <w:multiLevelType w:val="hybridMultilevel"/>
    <w:tmpl w:val="2FBA726C"/>
    <w:lvl w:ilvl="0" w:tplc="FF02A3FE">
      <w:start w:val="1"/>
      <w:numFmt w:val="bullet"/>
      <w:lvlText w:val="•"/>
      <w:lvlJc w:val="left"/>
      <w:pPr>
        <w:ind w:left="734"/>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3DE5136">
      <w:start w:val="1"/>
      <w:numFmt w:val="bullet"/>
      <w:lvlText w:val="o"/>
      <w:lvlJc w:val="left"/>
      <w:pPr>
        <w:ind w:left="1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8E32A4">
      <w:start w:val="1"/>
      <w:numFmt w:val="bullet"/>
      <w:lvlText w:val="▪"/>
      <w:lvlJc w:val="left"/>
      <w:pPr>
        <w:ind w:left="2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9CEC50">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82B274">
      <w:start w:val="1"/>
      <w:numFmt w:val="bullet"/>
      <w:lvlText w:val="o"/>
      <w:lvlJc w:val="left"/>
      <w:pPr>
        <w:ind w:left="3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DCB002">
      <w:start w:val="1"/>
      <w:numFmt w:val="bullet"/>
      <w:lvlText w:val="▪"/>
      <w:lvlJc w:val="left"/>
      <w:pPr>
        <w:ind w:left="4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C68898">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F64072">
      <w:start w:val="1"/>
      <w:numFmt w:val="bullet"/>
      <w:lvlText w:val="o"/>
      <w:lvlJc w:val="left"/>
      <w:pPr>
        <w:ind w:left="5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7ED9BA">
      <w:start w:val="1"/>
      <w:numFmt w:val="bullet"/>
      <w:lvlText w:val="▪"/>
      <w:lvlJc w:val="left"/>
      <w:pPr>
        <w:ind w:left="6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91430723">
    <w:abstractNumId w:val="31"/>
  </w:num>
  <w:num w:numId="2" w16cid:durableId="1083382311">
    <w:abstractNumId w:val="9"/>
  </w:num>
  <w:num w:numId="3" w16cid:durableId="1217543028">
    <w:abstractNumId w:val="4"/>
  </w:num>
  <w:num w:numId="4" w16cid:durableId="419178150">
    <w:abstractNumId w:val="15"/>
  </w:num>
  <w:num w:numId="5" w16cid:durableId="1613433492">
    <w:abstractNumId w:val="32"/>
  </w:num>
  <w:num w:numId="6" w16cid:durableId="2137794018">
    <w:abstractNumId w:val="22"/>
  </w:num>
  <w:num w:numId="7" w16cid:durableId="1507793018">
    <w:abstractNumId w:val="30"/>
  </w:num>
  <w:num w:numId="8" w16cid:durableId="1296368699">
    <w:abstractNumId w:val="8"/>
  </w:num>
  <w:num w:numId="9" w16cid:durableId="1895241181">
    <w:abstractNumId w:val="21"/>
  </w:num>
  <w:num w:numId="10" w16cid:durableId="2032952644">
    <w:abstractNumId w:val="28"/>
  </w:num>
  <w:num w:numId="11" w16cid:durableId="1608926793">
    <w:abstractNumId w:val="10"/>
  </w:num>
  <w:num w:numId="12" w16cid:durableId="509491067">
    <w:abstractNumId w:val="20"/>
  </w:num>
  <w:num w:numId="13" w16cid:durableId="830876316">
    <w:abstractNumId w:val="23"/>
  </w:num>
  <w:num w:numId="14" w16cid:durableId="1353535814">
    <w:abstractNumId w:val="3"/>
  </w:num>
  <w:num w:numId="15" w16cid:durableId="1699819963">
    <w:abstractNumId w:val="19"/>
  </w:num>
  <w:num w:numId="16" w16cid:durableId="834883446">
    <w:abstractNumId w:val="33"/>
  </w:num>
  <w:num w:numId="17" w16cid:durableId="1116676845">
    <w:abstractNumId w:val="5"/>
  </w:num>
  <w:num w:numId="18" w16cid:durableId="254363061">
    <w:abstractNumId w:val="1"/>
  </w:num>
  <w:num w:numId="19" w16cid:durableId="1575360767">
    <w:abstractNumId w:val="26"/>
  </w:num>
  <w:num w:numId="20" w16cid:durableId="1382510332">
    <w:abstractNumId w:val="16"/>
  </w:num>
  <w:num w:numId="21" w16cid:durableId="1739086182">
    <w:abstractNumId w:val="29"/>
  </w:num>
  <w:num w:numId="22" w16cid:durableId="998583479">
    <w:abstractNumId w:val="7"/>
  </w:num>
  <w:num w:numId="23" w16cid:durableId="1918202350">
    <w:abstractNumId w:val="13"/>
  </w:num>
  <w:num w:numId="24" w16cid:durableId="1358771258">
    <w:abstractNumId w:val="11"/>
  </w:num>
  <w:num w:numId="25" w16cid:durableId="1090201485">
    <w:abstractNumId w:val="18"/>
  </w:num>
  <w:num w:numId="26" w16cid:durableId="1628462907">
    <w:abstractNumId w:val="12"/>
  </w:num>
  <w:num w:numId="27" w16cid:durableId="146745630">
    <w:abstractNumId w:val="25"/>
  </w:num>
  <w:num w:numId="28" w16cid:durableId="1022365819">
    <w:abstractNumId w:val="14"/>
  </w:num>
  <w:num w:numId="29" w16cid:durableId="182867856">
    <w:abstractNumId w:val="17"/>
  </w:num>
  <w:num w:numId="30" w16cid:durableId="466624878">
    <w:abstractNumId w:val="6"/>
  </w:num>
  <w:num w:numId="31" w16cid:durableId="1091776274">
    <w:abstractNumId w:val="0"/>
  </w:num>
  <w:num w:numId="32" w16cid:durableId="1366517183">
    <w:abstractNumId w:val="24"/>
  </w:num>
  <w:num w:numId="33" w16cid:durableId="1397048741">
    <w:abstractNumId w:val="27"/>
  </w:num>
  <w:num w:numId="34" w16cid:durableId="1842894944">
    <w:abstractNumId w:val="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hideSpellingErrors/>
  <w:activeWritingStyle w:appName="MSWord" w:lang="nb-NO" w:vendorID="64" w:dllVersion="6" w:nlCheck="1" w:checkStyle="0"/>
  <w:activeWritingStyle w:appName="MSWord" w:lang="fr-FR" w:vendorID="64" w:dllVersion="6" w:nlCheck="1" w:checkStyle="1"/>
  <w:activeWritingStyle w:appName="MSWord" w:lang="de-DE" w:vendorID="64" w:dllVersion="6" w:nlCheck="1" w:checkStyle="1"/>
  <w:activeWritingStyle w:appName="MSWord" w:lang="da-DK" w:vendorID="64" w:dllVersion="6" w:nlCheck="1" w:checkStyle="0"/>
  <w:activeWritingStyle w:appName="MSWord" w:lang="en-US"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s-ES" w:vendorID="64" w:dllVersion="0" w:nlCheck="1" w:checkStyle="0"/>
  <w:activeWritingStyle w:appName="MSWord" w:lang="sv-SE" w:vendorID="64" w:dllVersion="0" w:nlCheck="1" w:checkStyle="0"/>
  <w:activeWritingStyle w:appName="MSWord" w:lang="nl-NL" w:vendorID="64" w:dllVersion="0" w:nlCheck="1" w:checkStyle="0"/>
  <w:activeWritingStyle w:appName="MSWord" w:lang="fi-FI" w:vendorID="64" w:dllVersion="0" w:nlCheck="1" w:checkStyle="0"/>
  <w:activeWritingStyle w:appName="MSWord" w:lang="en-IN" w:vendorID="64" w:dllVersion="0" w:nlCheck="1" w:checkStyle="0"/>
  <w:activeWritingStyle w:appName="MSWord" w:lang="ru-RU" w:vendorID="64" w:dllVersion="0" w:nlCheck="1" w:checkStyle="0"/>
  <w:proofState w:spelling="clean" w:grammar="clean"/>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27AB"/>
    <w:rsid w:val="00002868"/>
    <w:rsid w:val="000144F4"/>
    <w:rsid w:val="0001562F"/>
    <w:rsid w:val="00016DCE"/>
    <w:rsid w:val="0001716D"/>
    <w:rsid w:val="00020562"/>
    <w:rsid w:val="000219DE"/>
    <w:rsid w:val="000228E6"/>
    <w:rsid w:val="000258A5"/>
    <w:rsid w:val="000260B7"/>
    <w:rsid w:val="000262D6"/>
    <w:rsid w:val="000279CE"/>
    <w:rsid w:val="00027B96"/>
    <w:rsid w:val="00031568"/>
    <w:rsid w:val="00031A62"/>
    <w:rsid w:val="000345E0"/>
    <w:rsid w:val="000347F9"/>
    <w:rsid w:val="000349F1"/>
    <w:rsid w:val="000417D3"/>
    <w:rsid w:val="00050C10"/>
    <w:rsid w:val="00052025"/>
    <w:rsid w:val="000524D1"/>
    <w:rsid w:val="00055205"/>
    <w:rsid w:val="0006313E"/>
    <w:rsid w:val="00064222"/>
    <w:rsid w:val="00066359"/>
    <w:rsid w:val="00066B13"/>
    <w:rsid w:val="00067BF9"/>
    <w:rsid w:val="0007232B"/>
    <w:rsid w:val="0008031A"/>
    <w:rsid w:val="00084076"/>
    <w:rsid w:val="00084EE5"/>
    <w:rsid w:val="00086D0A"/>
    <w:rsid w:val="000877BF"/>
    <w:rsid w:val="00090A3C"/>
    <w:rsid w:val="000915EA"/>
    <w:rsid w:val="00092D6C"/>
    <w:rsid w:val="00092E64"/>
    <w:rsid w:val="00092F31"/>
    <w:rsid w:val="0009488A"/>
    <w:rsid w:val="00095E44"/>
    <w:rsid w:val="000973D4"/>
    <w:rsid w:val="000A04E5"/>
    <w:rsid w:val="000A12DD"/>
    <w:rsid w:val="000A1A3C"/>
    <w:rsid w:val="000A35A0"/>
    <w:rsid w:val="000A5299"/>
    <w:rsid w:val="000B15E2"/>
    <w:rsid w:val="000B452C"/>
    <w:rsid w:val="000B6799"/>
    <w:rsid w:val="000B7264"/>
    <w:rsid w:val="000B783C"/>
    <w:rsid w:val="000B7F93"/>
    <w:rsid w:val="000C0FB3"/>
    <w:rsid w:val="000C29FF"/>
    <w:rsid w:val="000C4B65"/>
    <w:rsid w:val="000C6CBE"/>
    <w:rsid w:val="000C77E0"/>
    <w:rsid w:val="000C79D8"/>
    <w:rsid w:val="000D5A24"/>
    <w:rsid w:val="000D5AAD"/>
    <w:rsid w:val="000D622F"/>
    <w:rsid w:val="000E328C"/>
    <w:rsid w:val="000E4886"/>
    <w:rsid w:val="000E4E4B"/>
    <w:rsid w:val="000E5ED9"/>
    <w:rsid w:val="000E65F6"/>
    <w:rsid w:val="000E72FC"/>
    <w:rsid w:val="000F00FC"/>
    <w:rsid w:val="000F2DA0"/>
    <w:rsid w:val="000F2FD9"/>
    <w:rsid w:val="000F4F74"/>
    <w:rsid w:val="000F6E35"/>
    <w:rsid w:val="00106CF9"/>
    <w:rsid w:val="00110757"/>
    <w:rsid w:val="001108B1"/>
    <w:rsid w:val="00112A44"/>
    <w:rsid w:val="00115F61"/>
    <w:rsid w:val="00124EC0"/>
    <w:rsid w:val="00126FBE"/>
    <w:rsid w:val="00127E5C"/>
    <w:rsid w:val="001327B5"/>
    <w:rsid w:val="001341B2"/>
    <w:rsid w:val="001345BE"/>
    <w:rsid w:val="00135B43"/>
    <w:rsid w:val="00141CA7"/>
    <w:rsid w:val="00144A93"/>
    <w:rsid w:val="00144F9A"/>
    <w:rsid w:val="0014536F"/>
    <w:rsid w:val="00146149"/>
    <w:rsid w:val="00147106"/>
    <w:rsid w:val="0014721F"/>
    <w:rsid w:val="001505E5"/>
    <w:rsid w:val="00155153"/>
    <w:rsid w:val="0015719C"/>
    <w:rsid w:val="00163C53"/>
    <w:rsid w:val="00164324"/>
    <w:rsid w:val="00164F7C"/>
    <w:rsid w:val="00166EC7"/>
    <w:rsid w:val="00170B2F"/>
    <w:rsid w:val="00171841"/>
    <w:rsid w:val="00171A35"/>
    <w:rsid w:val="00174BB8"/>
    <w:rsid w:val="00175D3B"/>
    <w:rsid w:val="00175E96"/>
    <w:rsid w:val="001772CD"/>
    <w:rsid w:val="0018116F"/>
    <w:rsid w:val="001819EB"/>
    <w:rsid w:val="0018434C"/>
    <w:rsid w:val="00184B7E"/>
    <w:rsid w:val="00185D37"/>
    <w:rsid w:val="0018685F"/>
    <w:rsid w:val="00186923"/>
    <w:rsid w:val="00187AC1"/>
    <w:rsid w:val="001900C4"/>
    <w:rsid w:val="00196077"/>
    <w:rsid w:val="001A2797"/>
    <w:rsid w:val="001A3205"/>
    <w:rsid w:val="001A4376"/>
    <w:rsid w:val="001A4E6C"/>
    <w:rsid w:val="001A6D1A"/>
    <w:rsid w:val="001B1B68"/>
    <w:rsid w:val="001B2E1E"/>
    <w:rsid w:val="001B4D9F"/>
    <w:rsid w:val="001C066D"/>
    <w:rsid w:val="001C3090"/>
    <w:rsid w:val="001C6904"/>
    <w:rsid w:val="001D4DDC"/>
    <w:rsid w:val="001D5307"/>
    <w:rsid w:val="001D7519"/>
    <w:rsid w:val="001E6802"/>
    <w:rsid w:val="001E7238"/>
    <w:rsid w:val="001E775B"/>
    <w:rsid w:val="001F137B"/>
    <w:rsid w:val="001F2413"/>
    <w:rsid w:val="001F7A9E"/>
    <w:rsid w:val="0020661E"/>
    <w:rsid w:val="00206F1F"/>
    <w:rsid w:val="002100ED"/>
    <w:rsid w:val="002123C3"/>
    <w:rsid w:val="002125F8"/>
    <w:rsid w:val="00215C6C"/>
    <w:rsid w:val="00220000"/>
    <w:rsid w:val="0022064B"/>
    <w:rsid w:val="00224BE2"/>
    <w:rsid w:val="00227924"/>
    <w:rsid w:val="002314CE"/>
    <w:rsid w:val="0023246D"/>
    <w:rsid w:val="00234852"/>
    <w:rsid w:val="0024202B"/>
    <w:rsid w:val="002431F9"/>
    <w:rsid w:val="002462EF"/>
    <w:rsid w:val="00251464"/>
    <w:rsid w:val="0025164E"/>
    <w:rsid w:val="002519ED"/>
    <w:rsid w:val="00253C7C"/>
    <w:rsid w:val="002569ED"/>
    <w:rsid w:val="002621F3"/>
    <w:rsid w:val="002624E6"/>
    <w:rsid w:val="00264096"/>
    <w:rsid w:val="0027245B"/>
    <w:rsid w:val="00272B6D"/>
    <w:rsid w:val="00272E91"/>
    <w:rsid w:val="002760E6"/>
    <w:rsid w:val="00282372"/>
    <w:rsid w:val="0028247A"/>
    <w:rsid w:val="002839AC"/>
    <w:rsid w:val="002853C8"/>
    <w:rsid w:val="00285561"/>
    <w:rsid w:val="00287D75"/>
    <w:rsid w:val="00291710"/>
    <w:rsid w:val="002923EE"/>
    <w:rsid w:val="00293805"/>
    <w:rsid w:val="00295893"/>
    <w:rsid w:val="00295D0A"/>
    <w:rsid w:val="0029632D"/>
    <w:rsid w:val="002A3F17"/>
    <w:rsid w:val="002A5BD5"/>
    <w:rsid w:val="002A687F"/>
    <w:rsid w:val="002B1B96"/>
    <w:rsid w:val="002B5886"/>
    <w:rsid w:val="002B720F"/>
    <w:rsid w:val="002B73A1"/>
    <w:rsid w:val="002C123C"/>
    <w:rsid w:val="002C63A6"/>
    <w:rsid w:val="002D3E4B"/>
    <w:rsid w:val="002D3F1D"/>
    <w:rsid w:val="002D4601"/>
    <w:rsid w:val="002D6FD7"/>
    <w:rsid w:val="002E42C4"/>
    <w:rsid w:val="002E498F"/>
    <w:rsid w:val="002E6E8A"/>
    <w:rsid w:val="002F0F4D"/>
    <w:rsid w:val="002F30F7"/>
    <w:rsid w:val="002F43D5"/>
    <w:rsid w:val="002F46B7"/>
    <w:rsid w:val="002F67B0"/>
    <w:rsid w:val="00300909"/>
    <w:rsid w:val="00300921"/>
    <w:rsid w:val="00302FA3"/>
    <w:rsid w:val="00304A40"/>
    <w:rsid w:val="00305A52"/>
    <w:rsid w:val="003063D1"/>
    <w:rsid w:val="00310A49"/>
    <w:rsid w:val="00311788"/>
    <w:rsid w:val="0031301D"/>
    <w:rsid w:val="00313341"/>
    <w:rsid w:val="0031506B"/>
    <w:rsid w:val="00316D29"/>
    <w:rsid w:val="003179A1"/>
    <w:rsid w:val="00320156"/>
    <w:rsid w:val="003210D1"/>
    <w:rsid w:val="00324C3A"/>
    <w:rsid w:val="00327BEA"/>
    <w:rsid w:val="00331EAC"/>
    <w:rsid w:val="00334935"/>
    <w:rsid w:val="00342D88"/>
    <w:rsid w:val="00346B18"/>
    <w:rsid w:val="003507E6"/>
    <w:rsid w:val="003528FE"/>
    <w:rsid w:val="00352E52"/>
    <w:rsid w:val="003572EC"/>
    <w:rsid w:val="00360C8E"/>
    <w:rsid w:val="00364A49"/>
    <w:rsid w:val="00365F00"/>
    <w:rsid w:val="003674D6"/>
    <w:rsid w:val="003674F2"/>
    <w:rsid w:val="00371509"/>
    <w:rsid w:val="003717B1"/>
    <w:rsid w:val="0037246E"/>
    <w:rsid w:val="003747AB"/>
    <w:rsid w:val="00381D96"/>
    <w:rsid w:val="00382B01"/>
    <w:rsid w:val="00384903"/>
    <w:rsid w:val="00390337"/>
    <w:rsid w:val="00391CA5"/>
    <w:rsid w:val="0039793E"/>
    <w:rsid w:val="00397E0C"/>
    <w:rsid w:val="003A017F"/>
    <w:rsid w:val="003A29F3"/>
    <w:rsid w:val="003A50BB"/>
    <w:rsid w:val="003A599F"/>
    <w:rsid w:val="003A7944"/>
    <w:rsid w:val="003B2769"/>
    <w:rsid w:val="003B3BDF"/>
    <w:rsid w:val="003B54E0"/>
    <w:rsid w:val="003B6368"/>
    <w:rsid w:val="003B6DCD"/>
    <w:rsid w:val="003C079D"/>
    <w:rsid w:val="003C3318"/>
    <w:rsid w:val="003C3414"/>
    <w:rsid w:val="003C4D4A"/>
    <w:rsid w:val="003C4FBF"/>
    <w:rsid w:val="003C53F4"/>
    <w:rsid w:val="003C6A9E"/>
    <w:rsid w:val="003D379E"/>
    <w:rsid w:val="003D3852"/>
    <w:rsid w:val="003D3E23"/>
    <w:rsid w:val="003D4277"/>
    <w:rsid w:val="003D5C3B"/>
    <w:rsid w:val="003D6887"/>
    <w:rsid w:val="003E0477"/>
    <w:rsid w:val="003E4017"/>
    <w:rsid w:val="003E4275"/>
    <w:rsid w:val="003E67EB"/>
    <w:rsid w:val="003F37E6"/>
    <w:rsid w:val="003F59D9"/>
    <w:rsid w:val="003F6264"/>
    <w:rsid w:val="003F6A91"/>
    <w:rsid w:val="00403374"/>
    <w:rsid w:val="00404D4F"/>
    <w:rsid w:val="00405210"/>
    <w:rsid w:val="0040563A"/>
    <w:rsid w:val="0040601B"/>
    <w:rsid w:val="00410CA8"/>
    <w:rsid w:val="004200F6"/>
    <w:rsid w:val="00420854"/>
    <w:rsid w:val="004239C8"/>
    <w:rsid w:val="00424FB2"/>
    <w:rsid w:val="00425857"/>
    <w:rsid w:val="00425AE2"/>
    <w:rsid w:val="00425CE9"/>
    <w:rsid w:val="00426D15"/>
    <w:rsid w:val="00427179"/>
    <w:rsid w:val="004318AD"/>
    <w:rsid w:val="00433129"/>
    <w:rsid w:val="0044129E"/>
    <w:rsid w:val="0044322A"/>
    <w:rsid w:val="004459E9"/>
    <w:rsid w:val="00445F7B"/>
    <w:rsid w:val="004462B3"/>
    <w:rsid w:val="00446530"/>
    <w:rsid w:val="00447905"/>
    <w:rsid w:val="00447AE0"/>
    <w:rsid w:val="00450583"/>
    <w:rsid w:val="004507C8"/>
    <w:rsid w:val="00450D71"/>
    <w:rsid w:val="00461DBA"/>
    <w:rsid w:val="0046311C"/>
    <w:rsid w:val="00464C25"/>
    <w:rsid w:val="004661D0"/>
    <w:rsid w:val="00472A6C"/>
    <w:rsid w:val="004739A0"/>
    <w:rsid w:val="00474F5B"/>
    <w:rsid w:val="00484661"/>
    <w:rsid w:val="00485927"/>
    <w:rsid w:val="00491366"/>
    <w:rsid w:val="004934E7"/>
    <w:rsid w:val="00493D9B"/>
    <w:rsid w:val="00493EEC"/>
    <w:rsid w:val="0049523A"/>
    <w:rsid w:val="00495A49"/>
    <w:rsid w:val="00497C00"/>
    <w:rsid w:val="004A019F"/>
    <w:rsid w:val="004A35F0"/>
    <w:rsid w:val="004A5027"/>
    <w:rsid w:val="004A6BAA"/>
    <w:rsid w:val="004B0B79"/>
    <w:rsid w:val="004B56DB"/>
    <w:rsid w:val="004C3B73"/>
    <w:rsid w:val="004C7B19"/>
    <w:rsid w:val="004D51D4"/>
    <w:rsid w:val="004D7E0C"/>
    <w:rsid w:val="004E1248"/>
    <w:rsid w:val="004E12EF"/>
    <w:rsid w:val="004E7FCC"/>
    <w:rsid w:val="004F0037"/>
    <w:rsid w:val="004F11C5"/>
    <w:rsid w:val="004F4B0F"/>
    <w:rsid w:val="004F4C3F"/>
    <w:rsid w:val="004F62FB"/>
    <w:rsid w:val="00500529"/>
    <w:rsid w:val="00500A32"/>
    <w:rsid w:val="00500ABA"/>
    <w:rsid w:val="005027AB"/>
    <w:rsid w:val="0050688B"/>
    <w:rsid w:val="005070E1"/>
    <w:rsid w:val="00510773"/>
    <w:rsid w:val="00511081"/>
    <w:rsid w:val="00512EFB"/>
    <w:rsid w:val="00513F04"/>
    <w:rsid w:val="00514A85"/>
    <w:rsid w:val="00517AD9"/>
    <w:rsid w:val="00520AA0"/>
    <w:rsid w:val="005227DD"/>
    <w:rsid w:val="00523BC5"/>
    <w:rsid w:val="00526C20"/>
    <w:rsid w:val="0053118B"/>
    <w:rsid w:val="00532DCD"/>
    <w:rsid w:val="00532F85"/>
    <w:rsid w:val="00537162"/>
    <w:rsid w:val="0053738D"/>
    <w:rsid w:val="005378A5"/>
    <w:rsid w:val="00541359"/>
    <w:rsid w:val="0054300F"/>
    <w:rsid w:val="005479D2"/>
    <w:rsid w:val="00551C4C"/>
    <w:rsid w:val="00553A36"/>
    <w:rsid w:val="005565DC"/>
    <w:rsid w:val="005566DA"/>
    <w:rsid w:val="00560848"/>
    <w:rsid w:val="00561B86"/>
    <w:rsid w:val="00564E95"/>
    <w:rsid w:val="00564F33"/>
    <w:rsid w:val="005668D1"/>
    <w:rsid w:val="005669CC"/>
    <w:rsid w:val="0057547E"/>
    <w:rsid w:val="00580061"/>
    <w:rsid w:val="00582E82"/>
    <w:rsid w:val="00591F33"/>
    <w:rsid w:val="0059230A"/>
    <w:rsid w:val="0059514F"/>
    <w:rsid w:val="0059550E"/>
    <w:rsid w:val="00597DAA"/>
    <w:rsid w:val="005A1647"/>
    <w:rsid w:val="005A21B4"/>
    <w:rsid w:val="005B1DCE"/>
    <w:rsid w:val="005B2A57"/>
    <w:rsid w:val="005B3891"/>
    <w:rsid w:val="005B4A96"/>
    <w:rsid w:val="005B63AC"/>
    <w:rsid w:val="005B63C6"/>
    <w:rsid w:val="005B74D2"/>
    <w:rsid w:val="005C091E"/>
    <w:rsid w:val="005C3D1C"/>
    <w:rsid w:val="005C5EB2"/>
    <w:rsid w:val="005C60E0"/>
    <w:rsid w:val="005C7018"/>
    <w:rsid w:val="005C75CB"/>
    <w:rsid w:val="005D1C2E"/>
    <w:rsid w:val="005D445E"/>
    <w:rsid w:val="005E1172"/>
    <w:rsid w:val="005E1A28"/>
    <w:rsid w:val="005E20B1"/>
    <w:rsid w:val="005E2983"/>
    <w:rsid w:val="005F124D"/>
    <w:rsid w:val="005F13B5"/>
    <w:rsid w:val="005F2A5F"/>
    <w:rsid w:val="005F7455"/>
    <w:rsid w:val="00600F46"/>
    <w:rsid w:val="00601067"/>
    <w:rsid w:val="00601C45"/>
    <w:rsid w:val="0060546A"/>
    <w:rsid w:val="00606606"/>
    <w:rsid w:val="006074FE"/>
    <w:rsid w:val="006111BA"/>
    <w:rsid w:val="006132CE"/>
    <w:rsid w:val="00613D70"/>
    <w:rsid w:val="006157E9"/>
    <w:rsid w:val="00617807"/>
    <w:rsid w:val="00617BAB"/>
    <w:rsid w:val="006204C8"/>
    <w:rsid w:val="00624D0C"/>
    <w:rsid w:val="00626DF9"/>
    <w:rsid w:val="00626EE3"/>
    <w:rsid w:val="0063078E"/>
    <w:rsid w:val="006376EB"/>
    <w:rsid w:val="0063784F"/>
    <w:rsid w:val="00642123"/>
    <w:rsid w:val="00647DCF"/>
    <w:rsid w:val="00653A70"/>
    <w:rsid w:val="00654350"/>
    <w:rsid w:val="00655299"/>
    <w:rsid w:val="00662317"/>
    <w:rsid w:val="0066438F"/>
    <w:rsid w:val="00664A10"/>
    <w:rsid w:val="00664DEB"/>
    <w:rsid w:val="00665AC0"/>
    <w:rsid w:val="00667181"/>
    <w:rsid w:val="00680DD0"/>
    <w:rsid w:val="0068131D"/>
    <w:rsid w:val="00683746"/>
    <w:rsid w:val="00683C29"/>
    <w:rsid w:val="00686811"/>
    <w:rsid w:val="0069291C"/>
    <w:rsid w:val="00692DBE"/>
    <w:rsid w:val="006A1034"/>
    <w:rsid w:val="006A14E5"/>
    <w:rsid w:val="006A40DD"/>
    <w:rsid w:val="006A622F"/>
    <w:rsid w:val="006B601F"/>
    <w:rsid w:val="006B7F37"/>
    <w:rsid w:val="006C014C"/>
    <w:rsid w:val="006C4234"/>
    <w:rsid w:val="006C5D44"/>
    <w:rsid w:val="006C6731"/>
    <w:rsid w:val="006D0419"/>
    <w:rsid w:val="006D11AF"/>
    <w:rsid w:val="006D366E"/>
    <w:rsid w:val="006D36D2"/>
    <w:rsid w:val="006D64A4"/>
    <w:rsid w:val="006E08B4"/>
    <w:rsid w:val="006E1115"/>
    <w:rsid w:val="006E200F"/>
    <w:rsid w:val="006E2536"/>
    <w:rsid w:val="006E3D44"/>
    <w:rsid w:val="006E5D51"/>
    <w:rsid w:val="006E6248"/>
    <w:rsid w:val="006E6AFD"/>
    <w:rsid w:val="006F002B"/>
    <w:rsid w:val="006F1BB1"/>
    <w:rsid w:val="006F211F"/>
    <w:rsid w:val="006F3BC4"/>
    <w:rsid w:val="006F51F2"/>
    <w:rsid w:val="006F672A"/>
    <w:rsid w:val="006F6A3F"/>
    <w:rsid w:val="00703506"/>
    <w:rsid w:val="00705C4D"/>
    <w:rsid w:val="00715351"/>
    <w:rsid w:val="00722942"/>
    <w:rsid w:val="00723316"/>
    <w:rsid w:val="00723F14"/>
    <w:rsid w:val="007245D2"/>
    <w:rsid w:val="00724EF4"/>
    <w:rsid w:val="007271D1"/>
    <w:rsid w:val="007273DD"/>
    <w:rsid w:val="00727783"/>
    <w:rsid w:val="00733473"/>
    <w:rsid w:val="007340DC"/>
    <w:rsid w:val="00734FAC"/>
    <w:rsid w:val="0073702F"/>
    <w:rsid w:val="00742953"/>
    <w:rsid w:val="00744565"/>
    <w:rsid w:val="00745D0E"/>
    <w:rsid w:val="00746042"/>
    <w:rsid w:val="00746808"/>
    <w:rsid w:val="007470D8"/>
    <w:rsid w:val="00751354"/>
    <w:rsid w:val="007520E1"/>
    <w:rsid w:val="00752758"/>
    <w:rsid w:val="00753725"/>
    <w:rsid w:val="00760255"/>
    <w:rsid w:val="00766125"/>
    <w:rsid w:val="007676E3"/>
    <w:rsid w:val="00770940"/>
    <w:rsid w:val="00776083"/>
    <w:rsid w:val="007814AC"/>
    <w:rsid w:val="00781FAB"/>
    <w:rsid w:val="00784ADE"/>
    <w:rsid w:val="007867C6"/>
    <w:rsid w:val="0079058F"/>
    <w:rsid w:val="00790D9B"/>
    <w:rsid w:val="0079288B"/>
    <w:rsid w:val="00792E3D"/>
    <w:rsid w:val="007949B2"/>
    <w:rsid w:val="00795B38"/>
    <w:rsid w:val="007A090A"/>
    <w:rsid w:val="007B1140"/>
    <w:rsid w:val="007B48B6"/>
    <w:rsid w:val="007B56CC"/>
    <w:rsid w:val="007B641F"/>
    <w:rsid w:val="007B7FF6"/>
    <w:rsid w:val="007C1292"/>
    <w:rsid w:val="007C15C6"/>
    <w:rsid w:val="007C796D"/>
    <w:rsid w:val="007D11C0"/>
    <w:rsid w:val="007D1DB2"/>
    <w:rsid w:val="007D3C64"/>
    <w:rsid w:val="007D500D"/>
    <w:rsid w:val="007D62A5"/>
    <w:rsid w:val="007D63AD"/>
    <w:rsid w:val="007D71E7"/>
    <w:rsid w:val="007E46B6"/>
    <w:rsid w:val="007F2A0A"/>
    <w:rsid w:val="007F339F"/>
    <w:rsid w:val="007F48BD"/>
    <w:rsid w:val="007F5837"/>
    <w:rsid w:val="007F77B2"/>
    <w:rsid w:val="007F7881"/>
    <w:rsid w:val="00800EBF"/>
    <w:rsid w:val="0080227C"/>
    <w:rsid w:val="00804953"/>
    <w:rsid w:val="008051BF"/>
    <w:rsid w:val="00805A9F"/>
    <w:rsid w:val="00806B09"/>
    <w:rsid w:val="008116F7"/>
    <w:rsid w:val="00814E38"/>
    <w:rsid w:val="0081512A"/>
    <w:rsid w:val="008206B2"/>
    <w:rsid w:val="00820E3F"/>
    <w:rsid w:val="00821175"/>
    <w:rsid w:val="00822457"/>
    <w:rsid w:val="00823296"/>
    <w:rsid w:val="00826304"/>
    <w:rsid w:val="008306EB"/>
    <w:rsid w:val="00830FAB"/>
    <w:rsid w:val="008316FE"/>
    <w:rsid w:val="00831B26"/>
    <w:rsid w:val="00833888"/>
    <w:rsid w:val="00841A04"/>
    <w:rsid w:val="00852BA4"/>
    <w:rsid w:val="00854585"/>
    <w:rsid w:val="00855E87"/>
    <w:rsid w:val="00867136"/>
    <w:rsid w:val="008707D8"/>
    <w:rsid w:val="008763E6"/>
    <w:rsid w:val="00876984"/>
    <w:rsid w:val="00876E96"/>
    <w:rsid w:val="00882E08"/>
    <w:rsid w:val="008851C5"/>
    <w:rsid w:val="00885F02"/>
    <w:rsid w:val="00891B2B"/>
    <w:rsid w:val="00895738"/>
    <w:rsid w:val="00897C22"/>
    <w:rsid w:val="008A0BDE"/>
    <w:rsid w:val="008A1B0D"/>
    <w:rsid w:val="008A33FA"/>
    <w:rsid w:val="008B0490"/>
    <w:rsid w:val="008B2F4C"/>
    <w:rsid w:val="008C1490"/>
    <w:rsid w:val="008C1D8C"/>
    <w:rsid w:val="008C522C"/>
    <w:rsid w:val="008C5CA1"/>
    <w:rsid w:val="008C64A6"/>
    <w:rsid w:val="008C7954"/>
    <w:rsid w:val="008D3CA1"/>
    <w:rsid w:val="008D46EC"/>
    <w:rsid w:val="008D7048"/>
    <w:rsid w:val="008E0746"/>
    <w:rsid w:val="008E0D8A"/>
    <w:rsid w:val="008E3D7D"/>
    <w:rsid w:val="008E787A"/>
    <w:rsid w:val="008F2CA8"/>
    <w:rsid w:val="008F53BE"/>
    <w:rsid w:val="008F6381"/>
    <w:rsid w:val="008F78B7"/>
    <w:rsid w:val="00904DE7"/>
    <w:rsid w:val="009103DF"/>
    <w:rsid w:val="009117F4"/>
    <w:rsid w:val="009144D8"/>
    <w:rsid w:val="009147BB"/>
    <w:rsid w:val="00914C99"/>
    <w:rsid w:val="00921072"/>
    <w:rsid w:val="00921E7E"/>
    <w:rsid w:val="0093020C"/>
    <w:rsid w:val="00931389"/>
    <w:rsid w:val="009340B3"/>
    <w:rsid w:val="00935D2E"/>
    <w:rsid w:val="00935DCD"/>
    <w:rsid w:val="00940BDC"/>
    <w:rsid w:val="00941318"/>
    <w:rsid w:val="00943426"/>
    <w:rsid w:val="00947E48"/>
    <w:rsid w:val="00952F1D"/>
    <w:rsid w:val="00954AB6"/>
    <w:rsid w:val="00955312"/>
    <w:rsid w:val="009652D8"/>
    <w:rsid w:val="009673A1"/>
    <w:rsid w:val="00973ADA"/>
    <w:rsid w:val="00977356"/>
    <w:rsid w:val="009776FC"/>
    <w:rsid w:val="009815E0"/>
    <w:rsid w:val="00982A23"/>
    <w:rsid w:val="00984712"/>
    <w:rsid w:val="00986457"/>
    <w:rsid w:val="009944D7"/>
    <w:rsid w:val="00996E12"/>
    <w:rsid w:val="00997A5D"/>
    <w:rsid w:val="009A1CAD"/>
    <w:rsid w:val="009A2261"/>
    <w:rsid w:val="009A3981"/>
    <w:rsid w:val="009A3C83"/>
    <w:rsid w:val="009A3DE7"/>
    <w:rsid w:val="009A581D"/>
    <w:rsid w:val="009A6314"/>
    <w:rsid w:val="009B1030"/>
    <w:rsid w:val="009B1DAD"/>
    <w:rsid w:val="009B1F5C"/>
    <w:rsid w:val="009B2E8B"/>
    <w:rsid w:val="009B44DF"/>
    <w:rsid w:val="009B6E29"/>
    <w:rsid w:val="009B7985"/>
    <w:rsid w:val="009C07B6"/>
    <w:rsid w:val="009C1564"/>
    <w:rsid w:val="009C3DB8"/>
    <w:rsid w:val="009C638E"/>
    <w:rsid w:val="009D0038"/>
    <w:rsid w:val="009D24C5"/>
    <w:rsid w:val="009D258F"/>
    <w:rsid w:val="009D48BF"/>
    <w:rsid w:val="009D6023"/>
    <w:rsid w:val="009D71A1"/>
    <w:rsid w:val="009E5E02"/>
    <w:rsid w:val="009E729B"/>
    <w:rsid w:val="009E7EB8"/>
    <w:rsid w:val="009F1E44"/>
    <w:rsid w:val="009F1FBD"/>
    <w:rsid w:val="009F23D2"/>
    <w:rsid w:val="009F3C63"/>
    <w:rsid w:val="009F6B65"/>
    <w:rsid w:val="00A16DD3"/>
    <w:rsid w:val="00A1700E"/>
    <w:rsid w:val="00A21E86"/>
    <w:rsid w:val="00A22718"/>
    <w:rsid w:val="00A24C6A"/>
    <w:rsid w:val="00A263C3"/>
    <w:rsid w:val="00A302B9"/>
    <w:rsid w:val="00A312F7"/>
    <w:rsid w:val="00A3363D"/>
    <w:rsid w:val="00A347D0"/>
    <w:rsid w:val="00A3497D"/>
    <w:rsid w:val="00A368DF"/>
    <w:rsid w:val="00A5467E"/>
    <w:rsid w:val="00A54E93"/>
    <w:rsid w:val="00A54EBA"/>
    <w:rsid w:val="00A56C96"/>
    <w:rsid w:val="00A625E8"/>
    <w:rsid w:val="00A635E5"/>
    <w:rsid w:val="00A63867"/>
    <w:rsid w:val="00A7251E"/>
    <w:rsid w:val="00A72D07"/>
    <w:rsid w:val="00A744E1"/>
    <w:rsid w:val="00A74CC6"/>
    <w:rsid w:val="00A81877"/>
    <w:rsid w:val="00A8688B"/>
    <w:rsid w:val="00A873A3"/>
    <w:rsid w:val="00A90122"/>
    <w:rsid w:val="00A9086C"/>
    <w:rsid w:val="00A91757"/>
    <w:rsid w:val="00A93690"/>
    <w:rsid w:val="00AA3CEF"/>
    <w:rsid w:val="00AA744D"/>
    <w:rsid w:val="00AA7B07"/>
    <w:rsid w:val="00AB2DF1"/>
    <w:rsid w:val="00AB315E"/>
    <w:rsid w:val="00AB3802"/>
    <w:rsid w:val="00AB5B0D"/>
    <w:rsid w:val="00AC0C2F"/>
    <w:rsid w:val="00AD14F8"/>
    <w:rsid w:val="00AD1566"/>
    <w:rsid w:val="00AD2AA3"/>
    <w:rsid w:val="00AD3B60"/>
    <w:rsid w:val="00AE068D"/>
    <w:rsid w:val="00AE4B3B"/>
    <w:rsid w:val="00AF0518"/>
    <w:rsid w:val="00AF5CA2"/>
    <w:rsid w:val="00B001C0"/>
    <w:rsid w:val="00B02689"/>
    <w:rsid w:val="00B055FD"/>
    <w:rsid w:val="00B10357"/>
    <w:rsid w:val="00B11379"/>
    <w:rsid w:val="00B12971"/>
    <w:rsid w:val="00B138DF"/>
    <w:rsid w:val="00B14625"/>
    <w:rsid w:val="00B178B0"/>
    <w:rsid w:val="00B21637"/>
    <w:rsid w:val="00B22EB2"/>
    <w:rsid w:val="00B268E6"/>
    <w:rsid w:val="00B301C8"/>
    <w:rsid w:val="00B30F54"/>
    <w:rsid w:val="00B3150B"/>
    <w:rsid w:val="00B3376F"/>
    <w:rsid w:val="00B33C93"/>
    <w:rsid w:val="00B42E12"/>
    <w:rsid w:val="00B50BAA"/>
    <w:rsid w:val="00B5221C"/>
    <w:rsid w:val="00B54089"/>
    <w:rsid w:val="00B56E5D"/>
    <w:rsid w:val="00B57348"/>
    <w:rsid w:val="00B60881"/>
    <w:rsid w:val="00B62CDA"/>
    <w:rsid w:val="00B81FC9"/>
    <w:rsid w:val="00B8277A"/>
    <w:rsid w:val="00B83C83"/>
    <w:rsid w:val="00B84530"/>
    <w:rsid w:val="00B85CB4"/>
    <w:rsid w:val="00B86314"/>
    <w:rsid w:val="00B87860"/>
    <w:rsid w:val="00B9019B"/>
    <w:rsid w:val="00B90864"/>
    <w:rsid w:val="00B90F5F"/>
    <w:rsid w:val="00B90F9D"/>
    <w:rsid w:val="00B91D3A"/>
    <w:rsid w:val="00B927E7"/>
    <w:rsid w:val="00B95CC1"/>
    <w:rsid w:val="00B95DDE"/>
    <w:rsid w:val="00B96B39"/>
    <w:rsid w:val="00B9758B"/>
    <w:rsid w:val="00BA0E58"/>
    <w:rsid w:val="00BA6276"/>
    <w:rsid w:val="00BA62A6"/>
    <w:rsid w:val="00BB14B7"/>
    <w:rsid w:val="00BB4027"/>
    <w:rsid w:val="00BC057F"/>
    <w:rsid w:val="00BC1E99"/>
    <w:rsid w:val="00BC2D4D"/>
    <w:rsid w:val="00BC3E40"/>
    <w:rsid w:val="00BC4697"/>
    <w:rsid w:val="00BC4EC0"/>
    <w:rsid w:val="00BC4F7A"/>
    <w:rsid w:val="00BC5504"/>
    <w:rsid w:val="00BC72C7"/>
    <w:rsid w:val="00BD03B4"/>
    <w:rsid w:val="00BD0995"/>
    <w:rsid w:val="00BD15A5"/>
    <w:rsid w:val="00BD1FEA"/>
    <w:rsid w:val="00BD206D"/>
    <w:rsid w:val="00BD2B80"/>
    <w:rsid w:val="00BD3D3B"/>
    <w:rsid w:val="00BD4230"/>
    <w:rsid w:val="00BD4615"/>
    <w:rsid w:val="00BE08BA"/>
    <w:rsid w:val="00BE0A78"/>
    <w:rsid w:val="00BE3362"/>
    <w:rsid w:val="00BE7A5B"/>
    <w:rsid w:val="00BF0128"/>
    <w:rsid w:val="00BF1A06"/>
    <w:rsid w:val="00BF270F"/>
    <w:rsid w:val="00BF48E0"/>
    <w:rsid w:val="00C1043B"/>
    <w:rsid w:val="00C105AB"/>
    <w:rsid w:val="00C133F1"/>
    <w:rsid w:val="00C14F25"/>
    <w:rsid w:val="00C1764C"/>
    <w:rsid w:val="00C236B4"/>
    <w:rsid w:val="00C27620"/>
    <w:rsid w:val="00C303B9"/>
    <w:rsid w:val="00C308E0"/>
    <w:rsid w:val="00C32E2C"/>
    <w:rsid w:val="00C33C2A"/>
    <w:rsid w:val="00C348F0"/>
    <w:rsid w:val="00C35BA9"/>
    <w:rsid w:val="00C36292"/>
    <w:rsid w:val="00C37B19"/>
    <w:rsid w:val="00C418D8"/>
    <w:rsid w:val="00C4578F"/>
    <w:rsid w:val="00C46DC8"/>
    <w:rsid w:val="00C50D7B"/>
    <w:rsid w:val="00C51924"/>
    <w:rsid w:val="00C55691"/>
    <w:rsid w:val="00C55705"/>
    <w:rsid w:val="00C56B2C"/>
    <w:rsid w:val="00C575B9"/>
    <w:rsid w:val="00C57CAB"/>
    <w:rsid w:val="00C606C1"/>
    <w:rsid w:val="00C640B0"/>
    <w:rsid w:val="00C64B02"/>
    <w:rsid w:val="00C655B9"/>
    <w:rsid w:val="00C665FE"/>
    <w:rsid w:val="00C67248"/>
    <w:rsid w:val="00C72627"/>
    <w:rsid w:val="00C8086F"/>
    <w:rsid w:val="00C87E8F"/>
    <w:rsid w:val="00C93926"/>
    <w:rsid w:val="00CA2ADF"/>
    <w:rsid w:val="00CA340E"/>
    <w:rsid w:val="00CA3484"/>
    <w:rsid w:val="00CB289F"/>
    <w:rsid w:val="00CB568C"/>
    <w:rsid w:val="00CC18C8"/>
    <w:rsid w:val="00CC2E31"/>
    <w:rsid w:val="00CC519F"/>
    <w:rsid w:val="00CC552C"/>
    <w:rsid w:val="00CC603C"/>
    <w:rsid w:val="00CD3632"/>
    <w:rsid w:val="00CD3696"/>
    <w:rsid w:val="00CD4371"/>
    <w:rsid w:val="00CD4D59"/>
    <w:rsid w:val="00CD60AF"/>
    <w:rsid w:val="00CD7368"/>
    <w:rsid w:val="00CD7CB6"/>
    <w:rsid w:val="00CD7E64"/>
    <w:rsid w:val="00CE0099"/>
    <w:rsid w:val="00CE25D9"/>
    <w:rsid w:val="00CE264A"/>
    <w:rsid w:val="00CE5B50"/>
    <w:rsid w:val="00CE5EDC"/>
    <w:rsid w:val="00CE6647"/>
    <w:rsid w:val="00CE6A29"/>
    <w:rsid w:val="00CF3F88"/>
    <w:rsid w:val="00CF6065"/>
    <w:rsid w:val="00D0097F"/>
    <w:rsid w:val="00D01633"/>
    <w:rsid w:val="00D023A0"/>
    <w:rsid w:val="00D02C48"/>
    <w:rsid w:val="00D07AC3"/>
    <w:rsid w:val="00D143E5"/>
    <w:rsid w:val="00D15BC3"/>
    <w:rsid w:val="00D16968"/>
    <w:rsid w:val="00D17405"/>
    <w:rsid w:val="00D25155"/>
    <w:rsid w:val="00D2651A"/>
    <w:rsid w:val="00D26CBD"/>
    <w:rsid w:val="00D274A5"/>
    <w:rsid w:val="00D334F9"/>
    <w:rsid w:val="00D33B2A"/>
    <w:rsid w:val="00D3431E"/>
    <w:rsid w:val="00D3624E"/>
    <w:rsid w:val="00D366F9"/>
    <w:rsid w:val="00D36E8A"/>
    <w:rsid w:val="00D3796A"/>
    <w:rsid w:val="00D40FA6"/>
    <w:rsid w:val="00D4467F"/>
    <w:rsid w:val="00D448F3"/>
    <w:rsid w:val="00D4497B"/>
    <w:rsid w:val="00D44ECE"/>
    <w:rsid w:val="00D4502A"/>
    <w:rsid w:val="00D4684A"/>
    <w:rsid w:val="00D474A0"/>
    <w:rsid w:val="00D50823"/>
    <w:rsid w:val="00D540ED"/>
    <w:rsid w:val="00D54941"/>
    <w:rsid w:val="00D54D6C"/>
    <w:rsid w:val="00D54DF3"/>
    <w:rsid w:val="00D55DD6"/>
    <w:rsid w:val="00D5715D"/>
    <w:rsid w:val="00D604B2"/>
    <w:rsid w:val="00D61131"/>
    <w:rsid w:val="00D617E4"/>
    <w:rsid w:val="00D633C3"/>
    <w:rsid w:val="00D670FD"/>
    <w:rsid w:val="00D678B7"/>
    <w:rsid w:val="00D70F2A"/>
    <w:rsid w:val="00D71C69"/>
    <w:rsid w:val="00D739A3"/>
    <w:rsid w:val="00D741D6"/>
    <w:rsid w:val="00D7441B"/>
    <w:rsid w:val="00D7645A"/>
    <w:rsid w:val="00D811D1"/>
    <w:rsid w:val="00D84DBE"/>
    <w:rsid w:val="00D90C91"/>
    <w:rsid w:val="00D928CB"/>
    <w:rsid w:val="00D933BB"/>
    <w:rsid w:val="00D93435"/>
    <w:rsid w:val="00D97E97"/>
    <w:rsid w:val="00DA0C85"/>
    <w:rsid w:val="00DA23D3"/>
    <w:rsid w:val="00DA2E5D"/>
    <w:rsid w:val="00DA3E54"/>
    <w:rsid w:val="00DA48BB"/>
    <w:rsid w:val="00DA4E98"/>
    <w:rsid w:val="00DA7823"/>
    <w:rsid w:val="00DB0ADD"/>
    <w:rsid w:val="00DB30D1"/>
    <w:rsid w:val="00DB4FCB"/>
    <w:rsid w:val="00DC0847"/>
    <w:rsid w:val="00DC3241"/>
    <w:rsid w:val="00DC3A4B"/>
    <w:rsid w:val="00DD03A0"/>
    <w:rsid w:val="00DD3F0B"/>
    <w:rsid w:val="00DD40BC"/>
    <w:rsid w:val="00DD6CC3"/>
    <w:rsid w:val="00DE05FF"/>
    <w:rsid w:val="00DE0610"/>
    <w:rsid w:val="00DE338E"/>
    <w:rsid w:val="00DE3FDD"/>
    <w:rsid w:val="00DE53FC"/>
    <w:rsid w:val="00DE77C7"/>
    <w:rsid w:val="00DF10D4"/>
    <w:rsid w:val="00DF3A75"/>
    <w:rsid w:val="00DF6BEC"/>
    <w:rsid w:val="00E00D07"/>
    <w:rsid w:val="00E01A51"/>
    <w:rsid w:val="00E12A14"/>
    <w:rsid w:val="00E12EA8"/>
    <w:rsid w:val="00E1391C"/>
    <w:rsid w:val="00E13B37"/>
    <w:rsid w:val="00E24CA9"/>
    <w:rsid w:val="00E250DC"/>
    <w:rsid w:val="00E25848"/>
    <w:rsid w:val="00E25B18"/>
    <w:rsid w:val="00E355CE"/>
    <w:rsid w:val="00E36A8F"/>
    <w:rsid w:val="00E407DF"/>
    <w:rsid w:val="00E448DB"/>
    <w:rsid w:val="00E47A4B"/>
    <w:rsid w:val="00E47C1F"/>
    <w:rsid w:val="00E516D0"/>
    <w:rsid w:val="00E5250D"/>
    <w:rsid w:val="00E529DA"/>
    <w:rsid w:val="00E52EE0"/>
    <w:rsid w:val="00E55136"/>
    <w:rsid w:val="00E5647A"/>
    <w:rsid w:val="00E60F29"/>
    <w:rsid w:val="00E6323B"/>
    <w:rsid w:val="00E64E83"/>
    <w:rsid w:val="00E670F3"/>
    <w:rsid w:val="00E7517D"/>
    <w:rsid w:val="00E751CF"/>
    <w:rsid w:val="00E7577B"/>
    <w:rsid w:val="00E81599"/>
    <w:rsid w:val="00E81B53"/>
    <w:rsid w:val="00E83727"/>
    <w:rsid w:val="00E875CD"/>
    <w:rsid w:val="00E9003D"/>
    <w:rsid w:val="00E908C4"/>
    <w:rsid w:val="00E958FD"/>
    <w:rsid w:val="00E969DB"/>
    <w:rsid w:val="00E970F5"/>
    <w:rsid w:val="00EA1EA5"/>
    <w:rsid w:val="00EA2F1D"/>
    <w:rsid w:val="00EA7338"/>
    <w:rsid w:val="00EA741D"/>
    <w:rsid w:val="00EB0B40"/>
    <w:rsid w:val="00EC0968"/>
    <w:rsid w:val="00EC30F5"/>
    <w:rsid w:val="00ED01CB"/>
    <w:rsid w:val="00ED4959"/>
    <w:rsid w:val="00ED67EF"/>
    <w:rsid w:val="00EE47AB"/>
    <w:rsid w:val="00EE7942"/>
    <w:rsid w:val="00EF24B4"/>
    <w:rsid w:val="00EF3392"/>
    <w:rsid w:val="00EF398E"/>
    <w:rsid w:val="00EF42A1"/>
    <w:rsid w:val="00EF4C68"/>
    <w:rsid w:val="00EF53D2"/>
    <w:rsid w:val="00EF635C"/>
    <w:rsid w:val="00EF654C"/>
    <w:rsid w:val="00EF77CA"/>
    <w:rsid w:val="00F017AA"/>
    <w:rsid w:val="00F02ACA"/>
    <w:rsid w:val="00F06014"/>
    <w:rsid w:val="00F06598"/>
    <w:rsid w:val="00F068F7"/>
    <w:rsid w:val="00F06C96"/>
    <w:rsid w:val="00F11334"/>
    <w:rsid w:val="00F15DCE"/>
    <w:rsid w:val="00F17D94"/>
    <w:rsid w:val="00F213B5"/>
    <w:rsid w:val="00F2192A"/>
    <w:rsid w:val="00F22265"/>
    <w:rsid w:val="00F22BAB"/>
    <w:rsid w:val="00F2647C"/>
    <w:rsid w:val="00F26493"/>
    <w:rsid w:val="00F30CEA"/>
    <w:rsid w:val="00F30DE1"/>
    <w:rsid w:val="00F37A3A"/>
    <w:rsid w:val="00F37EBB"/>
    <w:rsid w:val="00F4044E"/>
    <w:rsid w:val="00F44519"/>
    <w:rsid w:val="00F44FDE"/>
    <w:rsid w:val="00F45CC5"/>
    <w:rsid w:val="00F46900"/>
    <w:rsid w:val="00F511D5"/>
    <w:rsid w:val="00F53C3A"/>
    <w:rsid w:val="00F5428F"/>
    <w:rsid w:val="00F61C33"/>
    <w:rsid w:val="00F62533"/>
    <w:rsid w:val="00F705FF"/>
    <w:rsid w:val="00F70FD9"/>
    <w:rsid w:val="00F71DEE"/>
    <w:rsid w:val="00F743F1"/>
    <w:rsid w:val="00F755C4"/>
    <w:rsid w:val="00F75743"/>
    <w:rsid w:val="00F83E25"/>
    <w:rsid w:val="00F85514"/>
    <w:rsid w:val="00F85F1A"/>
    <w:rsid w:val="00F86DF8"/>
    <w:rsid w:val="00F900F9"/>
    <w:rsid w:val="00F917AF"/>
    <w:rsid w:val="00F949AD"/>
    <w:rsid w:val="00F94B9E"/>
    <w:rsid w:val="00F957C4"/>
    <w:rsid w:val="00F96B6F"/>
    <w:rsid w:val="00FA1E85"/>
    <w:rsid w:val="00FA3095"/>
    <w:rsid w:val="00FA71C4"/>
    <w:rsid w:val="00FB110B"/>
    <w:rsid w:val="00FB1FF3"/>
    <w:rsid w:val="00FB2159"/>
    <w:rsid w:val="00FB2E86"/>
    <w:rsid w:val="00FB42AB"/>
    <w:rsid w:val="00FB4322"/>
    <w:rsid w:val="00FB60AA"/>
    <w:rsid w:val="00FB7846"/>
    <w:rsid w:val="00FB7E83"/>
    <w:rsid w:val="00FC5844"/>
    <w:rsid w:val="00FC7BAF"/>
    <w:rsid w:val="00FD0FC8"/>
    <w:rsid w:val="00FD5981"/>
    <w:rsid w:val="00FE003B"/>
    <w:rsid w:val="00FE313B"/>
    <w:rsid w:val="00FE397E"/>
    <w:rsid w:val="00FE3E02"/>
    <w:rsid w:val="00FE730C"/>
    <w:rsid w:val="00FE780D"/>
    <w:rsid w:val="00FF389F"/>
    <w:rsid w:val="00FF4691"/>
    <w:rsid w:val="00FF670D"/>
    <w:rsid w:val="00FF7723"/>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FABF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Yu Mincho" w:hAnsi="Calibri" w:cs="Mang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5" w:line="248" w:lineRule="auto"/>
      <w:ind w:left="19" w:hanging="5"/>
    </w:pPr>
    <w:rPr>
      <w:rFonts w:ascii="Times New Roman" w:eastAsia="Times New Roman" w:hAnsi="Times New Roman" w:cs="Times New Roman"/>
      <w:color w:val="000000"/>
      <w:sz w:val="22"/>
      <w:szCs w:val="22"/>
      <w:lang w:val="en-US" w:eastAsia="en-US"/>
    </w:rPr>
  </w:style>
  <w:style w:type="paragraph" w:styleId="Heading1">
    <w:name w:val="heading 1"/>
    <w:next w:val="Normal"/>
    <w:link w:val="Heading1Char"/>
    <w:uiPriority w:val="9"/>
    <w:unhideWhenUsed/>
    <w:qFormat/>
    <w:pPr>
      <w:keepNext/>
      <w:keepLines/>
      <w:spacing w:after="240" w:line="248" w:lineRule="auto"/>
      <w:ind w:left="22" w:hanging="10"/>
      <w:outlineLvl w:val="0"/>
    </w:pPr>
    <w:rPr>
      <w:rFonts w:ascii="Times New Roman" w:eastAsia="Times New Roman" w:hAnsi="Times New Roman" w:cs="Times New Roman"/>
      <w:b/>
      <w:color w:val="000000"/>
      <w:sz w:val="22"/>
      <w:szCs w:val="22"/>
      <w:lang w:val="en-US" w:eastAsia="en-US"/>
    </w:rPr>
  </w:style>
  <w:style w:type="paragraph" w:styleId="Heading2">
    <w:name w:val="heading 2"/>
    <w:next w:val="Normal"/>
    <w:link w:val="Heading2Char"/>
    <w:uiPriority w:val="9"/>
    <w:unhideWhenUsed/>
    <w:qFormat/>
    <w:pPr>
      <w:keepNext/>
      <w:keepLines/>
      <w:spacing w:after="232" w:line="259" w:lineRule="auto"/>
      <w:ind w:left="24" w:hanging="10"/>
      <w:outlineLvl w:val="1"/>
    </w:pPr>
    <w:rPr>
      <w:rFonts w:ascii="Times New Roman" w:eastAsia="Times New Roman" w:hAnsi="Times New Roman" w:cs="Times New Roman"/>
      <w:color w:val="000000"/>
      <w:sz w:val="22"/>
      <w:szCs w:val="22"/>
      <w:u w:val="single" w:color="000000"/>
      <w:lang w:val="en-US" w:eastAsia="en-US"/>
    </w:rPr>
  </w:style>
  <w:style w:type="paragraph" w:styleId="Heading3">
    <w:name w:val="heading 3"/>
    <w:next w:val="Normal"/>
    <w:link w:val="Heading3Char"/>
    <w:uiPriority w:val="9"/>
    <w:unhideWhenUsed/>
    <w:qFormat/>
    <w:pPr>
      <w:keepNext/>
      <w:keepLines/>
      <w:spacing w:after="231" w:line="259" w:lineRule="auto"/>
      <w:ind w:left="24" w:hanging="10"/>
      <w:outlineLvl w:val="2"/>
    </w:pPr>
    <w:rPr>
      <w:rFonts w:ascii="Times New Roman" w:eastAsia="Times New Roman" w:hAnsi="Times New Roman" w:cs="Times New Roman"/>
      <w:i/>
      <w:color w:val="000000"/>
      <w:sz w:val="22"/>
      <w:szCs w:val="22"/>
      <w:u w:val="single" w:color="000000"/>
      <w:lang w:val="en-US" w:eastAsia="en-US"/>
    </w:rPr>
  </w:style>
  <w:style w:type="paragraph" w:styleId="Heading4">
    <w:name w:val="heading 4"/>
    <w:next w:val="Normal"/>
    <w:link w:val="Heading4Char"/>
    <w:uiPriority w:val="9"/>
    <w:unhideWhenUsed/>
    <w:qFormat/>
    <w:pPr>
      <w:keepNext/>
      <w:keepLines/>
      <w:spacing w:after="3" w:line="259" w:lineRule="auto"/>
      <w:ind w:left="24" w:hanging="10"/>
      <w:outlineLvl w:val="3"/>
    </w:pPr>
    <w:rPr>
      <w:rFonts w:ascii="Times New Roman" w:eastAsia="Times New Roman" w:hAnsi="Times New Roman" w:cs="Times New Roman"/>
      <w:i/>
      <w:color w:val="000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i/>
      <w:color w:val="000000"/>
      <w:sz w:val="22"/>
      <w:u w:val="single" w:color="000000"/>
    </w:rPr>
  </w:style>
  <w:style w:type="character" w:customStyle="1" w:styleId="Heading4Char">
    <w:name w:val="Heading 4 Char"/>
    <w:link w:val="Heading4"/>
    <w:rPr>
      <w:rFonts w:ascii="Times New Roman" w:eastAsia="Times New Roman" w:hAnsi="Times New Roman" w:cs="Times New Roman"/>
      <w:i/>
      <w:color w:val="000000"/>
      <w:sz w:val="22"/>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Header">
    <w:name w:val="header"/>
    <w:basedOn w:val="Normal"/>
    <w:link w:val="HeaderChar"/>
    <w:uiPriority w:val="99"/>
    <w:unhideWhenUsed/>
    <w:rsid w:val="008E787A"/>
    <w:pPr>
      <w:tabs>
        <w:tab w:val="center" w:pos="4680"/>
        <w:tab w:val="right" w:pos="9360"/>
      </w:tabs>
      <w:spacing w:after="0" w:line="240" w:lineRule="auto"/>
    </w:pPr>
  </w:style>
  <w:style w:type="character" w:customStyle="1" w:styleId="HeaderChar">
    <w:name w:val="Header Char"/>
    <w:link w:val="Header"/>
    <w:uiPriority w:val="99"/>
    <w:rsid w:val="008E787A"/>
    <w:rPr>
      <w:rFonts w:ascii="Times New Roman" w:eastAsia="Times New Roman" w:hAnsi="Times New Roman" w:cs="Times New Roman"/>
      <w:color w:val="000000"/>
    </w:rPr>
  </w:style>
  <w:style w:type="paragraph" w:styleId="ListParagraph">
    <w:name w:val="List Paragraph"/>
    <w:basedOn w:val="Normal"/>
    <w:uiPriority w:val="34"/>
    <w:qFormat/>
    <w:rsid w:val="008E787A"/>
    <w:pPr>
      <w:ind w:left="720"/>
      <w:contextualSpacing/>
    </w:pPr>
  </w:style>
  <w:style w:type="paragraph" w:customStyle="1" w:styleId="TitleA">
    <w:name w:val="Title A"/>
    <w:basedOn w:val="Normal"/>
    <w:qFormat/>
    <w:rsid w:val="00EB0B40"/>
    <w:pPr>
      <w:widowControl w:val="0"/>
      <w:spacing w:after="0" w:line="240" w:lineRule="auto"/>
      <w:ind w:left="3538" w:hanging="10"/>
      <w:contextualSpacing/>
    </w:pPr>
    <w:rPr>
      <w:b/>
      <w:lang w:val="sv-SE"/>
    </w:rPr>
  </w:style>
  <w:style w:type="table" w:styleId="TableGrid0">
    <w:name w:val="Table Grid"/>
    <w:basedOn w:val="TableNormal"/>
    <w:uiPriority w:val="59"/>
    <w:rsid w:val="00514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F62533"/>
    <w:rPr>
      <w:sz w:val="16"/>
      <w:szCs w:val="16"/>
    </w:rPr>
  </w:style>
  <w:style w:type="paragraph" w:styleId="CommentText">
    <w:name w:val="annotation text"/>
    <w:basedOn w:val="Normal"/>
    <w:link w:val="CommentTextChar"/>
    <w:uiPriority w:val="99"/>
    <w:semiHidden/>
    <w:unhideWhenUsed/>
    <w:rsid w:val="00F62533"/>
    <w:pPr>
      <w:spacing w:line="240" w:lineRule="auto"/>
    </w:pPr>
    <w:rPr>
      <w:sz w:val="20"/>
      <w:szCs w:val="20"/>
    </w:rPr>
  </w:style>
  <w:style w:type="character" w:customStyle="1" w:styleId="CommentTextChar">
    <w:name w:val="Comment Text Char"/>
    <w:link w:val="CommentText"/>
    <w:uiPriority w:val="99"/>
    <w:semiHidden/>
    <w:rsid w:val="00F6253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62533"/>
    <w:rPr>
      <w:b/>
      <w:bCs/>
    </w:rPr>
  </w:style>
  <w:style w:type="character" w:customStyle="1" w:styleId="CommentSubjectChar">
    <w:name w:val="Comment Subject Char"/>
    <w:link w:val="CommentSubject"/>
    <w:uiPriority w:val="99"/>
    <w:semiHidden/>
    <w:rsid w:val="00F62533"/>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F6253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62533"/>
    <w:rPr>
      <w:rFonts w:ascii="Segoe UI" w:eastAsia="Times New Roman" w:hAnsi="Segoe UI" w:cs="Segoe UI"/>
      <w:color w:val="000000"/>
      <w:sz w:val="18"/>
      <w:szCs w:val="18"/>
    </w:rPr>
  </w:style>
  <w:style w:type="character" w:styleId="Hyperlink">
    <w:name w:val="Hyperlink"/>
    <w:uiPriority w:val="99"/>
    <w:rsid w:val="008C1D8C"/>
    <w:rPr>
      <w:color w:val="0000FF"/>
      <w:u w:val="single"/>
    </w:rPr>
  </w:style>
  <w:style w:type="paragraph" w:styleId="Revision">
    <w:name w:val="Revision"/>
    <w:hidden/>
    <w:uiPriority w:val="99"/>
    <w:semiHidden/>
    <w:rsid w:val="00427179"/>
    <w:rPr>
      <w:rFonts w:ascii="Times New Roman" w:eastAsia="Times New Roman" w:hAnsi="Times New Roman" w:cs="Times New Roman"/>
      <w:color w:val="000000"/>
      <w:sz w:val="22"/>
      <w:szCs w:val="22"/>
      <w:lang w:val="en-US" w:eastAsia="en-US"/>
    </w:rPr>
  </w:style>
  <w:style w:type="paragraph" w:customStyle="1" w:styleId="CM2">
    <w:name w:val="CM2"/>
    <w:basedOn w:val="Normal"/>
    <w:next w:val="Normal"/>
    <w:uiPriority w:val="99"/>
    <w:rsid w:val="007D1DB2"/>
    <w:pPr>
      <w:widowControl w:val="0"/>
      <w:autoSpaceDE w:val="0"/>
      <w:autoSpaceDN w:val="0"/>
      <w:adjustRightInd w:val="0"/>
      <w:spacing w:after="0" w:line="253" w:lineRule="atLeast"/>
      <w:ind w:left="0" w:firstLine="0"/>
    </w:pPr>
    <w:rPr>
      <w:color w:val="auto"/>
      <w:sz w:val="24"/>
      <w:szCs w:val="24"/>
      <w:lang w:val="en-GB" w:eastAsia="en-GB"/>
    </w:rPr>
  </w:style>
  <w:style w:type="paragraph" w:customStyle="1" w:styleId="lbltxt">
    <w:name w:val="lbltxt"/>
    <w:rsid w:val="007D1DB2"/>
    <w:rPr>
      <w:rFonts w:ascii="Times New Roman" w:eastAsia="Times New Roman" w:hAnsi="Times New Roman" w:cs="Times New Roman"/>
      <w:noProof/>
      <w:sz w:val="22"/>
      <w:lang w:eastAsia="en-US"/>
    </w:rPr>
  </w:style>
  <w:style w:type="character" w:customStyle="1" w:styleId="Initial">
    <w:name w:val="Initial"/>
    <w:rsid w:val="007D1DB2"/>
    <w:rPr>
      <w:rFonts w:ascii="CG Times" w:hAnsi="CG Times" w:cs="CG Times" w:hint="default"/>
      <w:noProof w:val="0"/>
      <w:sz w:val="24"/>
      <w:lang w:val="da-DK"/>
    </w:rPr>
  </w:style>
  <w:style w:type="paragraph" w:customStyle="1" w:styleId="TitleB">
    <w:name w:val="Title B"/>
    <w:basedOn w:val="Normal"/>
    <w:next w:val="Normal"/>
    <w:qFormat/>
    <w:rsid w:val="00F917AF"/>
    <w:pPr>
      <w:keepNext/>
      <w:widowControl w:val="0"/>
      <w:autoSpaceDE w:val="0"/>
      <w:autoSpaceDN w:val="0"/>
      <w:adjustRightInd w:val="0"/>
      <w:spacing w:line="240" w:lineRule="auto"/>
      <w:ind w:left="567" w:right="120" w:hanging="567"/>
    </w:pPr>
    <w:rPr>
      <w:b/>
      <w:lang w:val="sv-SE"/>
    </w:rPr>
  </w:style>
  <w:style w:type="paragraph" w:customStyle="1" w:styleId="Annex">
    <w:name w:val="Annex"/>
    <w:basedOn w:val="Normal"/>
    <w:next w:val="Normal"/>
    <w:rsid w:val="001D7519"/>
    <w:pPr>
      <w:spacing w:after="0" w:line="240" w:lineRule="auto"/>
      <w:ind w:left="0" w:firstLine="0"/>
      <w:jc w:val="center"/>
    </w:pPr>
    <w:rPr>
      <w:b/>
      <w:color w:val="auto"/>
      <w:szCs w:val="20"/>
      <w:lang w:eastAsia="ja-JP"/>
    </w:rPr>
  </w:style>
  <w:style w:type="character" w:customStyle="1" w:styleId="BodytextAgencyChar">
    <w:name w:val="Body text (Agency) Char"/>
    <w:link w:val="BodytextAgency"/>
    <w:locked/>
    <w:rsid w:val="001D7519"/>
    <w:rPr>
      <w:rFonts w:ascii="Verdana" w:eastAsia="Verdana" w:hAnsi="Verdana"/>
      <w:sz w:val="18"/>
      <w:szCs w:val="18"/>
    </w:rPr>
  </w:style>
  <w:style w:type="paragraph" w:customStyle="1" w:styleId="BodytextAgency">
    <w:name w:val="Body text (Agency)"/>
    <w:basedOn w:val="Normal"/>
    <w:link w:val="BodytextAgencyChar"/>
    <w:qFormat/>
    <w:rsid w:val="001D7519"/>
    <w:pPr>
      <w:spacing w:after="140" w:line="280" w:lineRule="atLeast"/>
      <w:ind w:left="0" w:firstLine="0"/>
    </w:pPr>
    <w:rPr>
      <w:rFonts w:ascii="Verdana" w:eastAsia="Verdana" w:hAnsi="Verdana" w:cs="Mangal"/>
      <w:color w:val="auto"/>
      <w:sz w:val="18"/>
      <w:szCs w:val="18"/>
    </w:rPr>
  </w:style>
  <w:style w:type="character" w:customStyle="1" w:styleId="DraftingNotesAgencyChar">
    <w:name w:val="Drafting Notes (Agency) Char"/>
    <w:link w:val="DraftingNotesAgency"/>
    <w:locked/>
    <w:rsid w:val="001D7519"/>
    <w:rPr>
      <w:rFonts w:ascii="Courier New" w:eastAsia="Verdana" w:hAnsi="Courier New" w:cs="Courier New"/>
      <w:i/>
      <w:color w:val="339966"/>
      <w:szCs w:val="18"/>
    </w:rPr>
  </w:style>
  <w:style w:type="paragraph" w:customStyle="1" w:styleId="DraftingNotesAgency">
    <w:name w:val="Drafting Notes (Agency)"/>
    <w:basedOn w:val="Normal"/>
    <w:next w:val="BodytextAgency"/>
    <w:link w:val="DraftingNotesAgencyChar"/>
    <w:rsid w:val="001D7519"/>
    <w:pPr>
      <w:spacing w:after="140" w:line="280" w:lineRule="atLeast"/>
      <w:ind w:left="0" w:firstLine="0"/>
    </w:pPr>
    <w:rPr>
      <w:rFonts w:ascii="Courier New" w:eastAsia="Verdana" w:hAnsi="Courier New" w:cs="Courier New"/>
      <w:i/>
      <w:color w:val="339966"/>
      <w:szCs w:val="18"/>
    </w:rPr>
  </w:style>
  <w:style w:type="character" w:customStyle="1" w:styleId="No-numheading3AgencyChar">
    <w:name w:val="No-num heading 3 (Agency) Char"/>
    <w:link w:val="No-numheading3Agency"/>
    <w:locked/>
    <w:rsid w:val="001D7519"/>
    <w:rPr>
      <w:rFonts w:ascii="Verdana" w:eastAsia="Verdana" w:hAnsi="Verdana"/>
      <w:b/>
      <w:bCs/>
      <w:kern w:val="32"/>
    </w:rPr>
  </w:style>
  <w:style w:type="paragraph" w:customStyle="1" w:styleId="No-numheading3Agency">
    <w:name w:val="No-num heading 3 (Agency)"/>
    <w:basedOn w:val="Normal"/>
    <w:next w:val="BodytextAgency"/>
    <w:link w:val="No-numheading3AgencyChar"/>
    <w:rsid w:val="001D7519"/>
    <w:pPr>
      <w:keepNext/>
      <w:spacing w:before="280" w:after="220" w:line="240" w:lineRule="auto"/>
      <w:ind w:left="0" w:firstLine="0"/>
      <w:outlineLvl w:val="2"/>
    </w:pPr>
    <w:rPr>
      <w:rFonts w:ascii="Verdana" w:eastAsia="Verdana" w:hAnsi="Verdana" w:cs="Mangal"/>
      <w:b/>
      <w:bCs/>
      <w:color w:val="auto"/>
      <w:kern w:val="32"/>
    </w:rPr>
  </w:style>
  <w:style w:type="character" w:styleId="FollowedHyperlink">
    <w:name w:val="FollowedHyperlink"/>
    <w:uiPriority w:val="99"/>
    <w:semiHidden/>
    <w:unhideWhenUsed/>
    <w:rsid w:val="0049523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387304">
      <w:bodyDiv w:val="1"/>
      <w:marLeft w:val="0"/>
      <w:marRight w:val="0"/>
      <w:marTop w:val="0"/>
      <w:marBottom w:val="0"/>
      <w:divBdr>
        <w:top w:val="none" w:sz="0" w:space="0" w:color="auto"/>
        <w:left w:val="none" w:sz="0" w:space="0" w:color="auto"/>
        <w:bottom w:val="none" w:sz="0" w:space="0" w:color="auto"/>
        <w:right w:val="none" w:sz="0" w:space="0" w:color="auto"/>
      </w:divBdr>
    </w:div>
    <w:div w:id="1065182807">
      <w:bodyDiv w:val="1"/>
      <w:marLeft w:val="0"/>
      <w:marRight w:val="0"/>
      <w:marTop w:val="0"/>
      <w:marBottom w:val="0"/>
      <w:divBdr>
        <w:top w:val="none" w:sz="0" w:space="0" w:color="auto"/>
        <w:left w:val="none" w:sz="0" w:space="0" w:color="auto"/>
        <w:bottom w:val="none" w:sz="0" w:space="0" w:color="auto"/>
        <w:right w:val="none" w:sz="0" w:space="0" w:color="auto"/>
      </w:divBdr>
    </w:div>
    <w:div w:id="2067871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ma.europa.eu/"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http://www.ema.europa.eu/" TargetMode="External"/><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2ad3a63-90ad-4a46-a3cb-757f4658e205" origin="userSelected">
  <element uid="9036a7a1-5a4f-48d3-b24b-dfdab053dac9" value=""/>
  <element uid="523da9b1-25e0-4c9d-8976-14cdf8125397" value=""/>
  <element uid="7349a702-6462-4442-88eb-c64cd513835c" value=""/>
</sisl>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EMADOC-1700519818-2133472</_dlc_DocId>
    <_dlc_DocIdUrl xmlns="a034c160-bfb7-45f5-8632-2eb7e0508071">
      <Url>https://euema.sharepoint.com/sites/CRM/_layouts/15/DocIdRedir.aspx?ID=EMADOC-1700519818-2133472</Url>
      <Description>EMADOC-1700519818-2133472</Description>
    </_dlc_DocIdUrl>
  </documentManagement>
</p:properties>
</file>

<file path=customXml/itemProps1.xml><?xml version="1.0" encoding="utf-8"?>
<ds:datastoreItem xmlns:ds="http://schemas.openxmlformats.org/officeDocument/2006/customXml" ds:itemID="{E5F355CB-02A5-4678-A25E-10B2B787272B}">
  <ds:schemaRefs>
    <ds:schemaRef ds:uri="http://schemas.openxmlformats.org/officeDocument/2006/bibliography"/>
  </ds:schemaRefs>
</ds:datastoreItem>
</file>

<file path=customXml/itemProps2.xml><?xml version="1.0" encoding="utf-8"?>
<ds:datastoreItem xmlns:ds="http://schemas.openxmlformats.org/officeDocument/2006/customXml" ds:itemID="{48F8741A-903E-486F-A700-E8BFDBCEA5EF}">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2C325E71-5D69-436C-A1E9-23263ED03572}"/>
</file>

<file path=customXml/itemProps4.xml><?xml version="1.0" encoding="utf-8"?>
<ds:datastoreItem xmlns:ds="http://schemas.openxmlformats.org/officeDocument/2006/customXml" ds:itemID="{6BB867DC-1815-40CF-B2D7-DE7F65184797}"/>
</file>

<file path=customXml/itemProps5.xml><?xml version="1.0" encoding="utf-8"?>
<ds:datastoreItem xmlns:ds="http://schemas.openxmlformats.org/officeDocument/2006/customXml" ds:itemID="{7557F541-54A7-49E8-92AD-34CAD914CA1B}"/>
</file>

<file path=customXml/itemProps6.xml><?xml version="1.0" encoding="utf-8"?>
<ds:datastoreItem xmlns:ds="http://schemas.openxmlformats.org/officeDocument/2006/customXml" ds:itemID="{0ABD6E98-0C8A-4FEE-A8FC-D4A4F73B8380}"/>
</file>

<file path=docProps/app.xml><?xml version="1.0" encoding="utf-8"?>
<Properties xmlns="http://schemas.openxmlformats.org/officeDocument/2006/extended-properties" xmlns:vt="http://schemas.openxmlformats.org/officeDocument/2006/docPropsVTypes">
  <Template>Normal</Template>
  <TotalTime>0</TotalTime>
  <Pages>58</Pages>
  <Words>18377</Words>
  <Characters>104755</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Kanjinti: EPAR – Product information – tracked changes</dc:title>
  <dc:subject/>
  <dc:creator/>
  <cp:keywords/>
  <cp:lastModifiedBy/>
  <cp:revision>1</cp:revision>
  <dcterms:created xsi:type="dcterms:W3CDTF">2025-02-26T03:36:00Z</dcterms:created>
  <dcterms:modified xsi:type="dcterms:W3CDTF">2025-05-06T15:40:00Z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9e25d6-0896-421b-b69d-da2c03de890a_Enabled">
    <vt:lpwstr>true</vt:lpwstr>
  </property>
  <property fmtid="{D5CDD505-2E9C-101B-9397-08002B2CF9AE}" pid="3" name="MSIP_Label_709e25d6-0896-421b-b69d-da2c03de890a_SetDate">
    <vt:lpwstr>2025-05-06T15:40:27Z</vt:lpwstr>
  </property>
  <property fmtid="{D5CDD505-2E9C-101B-9397-08002B2CF9AE}" pid="4" name="MSIP_Label_709e25d6-0896-421b-b69d-da2c03de890a_Method">
    <vt:lpwstr>Privileged</vt:lpwstr>
  </property>
  <property fmtid="{D5CDD505-2E9C-101B-9397-08002B2CF9AE}" pid="5" name="MSIP_Label_709e25d6-0896-421b-b69d-da2c03de890a_Name">
    <vt:lpwstr>Confidential Ethics and Compliance (no marking)</vt:lpwstr>
  </property>
  <property fmtid="{D5CDD505-2E9C-101B-9397-08002B2CF9AE}" pid="6" name="MSIP_Label_709e25d6-0896-421b-b69d-da2c03de890a_SiteId">
    <vt:lpwstr>4b4266a6-1368-41af-ad5a-59eb634f7ad8</vt:lpwstr>
  </property>
  <property fmtid="{D5CDD505-2E9C-101B-9397-08002B2CF9AE}" pid="7" name="MSIP_Label_709e25d6-0896-421b-b69d-da2c03de890a_ActionId">
    <vt:lpwstr>01f9eac4-53ed-464e-b86c-2d741c5d4b4d</vt:lpwstr>
  </property>
  <property fmtid="{D5CDD505-2E9C-101B-9397-08002B2CF9AE}" pid="8" name="MSIP_Label_709e25d6-0896-421b-b69d-da2c03de890a_ContentBits">
    <vt:lpwstr>0</vt:lpwstr>
  </property>
  <property fmtid="{D5CDD505-2E9C-101B-9397-08002B2CF9AE}" pid="9" name="MSIP_Label_709e25d6-0896-421b-b69d-da2c03de890a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cb1b834a-44ce-4084-ae15-897eb1244610</vt:lpwstr>
  </property>
</Properties>
</file>