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20023" w14:textId="77777777" w:rsidR="00D065E9" w:rsidRPr="00F94D0C" w:rsidRDefault="00D065E9" w:rsidP="00D065E9">
      <w:pPr>
        <w:widowControl w:val="0"/>
        <w:pBdr>
          <w:top w:val="single" w:sz="4" w:space="1" w:color="auto"/>
          <w:left w:val="single" w:sz="4" w:space="4" w:color="auto"/>
          <w:bottom w:val="single" w:sz="4" w:space="1" w:color="auto"/>
          <w:right w:val="single" w:sz="4" w:space="4" w:color="auto"/>
        </w:pBdr>
        <w:tabs>
          <w:tab w:val="clear" w:pos="567"/>
        </w:tabs>
      </w:pPr>
      <w:r w:rsidRPr="00F94D0C">
        <w:t xml:space="preserve">Este </w:t>
      </w:r>
      <w:proofErr w:type="spellStart"/>
      <w:r w:rsidRPr="00F94D0C">
        <w:t>documento</w:t>
      </w:r>
      <w:proofErr w:type="spellEnd"/>
      <w:r w:rsidRPr="00F94D0C">
        <w:t xml:space="preserve"> es la </w:t>
      </w:r>
      <w:proofErr w:type="spellStart"/>
      <w:r w:rsidRPr="00F94D0C">
        <w:t>información</w:t>
      </w:r>
      <w:proofErr w:type="spellEnd"/>
      <w:r w:rsidRPr="00F94D0C">
        <w:t xml:space="preserve"> </w:t>
      </w:r>
      <w:r w:rsidRPr="00F94D0C">
        <w:rPr>
          <w:lang w:val="es-ES"/>
        </w:rPr>
        <w:t>d</w:t>
      </w:r>
      <w:proofErr w:type="spellStart"/>
      <w:r w:rsidRPr="00F94D0C">
        <w:t>el</w:t>
      </w:r>
      <w:proofErr w:type="spellEnd"/>
      <w:r w:rsidRPr="00F94D0C">
        <w:t xml:space="preserve"> </w:t>
      </w:r>
      <w:proofErr w:type="spellStart"/>
      <w:r w:rsidRPr="00F94D0C">
        <w:t>producto</w:t>
      </w:r>
      <w:proofErr w:type="spellEnd"/>
      <w:r w:rsidRPr="00F94D0C">
        <w:t xml:space="preserve"> </w:t>
      </w:r>
      <w:proofErr w:type="spellStart"/>
      <w:r w:rsidRPr="00F94D0C">
        <w:t>aprobada</w:t>
      </w:r>
      <w:proofErr w:type="spellEnd"/>
      <w:r w:rsidRPr="00F94D0C">
        <w:t xml:space="preserve"> </w:t>
      </w:r>
      <w:proofErr w:type="gramStart"/>
      <w:r w:rsidRPr="00F94D0C">
        <w:t xml:space="preserve">para </w:t>
      </w:r>
      <w:r w:rsidRPr="00F94D0C">
        <w:rPr>
          <w:lang w:val="de-CH"/>
        </w:rPr>
        <w:t>Lucentis</w:t>
      </w:r>
      <w:proofErr w:type="gramEnd"/>
      <w:r w:rsidRPr="00F94D0C">
        <w:t xml:space="preserve"> </w:t>
      </w:r>
      <w:proofErr w:type="spellStart"/>
      <w:r w:rsidRPr="00F94D0C">
        <w:t>en</w:t>
      </w:r>
      <w:proofErr w:type="spellEnd"/>
      <w:r w:rsidRPr="00F94D0C">
        <w:t xml:space="preserve"> </w:t>
      </w:r>
      <w:proofErr w:type="spellStart"/>
      <w:r w:rsidRPr="00F94D0C">
        <w:t>el</w:t>
      </w:r>
      <w:proofErr w:type="spellEnd"/>
      <w:r w:rsidRPr="00F94D0C">
        <w:t xml:space="preserve"> que se </w:t>
      </w:r>
      <w:proofErr w:type="spellStart"/>
      <w:r w:rsidRPr="00F94D0C">
        <w:t>destacan</w:t>
      </w:r>
      <w:proofErr w:type="spellEnd"/>
      <w:r w:rsidRPr="00F94D0C">
        <w:t xml:space="preserve"> las </w:t>
      </w:r>
      <w:proofErr w:type="spellStart"/>
      <w:r w:rsidRPr="00F94D0C">
        <w:t>modificaciones</w:t>
      </w:r>
      <w:proofErr w:type="spellEnd"/>
      <w:r w:rsidRPr="00F94D0C">
        <w:t xml:space="preserve"> </w:t>
      </w:r>
      <w:proofErr w:type="spellStart"/>
      <w:r w:rsidRPr="00F94D0C">
        <w:t>introducidas</w:t>
      </w:r>
      <w:proofErr w:type="spellEnd"/>
      <w:r w:rsidRPr="00F94D0C">
        <w:rPr>
          <w:lang w:val="es-ES"/>
        </w:rPr>
        <w:t>,</w:t>
      </w:r>
      <w:r w:rsidRPr="00F94D0C">
        <w:t xml:space="preserve"> </w:t>
      </w:r>
      <w:r w:rsidRPr="00F94D0C">
        <w:rPr>
          <w:lang w:val="es-ES"/>
        </w:rPr>
        <w:t>respecto de</w:t>
      </w:r>
      <w:r w:rsidRPr="00F94D0C">
        <w:t xml:space="preserve">l </w:t>
      </w:r>
      <w:proofErr w:type="spellStart"/>
      <w:r w:rsidRPr="00F94D0C">
        <w:t>procedimiento</w:t>
      </w:r>
      <w:proofErr w:type="spellEnd"/>
      <w:r w:rsidRPr="00F94D0C">
        <w:t xml:space="preserve"> anterior</w:t>
      </w:r>
      <w:r w:rsidRPr="00F94D0C">
        <w:rPr>
          <w:lang w:val="es-ES"/>
        </w:rPr>
        <w:t>,</w:t>
      </w:r>
      <w:r w:rsidRPr="00F94D0C">
        <w:t xml:space="preserve"> que </w:t>
      </w:r>
      <w:proofErr w:type="spellStart"/>
      <w:r w:rsidRPr="00F94D0C">
        <w:t>afectan</w:t>
      </w:r>
      <w:proofErr w:type="spellEnd"/>
      <w:r w:rsidRPr="00F94D0C">
        <w:t xml:space="preserve"> a la </w:t>
      </w:r>
      <w:proofErr w:type="spellStart"/>
      <w:r w:rsidRPr="00F94D0C">
        <w:t>información</w:t>
      </w:r>
      <w:proofErr w:type="spellEnd"/>
      <w:r w:rsidRPr="00F94D0C">
        <w:t xml:space="preserve"> </w:t>
      </w:r>
      <w:r w:rsidRPr="00F94D0C">
        <w:rPr>
          <w:lang w:val="es-ES"/>
        </w:rPr>
        <w:t>d</w:t>
      </w:r>
      <w:proofErr w:type="spellStart"/>
      <w:r w:rsidRPr="00F94D0C">
        <w:t>el</w:t>
      </w:r>
      <w:proofErr w:type="spellEnd"/>
      <w:r w:rsidRPr="00F94D0C">
        <w:t xml:space="preserve"> </w:t>
      </w:r>
      <w:proofErr w:type="spellStart"/>
      <w:r w:rsidRPr="00F94D0C">
        <w:t>producto</w:t>
      </w:r>
      <w:proofErr w:type="spellEnd"/>
      <w:r w:rsidRPr="00F94D0C">
        <w:t xml:space="preserve"> (EMEA/H/C/000715/IAIN/0109/G).</w:t>
      </w:r>
    </w:p>
    <w:p w14:paraId="14FC0AFF" w14:textId="77777777" w:rsidR="00D065E9" w:rsidRPr="00F94D0C" w:rsidRDefault="00D065E9" w:rsidP="00D065E9">
      <w:pPr>
        <w:widowControl w:val="0"/>
        <w:pBdr>
          <w:top w:val="single" w:sz="4" w:space="1" w:color="auto"/>
          <w:left w:val="single" w:sz="4" w:space="4" w:color="auto"/>
          <w:bottom w:val="single" w:sz="4" w:space="1" w:color="auto"/>
          <w:right w:val="single" w:sz="4" w:space="4" w:color="auto"/>
        </w:pBdr>
        <w:tabs>
          <w:tab w:val="clear" w:pos="567"/>
        </w:tabs>
      </w:pPr>
    </w:p>
    <w:p w14:paraId="6E19D7C9" w14:textId="243E88AB" w:rsidR="00FA2D95" w:rsidRPr="009B1EB6" w:rsidRDefault="00D065E9" w:rsidP="00D065E9">
      <w:pPr>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rPr>
      </w:pPr>
      <w:r w:rsidRPr="00F94D0C">
        <w:t xml:space="preserve">Para </w:t>
      </w:r>
      <w:proofErr w:type="spellStart"/>
      <w:r w:rsidRPr="00F94D0C">
        <w:t>más</w:t>
      </w:r>
      <w:proofErr w:type="spellEnd"/>
      <w:r w:rsidRPr="00F94D0C">
        <w:t xml:space="preserve"> </w:t>
      </w:r>
      <w:proofErr w:type="spellStart"/>
      <w:r w:rsidRPr="00F94D0C">
        <w:t>información</w:t>
      </w:r>
      <w:proofErr w:type="spellEnd"/>
      <w:r w:rsidRPr="00F94D0C">
        <w:t xml:space="preserve">, </w:t>
      </w:r>
      <w:proofErr w:type="spellStart"/>
      <w:r w:rsidRPr="00F94D0C">
        <w:t>consulte</w:t>
      </w:r>
      <w:proofErr w:type="spellEnd"/>
      <w:r w:rsidRPr="00F94D0C">
        <w:t xml:space="preserve"> </w:t>
      </w:r>
      <w:r w:rsidRPr="00F94D0C">
        <w:rPr>
          <w:lang w:val="es-ES"/>
        </w:rPr>
        <w:t>la página</w:t>
      </w:r>
      <w:r w:rsidRPr="00F94D0C">
        <w:t xml:space="preserve"> web de la Agencia Europea de </w:t>
      </w:r>
      <w:proofErr w:type="spellStart"/>
      <w:r w:rsidRPr="00F94D0C">
        <w:t>Medicamentos</w:t>
      </w:r>
      <w:proofErr w:type="spellEnd"/>
      <w:r w:rsidRPr="00F94D0C">
        <w:t xml:space="preserve">: </w:t>
      </w:r>
      <w:hyperlink r:id="rId8" w:history="1">
        <w:r w:rsidRPr="00F94D0C">
          <w:rPr>
            <w:rStyle w:val="Hyperlink"/>
          </w:rPr>
          <w:t>https://www.ema.europa.eu/en/medicines/human/EPAR/lucentis</w:t>
        </w:r>
      </w:hyperlink>
    </w:p>
    <w:p w14:paraId="70783A85" w14:textId="77777777" w:rsidR="00FA2D95" w:rsidRPr="009B1EB6" w:rsidRDefault="00FA2D95" w:rsidP="004361AC">
      <w:pPr>
        <w:tabs>
          <w:tab w:val="clear" w:pos="567"/>
        </w:tabs>
        <w:spacing w:line="240" w:lineRule="auto"/>
        <w:rPr>
          <w:color w:val="000000"/>
          <w:szCs w:val="22"/>
        </w:rPr>
      </w:pPr>
    </w:p>
    <w:p w14:paraId="4F69EDF0" w14:textId="77777777" w:rsidR="00FA2D95" w:rsidRPr="009B1EB6" w:rsidRDefault="00FA2D95" w:rsidP="004361AC">
      <w:pPr>
        <w:tabs>
          <w:tab w:val="clear" w:pos="567"/>
        </w:tabs>
        <w:spacing w:line="240" w:lineRule="auto"/>
        <w:rPr>
          <w:color w:val="000000"/>
          <w:szCs w:val="22"/>
        </w:rPr>
      </w:pPr>
    </w:p>
    <w:p w14:paraId="2DD9E023" w14:textId="77777777" w:rsidR="00FA2D95" w:rsidRPr="009B1EB6" w:rsidRDefault="00FA2D95" w:rsidP="004361AC">
      <w:pPr>
        <w:tabs>
          <w:tab w:val="clear" w:pos="567"/>
        </w:tabs>
        <w:spacing w:line="240" w:lineRule="auto"/>
        <w:rPr>
          <w:color w:val="000000"/>
          <w:szCs w:val="22"/>
        </w:rPr>
      </w:pPr>
    </w:p>
    <w:p w14:paraId="1A78714A" w14:textId="77777777" w:rsidR="00FA2D95" w:rsidRPr="009B1EB6" w:rsidRDefault="00FA2D95" w:rsidP="004361AC">
      <w:pPr>
        <w:tabs>
          <w:tab w:val="clear" w:pos="567"/>
        </w:tabs>
        <w:spacing w:line="240" w:lineRule="auto"/>
        <w:rPr>
          <w:color w:val="000000"/>
          <w:szCs w:val="22"/>
        </w:rPr>
      </w:pPr>
    </w:p>
    <w:p w14:paraId="199EDDCE" w14:textId="77777777" w:rsidR="00FA2D95" w:rsidRPr="009B1EB6" w:rsidRDefault="00FA2D95" w:rsidP="004361AC">
      <w:pPr>
        <w:tabs>
          <w:tab w:val="clear" w:pos="567"/>
        </w:tabs>
        <w:spacing w:line="240" w:lineRule="auto"/>
        <w:rPr>
          <w:color w:val="000000"/>
          <w:szCs w:val="22"/>
        </w:rPr>
      </w:pPr>
    </w:p>
    <w:p w14:paraId="7EAFEAF8" w14:textId="77777777" w:rsidR="00FA2D95" w:rsidRPr="009B1EB6" w:rsidRDefault="00FA2D95" w:rsidP="004361AC">
      <w:pPr>
        <w:tabs>
          <w:tab w:val="clear" w:pos="567"/>
        </w:tabs>
        <w:spacing w:line="240" w:lineRule="auto"/>
        <w:rPr>
          <w:color w:val="000000"/>
          <w:szCs w:val="22"/>
        </w:rPr>
      </w:pPr>
    </w:p>
    <w:p w14:paraId="3DD622B5" w14:textId="77777777" w:rsidR="00FA2D95" w:rsidRPr="009B1EB6" w:rsidRDefault="00FA2D95" w:rsidP="004361AC">
      <w:pPr>
        <w:tabs>
          <w:tab w:val="clear" w:pos="567"/>
        </w:tabs>
        <w:spacing w:line="240" w:lineRule="auto"/>
        <w:rPr>
          <w:color w:val="000000"/>
          <w:szCs w:val="22"/>
        </w:rPr>
      </w:pPr>
    </w:p>
    <w:p w14:paraId="5AFE41E9" w14:textId="77777777" w:rsidR="00FA2D95" w:rsidRPr="009B1EB6" w:rsidRDefault="00FA2D95" w:rsidP="004361AC">
      <w:pPr>
        <w:tabs>
          <w:tab w:val="clear" w:pos="567"/>
        </w:tabs>
        <w:spacing w:line="240" w:lineRule="auto"/>
        <w:rPr>
          <w:color w:val="000000"/>
          <w:szCs w:val="22"/>
        </w:rPr>
      </w:pPr>
    </w:p>
    <w:p w14:paraId="67335E69" w14:textId="77777777" w:rsidR="00FA2D95" w:rsidRPr="009B1EB6" w:rsidRDefault="00FA2D95" w:rsidP="004361AC">
      <w:pPr>
        <w:tabs>
          <w:tab w:val="clear" w:pos="567"/>
        </w:tabs>
        <w:spacing w:line="240" w:lineRule="auto"/>
        <w:rPr>
          <w:color w:val="000000"/>
          <w:szCs w:val="22"/>
        </w:rPr>
      </w:pPr>
    </w:p>
    <w:p w14:paraId="38B9C906" w14:textId="77777777" w:rsidR="00FA2D95" w:rsidRPr="009B1EB6" w:rsidRDefault="00FA2D95" w:rsidP="004361AC">
      <w:pPr>
        <w:tabs>
          <w:tab w:val="clear" w:pos="567"/>
        </w:tabs>
        <w:spacing w:line="240" w:lineRule="auto"/>
        <w:rPr>
          <w:color w:val="000000"/>
          <w:szCs w:val="22"/>
        </w:rPr>
      </w:pPr>
    </w:p>
    <w:p w14:paraId="4A61ADB7" w14:textId="77777777" w:rsidR="00FA2D95" w:rsidRPr="009B1EB6" w:rsidRDefault="00FA2D95" w:rsidP="004361AC">
      <w:pPr>
        <w:tabs>
          <w:tab w:val="clear" w:pos="567"/>
        </w:tabs>
        <w:spacing w:line="240" w:lineRule="auto"/>
        <w:rPr>
          <w:color w:val="000000"/>
          <w:szCs w:val="22"/>
        </w:rPr>
      </w:pPr>
    </w:p>
    <w:p w14:paraId="20522AB6" w14:textId="77777777" w:rsidR="00FA2D95" w:rsidRPr="009B1EB6" w:rsidRDefault="00FA2D95" w:rsidP="004361AC">
      <w:pPr>
        <w:tabs>
          <w:tab w:val="clear" w:pos="567"/>
        </w:tabs>
        <w:spacing w:line="240" w:lineRule="auto"/>
        <w:rPr>
          <w:color w:val="000000"/>
          <w:szCs w:val="22"/>
        </w:rPr>
      </w:pPr>
    </w:p>
    <w:p w14:paraId="0B3D4ACF" w14:textId="77777777" w:rsidR="00FA2D95" w:rsidRPr="009B1EB6" w:rsidRDefault="00FA2D95" w:rsidP="004361AC">
      <w:pPr>
        <w:tabs>
          <w:tab w:val="clear" w:pos="567"/>
        </w:tabs>
        <w:spacing w:line="240" w:lineRule="auto"/>
        <w:rPr>
          <w:color w:val="000000"/>
          <w:szCs w:val="22"/>
        </w:rPr>
      </w:pPr>
    </w:p>
    <w:p w14:paraId="496B8DA3" w14:textId="77777777" w:rsidR="00FA2D95" w:rsidRPr="009B1EB6" w:rsidRDefault="00FA2D95" w:rsidP="004361AC">
      <w:pPr>
        <w:tabs>
          <w:tab w:val="clear" w:pos="567"/>
        </w:tabs>
        <w:spacing w:line="240" w:lineRule="auto"/>
        <w:rPr>
          <w:color w:val="000000"/>
          <w:szCs w:val="22"/>
        </w:rPr>
      </w:pPr>
    </w:p>
    <w:p w14:paraId="3E258706" w14:textId="77777777" w:rsidR="00FA2D95" w:rsidRPr="009B1EB6" w:rsidRDefault="00FA2D95" w:rsidP="004361AC">
      <w:pPr>
        <w:tabs>
          <w:tab w:val="clear" w:pos="567"/>
        </w:tabs>
        <w:spacing w:line="240" w:lineRule="auto"/>
        <w:rPr>
          <w:color w:val="000000"/>
          <w:szCs w:val="22"/>
        </w:rPr>
      </w:pPr>
    </w:p>
    <w:p w14:paraId="40B9BEBB" w14:textId="77777777" w:rsidR="00FA2D95" w:rsidRPr="009B1EB6" w:rsidRDefault="00FA2D95" w:rsidP="004361AC">
      <w:pPr>
        <w:tabs>
          <w:tab w:val="clear" w:pos="567"/>
        </w:tabs>
        <w:spacing w:line="240" w:lineRule="auto"/>
        <w:rPr>
          <w:color w:val="000000"/>
          <w:szCs w:val="22"/>
        </w:rPr>
      </w:pPr>
    </w:p>
    <w:p w14:paraId="30D6E5B3" w14:textId="77777777" w:rsidR="00FA2D95" w:rsidRPr="009B1EB6" w:rsidRDefault="00FA2D95" w:rsidP="004361AC">
      <w:pPr>
        <w:tabs>
          <w:tab w:val="clear" w:pos="567"/>
        </w:tabs>
        <w:spacing w:line="240" w:lineRule="auto"/>
        <w:rPr>
          <w:color w:val="000000"/>
          <w:szCs w:val="22"/>
        </w:rPr>
      </w:pPr>
    </w:p>
    <w:p w14:paraId="3849986E" w14:textId="77777777" w:rsidR="00FA2D95" w:rsidRPr="003E0B98" w:rsidRDefault="00FA2D95" w:rsidP="004361AC">
      <w:pPr>
        <w:tabs>
          <w:tab w:val="clear" w:pos="567"/>
          <w:tab w:val="left" w:pos="-1440"/>
          <w:tab w:val="left" w:pos="-720"/>
        </w:tabs>
        <w:spacing w:line="240" w:lineRule="auto"/>
        <w:jc w:val="center"/>
        <w:rPr>
          <w:color w:val="000000"/>
          <w:szCs w:val="22"/>
          <w:lang w:val="es-ES"/>
        </w:rPr>
      </w:pPr>
      <w:r w:rsidRPr="003E0B98">
        <w:rPr>
          <w:b/>
          <w:color w:val="000000"/>
          <w:szCs w:val="22"/>
          <w:lang w:val="es-ES"/>
        </w:rPr>
        <w:t>ANEXO I</w:t>
      </w:r>
    </w:p>
    <w:p w14:paraId="7A6973B9" w14:textId="77777777" w:rsidR="00FA2D95" w:rsidRPr="003E0B98" w:rsidRDefault="00FA2D95" w:rsidP="004361AC">
      <w:pPr>
        <w:tabs>
          <w:tab w:val="clear" w:pos="567"/>
          <w:tab w:val="left" w:pos="-1440"/>
          <w:tab w:val="left" w:pos="-720"/>
        </w:tabs>
        <w:spacing w:line="240" w:lineRule="auto"/>
        <w:jc w:val="center"/>
        <w:rPr>
          <w:color w:val="000000"/>
          <w:szCs w:val="22"/>
          <w:lang w:val="es-ES"/>
        </w:rPr>
      </w:pPr>
    </w:p>
    <w:p w14:paraId="3A897027" w14:textId="77777777" w:rsidR="00FA2D95" w:rsidRPr="003E0B98" w:rsidRDefault="00FA2D95" w:rsidP="004361AC">
      <w:pPr>
        <w:tabs>
          <w:tab w:val="clear" w:pos="567"/>
          <w:tab w:val="left" w:pos="-1440"/>
          <w:tab w:val="left" w:pos="-720"/>
        </w:tabs>
        <w:spacing w:line="240" w:lineRule="auto"/>
        <w:jc w:val="center"/>
        <w:outlineLvl w:val="0"/>
        <w:rPr>
          <w:color w:val="000000"/>
          <w:szCs w:val="22"/>
          <w:lang w:val="es-ES"/>
        </w:rPr>
      </w:pPr>
      <w:r w:rsidRPr="003E0B98">
        <w:rPr>
          <w:b/>
          <w:color w:val="000000"/>
          <w:szCs w:val="22"/>
          <w:lang w:val="es-ES"/>
        </w:rPr>
        <w:t>FICHA TÉCNICA O RESUMEN DE LAS CARACTERÍSTICAS DEL PRODUCTO</w:t>
      </w:r>
    </w:p>
    <w:p w14:paraId="45A04A08" w14:textId="77777777" w:rsidR="00FA2D95" w:rsidRPr="003E0B98" w:rsidRDefault="00FA2D95" w:rsidP="004361AC">
      <w:pPr>
        <w:tabs>
          <w:tab w:val="clear" w:pos="567"/>
          <w:tab w:val="left" w:pos="-1440"/>
          <w:tab w:val="left" w:pos="-720"/>
        </w:tabs>
        <w:spacing w:line="240" w:lineRule="auto"/>
        <w:jc w:val="center"/>
        <w:rPr>
          <w:color w:val="000000"/>
          <w:szCs w:val="22"/>
          <w:lang w:val="es-ES"/>
        </w:rPr>
      </w:pPr>
    </w:p>
    <w:p w14:paraId="3144E1C9" w14:textId="77777777" w:rsidR="002E5034" w:rsidRPr="003E0B98" w:rsidRDefault="00FA2D95" w:rsidP="004361AC">
      <w:pPr>
        <w:tabs>
          <w:tab w:val="clear" w:pos="567"/>
        </w:tabs>
        <w:spacing w:line="240" w:lineRule="auto"/>
        <w:rPr>
          <w:color w:val="000000"/>
          <w:szCs w:val="22"/>
          <w:lang w:val="es-ES_tradnl"/>
        </w:rPr>
      </w:pPr>
      <w:r w:rsidRPr="003E0B98">
        <w:rPr>
          <w:bCs/>
          <w:iCs/>
          <w:color w:val="000000"/>
          <w:szCs w:val="22"/>
          <w:lang w:val="es-ES"/>
        </w:rPr>
        <w:br w:type="page"/>
      </w:r>
      <w:r w:rsidR="002E5034" w:rsidRPr="003E0B98">
        <w:rPr>
          <w:b/>
          <w:color w:val="000000"/>
          <w:szCs w:val="22"/>
          <w:lang w:val="es-ES_tradnl"/>
        </w:rPr>
        <w:lastRenderedPageBreak/>
        <w:t>1.</w:t>
      </w:r>
      <w:r w:rsidR="002E5034" w:rsidRPr="003E0B98">
        <w:rPr>
          <w:b/>
          <w:color w:val="000000"/>
          <w:szCs w:val="22"/>
          <w:lang w:val="es-ES_tradnl"/>
        </w:rPr>
        <w:tab/>
        <w:t xml:space="preserve">NOMBRE </w:t>
      </w:r>
      <w:r w:rsidR="002E5034" w:rsidRPr="003E0B98">
        <w:rPr>
          <w:b/>
          <w:noProof/>
          <w:color w:val="000000"/>
          <w:lang w:val="es-ES_tradnl"/>
        </w:rPr>
        <w:t>DEL MEDICAMENTO</w:t>
      </w:r>
    </w:p>
    <w:p w14:paraId="3A969D6F" w14:textId="77777777" w:rsidR="002E5034" w:rsidRPr="003E0B98" w:rsidRDefault="002E5034" w:rsidP="004361AC">
      <w:pPr>
        <w:tabs>
          <w:tab w:val="clear" w:pos="567"/>
        </w:tabs>
        <w:spacing w:line="240" w:lineRule="auto"/>
        <w:rPr>
          <w:iCs/>
          <w:color w:val="000000"/>
          <w:szCs w:val="22"/>
          <w:lang w:val="es-ES_tradnl"/>
        </w:rPr>
      </w:pPr>
    </w:p>
    <w:p w14:paraId="3F2274C1" w14:textId="77777777" w:rsidR="002E5034" w:rsidRPr="003E0B98" w:rsidRDefault="002E5034" w:rsidP="004361AC">
      <w:pPr>
        <w:pStyle w:val="Text"/>
        <w:spacing w:before="0"/>
        <w:jc w:val="left"/>
        <w:rPr>
          <w:color w:val="000000"/>
          <w:sz w:val="22"/>
          <w:szCs w:val="22"/>
          <w:lang w:val="es-ES"/>
        </w:rPr>
      </w:pPr>
      <w:proofErr w:type="spellStart"/>
      <w:r w:rsidRPr="003E0B98">
        <w:rPr>
          <w:color w:val="000000"/>
          <w:sz w:val="22"/>
          <w:szCs w:val="22"/>
          <w:lang w:val="es-ES"/>
        </w:rPr>
        <w:t>Lucentis</w:t>
      </w:r>
      <w:proofErr w:type="spellEnd"/>
      <w:r w:rsidRPr="003E0B98">
        <w:rPr>
          <w:color w:val="000000"/>
          <w:sz w:val="22"/>
          <w:szCs w:val="22"/>
          <w:lang w:val="es-ES"/>
        </w:rPr>
        <w:t xml:space="preserve"> 10 mg/ml solución inyectable</w:t>
      </w:r>
    </w:p>
    <w:p w14:paraId="27E5EA41" w14:textId="77777777" w:rsidR="002E5034" w:rsidRPr="003E0B98" w:rsidRDefault="002E5034" w:rsidP="004361AC">
      <w:pPr>
        <w:autoSpaceDE w:val="0"/>
        <w:autoSpaceDN w:val="0"/>
        <w:adjustRightInd w:val="0"/>
        <w:rPr>
          <w:color w:val="000000"/>
          <w:szCs w:val="22"/>
          <w:lang w:val="es-ES"/>
        </w:rPr>
      </w:pPr>
    </w:p>
    <w:p w14:paraId="3A5886CC" w14:textId="77777777" w:rsidR="002E5034" w:rsidRPr="003E0B98" w:rsidRDefault="002E5034" w:rsidP="004361AC">
      <w:pPr>
        <w:tabs>
          <w:tab w:val="clear" w:pos="567"/>
        </w:tabs>
        <w:spacing w:line="240" w:lineRule="auto"/>
        <w:rPr>
          <w:bCs/>
          <w:color w:val="000000"/>
          <w:szCs w:val="22"/>
          <w:lang w:val="es-ES"/>
        </w:rPr>
      </w:pPr>
    </w:p>
    <w:p w14:paraId="71380903" w14:textId="77777777" w:rsidR="002E5034" w:rsidRPr="003E0B98" w:rsidRDefault="002E5034" w:rsidP="004361AC">
      <w:pPr>
        <w:keepNext/>
        <w:tabs>
          <w:tab w:val="clear" w:pos="567"/>
        </w:tabs>
        <w:spacing w:line="240" w:lineRule="auto"/>
        <w:rPr>
          <w:color w:val="000000"/>
          <w:szCs w:val="22"/>
          <w:lang w:val="es-ES"/>
        </w:rPr>
      </w:pPr>
      <w:r w:rsidRPr="003E0B98">
        <w:rPr>
          <w:b/>
          <w:color w:val="000000"/>
          <w:szCs w:val="22"/>
          <w:lang w:val="es-ES"/>
        </w:rPr>
        <w:t>2.</w:t>
      </w:r>
      <w:r w:rsidRPr="003E0B98">
        <w:rPr>
          <w:b/>
          <w:color w:val="000000"/>
          <w:szCs w:val="22"/>
          <w:lang w:val="es-ES"/>
        </w:rPr>
        <w:tab/>
      </w:r>
      <w:r w:rsidRPr="003E0B98">
        <w:rPr>
          <w:b/>
          <w:noProof/>
          <w:color w:val="000000"/>
          <w:lang w:val="es-ES_tradnl"/>
        </w:rPr>
        <w:t>COMPOSICIÓN CUALITATIVA Y CUANTITATIVA</w:t>
      </w:r>
    </w:p>
    <w:p w14:paraId="0DBEAE2E" w14:textId="77777777" w:rsidR="002E5034" w:rsidRPr="003E0B98" w:rsidRDefault="002E5034" w:rsidP="004361AC">
      <w:pPr>
        <w:keepNext/>
        <w:tabs>
          <w:tab w:val="clear" w:pos="567"/>
        </w:tabs>
        <w:spacing w:line="240" w:lineRule="auto"/>
        <w:rPr>
          <w:bCs/>
          <w:color w:val="000000"/>
          <w:szCs w:val="22"/>
          <w:lang w:val="es-ES"/>
        </w:rPr>
      </w:pPr>
    </w:p>
    <w:p w14:paraId="672CD860" w14:textId="77777777" w:rsidR="002E5034" w:rsidRPr="003E0B98" w:rsidRDefault="002E5034" w:rsidP="004361AC">
      <w:pPr>
        <w:tabs>
          <w:tab w:val="clear" w:pos="567"/>
        </w:tabs>
        <w:spacing w:line="240" w:lineRule="auto"/>
        <w:rPr>
          <w:color w:val="000000"/>
          <w:szCs w:val="22"/>
          <w:lang w:val="es-ES"/>
        </w:rPr>
      </w:pPr>
      <w:r w:rsidRPr="003E0B98">
        <w:rPr>
          <w:color w:val="000000"/>
          <w:szCs w:val="22"/>
          <w:lang w:val="es-ES"/>
        </w:rPr>
        <w:t xml:space="preserve">Un ml contiene 10 mg de </w:t>
      </w:r>
      <w:proofErr w:type="spellStart"/>
      <w:r w:rsidRPr="003E0B98">
        <w:rPr>
          <w:color w:val="000000"/>
          <w:szCs w:val="22"/>
          <w:lang w:val="es-ES"/>
        </w:rPr>
        <w:t>ranibizumab</w:t>
      </w:r>
      <w:proofErr w:type="spellEnd"/>
      <w:r w:rsidRPr="003E0B98">
        <w:rPr>
          <w:color w:val="000000"/>
          <w:szCs w:val="22"/>
          <w:lang w:val="es-ES_tradnl"/>
        </w:rPr>
        <w:t>*</w:t>
      </w:r>
      <w:r w:rsidRPr="003E0B98">
        <w:rPr>
          <w:color w:val="000000"/>
          <w:szCs w:val="22"/>
          <w:lang w:val="es-ES"/>
        </w:rPr>
        <w:t xml:space="preserve">. Cada vial contiene 2,3 mg de </w:t>
      </w:r>
      <w:proofErr w:type="spellStart"/>
      <w:r w:rsidRPr="003E0B98">
        <w:rPr>
          <w:color w:val="000000"/>
          <w:szCs w:val="22"/>
          <w:lang w:val="es-ES"/>
        </w:rPr>
        <w:t>ranibizumab</w:t>
      </w:r>
      <w:proofErr w:type="spellEnd"/>
      <w:r w:rsidRPr="003E0B98">
        <w:rPr>
          <w:color w:val="000000"/>
          <w:szCs w:val="22"/>
          <w:lang w:val="es-ES"/>
        </w:rPr>
        <w:t xml:space="preserve"> en 0,23 ml de solución.</w:t>
      </w:r>
      <w:r w:rsidR="00F548B3" w:rsidRPr="003E0B98">
        <w:rPr>
          <w:color w:val="000000"/>
          <w:szCs w:val="22"/>
          <w:lang w:val="es-ES"/>
        </w:rPr>
        <w:t xml:space="preserve"> Esto aporta una cantidad utilizable que p</w:t>
      </w:r>
      <w:r w:rsidR="007950ED" w:rsidRPr="003E0B98">
        <w:rPr>
          <w:color w:val="000000"/>
          <w:szCs w:val="22"/>
          <w:lang w:val="es-ES"/>
        </w:rPr>
        <w:t>rop</w:t>
      </w:r>
      <w:r w:rsidR="00F548B3" w:rsidRPr="003E0B98">
        <w:rPr>
          <w:color w:val="000000"/>
          <w:szCs w:val="22"/>
          <w:lang w:val="es-ES"/>
        </w:rPr>
        <w:t>orciona una dosis única de 0,05 ml</w:t>
      </w:r>
      <w:r w:rsidR="00643517" w:rsidRPr="003E0B98">
        <w:rPr>
          <w:color w:val="000000"/>
          <w:szCs w:val="22"/>
          <w:lang w:val="es-ES"/>
        </w:rPr>
        <w:t>,</w:t>
      </w:r>
      <w:r w:rsidR="00F548B3" w:rsidRPr="003E0B98">
        <w:rPr>
          <w:color w:val="000000"/>
          <w:szCs w:val="22"/>
          <w:lang w:val="es-ES"/>
        </w:rPr>
        <w:t xml:space="preserve"> que contiene 0,5 mg de </w:t>
      </w:r>
      <w:proofErr w:type="spellStart"/>
      <w:r w:rsidR="00F548B3" w:rsidRPr="003E0B98">
        <w:rPr>
          <w:color w:val="000000"/>
          <w:szCs w:val="22"/>
          <w:lang w:val="es-ES"/>
        </w:rPr>
        <w:t>ranibizumab</w:t>
      </w:r>
      <w:proofErr w:type="spellEnd"/>
      <w:r w:rsidR="00E06BFB" w:rsidRPr="003E0B98">
        <w:rPr>
          <w:color w:val="000000"/>
          <w:szCs w:val="22"/>
          <w:lang w:val="es-ES"/>
        </w:rPr>
        <w:t xml:space="preserve"> a pacientes ad</w:t>
      </w:r>
      <w:r w:rsidR="00153893" w:rsidRPr="003E0B98">
        <w:rPr>
          <w:color w:val="000000"/>
          <w:szCs w:val="22"/>
          <w:lang w:val="es-ES"/>
        </w:rPr>
        <w:t>ultos y una dosis única de 0,02 ml, que contiene 0,2 </w:t>
      </w:r>
      <w:r w:rsidR="00E06BFB" w:rsidRPr="003E0B98">
        <w:rPr>
          <w:color w:val="000000"/>
          <w:szCs w:val="22"/>
          <w:lang w:val="es-ES"/>
        </w:rPr>
        <w:t xml:space="preserve">mg de </w:t>
      </w:r>
      <w:proofErr w:type="spellStart"/>
      <w:r w:rsidR="00E06BFB" w:rsidRPr="003E0B98">
        <w:rPr>
          <w:color w:val="000000"/>
          <w:szCs w:val="22"/>
          <w:lang w:val="es-ES"/>
        </w:rPr>
        <w:t>ranibizumab</w:t>
      </w:r>
      <w:proofErr w:type="spellEnd"/>
      <w:r w:rsidR="00E06BFB" w:rsidRPr="003E0B98">
        <w:rPr>
          <w:color w:val="000000"/>
          <w:szCs w:val="22"/>
          <w:lang w:val="es-ES"/>
        </w:rPr>
        <w:t xml:space="preserve"> a recién nacidos </w:t>
      </w:r>
      <w:r w:rsidR="003400BD" w:rsidRPr="003E0B98">
        <w:rPr>
          <w:color w:val="000000"/>
          <w:szCs w:val="22"/>
          <w:lang w:val="es-ES"/>
        </w:rPr>
        <w:t>pretérmino</w:t>
      </w:r>
      <w:r w:rsidR="00F548B3" w:rsidRPr="003E0B98">
        <w:rPr>
          <w:color w:val="000000"/>
          <w:szCs w:val="22"/>
          <w:lang w:val="es-ES"/>
        </w:rPr>
        <w:t>.</w:t>
      </w:r>
    </w:p>
    <w:p w14:paraId="3E75C785" w14:textId="77777777" w:rsidR="002E5034" w:rsidRPr="003E0B98" w:rsidRDefault="002E5034" w:rsidP="004361AC">
      <w:pPr>
        <w:tabs>
          <w:tab w:val="clear" w:pos="567"/>
        </w:tabs>
        <w:spacing w:line="240" w:lineRule="auto"/>
        <w:rPr>
          <w:color w:val="000000"/>
          <w:szCs w:val="22"/>
          <w:lang w:val="es-ES"/>
        </w:rPr>
      </w:pPr>
    </w:p>
    <w:p w14:paraId="477421B1" w14:textId="77777777" w:rsidR="002E5034" w:rsidRPr="003E0B98" w:rsidRDefault="002E5034" w:rsidP="004361AC">
      <w:pPr>
        <w:tabs>
          <w:tab w:val="clear" w:pos="567"/>
        </w:tabs>
        <w:spacing w:line="240" w:lineRule="auto"/>
        <w:rPr>
          <w:color w:val="000000"/>
          <w:szCs w:val="22"/>
          <w:lang w:val="es-ES"/>
        </w:rPr>
      </w:pPr>
      <w:r w:rsidRPr="003E0B98">
        <w:rPr>
          <w:color w:val="000000"/>
          <w:szCs w:val="22"/>
          <w:lang w:val="es-ES_tradnl"/>
        </w:rPr>
        <w:t>*</w:t>
      </w:r>
      <w:proofErr w:type="spellStart"/>
      <w:r w:rsidRPr="003E0B98">
        <w:rPr>
          <w:color w:val="000000"/>
          <w:lang w:val="es-ES"/>
        </w:rPr>
        <w:t>Ranibizumab</w:t>
      </w:r>
      <w:proofErr w:type="spellEnd"/>
      <w:r w:rsidRPr="003E0B98">
        <w:rPr>
          <w:color w:val="000000"/>
          <w:lang w:val="es-ES"/>
        </w:rPr>
        <w:t xml:space="preserve"> es un fragmento de anticuerpo monoclonal humanizado producido en células de </w:t>
      </w:r>
      <w:proofErr w:type="spellStart"/>
      <w:r w:rsidRPr="003E0B98">
        <w:rPr>
          <w:i/>
          <w:iCs/>
          <w:color w:val="000000"/>
          <w:lang w:val="es-ES"/>
        </w:rPr>
        <w:t>Escherichia</w:t>
      </w:r>
      <w:proofErr w:type="spellEnd"/>
      <w:r w:rsidRPr="003E0B98">
        <w:rPr>
          <w:i/>
          <w:iCs/>
          <w:color w:val="000000"/>
          <w:lang w:val="es-ES"/>
        </w:rPr>
        <w:t xml:space="preserve"> </w:t>
      </w:r>
      <w:proofErr w:type="spellStart"/>
      <w:r w:rsidRPr="003E0B98">
        <w:rPr>
          <w:i/>
          <w:iCs/>
          <w:color w:val="000000"/>
          <w:lang w:val="es-ES"/>
        </w:rPr>
        <w:t>coli</w:t>
      </w:r>
      <w:proofErr w:type="spellEnd"/>
      <w:r w:rsidRPr="003E0B98">
        <w:rPr>
          <w:i/>
          <w:iCs/>
          <w:color w:val="000000"/>
          <w:lang w:val="es-ES"/>
        </w:rPr>
        <w:t xml:space="preserve"> </w:t>
      </w:r>
      <w:r w:rsidRPr="003E0B98">
        <w:rPr>
          <w:iCs/>
          <w:color w:val="000000"/>
          <w:lang w:val="es-ES"/>
        </w:rPr>
        <w:t>mediante tecnología de ADN recombinante.</w:t>
      </w:r>
    </w:p>
    <w:p w14:paraId="4D3D5E1D" w14:textId="77777777" w:rsidR="002E5034" w:rsidRPr="003E0B98" w:rsidRDefault="002E5034" w:rsidP="004361AC">
      <w:pPr>
        <w:tabs>
          <w:tab w:val="clear" w:pos="567"/>
        </w:tabs>
        <w:spacing w:line="240" w:lineRule="auto"/>
        <w:rPr>
          <w:color w:val="000000"/>
          <w:szCs w:val="22"/>
          <w:lang w:val="es-ES_tradnl"/>
        </w:rPr>
      </w:pPr>
    </w:p>
    <w:p w14:paraId="46505E12" w14:textId="0AFFB17D" w:rsidR="002E5034" w:rsidRPr="003E0B98" w:rsidRDefault="002E5034" w:rsidP="004361AC">
      <w:pPr>
        <w:tabs>
          <w:tab w:val="clear" w:pos="567"/>
        </w:tabs>
        <w:spacing w:line="240" w:lineRule="auto"/>
        <w:rPr>
          <w:color w:val="000000"/>
          <w:szCs w:val="22"/>
          <w:lang w:val="es-ES"/>
        </w:rPr>
      </w:pPr>
      <w:r w:rsidRPr="003E0B98">
        <w:rPr>
          <w:color w:val="000000"/>
          <w:szCs w:val="22"/>
          <w:lang w:val="es-ES"/>
        </w:rPr>
        <w:t>Para consultar la lista completa de excipientes, ver sección</w:t>
      </w:r>
      <w:r w:rsidR="00E823F7" w:rsidRPr="003E0B98">
        <w:rPr>
          <w:color w:val="000000"/>
          <w:szCs w:val="22"/>
          <w:lang w:val="es-ES"/>
        </w:rPr>
        <w:t> </w:t>
      </w:r>
      <w:r w:rsidRPr="003E0B98">
        <w:rPr>
          <w:color w:val="000000"/>
          <w:szCs w:val="22"/>
          <w:lang w:val="es-ES"/>
        </w:rPr>
        <w:t>6.1.</w:t>
      </w:r>
    </w:p>
    <w:p w14:paraId="1435A2B9" w14:textId="77777777" w:rsidR="002E5034" w:rsidRPr="003E0B98" w:rsidRDefault="002E5034" w:rsidP="004361AC">
      <w:pPr>
        <w:tabs>
          <w:tab w:val="clear" w:pos="567"/>
        </w:tabs>
        <w:spacing w:line="240" w:lineRule="auto"/>
        <w:rPr>
          <w:color w:val="000000"/>
          <w:szCs w:val="22"/>
          <w:lang w:val="es-ES"/>
        </w:rPr>
      </w:pPr>
    </w:p>
    <w:p w14:paraId="68B03FF0" w14:textId="77777777" w:rsidR="002E5034" w:rsidRPr="003E0B98" w:rsidRDefault="002E5034" w:rsidP="004361AC">
      <w:pPr>
        <w:tabs>
          <w:tab w:val="clear" w:pos="567"/>
        </w:tabs>
        <w:spacing w:line="240" w:lineRule="auto"/>
        <w:rPr>
          <w:color w:val="000000"/>
          <w:szCs w:val="22"/>
          <w:lang w:val="es-ES"/>
        </w:rPr>
      </w:pPr>
    </w:p>
    <w:p w14:paraId="4C91C4E3" w14:textId="77777777" w:rsidR="002E5034" w:rsidRPr="003E0B98" w:rsidRDefault="002E5034" w:rsidP="004361AC">
      <w:pPr>
        <w:pStyle w:val="CommentText"/>
        <w:keepNext/>
        <w:spacing w:line="240" w:lineRule="auto"/>
        <w:rPr>
          <w:color w:val="000000"/>
          <w:sz w:val="22"/>
          <w:szCs w:val="22"/>
          <w:lang w:val="es-ES_tradnl"/>
        </w:rPr>
      </w:pPr>
      <w:r w:rsidRPr="003E0B98">
        <w:rPr>
          <w:b/>
          <w:color w:val="000000"/>
          <w:sz w:val="22"/>
          <w:szCs w:val="22"/>
          <w:lang w:val="es-ES_tradnl"/>
        </w:rPr>
        <w:t>3.</w:t>
      </w:r>
      <w:r w:rsidRPr="003E0B98">
        <w:rPr>
          <w:b/>
          <w:color w:val="000000"/>
          <w:sz w:val="22"/>
          <w:szCs w:val="22"/>
          <w:lang w:val="es-ES_tradnl"/>
        </w:rPr>
        <w:tab/>
      </w:r>
      <w:r w:rsidRPr="003E0B98">
        <w:rPr>
          <w:b/>
          <w:color w:val="000000"/>
          <w:sz w:val="22"/>
          <w:szCs w:val="22"/>
          <w:lang w:val="es-ES"/>
        </w:rPr>
        <w:t>FORMA FARMACÉUTICA</w:t>
      </w:r>
    </w:p>
    <w:p w14:paraId="0F3B051F" w14:textId="77777777" w:rsidR="002E5034" w:rsidRPr="003E0B98" w:rsidRDefault="002E5034" w:rsidP="004361AC">
      <w:pPr>
        <w:keepNext/>
        <w:tabs>
          <w:tab w:val="clear" w:pos="567"/>
        </w:tabs>
        <w:spacing w:line="240" w:lineRule="auto"/>
        <w:rPr>
          <w:caps/>
          <w:color w:val="000000"/>
          <w:szCs w:val="22"/>
          <w:lang w:val="es-ES_tradnl"/>
        </w:rPr>
      </w:pPr>
    </w:p>
    <w:p w14:paraId="664022C4" w14:textId="77777777" w:rsidR="002E5034" w:rsidRPr="003E0B98" w:rsidRDefault="002E5034" w:rsidP="004361AC">
      <w:pPr>
        <w:tabs>
          <w:tab w:val="clear" w:pos="567"/>
        </w:tabs>
        <w:spacing w:line="240" w:lineRule="auto"/>
        <w:rPr>
          <w:color w:val="000000"/>
          <w:szCs w:val="22"/>
          <w:lang w:val="es-ES"/>
        </w:rPr>
      </w:pPr>
      <w:r w:rsidRPr="003E0B98">
        <w:rPr>
          <w:color w:val="000000"/>
          <w:szCs w:val="22"/>
          <w:lang w:val="es-ES"/>
        </w:rPr>
        <w:t>Solución inyectable.</w:t>
      </w:r>
    </w:p>
    <w:p w14:paraId="4582B55C" w14:textId="77777777" w:rsidR="002E5034" w:rsidRPr="003E0B98" w:rsidRDefault="002E5034" w:rsidP="004361AC">
      <w:pPr>
        <w:tabs>
          <w:tab w:val="clear" w:pos="567"/>
        </w:tabs>
        <w:spacing w:line="240" w:lineRule="auto"/>
        <w:rPr>
          <w:color w:val="000000"/>
          <w:szCs w:val="22"/>
          <w:lang w:val="es-ES"/>
        </w:rPr>
      </w:pPr>
    </w:p>
    <w:p w14:paraId="42746370" w14:textId="46D1DDB4" w:rsidR="002E5034" w:rsidRPr="003E0B98" w:rsidRDefault="002E5034" w:rsidP="004361AC">
      <w:pPr>
        <w:tabs>
          <w:tab w:val="clear" w:pos="567"/>
        </w:tabs>
        <w:spacing w:line="240" w:lineRule="auto"/>
        <w:rPr>
          <w:color w:val="000000"/>
          <w:szCs w:val="22"/>
          <w:lang w:val="es-ES"/>
        </w:rPr>
      </w:pPr>
      <w:r w:rsidRPr="003E0B98">
        <w:rPr>
          <w:color w:val="000000"/>
          <w:lang w:val="es-ES"/>
        </w:rPr>
        <w:t>Solución acuosa transparente, de incolora a amarillo</w:t>
      </w:r>
      <w:r w:rsidR="00DA1C7A">
        <w:rPr>
          <w:color w:val="000000"/>
          <w:lang w:val="es-ES"/>
        </w:rPr>
        <w:t xml:space="preserve"> pardusco</w:t>
      </w:r>
      <w:r w:rsidRPr="003E0B98">
        <w:rPr>
          <w:color w:val="000000"/>
          <w:lang w:val="es-ES"/>
        </w:rPr>
        <w:t xml:space="preserve"> pálido.</w:t>
      </w:r>
    </w:p>
    <w:p w14:paraId="06179170" w14:textId="77777777" w:rsidR="002E5034" w:rsidRPr="003E0B98" w:rsidRDefault="002E5034" w:rsidP="004361AC">
      <w:pPr>
        <w:tabs>
          <w:tab w:val="clear" w:pos="567"/>
        </w:tabs>
        <w:spacing w:line="240" w:lineRule="auto"/>
        <w:rPr>
          <w:color w:val="000000"/>
          <w:szCs w:val="22"/>
          <w:lang w:val="es-ES"/>
        </w:rPr>
      </w:pPr>
    </w:p>
    <w:p w14:paraId="51332FAE" w14:textId="77777777" w:rsidR="002E5034" w:rsidRPr="003E0B98" w:rsidRDefault="002E5034" w:rsidP="004361AC">
      <w:pPr>
        <w:tabs>
          <w:tab w:val="clear" w:pos="567"/>
        </w:tabs>
        <w:spacing w:line="240" w:lineRule="auto"/>
        <w:rPr>
          <w:color w:val="000000"/>
          <w:szCs w:val="22"/>
          <w:lang w:val="es-ES"/>
        </w:rPr>
      </w:pPr>
    </w:p>
    <w:p w14:paraId="33B916AE" w14:textId="77777777" w:rsidR="002E5034" w:rsidRPr="003E0B98" w:rsidRDefault="002E5034" w:rsidP="004361AC">
      <w:pPr>
        <w:keepNext/>
        <w:tabs>
          <w:tab w:val="clear" w:pos="567"/>
        </w:tabs>
        <w:spacing w:line="240" w:lineRule="auto"/>
        <w:rPr>
          <w:caps/>
          <w:color w:val="000000"/>
          <w:szCs w:val="22"/>
          <w:lang w:val="es-ES_tradnl"/>
        </w:rPr>
      </w:pPr>
      <w:r w:rsidRPr="003E0B98">
        <w:rPr>
          <w:b/>
          <w:caps/>
          <w:color w:val="000000"/>
          <w:szCs w:val="22"/>
          <w:lang w:val="es-ES_tradnl"/>
        </w:rPr>
        <w:t>4.</w:t>
      </w:r>
      <w:r w:rsidRPr="003E0B98">
        <w:rPr>
          <w:b/>
          <w:caps/>
          <w:color w:val="000000"/>
          <w:szCs w:val="22"/>
          <w:lang w:val="es-ES_tradnl"/>
        </w:rPr>
        <w:tab/>
      </w:r>
      <w:r w:rsidRPr="003E0B98">
        <w:rPr>
          <w:b/>
          <w:caps/>
          <w:color w:val="000000"/>
          <w:szCs w:val="22"/>
          <w:lang w:val="es-ES"/>
        </w:rPr>
        <w:t>DATOS CLÍNICOS</w:t>
      </w:r>
    </w:p>
    <w:p w14:paraId="5EA7DD56" w14:textId="77777777" w:rsidR="002E5034" w:rsidRPr="003E0B98" w:rsidRDefault="002E5034" w:rsidP="004361AC">
      <w:pPr>
        <w:keepNext/>
        <w:tabs>
          <w:tab w:val="clear" w:pos="567"/>
        </w:tabs>
        <w:spacing w:line="240" w:lineRule="auto"/>
        <w:rPr>
          <w:color w:val="000000"/>
          <w:szCs w:val="22"/>
          <w:lang w:val="es-ES_tradnl"/>
        </w:rPr>
      </w:pPr>
    </w:p>
    <w:p w14:paraId="68E31B0F" w14:textId="77777777" w:rsidR="002E5034" w:rsidRPr="003E0B98" w:rsidRDefault="002E5034" w:rsidP="004361AC">
      <w:pPr>
        <w:keepNext/>
        <w:tabs>
          <w:tab w:val="clear" w:pos="567"/>
        </w:tabs>
        <w:spacing w:line="240" w:lineRule="auto"/>
        <w:rPr>
          <w:color w:val="000000"/>
          <w:szCs w:val="22"/>
          <w:lang w:val="es-ES_tradnl"/>
        </w:rPr>
      </w:pPr>
      <w:r w:rsidRPr="003E0B98">
        <w:rPr>
          <w:b/>
          <w:color w:val="000000"/>
          <w:szCs w:val="22"/>
          <w:lang w:val="es-ES_tradnl"/>
        </w:rPr>
        <w:t>4.1</w:t>
      </w:r>
      <w:r w:rsidRPr="003E0B98">
        <w:rPr>
          <w:b/>
          <w:color w:val="000000"/>
          <w:szCs w:val="22"/>
          <w:lang w:val="es-ES_tradnl"/>
        </w:rPr>
        <w:tab/>
      </w:r>
      <w:r w:rsidRPr="003E0B98">
        <w:rPr>
          <w:b/>
          <w:color w:val="000000"/>
          <w:szCs w:val="22"/>
          <w:lang w:val="es-ES"/>
        </w:rPr>
        <w:t>Indicaciones terapéuticas</w:t>
      </w:r>
    </w:p>
    <w:p w14:paraId="6B920116" w14:textId="77777777" w:rsidR="002E5034" w:rsidRPr="003E0B98" w:rsidRDefault="002E5034" w:rsidP="004361AC">
      <w:pPr>
        <w:keepNext/>
        <w:tabs>
          <w:tab w:val="clear" w:pos="567"/>
        </w:tabs>
        <w:spacing w:line="240" w:lineRule="auto"/>
        <w:rPr>
          <w:color w:val="000000"/>
          <w:szCs w:val="22"/>
          <w:lang w:val="es-ES_tradnl"/>
        </w:rPr>
      </w:pPr>
    </w:p>
    <w:p w14:paraId="5B40A5BF" w14:textId="77777777" w:rsidR="002E5034" w:rsidRPr="003E0B98" w:rsidRDefault="002E5034" w:rsidP="004361AC">
      <w:pPr>
        <w:keepNext/>
        <w:tabs>
          <w:tab w:val="clear" w:pos="567"/>
        </w:tabs>
        <w:spacing w:line="240" w:lineRule="auto"/>
        <w:rPr>
          <w:color w:val="000000"/>
          <w:szCs w:val="22"/>
          <w:lang w:val="es-ES"/>
        </w:rPr>
      </w:pPr>
      <w:proofErr w:type="spellStart"/>
      <w:r w:rsidRPr="003E0B98">
        <w:rPr>
          <w:color w:val="000000"/>
          <w:szCs w:val="22"/>
          <w:lang w:val="es-ES"/>
        </w:rPr>
        <w:t>Lucentis</w:t>
      </w:r>
      <w:proofErr w:type="spellEnd"/>
      <w:r w:rsidRPr="003E0B98">
        <w:rPr>
          <w:color w:val="000000"/>
          <w:szCs w:val="22"/>
          <w:lang w:val="es-ES"/>
        </w:rPr>
        <w:t xml:space="preserve"> está indicado en adultos para:</w:t>
      </w:r>
    </w:p>
    <w:p w14:paraId="1E2D2809" w14:textId="304D89C9" w:rsidR="00CF71A4" w:rsidRPr="003E0B98" w:rsidRDefault="002E5034" w:rsidP="004361AC">
      <w:pPr>
        <w:numPr>
          <w:ilvl w:val="0"/>
          <w:numId w:val="6"/>
        </w:numPr>
        <w:tabs>
          <w:tab w:val="clear" w:pos="567"/>
          <w:tab w:val="clear" w:pos="720"/>
        </w:tabs>
        <w:spacing w:line="240" w:lineRule="auto"/>
        <w:ind w:left="567" w:hanging="567"/>
        <w:rPr>
          <w:color w:val="000000"/>
          <w:szCs w:val="22"/>
          <w:lang w:val="es-ES"/>
        </w:rPr>
      </w:pPr>
      <w:r w:rsidRPr="003E0B98">
        <w:rPr>
          <w:color w:val="000000"/>
          <w:szCs w:val="22"/>
          <w:lang w:val="es-ES"/>
        </w:rPr>
        <w:t xml:space="preserve">El tratamiento de la </w:t>
      </w:r>
      <w:r w:rsidRPr="003E0B98">
        <w:rPr>
          <w:color w:val="000000"/>
          <w:lang w:val="es-ES"/>
        </w:rPr>
        <w:t xml:space="preserve">degeneración macular asociada a la edad (DMAE) </w:t>
      </w:r>
      <w:proofErr w:type="spellStart"/>
      <w:r w:rsidRPr="003E0B98">
        <w:rPr>
          <w:color w:val="000000"/>
          <w:lang w:val="es-ES"/>
        </w:rPr>
        <w:t>neovascular</w:t>
      </w:r>
      <w:proofErr w:type="spellEnd"/>
      <w:r w:rsidRPr="003E0B98">
        <w:rPr>
          <w:color w:val="000000"/>
          <w:lang w:val="es-ES"/>
        </w:rPr>
        <w:t xml:space="preserve"> (exudativa)</w:t>
      </w:r>
    </w:p>
    <w:p w14:paraId="45659A24" w14:textId="3F50AE15" w:rsidR="00CE459D" w:rsidRPr="003E0B98" w:rsidRDefault="002E5034" w:rsidP="004361AC">
      <w:pPr>
        <w:numPr>
          <w:ilvl w:val="0"/>
          <w:numId w:val="6"/>
        </w:numPr>
        <w:tabs>
          <w:tab w:val="clear" w:pos="720"/>
          <w:tab w:val="num" w:pos="567"/>
        </w:tabs>
        <w:spacing w:line="240" w:lineRule="auto"/>
        <w:ind w:left="567" w:hanging="567"/>
        <w:rPr>
          <w:color w:val="000000"/>
          <w:szCs w:val="22"/>
          <w:lang w:val="es-ES"/>
        </w:rPr>
      </w:pPr>
      <w:r w:rsidRPr="003E0B98">
        <w:rPr>
          <w:color w:val="000000"/>
          <w:szCs w:val="22"/>
          <w:lang w:val="es-ES"/>
        </w:rPr>
        <w:t>El tratamiento de la alteración visual debida al edema macular diabético (EMD)</w:t>
      </w:r>
    </w:p>
    <w:p w14:paraId="65D72BBF" w14:textId="77777777" w:rsidR="002E5034" w:rsidRPr="003E0B98" w:rsidRDefault="00CE459D" w:rsidP="004361AC">
      <w:pPr>
        <w:numPr>
          <w:ilvl w:val="0"/>
          <w:numId w:val="6"/>
        </w:numPr>
        <w:tabs>
          <w:tab w:val="clear" w:pos="720"/>
          <w:tab w:val="num" w:pos="567"/>
        </w:tabs>
        <w:spacing w:line="240" w:lineRule="auto"/>
        <w:ind w:left="567" w:hanging="567"/>
        <w:rPr>
          <w:color w:val="000000"/>
          <w:szCs w:val="22"/>
          <w:lang w:val="es-ES"/>
        </w:rPr>
      </w:pPr>
      <w:r w:rsidRPr="003E0B98">
        <w:rPr>
          <w:color w:val="000000"/>
          <w:szCs w:val="22"/>
          <w:lang w:val="es-ES"/>
        </w:rPr>
        <w:t>El tratamiento de la retinopatía diabética proliferativa (RDP)</w:t>
      </w:r>
    </w:p>
    <w:p w14:paraId="0AB621F8" w14:textId="77777777" w:rsidR="002E5034" w:rsidRPr="003E0B98" w:rsidRDefault="002E5034" w:rsidP="004361AC">
      <w:pPr>
        <w:numPr>
          <w:ilvl w:val="0"/>
          <w:numId w:val="6"/>
        </w:numPr>
        <w:tabs>
          <w:tab w:val="clear" w:pos="720"/>
          <w:tab w:val="num" w:pos="567"/>
        </w:tabs>
        <w:spacing w:line="240" w:lineRule="auto"/>
        <w:ind w:left="567" w:hanging="567"/>
        <w:rPr>
          <w:color w:val="000000"/>
          <w:szCs w:val="22"/>
          <w:lang w:val="es-ES"/>
        </w:rPr>
      </w:pPr>
      <w:r w:rsidRPr="003E0B98">
        <w:rPr>
          <w:color w:val="000000"/>
          <w:szCs w:val="22"/>
          <w:lang w:val="es-ES"/>
        </w:rPr>
        <w:t>El tratamiento de la alteración visual debida al edema macular secundario a la oclusión de la vena retiniana (OVR) (oclusión de la rama venosa retiniana u oclusión de la vena central retiniana)</w:t>
      </w:r>
    </w:p>
    <w:p w14:paraId="0841E9EF" w14:textId="77777777" w:rsidR="00CE459D" w:rsidRPr="003E0B98" w:rsidRDefault="00CE459D" w:rsidP="004361AC">
      <w:pPr>
        <w:numPr>
          <w:ilvl w:val="0"/>
          <w:numId w:val="6"/>
        </w:numPr>
        <w:tabs>
          <w:tab w:val="clear" w:pos="720"/>
          <w:tab w:val="num" w:pos="567"/>
        </w:tabs>
        <w:spacing w:line="240" w:lineRule="auto"/>
        <w:ind w:left="567" w:hanging="567"/>
        <w:rPr>
          <w:color w:val="000000"/>
          <w:szCs w:val="22"/>
          <w:lang w:val="es-ES"/>
        </w:rPr>
      </w:pPr>
      <w:r w:rsidRPr="003E0B98">
        <w:rPr>
          <w:color w:val="000000"/>
          <w:szCs w:val="22"/>
          <w:lang w:val="es-ES"/>
        </w:rPr>
        <w:t>El tratamiento de la alteración visual debida a neovascularización coroidea (NVC)</w:t>
      </w:r>
    </w:p>
    <w:p w14:paraId="63B82A32" w14:textId="77777777" w:rsidR="002E5034" w:rsidRPr="003E0B98" w:rsidRDefault="002E5034" w:rsidP="004361AC">
      <w:pPr>
        <w:tabs>
          <w:tab w:val="clear" w:pos="567"/>
        </w:tabs>
        <w:spacing w:line="240" w:lineRule="auto"/>
        <w:rPr>
          <w:color w:val="000000"/>
          <w:szCs w:val="22"/>
          <w:lang w:val="es-ES"/>
        </w:rPr>
      </w:pPr>
    </w:p>
    <w:p w14:paraId="2B37BF18" w14:textId="77777777" w:rsidR="009A259F" w:rsidRPr="003E0B98" w:rsidRDefault="009A259F" w:rsidP="004361AC">
      <w:pPr>
        <w:tabs>
          <w:tab w:val="clear" w:pos="567"/>
        </w:tabs>
        <w:spacing w:line="240" w:lineRule="auto"/>
        <w:rPr>
          <w:color w:val="000000"/>
          <w:szCs w:val="22"/>
          <w:lang w:val="es-ES"/>
        </w:rPr>
      </w:pPr>
      <w:proofErr w:type="spellStart"/>
      <w:r w:rsidRPr="003E0B98">
        <w:rPr>
          <w:color w:val="000000"/>
          <w:szCs w:val="22"/>
          <w:lang w:val="es-ES"/>
        </w:rPr>
        <w:t>Lucentis</w:t>
      </w:r>
      <w:proofErr w:type="spellEnd"/>
      <w:r w:rsidRPr="003E0B98">
        <w:rPr>
          <w:color w:val="000000"/>
          <w:szCs w:val="22"/>
          <w:lang w:val="es-ES"/>
        </w:rPr>
        <w:t xml:space="preserve"> está indicado en recién nacidos </w:t>
      </w:r>
      <w:r w:rsidR="003400BD" w:rsidRPr="003E0B98">
        <w:rPr>
          <w:color w:val="000000"/>
          <w:szCs w:val="22"/>
          <w:lang w:val="es-ES"/>
        </w:rPr>
        <w:t>pretérmino</w:t>
      </w:r>
      <w:r w:rsidRPr="003E0B98">
        <w:rPr>
          <w:color w:val="000000"/>
          <w:szCs w:val="22"/>
          <w:lang w:val="es-ES"/>
        </w:rPr>
        <w:t xml:space="preserve"> para:</w:t>
      </w:r>
    </w:p>
    <w:p w14:paraId="14AACA06" w14:textId="65CDA566" w:rsidR="009A259F" w:rsidRPr="003E0B98" w:rsidRDefault="009A259F" w:rsidP="004361AC">
      <w:pPr>
        <w:numPr>
          <w:ilvl w:val="0"/>
          <w:numId w:val="18"/>
        </w:numPr>
        <w:tabs>
          <w:tab w:val="clear" w:pos="567"/>
        </w:tabs>
        <w:spacing w:line="240" w:lineRule="auto"/>
        <w:ind w:left="567" w:hanging="567"/>
        <w:rPr>
          <w:color w:val="000000"/>
          <w:szCs w:val="22"/>
          <w:lang w:val="es-ES"/>
        </w:rPr>
      </w:pPr>
      <w:r w:rsidRPr="003E0B98">
        <w:rPr>
          <w:color w:val="000000"/>
          <w:szCs w:val="22"/>
          <w:lang w:val="es-ES"/>
        </w:rPr>
        <w:t>El tratamiento de la retinopatía del prematuro (</w:t>
      </w:r>
      <w:r w:rsidR="00153893" w:rsidRPr="003E0B98">
        <w:rPr>
          <w:color w:val="000000"/>
          <w:szCs w:val="22"/>
          <w:lang w:val="es-ES"/>
        </w:rPr>
        <w:t>R</w:t>
      </w:r>
      <w:r w:rsidR="00714C3D" w:rsidRPr="003E0B98">
        <w:rPr>
          <w:color w:val="000000"/>
          <w:szCs w:val="22"/>
          <w:lang w:val="es-ES"/>
        </w:rPr>
        <w:t>O</w:t>
      </w:r>
      <w:r w:rsidR="00153893" w:rsidRPr="003E0B98">
        <w:rPr>
          <w:color w:val="000000"/>
          <w:szCs w:val="22"/>
          <w:lang w:val="es-ES"/>
        </w:rPr>
        <w:t>P</w:t>
      </w:r>
      <w:r w:rsidRPr="003E0B98">
        <w:rPr>
          <w:color w:val="000000"/>
          <w:szCs w:val="22"/>
          <w:lang w:val="es-ES"/>
        </w:rPr>
        <w:t>) en zona</w:t>
      </w:r>
      <w:r w:rsidR="0004377D" w:rsidRPr="003E0B98">
        <w:rPr>
          <w:color w:val="000000"/>
          <w:szCs w:val="22"/>
          <w:lang w:val="es-ES"/>
        </w:rPr>
        <w:t> </w:t>
      </w:r>
      <w:r w:rsidRPr="003E0B98">
        <w:rPr>
          <w:color w:val="000000"/>
          <w:szCs w:val="22"/>
          <w:lang w:val="es-ES"/>
        </w:rPr>
        <w:t>I (</w:t>
      </w:r>
      <w:proofErr w:type="spellStart"/>
      <w:proofErr w:type="gramStart"/>
      <w:r w:rsidR="00EE2D54" w:rsidRPr="003E0B98">
        <w:rPr>
          <w:color w:val="000000"/>
          <w:szCs w:val="22"/>
          <w:lang w:val="es-ES"/>
        </w:rPr>
        <w:t>e</w:t>
      </w:r>
      <w:r w:rsidR="00153893" w:rsidRPr="003E0B98">
        <w:rPr>
          <w:color w:val="000000"/>
          <w:szCs w:val="22"/>
          <w:lang w:val="es-ES"/>
        </w:rPr>
        <w:t>stadío</w:t>
      </w:r>
      <w:proofErr w:type="spellEnd"/>
      <w:proofErr w:type="gramEnd"/>
      <w:r w:rsidR="0004377D" w:rsidRPr="003E0B98">
        <w:rPr>
          <w:color w:val="000000"/>
          <w:szCs w:val="22"/>
          <w:lang w:val="es-ES"/>
        </w:rPr>
        <w:t> 1+, 2+, 3</w:t>
      </w:r>
      <w:r w:rsidR="00153893" w:rsidRPr="003E0B98">
        <w:rPr>
          <w:color w:val="000000"/>
          <w:szCs w:val="22"/>
          <w:lang w:val="es-ES"/>
        </w:rPr>
        <w:t> </w:t>
      </w:r>
      <w:r w:rsidR="0004377D" w:rsidRPr="003E0B98">
        <w:rPr>
          <w:color w:val="000000"/>
          <w:szCs w:val="22"/>
          <w:lang w:val="es-ES"/>
        </w:rPr>
        <w:t>o 3+), zona </w:t>
      </w:r>
      <w:r w:rsidRPr="003E0B98">
        <w:rPr>
          <w:color w:val="000000"/>
          <w:szCs w:val="22"/>
          <w:lang w:val="es-ES"/>
        </w:rPr>
        <w:t>II (</w:t>
      </w:r>
      <w:proofErr w:type="spellStart"/>
      <w:proofErr w:type="gramStart"/>
      <w:r w:rsidR="00153893" w:rsidRPr="003E0B98">
        <w:rPr>
          <w:color w:val="000000"/>
          <w:szCs w:val="22"/>
          <w:lang w:val="es-ES"/>
        </w:rPr>
        <w:t>estadío</w:t>
      </w:r>
      <w:proofErr w:type="spellEnd"/>
      <w:proofErr w:type="gramEnd"/>
      <w:r w:rsidR="00153893" w:rsidRPr="003E0B98">
        <w:rPr>
          <w:color w:val="000000"/>
          <w:szCs w:val="22"/>
          <w:lang w:val="es-ES"/>
        </w:rPr>
        <w:t xml:space="preserve"> 3+) o enfermedad R</w:t>
      </w:r>
      <w:r w:rsidR="00714C3D" w:rsidRPr="003E0B98">
        <w:rPr>
          <w:color w:val="000000"/>
          <w:szCs w:val="22"/>
          <w:lang w:val="es-ES"/>
        </w:rPr>
        <w:t>O</w:t>
      </w:r>
      <w:r w:rsidR="00153893" w:rsidRPr="003E0B98">
        <w:rPr>
          <w:color w:val="000000"/>
          <w:szCs w:val="22"/>
          <w:lang w:val="es-ES"/>
        </w:rPr>
        <w:t>P-AP</w:t>
      </w:r>
      <w:r w:rsidRPr="003E0B98">
        <w:rPr>
          <w:color w:val="000000"/>
          <w:szCs w:val="22"/>
          <w:lang w:val="es-ES"/>
        </w:rPr>
        <w:t xml:space="preserve"> (</w:t>
      </w:r>
      <w:r w:rsidR="00153893" w:rsidRPr="003E0B98">
        <w:rPr>
          <w:color w:val="000000"/>
          <w:szCs w:val="22"/>
          <w:lang w:val="es-ES"/>
        </w:rPr>
        <w:t>R</w:t>
      </w:r>
      <w:r w:rsidR="00714C3D" w:rsidRPr="003E0B98">
        <w:rPr>
          <w:color w:val="000000"/>
          <w:szCs w:val="22"/>
          <w:lang w:val="es-ES"/>
        </w:rPr>
        <w:t>O</w:t>
      </w:r>
      <w:r w:rsidR="00153893" w:rsidRPr="003E0B98">
        <w:rPr>
          <w:color w:val="000000"/>
          <w:szCs w:val="22"/>
          <w:lang w:val="es-ES"/>
        </w:rPr>
        <w:t>P</w:t>
      </w:r>
      <w:r w:rsidRPr="003E0B98">
        <w:rPr>
          <w:color w:val="000000"/>
          <w:szCs w:val="22"/>
          <w:lang w:val="es-ES"/>
        </w:rPr>
        <w:t xml:space="preserve"> agresiva</w:t>
      </w:r>
      <w:r w:rsidR="00EE2D54" w:rsidRPr="003E0B98">
        <w:rPr>
          <w:color w:val="000000"/>
          <w:szCs w:val="22"/>
          <w:lang w:val="es-ES"/>
        </w:rPr>
        <w:t xml:space="preserve"> posterior</w:t>
      </w:r>
      <w:r w:rsidRPr="003E0B98">
        <w:rPr>
          <w:color w:val="000000"/>
          <w:szCs w:val="22"/>
          <w:lang w:val="es-ES"/>
        </w:rPr>
        <w:t>).</w:t>
      </w:r>
    </w:p>
    <w:p w14:paraId="7714F489" w14:textId="77777777" w:rsidR="009A259F" w:rsidRPr="003E0B98" w:rsidRDefault="009A259F" w:rsidP="004361AC">
      <w:pPr>
        <w:tabs>
          <w:tab w:val="clear" w:pos="567"/>
        </w:tabs>
        <w:spacing w:line="240" w:lineRule="auto"/>
        <w:rPr>
          <w:color w:val="000000"/>
          <w:szCs w:val="22"/>
          <w:lang w:val="es-ES"/>
        </w:rPr>
      </w:pPr>
    </w:p>
    <w:p w14:paraId="79F619FC" w14:textId="77777777" w:rsidR="002E5034" w:rsidRPr="003E0B98" w:rsidRDefault="002E5034" w:rsidP="004361AC">
      <w:pPr>
        <w:keepNext/>
        <w:tabs>
          <w:tab w:val="clear" w:pos="567"/>
        </w:tabs>
        <w:spacing w:line="240" w:lineRule="auto"/>
        <w:rPr>
          <w:b/>
          <w:color w:val="000000"/>
          <w:szCs w:val="22"/>
          <w:lang w:val="es-ES"/>
        </w:rPr>
      </w:pPr>
      <w:r w:rsidRPr="003E0B98">
        <w:rPr>
          <w:b/>
          <w:color w:val="000000"/>
          <w:szCs w:val="22"/>
          <w:lang w:val="es-ES"/>
        </w:rPr>
        <w:t>4.2</w:t>
      </w:r>
      <w:r w:rsidRPr="003E0B98">
        <w:rPr>
          <w:b/>
          <w:color w:val="000000"/>
          <w:szCs w:val="22"/>
          <w:lang w:val="es-ES"/>
        </w:rPr>
        <w:tab/>
        <w:t>Posología y forma de administración</w:t>
      </w:r>
    </w:p>
    <w:p w14:paraId="714FE03D" w14:textId="77777777" w:rsidR="002E5034" w:rsidRPr="003E0B98" w:rsidRDefault="002E5034" w:rsidP="004361AC">
      <w:pPr>
        <w:keepNext/>
        <w:tabs>
          <w:tab w:val="clear" w:pos="567"/>
        </w:tabs>
        <w:spacing w:line="240" w:lineRule="auto"/>
        <w:rPr>
          <w:color w:val="000000"/>
          <w:szCs w:val="22"/>
          <w:lang w:val="es-ES"/>
        </w:rPr>
      </w:pPr>
    </w:p>
    <w:p w14:paraId="205A8291" w14:textId="77777777" w:rsidR="002E5034" w:rsidRPr="003E0B98" w:rsidRDefault="002E5034" w:rsidP="004361AC">
      <w:pPr>
        <w:tabs>
          <w:tab w:val="clear" w:pos="567"/>
        </w:tabs>
        <w:spacing w:line="240" w:lineRule="auto"/>
        <w:rPr>
          <w:color w:val="000000"/>
          <w:lang w:val="es-ES"/>
        </w:rPr>
      </w:pPr>
      <w:proofErr w:type="spellStart"/>
      <w:r w:rsidRPr="003E0B98">
        <w:rPr>
          <w:color w:val="000000"/>
          <w:lang w:val="es-ES"/>
        </w:rPr>
        <w:t>Lucentis</w:t>
      </w:r>
      <w:proofErr w:type="spellEnd"/>
      <w:r w:rsidRPr="003E0B98">
        <w:rPr>
          <w:color w:val="000000"/>
          <w:lang w:val="es-ES"/>
        </w:rPr>
        <w:t xml:space="preserve"> debe ser administrado por un oftalmólogo que tenga experiencia en la administración de inyecciones intravítreas.</w:t>
      </w:r>
    </w:p>
    <w:p w14:paraId="4B4FB8A3" w14:textId="77777777" w:rsidR="002E5034" w:rsidRPr="003E0B98" w:rsidRDefault="002E5034" w:rsidP="004361AC">
      <w:pPr>
        <w:tabs>
          <w:tab w:val="clear" w:pos="567"/>
        </w:tabs>
        <w:spacing w:line="240" w:lineRule="auto"/>
        <w:rPr>
          <w:color w:val="000000"/>
          <w:lang w:val="es-ES"/>
        </w:rPr>
      </w:pPr>
    </w:p>
    <w:p w14:paraId="4C6B1563" w14:textId="77777777" w:rsidR="00576109" w:rsidRPr="003E0B98" w:rsidRDefault="00576109" w:rsidP="004361AC">
      <w:pPr>
        <w:keepNext/>
        <w:tabs>
          <w:tab w:val="clear" w:pos="567"/>
        </w:tabs>
        <w:spacing w:line="240" w:lineRule="auto"/>
        <w:rPr>
          <w:color w:val="000000"/>
          <w:u w:val="single"/>
          <w:lang w:val="es-ES"/>
        </w:rPr>
      </w:pPr>
      <w:r w:rsidRPr="003E0B98">
        <w:rPr>
          <w:color w:val="000000"/>
          <w:u w:val="single"/>
          <w:lang w:val="es-ES"/>
        </w:rPr>
        <w:t>Posología</w:t>
      </w:r>
    </w:p>
    <w:p w14:paraId="43205E71" w14:textId="77777777" w:rsidR="00576109" w:rsidRPr="003E0B98" w:rsidRDefault="00576109" w:rsidP="004361AC">
      <w:pPr>
        <w:keepNext/>
        <w:tabs>
          <w:tab w:val="clear" w:pos="567"/>
        </w:tabs>
        <w:spacing w:line="240" w:lineRule="auto"/>
        <w:rPr>
          <w:color w:val="000000"/>
          <w:lang w:val="es-ES"/>
        </w:rPr>
      </w:pPr>
    </w:p>
    <w:p w14:paraId="4BD3E8F8" w14:textId="77777777" w:rsidR="0004377D" w:rsidRPr="003E0B98" w:rsidRDefault="0004377D" w:rsidP="004361AC">
      <w:pPr>
        <w:keepNext/>
        <w:tabs>
          <w:tab w:val="clear" w:pos="567"/>
        </w:tabs>
        <w:spacing w:line="240" w:lineRule="auto"/>
        <w:rPr>
          <w:color w:val="000000"/>
          <w:lang w:val="es-ES"/>
        </w:rPr>
      </w:pPr>
      <w:r w:rsidRPr="003E0B98">
        <w:rPr>
          <w:i/>
          <w:color w:val="000000"/>
          <w:u w:val="single"/>
          <w:lang w:val="es-ES"/>
        </w:rPr>
        <w:t>Adultos</w:t>
      </w:r>
    </w:p>
    <w:p w14:paraId="1B9D5CB8" w14:textId="77777777" w:rsidR="002E5034" w:rsidRPr="003E0B98" w:rsidRDefault="002E5034" w:rsidP="004361AC">
      <w:pPr>
        <w:tabs>
          <w:tab w:val="clear" w:pos="567"/>
        </w:tabs>
        <w:spacing w:line="240" w:lineRule="auto"/>
        <w:rPr>
          <w:color w:val="000000"/>
          <w:szCs w:val="22"/>
          <w:lang w:val="es-ES"/>
        </w:rPr>
      </w:pPr>
      <w:r w:rsidRPr="003E0B98">
        <w:rPr>
          <w:color w:val="000000"/>
          <w:lang w:val="es-ES"/>
        </w:rPr>
        <w:t xml:space="preserve">La dosis recomendada de </w:t>
      </w:r>
      <w:proofErr w:type="spellStart"/>
      <w:r w:rsidRPr="003E0B98">
        <w:rPr>
          <w:color w:val="000000"/>
          <w:lang w:val="es-ES"/>
        </w:rPr>
        <w:t>Lucentis</w:t>
      </w:r>
      <w:proofErr w:type="spellEnd"/>
      <w:r w:rsidRPr="003E0B98">
        <w:rPr>
          <w:color w:val="000000"/>
          <w:lang w:val="es-ES"/>
        </w:rPr>
        <w:t xml:space="preserve"> </w:t>
      </w:r>
      <w:r w:rsidR="0004377D" w:rsidRPr="003E0B98">
        <w:rPr>
          <w:color w:val="000000"/>
          <w:lang w:val="es-ES"/>
        </w:rPr>
        <w:t xml:space="preserve">en adultos </w:t>
      </w:r>
      <w:r w:rsidRPr="003E0B98">
        <w:rPr>
          <w:color w:val="000000"/>
          <w:lang w:val="es-ES"/>
        </w:rPr>
        <w:t xml:space="preserve">es </w:t>
      </w:r>
      <w:r w:rsidRPr="003E0B98">
        <w:rPr>
          <w:color w:val="000000"/>
          <w:szCs w:val="22"/>
          <w:lang w:val="es-ES"/>
        </w:rPr>
        <w:t>0,5 mg administrada en forma de inyección intravítrea única. Esto corresponde a un volumen de inyección de 0,05 ml.</w:t>
      </w:r>
      <w:r w:rsidR="00EB4CD5" w:rsidRPr="003E0B98">
        <w:rPr>
          <w:color w:val="000000"/>
          <w:szCs w:val="22"/>
          <w:lang w:val="es-ES"/>
        </w:rPr>
        <w:t xml:space="preserve"> El intervalo entre dos dosis inyectadas en el mismo ojo debe ser </w:t>
      </w:r>
      <w:r w:rsidR="006546CB" w:rsidRPr="003E0B98">
        <w:rPr>
          <w:color w:val="000000"/>
          <w:szCs w:val="22"/>
          <w:lang w:val="es-ES"/>
        </w:rPr>
        <w:t>como mínimo de</w:t>
      </w:r>
      <w:r w:rsidR="00EB4CD5" w:rsidRPr="003E0B98">
        <w:rPr>
          <w:color w:val="000000"/>
          <w:szCs w:val="22"/>
          <w:lang w:val="es-ES"/>
        </w:rPr>
        <w:t xml:space="preserve"> cuatro semanas.</w:t>
      </w:r>
    </w:p>
    <w:p w14:paraId="7EFAC486" w14:textId="77777777" w:rsidR="002E5034" w:rsidRPr="003E0B98" w:rsidRDefault="002E5034" w:rsidP="004361AC">
      <w:pPr>
        <w:tabs>
          <w:tab w:val="clear" w:pos="567"/>
        </w:tabs>
        <w:spacing w:line="240" w:lineRule="auto"/>
        <w:rPr>
          <w:color w:val="000000"/>
          <w:szCs w:val="22"/>
          <w:lang w:val="es-ES"/>
        </w:rPr>
      </w:pPr>
    </w:p>
    <w:p w14:paraId="75524608" w14:textId="0D1D4433" w:rsidR="002E5034" w:rsidRPr="003E0B98" w:rsidRDefault="002E5034" w:rsidP="004361AC">
      <w:pPr>
        <w:tabs>
          <w:tab w:val="clear" w:pos="567"/>
        </w:tabs>
        <w:spacing w:line="240" w:lineRule="auto"/>
        <w:rPr>
          <w:color w:val="000000"/>
          <w:szCs w:val="22"/>
          <w:lang w:val="es-ES"/>
        </w:rPr>
      </w:pPr>
      <w:r w:rsidRPr="003E0B98">
        <w:rPr>
          <w:color w:val="000000"/>
          <w:szCs w:val="22"/>
          <w:lang w:val="es-ES"/>
        </w:rPr>
        <w:t xml:space="preserve">El tratamiento </w:t>
      </w:r>
      <w:r w:rsidR="0004377D" w:rsidRPr="003E0B98">
        <w:rPr>
          <w:color w:val="000000"/>
          <w:szCs w:val="22"/>
          <w:lang w:val="es-ES"/>
        </w:rPr>
        <w:t xml:space="preserve">en adultos </w:t>
      </w:r>
      <w:r w:rsidRPr="003E0B98">
        <w:rPr>
          <w:color w:val="000000"/>
          <w:szCs w:val="22"/>
          <w:lang w:val="es-ES"/>
        </w:rPr>
        <w:t xml:space="preserve">se </w:t>
      </w:r>
      <w:r w:rsidR="005F2C92" w:rsidRPr="003E0B98">
        <w:rPr>
          <w:color w:val="000000"/>
          <w:szCs w:val="22"/>
          <w:lang w:val="es-ES"/>
        </w:rPr>
        <w:t>inicia con una inyección al mes</w:t>
      </w:r>
      <w:r w:rsidRPr="003E0B98">
        <w:rPr>
          <w:color w:val="000000"/>
          <w:szCs w:val="22"/>
          <w:lang w:val="es-ES"/>
        </w:rPr>
        <w:t xml:space="preserve"> hasta alcanzar la agudeza visual máxima</w:t>
      </w:r>
      <w:r w:rsidR="005F2C92" w:rsidRPr="003E0B98">
        <w:rPr>
          <w:color w:val="000000"/>
          <w:szCs w:val="22"/>
          <w:lang w:val="es-ES"/>
        </w:rPr>
        <w:t xml:space="preserve"> y/o no hay</w:t>
      </w:r>
      <w:r w:rsidR="00862DAB" w:rsidRPr="003E0B98">
        <w:rPr>
          <w:color w:val="000000"/>
          <w:szCs w:val="22"/>
          <w:lang w:val="es-ES"/>
        </w:rPr>
        <w:t>a</w:t>
      </w:r>
      <w:r w:rsidR="005F2C92" w:rsidRPr="003E0B98">
        <w:rPr>
          <w:color w:val="000000"/>
          <w:szCs w:val="22"/>
          <w:lang w:val="es-ES"/>
        </w:rPr>
        <w:t xml:space="preserve"> </w:t>
      </w:r>
      <w:r w:rsidR="00B63AFD" w:rsidRPr="003E0B98">
        <w:rPr>
          <w:color w:val="000000"/>
          <w:szCs w:val="22"/>
          <w:lang w:val="es-ES"/>
        </w:rPr>
        <w:t>signo</w:t>
      </w:r>
      <w:r w:rsidR="00087B33" w:rsidRPr="003E0B98">
        <w:rPr>
          <w:color w:val="000000"/>
          <w:szCs w:val="22"/>
          <w:lang w:val="es-ES"/>
        </w:rPr>
        <w:t>s</w:t>
      </w:r>
      <w:r w:rsidR="005F2C92" w:rsidRPr="003E0B98">
        <w:rPr>
          <w:color w:val="000000"/>
          <w:szCs w:val="22"/>
          <w:lang w:val="es-ES"/>
        </w:rPr>
        <w:t xml:space="preserve"> de actividad de la enfermedad, es decir ningún cambio en la agudeza visual ni en otros signos y síntomas de la enfermedad </w:t>
      </w:r>
      <w:r w:rsidR="00D648A2" w:rsidRPr="003E0B98">
        <w:rPr>
          <w:color w:val="000000"/>
          <w:szCs w:val="22"/>
          <w:lang w:val="es-ES"/>
        </w:rPr>
        <w:t>bajo tratamiento continuado</w:t>
      </w:r>
      <w:r w:rsidR="009A190B" w:rsidRPr="003E0B98">
        <w:rPr>
          <w:color w:val="000000"/>
          <w:szCs w:val="22"/>
          <w:lang w:val="es-ES"/>
        </w:rPr>
        <w:t xml:space="preserve">. En pacientes con DMAE </w:t>
      </w:r>
      <w:r w:rsidR="009A190B" w:rsidRPr="003E0B98">
        <w:rPr>
          <w:color w:val="000000"/>
          <w:szCs w:val="22"/>
          <w:lang w:val="es-ES"/>
        </w:rPr>
        <w:lastRenderedPageBreak/>
        <w:t>exudativa, EMD</w:t>
      </w:r>
      <w:r w:rsidR="00113D12" w:rsidRPr="003E0B98">
        <w:rPr>
          <w:color w:val="000000"/>
          <w:szCs w:val="22"/>
          <w:lang w:val="es-ES"/>
        </w:rPr>
        <w:t>, RDP</w:t>
      </w:r>
      <w:r w:rsidR="009A190B" w:rsidRPr="003E0B98">
        <w:rPr>
          <w:color w:val="000000"/>
          <w:szCs w:val="22"/>
          <w:lang w:val="es-ES"/>
        </w:rPr>
        <w:t xml:space="preserve"> y OVR </w:t>
      </w:r>
      <w:r w:rsidR="003C79DE" w:rsidRPr="003E0B98">
        <w:rPr>
          <w:color w:val="000000"/>
          <w:szCs w:val="22"/>
          <w:lang w:val="es-ES"/>
        </w:rPr>
        <w:t xml:space="preserve">inicialmente </w:t>
      </w:r>
      <w:r w:rsidR="009A190B" w:rsidRPr="003E0B98">
        <w:rPr>
          <w:color w:val="000000"/>
          <w:szCs w:val="22"/>
          <w:lang w:val="es-ES"/>
        </w:rPr>
        <w:t>pueden ser necesarias tres o más inyecciones consecutivas administradas mensualmente.</w:t>
      </w:r>
    </w:p>
    <w:p w14:paraId="70559CC3" w14:textId="77777777" w:rsidR="002E5034" w:rsidRPr="003E0B98" w:rsidRDefault="002E5034" w:rsidP="004361AC">
      <w:pPr>
        <w:tabs>
          <w:tab w:val="clear" w:pos="567"/>
        </w:tabs>
        <w:spacing w:line="240" w:lineRule="auto"/>
        <w:rPr>
          <w:color w:val="000000"/>
          <w:szCs w:val="22"/>
          <w:lang w:val="es-ES"/>
        </w:rPr>
      </w:pPr>
    </w:p>
    <w:p w14:paraId="1F6BC86C" w14:textId="77777777" w:rsidR="002E5034" w:rsidRPr="003E0B98" w:rsidRDefault="002E5034" w:rsidP="004361AC">
      <w:pPr>
        <w:tabs>
          <w:tab w:val="clear" w:pos="567"/>
        </w:tabs>
        <w:spacing w:line="240" w:lineRule="auto"/>
        <w:rPr>
          <w:color w:val="000000"/>
          <w:szCs w:val="22"/>
          <w:lang w:val="es-ES"/>
        </w:rPr>
      </w:pPr>
      <w:r w:rsidRPr="003E0B98">
        <w:rPr>
          <w:color w:val="000000"/>
          <w:szCs w:val="22"/>
          <w:lang w:val="es-ES"/>
        </w:rPr>
        <w:t>A partir de ese momento</w:t>
      </w:r>
      <w:r w:rsidR="000F7F02" w:rsidRPr="003E0B98">
        <w:rPr>
          <w:color w:val="000000"/>
          <w:szCs w:val="22"/>
          <w:lang w:val="es-ES"/>
        </w:rPr>
        <w:t xml:space="preserve">, los intervalos de monitorización y tratamiento se </w:t>
      </w:r>
      <w:r w:rsidR="005D09A5" w:rsidRPr="003E0B98">
        <w:rPr>
          <w:color w:val="000000"/>
          <w:szCs w:val="22"/>
          <w:lang w:val="es-ES"/>
        </w:rPr>
        <w:t>deben determinar</w:t>
      </w:r>
      <w:r w:rsidR="000F7F02" w:rsidRPr="003E0B98">
        <w:rPr>
          <w:color w:val="000000"/>
          <w:szCs w:val="22"/>
          <w:lang w:val="es-ES"/>
        </w:rPr>
        <w:t xml:space="preserve"> según criterio médico y en base a la actividad de la enfermedad, </w:t>
      </w:r>
      <w:r w:rsidR="009A1312" w:rsidRPr="003E0B98">
        <w:rPr>
          <w:color w:val="000000"/>
          <w:szCs w:val="22"/>
          <w:lang w:val="es-ES"/>
        </w:rPr>
        <w:t xml:space="preserve">valorada </w:t>
      </w:r>
      <w:r w:rsidR="005D09A5" w:rsidRPr="003E0B98">
        <w:rPr>
          <w:color w:val="000000"/>
          <w:szCs w:val="22"/>
          <w:lang w:val="es-ES"/>
        </w:rPr>
        <w:t>mediante</w:t>
      </w:r>
      <w:r w:rsidR="009A1312" w:rsidRPr="003E0B98">
        <w:rPr>
          <w:color w:val="000000"/>
          <w:szCs w:val="22"/>
          <w:lang w:val="es-ES"/>
        </w:rPr>
        <w:t xml:space="preserve"> la agudeza visual y/o parámetros anatómicos.</w:t>
      </w:r>
    </w:p>
    <w:p w14:paraId="04F49A26" w14:textId="77777777" w:rsidR="009A1312" w:rsidRPr="003E0B98" w:rsidRDefault="009A1312" w:rsidP="004361AC">
      <w:pPr>
        <w:tabs>
          <w:tab w:val="clear" w:pos="567"/>
        </w:tabs>
        <w:spacing w:line="240" w:lineRule="auto"/>
        <w:rPr>
          <w:color w:val="000000"/>
          <w:szCs w:val="22"/>
          <w:lang w:val="es-ES"/>
        </w:rPr>
      </w:pPr>
    </w:p>
    <w:p w14:paraId="36CA5F26" w14:textId="77777777" w:rsidR="00CF32EB" w:rsidRPr="003E0B98" w:rsidRDefault="00CF32EB" w:rsidP="004361AC">
      <w:pPr>
        <w:tabs>
          <w:tab w:val="clear" w:pos="567"/>
        </w:tabs>
        <w:spacing w:line="240" w:lineRule="auto"/>
        <w:rPr>
          <w:color w:val="000000"/>
          <w:szCs w:val="22"/>
          <w:lang w:val="es-ES"/>
        </w:rPr>
      </w:pPr>
      <w:r w:rsidRPr="003E0B98">
        <w:rPr>
          <w:color w:val="000000"/>
          <w:szCs w:val="22"/>
          <w:lang w:val="es-ES"/>
        </w:rPr>
        <w:t xml:space="preserve">Se debe interrumpir el tratamiento con </w:t>
      </w:r>
      <w:proofErr w:type="spellStart"/>
      <w:r w:rsidRPr="003E0B98">
        <w:rPr>
          <w:color w:val="000000"/>
          <w:szCs w:val="22"/>
          <w:lang w:val="es-ES"/>
        </w:rPr>
        <w:t>Lucentis</w:t>
      </w:r>
      <w:proofErr w:type="spellEnd"/>
      <w:r w:rsidRPr="003E0B98">
        <w:rPr>
          <w:color w:val="000000"/>
          <w:szCs w:val="22"/>
          <w:lang w:val="es-ES"/>
        </w:rPr>
        <w:t xml:space="preserve"> si bajo criterio </w:t>
      </w:r>
      <w:r w:rsidR="0066055A" w:rsidRPr="003E0B98">
        <w:rPr>
          <w:color w:val="000000"/>
          <w:szCs w:val="22"/>
          <w:lang w:val="es-ES"/>
        </w:rPr>
        <w:t xml:space="preserve">del </w:t>
      </w:r>
      <w:r w:rsidRPr="003E0B98">
        <w:rPr>
          <w:color w:val="000000"/>
          <w:szCs w:val="22"/>
          <w:lang w:val="es-ES"/>
        </w:rPr>
        <w:t>médico, los parámetros visuales y anatómicos indican que el paciente no se está beneficiando del tratamiento continuado.</w:t>
      </w:r>
    </w:p>
    <w:p w14:paraId="0CB10941" w14:textId="77777777" w:rsidR="00CF32EB" w:rsidRPr="003E0B98" w:rsidRDefault="00CF32EB" w:rsidP="004361AC">
      <w:pPr>
        <w:tabs>
          <w:tab w:val="clear" w:pos="567"/>
        </w:tabs>
        <w:spacing w:line="240" w:lineRule="auto"/>
        <w:rPr>
          <w:color w:val="000000"/>
          <w:szCs w:val="22"/>
          <w:lang w:val="es-ES"/>
        </w:rPr>
      </w:pPr>
    </w:p>
    <w:p w14:paraId="7EBCAAEC" w14:textId="77777777" w:rsidR="009A1312" w:rsidRPr="003E0B98" w:rsidRDefault="009A1312" w:rsidP="004361AC">
      <w:pPr>
        <w:tabs>
          <w:tab w:val="clear" w:pos="567"/>
        </w:tabs>
        <w:spacing w:line="240" w:lineRule="auto"/>
        <w:rPr>
          <w:color w:val="000000"/>
          <w:szCs w:val="22"/>
          <w:lang w:val="es-ES"/>
        </w:rPr>
      </w:pPr>
      <w:r w:rsidRPr="003E0B98">
        <w:rPr>
          <w:color w:val="000000"/>
          <w:szCs w:val="22"/>
          <w:lang w:val="es-ES"/>
        </w:rPr>
        <w:t xml:space="preserve">La monitorización para determinar la actividad de la enfermedad puede incluir examen clínico, </w:t>
      </w:r>
      <w:r w:rsidR="006E6A8D" w:rsidRPr="003E0B98">
        <w:rPr>
          <w:color w:val="000000"/>
          <w:szCs w:val="22"/>
          <w:lang w:val="es-ES"/>
        </w:rPr>
        <w:t xml:space="preserve">control funcional o técnicas de imagen (p. ej. </w:t>
      </w:r>
      <w:r w:rsidRPr="003E0B98">
        <w:rPr>
          <w:color w:val="000000"/>
          <w:szCs w:val="22"/>
          <w:lang w:val="es-ES"/>
        </w:rPr>
        <w:t>tomografía de coherencia óptica o angiografía con fluoresceína</w:t>
      </w:r>
      <w:r w:rsidR="006E6A8D" w:rsidRPr="003E0B98">
        <w:rPr>
          <w:color w:val="000000"/>
          <w:szCs w:val="22"/>
          <w:lang w:val="es-ES"/>
        </w:rPr>
        <w:t>)</w:t>
      </w:r>
      <w:r w:rsidRPr="003E0B98">
        <w:rPr>
          <w:color w:val="000000"/>
          <w:szCs w:val="22"/>
          <w:lang w:val="es-ES"/>
        </w:rPr>
        <w:t>.</w:t>
      </w:r>
    </w:p>
    <w:p w14:paraId="26F6154C" w14:textId="77777777" w:rsidR="006E6A8D" w:rsidRPr="003E0B98" w:rsidRDefault="006E6A8D" w:rsidP="004361AC">
      <w:pPr>
        <w:tabs>
          <w:tab w:val="clear" w:pos="567"/>
        </w:tabs>
        <w:spacing w:line="240" w:lineRule="auto"/>
        <w:rPr>
          <w:color w:val="000000"/>
          <w:szCs w:val="22"/>
          <w:lang w:val="es-ES"/>
        </w:rPr>
      </w:pPr>
    </w:p>
    <w:p w14:paraId="499BDE4C" w14:textId="472DA653" w:rsidR="006E6A8D" w:rsidRPr="003E0B98" w:rsidRDefault="006E6A8D" w:rsidP="004361AC">
      <w:pPr>
        <w:tabs>
          <w:tab w:val="clear" w:pos="567"/>
        </w:tabs>
        <w:spacing w:line="240" w:lineRule="auto"/>
        <w:rPr>
          <w:color w:val="000000"/>
          <w:szCs w:val="22"/>
          <w:lang w:val="es-ES"/>
        </w:rPr>
      </w:pPr>
      <w:r w:rsidRPr="003E0B98">
        <w:rPr>
          <w:color w:val="000000"/>
          <w:szCs w:val="22"/>
          <w:lang w:val="es-ES"/>
        </w:rPr>
        <w:t xml:space="preserve">Si </w:t>
      </w:r>
      <w:r w:rsidR="00E22CD4" w:rsidRPr="003E0B98">
        <w:rPr>
          <w:color w:val="000000"/>
          <w:szCs w:val="22"/>
          <w:lang w:val="es-ES"/>
        </w:rPr>
        <w:t xml:space="preserve">se está tratando a los pacientes </w:t>
      </w:r>
      <w:proofErr w:type="gramStart"/>
      <w:r w:rsidR="00E22CD4" w:rsidRPr="003E0B98">
        <w:rPr>
          <w:color w:val="000000"/>
          <w:szCs w:val="22"/>
          <w:lang w:val="es-ES"/>
        </w:rPr>
        <w:t>de acuerdo a</w:t>
      </w:r>
      <w:proofErr w:type="gramEnd"/>
      <w:r w:rsidR="00E22CD4" w:rsidRPr="003E0B98">
        <w:rPr>
          <w:color w:val="000000"/>
          <w:szCs w:val="22"/>
          <w:lang w:val="es-ES"/>
        </w:rPr>
        <w:t xml:space="preserve"> un régimen de tratar y extender, una vez se ha alcanzado la agudeza visual máxima y/o no hay</w:t>
      </w:r>
      <w:r w:rsidR="00563095" w:rsidRPr="003E0B98">
        <w:rPr>
          <w:color w:val="000000"/>
          <w:szCs w:val="22"/>
          <w:lang w:val="es-ES"/>
        </w:rPr>
        <w:t xml:space="preserve"> signo</w:t>
      </w:r>
      <w:r w:rsidR="00087B33" w:rsidRPr="003E0B98">
        <w:rPr>
          <w:color w:val="000000"/>
          <w:szCs w:val="22"/>
          <w:lang w:val="es-ES"/>
        </w:rPr>
        <w:t>s</w:t>
      </w:r>
      <w:r w:rsidR="00E22CD4" w:rsidRPr="003E0B98">
        <w:rPr>
          <w:color w:val="000000"/>
          <w:szCs w:val="22"/>
          <w:lang w:val="es-ES"/>
        </w:rPr>
        <w:t xml:space="preserve"> de actividad de</w:t>
      </w:r>
      <w:r w:rsidR="00563095" w:rsidRPr="003E0B98">
        <w:rPr>
          <w:color w:val="000000"/>
          <w:szCs w:val="22"/>
          <w:lang w:val="es-ES"/>
        </w:rPr>
        <w:t xml:space="preserve"> la enfermedad, los intervalos de tratamiento se pueden espaciar</w:t>
      </w:r>
      <w:r w:rsidR="00F91D84" w:rsidRPr="003E0B98">
        <w:rPr>
          <w:color w:val="000000"/>
          <w:szCs w:val="22"/>
          <w:lang w:val="es-ES"/>
        </w:rPr>
        <w:t xml:space="preserve"> de forma gradual</w:t>
      </w:r>
      <w:r w:rsidR="00563095" w:rsidRPr="003E0B98">
        <w:rPr>
          <w:color w:val="000000"/>
          <w:szCs w:val="22"/>
          <w:lang w:val="es-ES"/>
        </w:rPr>
        <w:t xml:space="preserve"> hasta que vuelvan a aparecer signos de actividad de la enfermedad o alteración visual. </w:t>
      </w:r>
      <w:r w:rsidR="007358E9" w:rsidRPr="003E0B98">
        <w:rPr>
          <w:color w:val="000000"/>
          <w:szCs w:val="22"/>
          <w:lang w:val="es-ES"/>
        </w:rPr>
        <w:t>En el caso de la DMAE exudativa e</w:t>
      </w:r>
      <w:r w:rsidR="00563095" w:rsidRPr="003E0B98">
        <w:rPr>
          <w:color w:val="000000"/>
          <w:szCs w:val="22"/>
          <w:lang w:val="es-ES"/>
        </w:rPr>
        <w:t>l intervalo de tratamiento</w:t>
      </w:r>
      <w:r w:rsidR="00F91D84" w:rsidRPr="003E0B98">
        <w:rPr>
          <w:color w:val="000000"/>
          <w:szCs w:val="22"/>
          <w:lang w:val="es-ES"/>
        </w:rPr>
        <w:t xml:space="preserve"> no debe espaciarse en </w:t>
      </w:r>
      <w:r w:rsidR="00563095" w:rsidRPr="003E0B98">
        <w:rPr>
          <w:color w:val="000000"/>
          <w:szCs w:val="22"/>
          <w:lang w:val="es-ES"/>
        </w:rPr>
        <w:t xml:space="preserve">más de dos semanas </w:t>
      </w:r>
      <w:r w:rsidR="007457BA" w:rsidRPr="003E0B98">
        <w:rPr>
          <w:color w:val="000000"/>
          <w:szCs w:val="22"/>
          <w:lang w:val="es-ES"/>
        </w:rPr>
        <w:t xml:space="preserve">cada vez </w:t>
      </w:r>
      <w:r w:rsidR="007358E9" w:rsidRPr="003E0B98">
        <w:rPr>
          <w:color w:val="000000"/>
          <w:szCs w:val="22"/>
          <w:lang w:val="es-ES"/>
        </w:rPr>
        <w:t xml:space="preserve">y </w:t>
      </w:r>
      <w:r w:rsidR="000E7795" w:rsidRPr="003E0B98">
        <w:rPr>
          <w:color w:val="000000"/>
          <w:szCs w:val="22"/>
          <w:lang w:val="es-ES"/>
        </w:rPr>
        <w:t>en el caso de</w:t>
      </w:r>
      <w:r w:rsidR="00B63AFD" w:rsidRPr="003E0B98">
        <w:rPr>
          <w:color w:val="000000"/>
          <w:szCs w:val="22"/>
          <w:lang w:val="es-ES"/>
        </w:rPr>
        <w:t>l</w:t>
      </w:r>
      <w:r w:rsidR="000E7795" w:rsidRPr="003E0B98">
        <w:rPr>
          <w:color w:val="000000"/>
          <w:szCs w:val="22"/>
          <w:lang w:val="es-ES"/>
        </w:rPr>
        <w:t xml:space="preserve"> EMD </w:t>
      </w:r>
      <w:r w:rsidR="00F91D84" w:rsidRPr="003E0B98">
        <w:rPr>
          <w:color w:val="000000"/>
          <w:szCs w:val="22"/>
          <w:lang w:val="es-ES"/>
        </w:rPr>
        <w:t>se puede espaciar</w:t>
      </w:r>
      <w:r w:rsidR="000E7795" w:rsidRPr="003E0B98">
        <w:rPr>
          <w:color w:val="000000"/>
          <w:szCs w:val="22"/>
          <w:lang w:val="es-ES"/>
        </w:rPr>
        <w:t xml:space="preserve"> hasta un mes</w:t>
      </w:r>
      <w:r w:rsidR="007457BA" w:rsidRPr="003E0B98">
        <w:rPr>
          <w:color w:val="000000"/>
          <w:szCs w:val="22"/>
          <w:lang w:val="es-ES"/>
        </w:rPr>
        <w:t xml:space="preserve"> cada vez</w:t>
      </w:r>
      <w:r w:rsidR="000E7795" w:rsidRPr="003E0B98">
        <w:rPr>
          <w:color w:val="000000"/>
          <w:szCs w:val="22"/>
          <w:lang w:val="es-ES"/>
        </w:rPr>
        <w:t xml:space="preserve">. </w:t>
      </w:r>
      <w:r w:rsidR="008A14C2" w:rsidRPr="003E0B98">
        <w:rPr>
          <w:color w:val="000000"/>
          <w:szCs w:val="22"/>
          <w:lang w:val="es-ES"/>
        </w:rPr>
        <w:t xml:space="preserve">Para la </w:t>
      </w:r>
      <w:r w:rsidR="00113D12" w:rsidRPr="003E0B98">
        <w:rPr>
          <w:color w:val="000000"/>
          <w:szCs w:val="22"/>
          <w:lang w:val="es-ES"/>
        </w:rPr>
        <w:t xml:space="preserve">RDP y la </w:t>
      </w:r>
      <w:r w:rsidR="008A14C2" w:rsidRPr="003E0B98">
        <w:rPr>
          <w:color w:val="000000"/>
          <w:szCs w:val="22"/>
          <w:lang w:val="es-ES"/>
        </w:rPr>
        <w:t>OVR</w:t>
      </w:r>
      <w:r w:rsidR="005F6012" w:rsidRPr="003E0B98">
        <w:rPr>
          <w:color w:val="000000"/>
          <w:szCs w:val="22"/>
          <w:lang w:val="es-ES"/>
        </w:rPr>
        <w:t xml:space="preserve">, los intervalos de tratamiento también pueden espaciarse de forma gradual, sin </w:t>
      </w:r>
      <w:proofErr w:type="gramStart"/>
      <w:r w:rsidR="005F6012" w:rsidRPr="003E0B98">
        <w:rPr>
          <w:color w:val="000000"/>
          <w:szCs w:val="22"/>
          <w:lang w:val="es-ES"/>
        </w:rPr>
        <w:t>embargo</w:t>
      </w:r>
      <w:proofErr w:type="gramEnd"/>
      <w:r w:rsidR="005F6012" w:rsidRPr="003E0B98">
        <w:rPr>
          <w:color w:val="000000"/>
          <w:szCs w:val="22"/>
          <w:lang w:val="es-ES"/>
        </w:rPr>
        <w:t xml:space="preserve"> </w:t>
      </w:r>
      <w:r w:rsidR="00467CF7" w:rsidRPr="003E0B98">
        <w:rPr>
          <w:color w:val="000000"/>
          <w:szCs w:val="22"/>
          <w:lang w:val="es-ES"/>
        </w:rPr>
        <w:t>los</w:t>
      </w:r>
      <w:r w:rsidR="005F6012" w:rsidRPr="003E0B98">
        <w:rPr>
          <w:color w:val="000000"/>
          <w:szCs w:val="22"/>
          <w:lang w:val="es-ES"/>
        </w:rPr>
        <w:t xml:space="preserve"> datos</w:t>
      </w:r>
      <w:r w:rsidR="00467CF7" w:rsidRPr="003E0B98">
        <w:rPr>
          <w:color w:val="000000"/>
          <w:szCs w:val="22"/>
          <w:lang w:val="es-ES"/>
        </w:rPr>
        <w:t xml:space="preserve"> que hay no son</w:t>
      </w:r>
      <w:r w:rsidR="005F6012" w:rsidRPr="003E0B98">
        <w:rPr>
          <w:color w:val="000000"/>
          <w:szCs w:val="22"/>
          <w:lang w:val="es-ES"/>
        </w:rPr>
        <w:t xml:space="preserve"> suficientes para determinar la duración de estos intervalos.</w:t>
      </w:r>
      <w:r w:rsidR="008A14C2" w:rsidRPr="003E0B98">
        <w:rPr>
          <w:color w:val="000000"/>
          <w:szCs w:val="22"/>
          <w:lang w:val="es-ES"/>
        </w:rPr>
        <w:t xml:space="preserve"> </w:t>
      </w:r>
      <w:r w:rsidR="000E7795" w:rsidRPr="003E0B98">
        <w:rPr>
          <w:color w:val="000000"/>
          <w:szCs w:val="22"/>
          <w:lang w:val="es-ES"/>
        </w:rPr>
        <w:t xml:space="preserve">Si vuelve a aparecer actividad de la enfermedad, </w:t>
      </w:r>
      <w:r w:rsidR="00B01F45" w:rsidRPr="003E0B98">
        <w:rPr>
          <w:color w:val="000000"/>
          <w:szCs w:val="22"/>
          <w:lang w:val="es-ES"/>
        </w:rPr>
        <w:t xml:space="preserve">se </w:t>
      </w:r>
      <w:r w:rsidR="000E7795" w:rsidRPr="003E0B98">
        <w:rPr>
          <w:color w:val="000000"/>
          <w:szCs w:val="22"/>
          <w:lang w:val="es-ES"/>
        </w:rPr>
        <w:t>debe acortar el intervalo de tratamiento de manera consecuente.</w:t>
      </w:r>
    </w:p>
    <w:p w14:paraId="7BABF3B4" w14:textId="77777777" w:rsidR="000E7795" w:rsidRPr="003E0B98" w:rsidRDefault="000E7795" w:rsidP="004361AC">
      <w:pPr>
        <w:tabs>
          <w:tab w:val="clear" w:pos="567"/>
        </w:tabs>
        <w:spacing w:line="240" w:lineRule="auto"/>
        <w:rPr>
          <w:color w:val="000000"/>
          <w:szCs w:val="22"/>
          <w:lang w:val="es-ES"/>
        </w:rPr>
      </w:pPr>
    </w:p>
    <w:p w14:paraId="0EB14864" w14:textId="77777777" w:rsidR="00DC4D78" w:rsidRPr="003E0B98" w:rsidRDefault="00DC4D78" w:rsidP="004361AC">
      <w:pPr>
        <w:tabs>
          <w:tab w:val="clear" w:pos="567"/>
        </w:tabs>
        <w:spacing w:line="240" w:lineRule="auto"/>
        <w:rPr>
          <w:color w:val="000000"/>
          <w:szCs w:val="22"/>
          <w:lang w:val="es-ES"/>
        </w:rPr>
      </w:pPr>
      <w:r w:rsidRPr="003E0B98">
        <w:rPr>
          <w:color w:val="000000"/>
          <w:szCs w:val="22"/>
          <w:lang w:val="es-ES"/>
        </w:rPr>
        <w:t>El tratamiento de la alteración visual</w:t>
      </w:r>
      <w:r w:rsidR="00AB4864" w:rsidRPr="003E0B98">
        <w:rPr>
          <w:color w:val="000000"/>
          <w:szCs w:val="22"/>
          <w:lang w:val="es-ES"/>
        </w:rPr>
        <w:t xml:space="preserve"> debida a </w:t>
      </w:r>
      <w:r w:rsidRPr="003E0B98">
        <w:rPr>
          <w:color w:val="000000"/>
          <w:szCs w:val="22"/>
          <w:lang w:val="es-ES"/>
        </w:rPr>
        <w:t xml:space="preserve">NVC se debe determinar </w:t>
      </w:r>
      <w:r w:rsidR="00460C31" w:rsidRPr="003E0B98">
        <w:rPr>
          <w:color w:val="000000"/>
          <w:szCs w:val="22"/>
          <w:lang w:val="es-ES"/>
        </w:rPr>
        <w:t>para cada paciente de forma individualizada e</w:t>
      </w:r>
      <w:r w:rsidRPr="003E0B98">
        <w:rPr>
          <w:color w:val="000000"/>
          <w:szCs w:val="22"/>
          <w:lang w:val="es-ES"/>
        </w:rPr>
        <w:t>n base a la actividad de la enfermedad.</w:t>
      </w:r>
      <w:r w:rsidR="003F3B96" w:rsidRPr="003E0B98">
        <w:rPr>
          <w:color w:val="000000"/>
          <w:szCs w:val="22"/>
          <w:lang w:val="es-ES"/>
        </w:rPr>
        <w:t xml:space="preserve"> Algunos pacientes pueden necesitar </w:t>
      </w:r>
      <w:r w:rsidR="00B47E2E" w:rsidRPr="003E0B98">
        <w:rPr>
          <w:color w:val="000000"/>
          <w:szCs w:val="22"/>
          <w:lang w:val="es-ES"/>
        </w:rPr>
        <w:t>sólo</w:t>
      </w:r>
      <w:r w:rsidR="003F3B96" w:rsidRPr="003E0B98">
        <w:rPr>
          <w:color w:val="000000"/>
          <w:szCs w:val="22"/>
          <w:lang w:val="es-ES"/>
        </w:rPr>
        <w:t xml:space="preserve"> una inyección durante los primeros 12 meses</w:t>
      </w:r>
      <w:r w:rsidR="007744CA" w:rsidRPr="003E0B98">
        <w:rPr>
          <w:color w:val="000000"/>
          <w:szCs w:val="22"/>
          <w:lang w:val="es-ES"/>
        </w:rPr>
        <w:t>;</w:t>
      </w:r>
      <w:r w:rsidR="003F3B96" w:rsidRPr="003E0B98">
        <w:rPr>
          <w:color w:val="000000"/>
          <w:szCs w:val="22"/>
          <w:lang w:val="es-ES"/>
        </w:rPr>
        <w:t xml:space="preserve"> otros pueden necesitar tratamiento con mayor frecuencia, incluyendo una inyección mensual.</w:t>
      </w:r>
      <w:r w:rsidRPr="003E0B98">
        <w:rPr>
          <w:color w:val="000000"/>
          <w:szCs w:val="22"/>
          <w:lang w:val="es-ES"/>
        </w:rPr>
        <w:t xml:space="preserve"> </w:t>
      </w:r>
      <w:r w:rsidR="007744CA" w:rsidRPr="003E0B98">
        <w:rPr>
          <w:color w:val="000000"/>
          <w:szCs w:val="22"/>
          <w:lang w:val="es-ES"/>
        </w:rPr>
        <w:t xml:space="preserve">En el caso de </w:t>
      </w:r>
      <w:r w:rsidR="003F3B96" w:rsidRPr="003E0B98">
        <w:rPr>
          <w:color w:val="000000"/>
          <w:szCs w:val="22"/>
          <w:lang w:val="es-ES"/>
        </w:rPr>
        <w:t xml:space="preserve">NVC secundaria a miopía patológica (MP), muchos pacientes pueden necesitar </w:t>
      </w:r>
      <w:r w:rsidR="00B47E2E" w:rsidRPr="003E0B98">
        <w:rPr>
          <w:color w:val="000000"/>
          <w:szCs w:val="22"/>
          <w:lang w:val="es-ES"/>
        </w:rPr>
        <w:t>sólo</w:t>
      </w:r>
      <w:r w:rsidR="003F3B96" w:rsidRPr="003E0B98">
        <w:rPr>
          <w:color w:val="000000"/>
          <w:szCs w:val="22"/>
          <w:lang w:val="es-ES"/>
        </w:rPr>
        <w:t xml:space="preserve"> una o dos inyecciones durante el primer año (ver sección 5.1).</w:t>
      </w:r>
    </w:p>
    <w:p w14:paraId="4232CB84" w14:textId="77777777" w:rsidR="002E5034" w:rsidRPr="003E0B98" w:rsidRDefault="002E5034" w:rsidP="004361AC">
      <w:pPr>
        <w:tabs>
          <w:tab w:val="clear" w:pos="567"/>
        </w:tabs>
        <w:spacing w:line="240" w:lineRule="auto"/>
        <w:rPr>
          <w:color w:val="000000"/>
          <w:szCs w:val="22"/>
          <w:lang w:val="es-ES"/>
        </w:rPr>
      </w:pPr>
    </w:p>
    <w:p w14:paraId="31B660B8" w14:textId="77777777" w:rsidR="002E5034" w:rsidRPr="003E0B98" w:rsidRDefault="002E5034" w:rsidP="004361AC">
      <w:pPr>
        <w:keepNext/>
        <w:tabs>
          <w:tab w:val="clear" w:pos="567"/>
        </w:tabs>
        <w:spacing w:line="240" w:lineRule="auto"/>
        <w:rPr>
          <w:i/>
          <w:color w:val="000000"/>
          <w:szCs w:val="22"/>
          <w:lang w:val="es-ES"/>
        </w:rPr>
      </w:pPr>
      <w:proofErr w:type="spellStart"/>
      <w:r w:rsidRPr="003E0B98">
        <w:rPr>
          <w:i/>
          <w:color w:val="000000"/>
          <w:szCs w:val="22"/>
          <w:lang w:val="es-ES"/>
        </w:rPr>
        <w:t>Lucentis</w:t>
      </w:r>
      <w:proofErr w:type="spellEnd"/>
      <w:r w:rsidRPr="003E0B98">
        <w:rPr>
          <w:i/>
          <w:color w:val="000000"/>
          <w:szCs w:val="22"/>
          <w:lang w:val="es-ES"/>
        </w:rPr>
        <w:t xml:space="preserve"> y fotocoagulación con láser en EMD y en edema macular secundario a oclusión de la rama venosa retiniana (ORVR)</w:t>
      </w:r>
    </w:p>
    <w:p w14:paraId="3CA93D8C" w14:textId="77777777" w:rsidR="002E5034" w:rsidRPr="003E0B98" w:rsidRDefault="002E5034" w:rsidP="004361AC">
      <w:pPr>
        <w:tabs>
          <w:tab w:val="clear" w:pos="567"/>
        </w:tabs>
        <w:spacing w:line="240" w:lineRule="auto"/>
        <w:rPr>
          <w:color w:val="000000"/>
          <w:szCs w:val="22"/>
          <w:lang w:val="es-ES"/>
        </w:rPr>
      </w:pPr>
      <w:r w:rsidRPr="003E0B98">
        <w:rPr>
          <w:color w:val="000000"/>
          <w:szCs w:val="22"/>
          <w:lang w:val="es-ES"/>
        </w:rPr>
        <w:t xml:space="preserve">Existe alguna experiencia con </w:t>
      </w:r>
      <w:proofErr w:type="spellStart"/>
      <w:r w:rsidRPr="003E0B98">
        <w:rPr>
          <w:color w:val="000000"/>
          <w:szCs w:val="22"/>
          <w:lang w:val="es-ES"/>
        </w:rPr>
        <w:t>Lucentis</w:t>
      </w:r>
      <w:proofErr w:type="spellEnd"/>
      <w:r w:rsidRPr="003E0B98">
        <w:rPr>
          <w:color w:val="000000"/>
          <w:szCs w:val="22"/>
          <w:lang w:val="es-ES"/>
        </w:rPr>
        <w:t xml:space="preserve"> administrado concomitantemente con fotocoagulación con láser (ver sección 5.1). Cuando se administren en el mismo día, </w:t>
      </w:r>
      <w:proofErr w:type="spellStart"/>
      <w:r w:rsidRPr="003E0B98">
        <w:rPr>
          <w:color w:val="000000"/>
          <w:szCs w:val="22"/>
          <w:lang w:val="es-ES"/>
        </w:rPr>
        <w:t>Lucentis</w:t>
      </w:r>
      <w:proofErr w:type="spellEnd"/>
      <w:r w:rsidRPr="003E0B98">
        <w:rPr>
          <w:color w:val="000000"/>
          <w:szCs w:val="22"/>
          <w:lang w:val="es-ES"/>
        </w:rPr>
        <w:t xml:space="preserve"> se debe administrar como mínimo 30 minutos después de la fotocoagulación con láser. </w:t>
      </w:r>
      <w:proofErr w:type="spellStart"/>
      <w:r w:rsidRPr="003E0B98">
        <w:rPr>
          <w:color w:val="000000"/>
          <w:szCs w:val="22"/>
          <w:lang w:val="es-ES"/>
        </w:rPr>
        <w:t>Lucentis</w:t>
      </w:r>
      <w:proofErr w:type="spellEnd"/>
      <w:r w:rsidRPr="003E0B98">
        <w:rPr>
          <w:color w:val="000000"/>
          <w:szCs w:val="22"/>
          <w:lang w:val="es-ES"/>
        </w:rPr>
        <w:t xml:space="preserve"> puede administrarse en pacientes que han recibido fotocoagulación con láser previamente.</w:t>
      </w:r>
    </w:p>
    <w:p w14:paraId="43AB015F" w14:textId="77777777" w:rsidR="002E5034" w:rsidRPr="003E0B98" w:rsidRDefault="002E5034" w:rsidP="004361AC">
      <w:pPr>
        <w:tabs>
          <w:tab w:val="clear" w:pos="567"/>
        </w:tabs>
        <w:spacing w:line="240" w:lineRule="auto"/>
        <w:rPr>
          <w:color w:val="000000"/>
          <w:szCs w:val="22"/>
          <w:lang w:val="es-ES_tradnl"/>
        </w:rPr>
      </w:pPr>
    </w:p>
    <w:p w14:paraId="1260675E" w14:textId="77777777" w:rsidR="002E5034" w:rsidRPr="003E0B98" w:rsidRDefault="002E5034" w:rsidP="004361AC">
      <w:pPr>
        <w:keepNext/>
        <w:tabs>
          <w:tab w:val="clear" w:pos="567"/>
        </w:tabs>
        <w:spacing w:line="240" w:lineRule="auto"/>
        <w:rPr>
          <w:i/>
          <w:color w:val="000000"/>
          <w:szCs w:val="22"/>
          <w:lang w:val="es-ES"/>
        </w:rPr>
      </w:pPr>
      <w:proofErr w:type="spellStart"/>
      <w:r w:rsidRPr="003E0B98">
        <w:rPr>
          <w:i/>
          <w:color w:val="000000"/>
          <w:szCs w:val="22"/>
          <w:lang w:val="es-ES"/>
        </w:rPr>
        <w:t>Lucentis</w:t>
      </w:r>
      <w:proofErr w:type="spellEnd"/>
      <w:r w:rsidRPr="003E0B98">
        <w:rPr>
          <w:i/>
          <w:color w:val="000000"/>
          <w:szCs w:val="22"/>
          <w:lang w:val="es-ES"/>
        </w:rPr>
        <w:t xml:space="preserve"> y la terapia fotodinámica con </w:t>
      </w:r>
      <w:proofErr w:type="spellStart"/>
      <w:r w:rsidR="00576109" w:rsidRPr="003E0B98">
        <w:rPr>
          <w:i/>
          <w:color w:val="000000"/>
          <w:szCs w:val="22"/>
          <w:lang w:val="es-ES"/>
        </w:rPr>
        <w:t>verteporfina</w:t>
      </w:r>
      <w:proofErr w:type="spellEnd"/>
      <w:r w:rsidRPr="003E0B98">
        <w:rPr>
          <w:i/>
          <w:color w:val="000000"/>
          <w:szCs w:val="22"/>
          <w:lang w:val="es-ES"/>
        </w:rPr>
        <w:t xml:space="preserve"> en la NVC secundaria a MP</w:t>
      </w:r>
    </w:p>
    <w:p w14:paraId="176A2A10" w14:textId="77777777" w:rsidR="002E5034" w:rsidRPr="003E0B98" w:rsidRDefault="002E5034" w:rsidP="004361AC">
      <w:pPr>
        <w:tabs>
          <w:tab w:val="clear" w:pos="567"/>
        </w:tabs>
        <w:spacing w:line="240" w:lineRule="auto"/>
        <w:rPr>
          <w:color w:val="000000"/>
          <w:szCs w:val="22"/>
          <w:lang w:val="es-ES"/>
        </w:rPr>
      </w:pPr>
      <w:r w:rsidRPr="003E0B98">
        <w:rPr>
          <w:color w:val="000000"/>
          <w:szCs w:val="22"/>
          <w:lang w:val="es-ES"/>
        </w:rPr>
        <w:t xml:space="preserve">No hay experiencia en la administración concomitante de </w:t>
      </w:r>
      <w:proofErr w:type="spellStart"/>
      <w:r w:rsidRPr="003E0B98">
        <w:rPr>
          <w:color w:val="000000"/>
          <w:szCs w:val="22"/>
          <w:lang w:val="es-ES"/>
        </w:rPr>
        <w:t>Lucentis</w:t>
      </w:r>
      <w:proofErr w:type="spellEnd"/>
      <w:r w:rsidRPr="003E0B98">
        <w:rPr>
          <w:color w:val="000000"/>
          <w:szCs w:val="22"/>
          <w:lang w:val="es-ES"/>
        </w:rPr>
        <w:t xml:space="preserve"> y </w:t>
      </w:r>
      <w:proofErr w:type="spellStart"/>
      <w:r w:rsidR="00576109" w:rsidRPr="003E0B98">
        <w:rPr>
          <w:color w:val="000000"/>
          <w:szCs w:val="22"/>
          <w:lang w:val="es-ES"/>
        </w:rPr>
        <w:t>verteporfina</w:t>
      </w:r>
      <w:proofErr w:type="spellEnd"/>
      <w:r w:rsidRPr="003E0B98">
        <w:rPr>
          <w:color w:val="000000"/>
          <w:szCs w:val="22"/>
          <w:lang w:val="es-ES"/>
        </w:rPr>
        <w:t>.</w:t>
      </w:r>
    </w:p>
    <w:p w14:paraId="5EDC6208" w14:textId="77777777" w:rsidR="002E5034" w:rsidRPr="003E0B98" w:rsidRDefault="002E5034" w:rsidP="004361AC">
      <w:pPr>
        <w:tabs>
          <w:tab w:val="clear" w:pos="567"/>
        </w:tabs>
        <w:spacing w:line="240" w:lineRule="auto"/>
        <w:rPr>
          <w:color w:val="000000"/>
          <w:szCs w:val="22"/>
          <w:lang w:val="es-ES_tradnl"/>
        </w:rPr>
      </w:pPr>
    </w:p>
    <w:p w14:paraId="47A9ABEA" w14:textId="77777777" w:rsidR="0004377D" w:rsidRPr="003E0B98" w:rsidRDefault="0004377D" w:rsidP="004361AC">
      <w:pPr>
        <w:keepNext/>
        <w:tabs>
          <w:tab w:val="clear" w:pos="567"/>
        </w:tabs>
        <w:spacing w:line="240" w:lineRule="auto"/>
        <w:rPr>
          <w:i/>
          <w:color w:val="000000"/>
          <w:szCs w:val="22"/>
          <w:u w:val="single"/>
          <w:lang w:val="es-ES_tradnl"/>
        </w:rPr>
      </w:pPr>
      <w:r w:rsidRPr="003E0B98">
        <w:rPr>
          <w:i/>
          <w:color w:val="000000"/>
          <w:szCs w:val="22"/>
          <w:u w:val="single"/>
          <w:lang w:val="es-ES_tradnl"/>
        </w:rPr>
        <w:t xml:space="preserve">Recién nacidos </w:t>
      </w:r>
      <w:r w:rsidR="003400BD" w:rsidRPr="003E0B98">
        <w:rPr>
          <w:i/>
          <w:color w:val="000000"/>
          <w:szCs w:val="22"/>
          <w:u w:val="single"/>
          <w:lang w:val="es-ES_tradnl"/>
        </w:rPr>
        <w:t>pretérmino</w:t>
      </w:r>
    </w:p>
    <w:p w14:paraId="53351622" w14:textId="07CA6626" w:rsidR="0004377D" w:rsidRPr="003E0B98" w:rsidRDefault="0004377D" w:rsidP="004361AC">
      <w:pPr>
        <w:tabs>
          <w:tab w:val="clear" w:pos="567"/>
        </w:tabs>
        <w:spacing w:line="240" w:lineRule="auto"/>
        <w:rPr>
          <w:color w:val="000000"/>
          <w:szCs w:val="22"/>
          <w:lang w:val="es-ES"/>
        </w:rPr>
      </w:pPr>
      <w:r w:rsidRPr="003E0B98">
        <w:rPr>
          <w:color w:val="000000"/>
          <w:szCs w:val="22"/>
          <w:lang w:val="es-ES"/>
        </w:rPr>
        <w:t xml:space="preserve">La dosis recomendada para </w:t>
      </w:r>
      <w:proofErr w:type="spellStart"/>
      <w:r w:rsidRPr="003E0B98">
        <w:rPr>
          <w:color w:val="000000"/>
          <w:szCs w:val="22"/>
          <w:lang w:val="es-ES"/>
        </w:rPr>
        <w:t>Lucentis</w:t>
      </w:r>
      <w:proofErr w:type="spellEnd"/>
      <w:r w:rsidRPr="003E0B98">
        <w:rPr>
          <w:color w:val="000000"/>
          <w:szCs w:val="22"/>
          <w:lang w:val="es-ES"/>
        </w:rPr>
        <w:t xml:space="preserve"> en </w:t>
      </w:r>
      <w:r w:rsidR="00B40857" w:rsidRPr="003E0B98">
        <w:rPr>
          <w:color w:val="000000"/>
          <w:szCs w:val="22"/>
          <w:lang w:val="es-ES"/>
        </w:rPr>
        <w:t>recién nacidos</w:t>
      </w:r>
      <w:r w:rsidRPr="003E0B98">
        <w:rPr>
          <w:color w:val="000000"/>
          <w:szCs w:val="22"/>
          <w:lang w:val="es-ES"/>
        </w:rPr>
        <w:t xml:space="preserve"> </w:t>
      </w:r>
      <w:r w:rsidR="003400BD" w:rsidRPr="003E0B98">
        <w:rPr>
          <w:color w:val="000000"/>
          <w:szCs w:val="22"/>
          <w:lang w:val="es-ES"/>
        </w:rPr>
        <w:t>pretérmino</w:t>
      </w:r>
      <w:r w:rsidRPr="003E0B98">
        <w:rPr>
          <w:color w:val="000000"/>
          <w:szCs w:val="22"/>
          <w:lang w:val="es-ES"/>
        </w:rPr>
        <w:t xml:space="preserve"> es 0,2</w:t>
      </w:r>
      <w:r w:rsidR="00B40857" w:rsidRPr="003E0B98">
        <w:rPr>
          <w:color w:val="000000"/>
          <w:szCs w:val="22"/>
          <w:lang w:val="es-ES"/>
        </w:rPr>
        <w:t> </w:t>
      </w:r>
      <w:r w:rsidRPr="003E0B98">
        <w:rPr>
          <w:color w:val="000000"/>
          <w:szCs w:val="22"/>
          <w:lang w:val="es-ES"/>
        </w:rPr>
        <w:t xml:space="preserve">mg administrados como </w:t>
      </w:r>
      <w:r w:rsidR="00B40857" w:rsidRPr="003E0B98">
        <w:rPr>
          <w:color w:val="000000"/>
          <w:szCs w:val="22"/>
          <w:lang w:val="es-ES"/>
        </w:rPr>
        <w:t xml:space="preserve">una </w:t>
      </w:r>
      <w:r w:rsidRPr="003E0B98">
        <w:rPr>
          <w:color w:val="000000"/>
          <w:szCs w:val="22"/>
          <w:lang w:val="es-ES"/>
        </w:rPr>
        <w:t xml:space="preserve">inyección intravítrea. Esto corresponde a </w:t>
      </w:r>
      <w:r w:rsidR="00B40857" w:rsidRPr="003E0B98">
        <w:rPr>
          <w:color w:val="000000"/>
          <w:szCs w:val="22"/>
          <w:lang w:val="es-ES"/>
        </w:rPr>
        <w:t>un volumen de inyección de 0,02 </w:t>
      </w:r>
      <w:r w:rsidRPr="003E0B98">
        <w:rPr>
          <w:color w:val="000000"/>
          <w:szCs w:val="22"/>
          <w:lang w:val="es-ES"/>
        </w:rPr>
        <w:t xml:space="preserve">ml. En los </w:t>
      </w:r>
      <w:r w:rsidR="00B40857" w:rsidRPr="003E0B98">
        <w:rPr>
          <w:color w:val="000000"/>
          <w:szCs w:val="22"/>
          <w:lang w:val="es-ES"/>
        </w:rPr>
        <w:t>recién nacidos</w:t>
      </w:r>
      <w:r w:rsidRPr="003E0B98">
        <w:rPr>
          <w:color w:val="000000"/>
          <w:szCs w:val="22"/>
          <w:lang w:val="es-ES"/>
        </w:rPr>
        <w:t xml:space="preserve"> </w:t>
      </w:r>
      <w:r w:rsidR="003400BD" w:rsidRPr="003E0B98">
        <w:rPr>
          <w:color w:val="000000"/>
          <w:szCs w:val="22"/>
          <w:lang w:val="es-ES"/>
        </w:rPr>
        <w:t>pretérmino</w:t>
      </w:r>
      <w:r w:rsidRPr="003E0B98">
        <w:rPr>
          <w:color w:val="000000"/>
          <w:szCs w:val="22"/>
          <w:lang w:val="es-ES"/>
        </w:rPr>
        <w:t xml:space="preserve">, el tratamiento de </w:t>
      </w:r>
      <w:r w:rsidR="00B40857" w:rsidRPr="003E0B98">
        <w:rPr>
          <w:color w:val="000000"/>
          <w:szCs w:val="22"/>
          <w:lang w:val="es-ES"/>
        </w:rPr>
        <w:t xml:space="preserve">la </w:t>
      </w:r>
      <w:r w:rsidR="00153893" w:rsidRPr="003E0B98">
        <w:rPr>
          <w:color w:val="000000"/>
          <w:szCs w:val="22"/>
          <w:lang w:val="es-ES"/>
        </w:rPr>
        <w:t>R</w:t>
      </w:r>
      <w:r w:rsidR="00714C3D" w:rsidRPr="003E0B98">
        <w:rPr>
          <w:color w:val="000000"/>
          <w:szCs w:val="22"/>
          <w:lang w:val="es-ES"/>
        </w:rPr>
        <w:t>O</w:t>
      </w:r>
      <w:r w:rsidR="00153893" w:rsidRPr="003E0B98">
        <w:rPr>
          <w:color w:val="000000"/>
          <w:szCs w:val="22"/>
          <w:lang w:val="es-ES"/>
        </w:rPr>
        <w:t>P</w:t>
      </w:r>
      <w:r w:rsidRPr="003E0B98">
        <w:rPr>
          <w:color w:val="000000"/>
          <w:szCs w:val="22"/>
          <w:lang w:val="es-ES"/>
        </w:rPr>
        <w:t xml:space="preserve"> se inicia con una </w:t>
      </w:r>
      <w:r w:rsidR="004B5AAE" w:rsidRPr="003E0B98">
        <w:rPr>
          <w:color w:val="000000"/>
          <w:szCs w:val="22"/>
          <w:lang w:val="es-ES"/>
        </w:rPr>
        <w:t>única</w:t>
      </w:r>
      <w:r w:rsidRPr="003E0B98">
        <w:rPr>
          <w:color w:val="000000"/>
          <w:szCs w:val="22"/>
          <w:lang w:val="es-ES"/>
        </w:rPr>
        <w:t xml:space="preserve"> inyección por ojo y se puede administrar bilateralmente el mismo día. En total, se pueden administrar hasta tres inyecciones por ojo dentro de los seis meses posteriores al inicio del tratamiento si </w:t>
      </w:r>
      <w:r w:rsidR="007950ED" w:rsidRPr="003E0B98">
        <w:rPr>
          <w:color w:val="000000"/>
          <w:szCs w:val="22"/>
          <w:lang w:val="es-ES"/>
        </w:rPr>
        <w:t>se presentan</w:t>
      </w:r>
      <w:r w:rsidRPr="003E0B98">
        <w:rPr>
          <w:color w:val="000000"/>
          <w:szCs w:val="22"/>
          <w:lang w:val="es-ES"/>
        </w:rPr>
        <w:t xml:space="preserve"> signos de actividad de la enfermedad. La mayoría de los pacientes (78%) en el </w:t>
      </w:r>
      <w:r w:rsidR="00B40857" w:rsidRPr="003E0B98">
        <w:rPr>
          <w:color w:val="000000"/>
          <w:szCs w:val="22"/>
          <w:lang w:val="es-ES"/>
        </w:rPr>
        <w:t>ensayo</w:t>
      </w:r>
      <w:r w:rsidRPr="003E0B98">
        <w:rPr>
          <w:color w:val="000000"/>
          <w:szCs w:val="22"/>
          <w:lang w:val="es-ES"/>
        </w:rPr>
        <w:t xml:space="preserve"> clínico </w:t>
      </w:r>
      <w:r w:rsidR="00DA1C7A">
        <w:rPr>
          <w:color w:val="000000"/>
          <w:szCs w:val="22"/>
          <w:lang w:val="es-ES"/>
        </w:rPr>
        <w:t>RAINBOW de 24</w:t>
      </w:r>
      <w:r w:rsidR="00707E0E">
        <w:rPr>
          <w:color w:val="000000"/>
          <w:szCs w:val="22"/>
          <w:lang w:val="es-ES"/>
        </w:rPr>
        <w:t> </w:t>
      </w:r>
      <w:r w:rsidR="00DA1C7A">
        <w:rPr>
          <w:color w:val="000000"/>
          <w:szCs w:val="22"/>
          <w:lang w:val="es-ES"/>
        </w:rPr>
        <w:t xml:space="preserve">semanas </w:t>
      </w:r>
      <w:r w:rsidRPr="003E0B98">
        <w:rPr>
          <w:color w:val="000000"/>
          <w:szCs w:val="22"/>
          <w:lang w:val="es-ES"/>
        </w:rPr>
        <w:t xml:space="preserve">recibieron una inyección por ojo. </w:t>
      </w:r>
      <w:r w:rsidR="00DA1C7A" w:rsidRPr="00DA1C7A">
        <w:rPr>
          <w:color w:val="000000"/>
          <w:szCs w:val="22"/>
          <w:lang w:val="es-ES"/>
        </w:rPr>
        <w:t>Los pacientes que fueron tratados con 0,2</w:t>
      </w:r>
      <w:r w:rsidR="00DA1C7A">
        <w:rPr>
          <w:color w:val="000000"/>
          <w:szCs w:val="22"/>
          <w:lang w:val="es-ES"/>
        </w:rPr>
        <w:t> </w:t>
      </w:r>
      <w:r w:rsidR="00DA1C7A" w:rsidRPr="00DA1C7A">
        <w:rPr>
          <w:color w:val="000000"/>
          <w:szCs w:val="22"/>
          <w:lang w:val="es-ES"/>
        </w:rPr>
        <w:t xml:space="preserve">mg en este </w:t>
      </w:r>
      <w:r w:rsidR="00DA1C7A">
        <w:rPr>
          <w:color w:val="000000"/>
          <w:szCs w:val="22"/>
          <w:lang w:val="es-ES"/>
        </w:rPr>
        <w:t>ensayo</w:t>
      </w:r>
      <w:r w:rsidR="00DA1C7A" w:rsidRPr="00DA1C7A">
        <w:rPr>
          <w:color w:val="000000"/>
          <w:szCs w:val="22"/>
          <w:lang w:val="es-ES"/>
        </w:rPr>
        <w:t xml:space="preserve"> clínico no requirieron tratamiento adicional en el posterior estudio de extensión a largo plazo que siguió a los pacientes hasta los cinco </w:t>
      </w:r>
      <w:proofErr w:type="gramStart"/>
      <w:r w:rsidR="00DA1C7A" w:rsidRPr="00DA1C7A">
        <w:rPr>
          <w:color w:val="000000"/>
          <w:szCs w:val="22"/>
          <w:lang w:val="es-ES"/>
        </w:rPr>
        <w:t>años de edad</w:t>
      </w:r>
      <w:proofErr w:type="gramEnd"/>
      <w:r w:rsidR="00DA1C7A" w:rsidRPr="00DA1C7A">
        <w:rPr>
          <w:color w:val="000000"/>
          <w:szCs w:val="22"/>
          <w:lang w:val="es-ES"/>
        </w:rPr>
        <w:t xml:space="preserve"> (ver sección</w:t>
      </w:r>
      <w:r w:rsidR="00DA1C7A">
        <w:rPr>
          <w:color w:val="000000"/>
          <w:szCs w:val="22"/>
          <w:lang w:val="es-ES"/>
        </w:rPr>
        <w:t> </w:t>
      </w:r>
      <w:r w:rsidR="00DA1C7A" w:rsidRPr="00DA1C7A">
        <w:rPr>
          <w:color w:val="000000"/>
          <w:szCs w:val="22"/>
          <w:lang w:val="es-ES"/>
        </w:rPr>
        <w:t>5.1).</w:t>
      </w:r>
      <w:r w:rsidR="00DA1C7A">
        <w:rPr>
          <w:color w:val="000000"/>
          <w:szCs w:val="22"/>
          <w:lang w:val="es-ES"/>
        </w:rPr>
        <w:t xml:space="preserve"> </w:t>
      </w:r>
      <w:r w:rsidRPr="003E0B98">
        <w:rPr>
          <w:color w:val="000000"/>
          <w:szCs w:val="22"/>
          <w:lang w:val="es-ES"/>
        </w:rPr>
        <w:t xml:space="preserve">No se ha estudiado la administración de más de tres inyecciones por ojo. El intervalo entre dos dosis inyectadas en el mismo ojo debe ser </w:t>
      </w:r>
      <w:r w:rsidR="00134261" w:rsidRPr="003E0B98">
        <w:rPr>
          <w:color w:val="000000"/>
          <w:szCs w:val="22"/>
          <w:lang w:val="es-ES"/>
        </w:rPr>
        <w:t>como mínimo de</w:t>
      </w:r>
      <w:r w:rsidRPr="003E0B98">
        <w:rPr>
          <w:color w:val="000000"/>
          <w:szCs w:val="22"/>
          <w:lang w:val="es-ES"/>
        </w:rPr>
        <w:t xml:space="preserve"> cuatro semanas.</w:t>
      </w:r>
    </w:p>
    <w:p w14:paraId="369F064C" w14:textId="77777777" w:rsidR="0004377D" w:rsidRPr="003E0B98" w:rsidRDefault="0004377D" w:rsidP="004361AC">
      <w:pPr>
        <w:tabs>
          <w:tab w:val="clear" w:pos="567"/>
        </w:tabs>
        <w:spacing w:line="240" w:lineRule="auto"/>
        <w:rPr>
          <w:color w:val="000000"/>
          <w:szCs w:val="22"/>
          <w:lang w:val="es-ES"/>
        </w:rPr>
      </w:pPr>
    </w:p>
    <w:p w14:paraId="0DC15353" w14:textId="77777777" w:rsidR="002E5034" w:rsidRPr="003E0B98" w:rsidRDefault="002E5034" w:rsidP="004361AC">
      <w:pPr>
        <w:keepNext/>
        <w:tabs>
          <w:tab w:val="clear" w:pos="567"/>
        </w:tabs>
        <w:spacing w:line="240" w:lineRule="auto"/>
        <w:rPr>
          <w:i/>
          <w:color w:val="000000"/>
          <w:szCs w:val="22"/>
          <w:u w:val="single"/>
          <w:lang w:val="es-ES"/>
        </w:rPr>
      </w:pPr>
      <w:r w:rsidRPr="003E0B98">
        <w:rPr>
          <w:i/>
          <w:color w:val="000000"/>
          <w:szCs w:val="22"/>
          <w:u w:val="single"/>
          <w:lang w:val="es-ES"/>
        </w:rPr>
        <w:t>Poblaciones especiales</w:t>
      </w:r>
    </w:p>
    <w:p w14:paraId="4CA65617" w14:textId="77777777" w:rsidR="002E5034" w:rsidRPr="003E0B98" w:rsidRDefault="002E5034" w:rsidP="004361AC">
      <w:pPr>
        <w:keepNext/>
        <w:tabs>
          <w:tab w:val="clear" w:pos="567"/>
        </w:tabs>
        <w:spacing w:line="240" w:lineRule="auto"/>
        <w:rPr>
          <w:i/>
          <w:color w:val="000000"/>
          <w:szCs w:val="22"/>
          <w:lang w:val="es-ES"/>
        </w:rPr>
      </w:pPr>
      <w:r w:rsidRPr="003E0B98">
        <w:rPr>
          <w:i/>
          <w:color w:val="000000"/>
          <w:szCs w:val="22"/>
          <w:lang w:val="es-ES"/>
        </w:rPr>
        <w:t>Insuficiencia hepática</w:t>
      </w:r>
    </w:p>
    <w:p w14:paraId="2441A060" w14:textId="77777777" w:rsidR="002E5034" w:rsidRPr="003E0B98" w:rsidRDefault="002E5034" w:rsidP="004361AC">
      <w:pPr>
        <w:tabs>
          <w:tab w:val="clear" w:pos="567"/>
        </w:tabs>
        <w:spacing w:line="240" w:lineRule="auto"/>
        <w:rPr>
          <w:color w:val="000000"/>
          <w:szCs w:val="22"/>
          <w:lang w:val="es-ES"/>
        </w:rPr>
      </w:pPr>
      <w:proofErr w:type="spellStart"/>
      <w:r w:rsidRPr="003E0B98">
        <w:rPr>
          <w:color w:val="000000"/>
          <w:szCs w:val="22"/>
          <w:lang w:val="es-ES"/>
        </w:rPr>
        <w:t>Lucentis</w:t>
      </w:r>
      <w:proofErr w:type="spellEnd"/>
      <w:r w:rsidRPr="003E0B98">
        <w:rPr>
          <w:color w:val="000000"/>
          <w:szCs w:val="22"/>
          <w:lang w:val="es-ES"/>
        </w:rPr>
        <w:t xml:space="preserve"> no ha sido estudiado en pacientes con insuficiencia hepática. Sin embargo, no es necesaria ninguna consideración especial en esta población.</w:t>
      </w:r>
    </w:p>
    <w:p w14:paraId="04B24B8F" w14:textId="77777777" w:rsidR="002E5034" w:rsidRPr="003E0B98" w:rsidRDefault="002E5034" w:rsidP="004361AC">
      <w:pPr>
        <w:tabs>
          <w:tab w:val="clear" w:pos="567"/>
        </w:tabs>
        <w:spacing w:line="240" w:lineRule="auto"/>
        <w:rPr>
          <w:color w:val="000000"/>
          <w:szCs w:val="22"/>
          <w:lang w:val="es-ES"/>
        </w:rPr>
      </w:pPr>
    </w:p>
    <w:p w14:paraId="470967C5" w14:textId="77777777" w:rsidR="002E5034" w:rsidRPr="003E0B98" w:rsidRDefault="002E5034" w:rsidP="004361AC">
      <w:pPr>
        <w:keepNext/>
        <w:tabs>
          <w:tab w:val="clear" w:pos="567"/>
        </w:tabs>
        <w:spacing w:line="240" w:lineRule="auto"/>
        <w:rPr>
          <w:i/>
          <w:color w:val="000000"/>
          <w:szCs w:val="22"/>
          <w:lang w:val="es-ES_tradnl"/>
        </w:rPr>
      </w:pPr>
      <w:r w:rsidRPr="003E0B98">
        <w:rPr>
          <w:i/>
          <w:color w:val="000000"/>
          <w:szCs w:val="22"/>
          <w:lang w:val="es-ES"/>
        </w:rPr>
        <w:t>Insuficiencia</w:t>
      </w:r>
      <w:r w:rsidRPr="003E0B98">
        <w:rPr>
          <w:i/>
          <w:color w:val="000000"/>
          <w:szCs w:val="22"/>
          <w:lang w:val="es-ES_tradnl"/>
        </w:rPr>
        <w:t xml:space="preserve"> renal</w:t>
      </w:r>
    </w:p>
    <w:p w14:paraId="4EDEBA98" w14:textId="77777777" w:rsidR="002E5034" w:rsidRPr="003E0B98" w:rsidRDefault="002E5034" w:rsidP="004361AC">
      <w:pPr>
        <w:tabs>
          <w:tab w:val="clear" w:pos="567"/>
        </w:tabs>
        <w:spacing w:line="240" w:lineRule="auto"/>
        <w:rPr>
          <w:color w:val="000000"/>
          <w:szCs w:val="22"/>
          <w:lang w:val="es-ES"/>
        </w:rPr>
      </w:pPr>
      <w:r w:rsidRPr="003E0B98">
        <w:rPr>
          <w:color w:val="000000"/>
          <w:szCs w:val="22"/>
          <w:lang w:val="es-ES"/>
        </w:rPr>
        <w:t>No es necesario ningún ajuste de la dosis en pacientes con insuficiencia renal (ver sección 5.2).</w:t>
      </w:r>
    </w:p>
    <w:p w14:paraId="51A944BD" w14:textId="77777777" w:rsidR="002E5034" w:rsidRPr="003E0B98" w:rsidRDefault="002E5034" w:rsidP="004361AC">
      <w:pPr>
        <w:tabs>
          <w:tab w:val="clear" w:pos="567"/>
        </w:tabs>
        <w:spacing w:line="240" w:lineRule="auto"/>
        <w:rPr>
          <w:color w:val="000000"/>
          <w:szCs w:val="22"/>
          <w:lang w:val="es-ES"/>
        </w:rPr>
      </w:pPr>
    </w:p>
    <w:p w14:paraId="65BEF999" w14:textId="77777777" w:rsidR="002E5034" w:rsidRPr="003E0B98" w:rsidRDefault="002E5034" w:rsidP="004361AC">
      <w:pPr>
        <w:keepNext/>
        <w:tabs>
          <w:tab w:val="clear" w:pos="567"/>
        </w:tabs>
        <w:spacing w:line="240" w:lineRule="auto"/>
        <w:rPr>
          <w:i/>
          <w:color w:val="000000"/>
          <w:szCs w:val="22"/>
          <w:lang w:val="es-ES"/>
        </w:rPr>
      </w:pPr>
      <w:r w:rsidRPr="003E0B98">
        <w:rPr>
          <w:i/>
          <w:color w:val="000000"/>
          <w:szCs w:val="22"/>
          <w:lang w:val="es-ES"/>
        </w:rPr>
        <w:t>Pacientes de edad avanzada</w:t>
      </w:r>
    </w:p>
    <w:p w14:paraId="6A7A54D8" w14:textId="77777777" w:rsidR="002E5034" w:rsidRPr="003E0B98" w:rsidRDefault="002E5034" w:rsidP="004361AC">
      <w:pPr>
        <w:tabs>
          <w:tab w:val="clear" w:pos="567"/>
        </w:tabs>
        <w:spacing w:line="240" w:lineRule="auto"/>
        <w:rPr>
          <w:color w:val="000000"/>
          <w:szCs w:val="22"/>
          <w:lang w:val="es-ES"/>
        </w:rPr>
      </w:pPr>
      <w:r w:rsidRPr="003E0B98">
        <w:rPr>
          <w:color w:val="000000"/>
          <w:szCs w:val="22"/>
          <w:lang w:val="es-ES"/>
        </w:rPr>
        <w:t xml:space="preserve">No se requiere ningún ajuste de la dosis </w:t>
      </w:r>
      <w:r w:rsidRPr="003E0B98">
        <w:rPr>
          <w:color w:val="000000"/>
          <w:lang w:val="es-ES"/>
        </w:rPr>
        <w:t>en pacientes de edad avanzada. Existe experiencia limitada en pacientes con EMD mayores de 75 años.</w:t>
      </w:r>
    </w:p>
    <w:p w14:paraId="7215E2BE" w14:textId="77777777" w:rsidR="002E5034" w:rsidRPr="003E0B98" w:rsidRDefault="002E5034" w:rsidP="004361AC">
      <w:pPr>
        <w:tabs>
          <w:tab w:val="clear" w:pos="567"/>
        </w:tabs>
        <w:spacing w:line="240" w:lineRule="auto"/>
        <w:rPr>
          <w:color w:val="000000"/>
          <w:szCs w:val="22"/>
          <w:lang w:val="es-ES"/>
        </w:rPr>
      </w:pPr>
    </w:p>
    <w:p w14:paraId="4CA89207" w14:textId="77777777" w:rsidR="002E5034" w:rsidRPr="003E0B98" w:rsidRDefault="002E5034" w:rsidP="004361AC">
      <w:pPr>
        <w:keepNext/>
        <w:tabs>
          <w:tab w:val="clear" w:pos="567"/>
        </w:tabs>
        <w:spacing w:line="240" w:lineRule="auto"/>
        <w:rPr>
          <w:i/>
          <w:color w:val="000000"/>
          <w:szCs w:val="22"/>
          <w:lang w:val="es-ES_tradnl"/>
        </w:rPr>
      </w:pPr>
      <w:r w:rsidRPr="003E0B98">
        <w:rPr>
          <w:i/>
          <w:color w:val="000000"/>
          <w:szCs w:val="22"/>
          <w:lang w:val="es-ES_tradnl"/>
        </w:rPr>
        <w:t>Población pediátrica</w:t>
      </w:r>
    </w:p>
    <w:p w14:paraId="79F6EBE2" w14:textId="77777777" w:rsidR="00E907F2" w:rsidRPr="003E0B98" w:rsidRDefault="00E907F2" w:rsidP="004361AC">
      <w:pPr>
        <w:tabs>
          <w:tab w:val="clear" w:pos="567"/>
        </w:tabs>
        <w:spacing w:line="240" w:lineRule="auto"/>
        <w:rPr>
          <w:color w:val="000000"/>
          <w:szCs w:val="22"/>
          <w:lang w:val="es-ES"/>
        </w:rPr>
      </w:pPr>
      <w:r w:rsidRPr="003E0B98">
        <w:rPr>
          <w:color w:val="000000"/>
          <w:szCs w:val="22"/>
          <w:lang w:val="es-ES"/>
        </w:rPr>
        <w:t xml:space="preserve">No se ha establecido la seguridad y eficacia de </w:t>
      </w:r>
      <w:proofErr w:type="spellStart"/>
      <w:r w:rsidRPr="003E0B98">
        <w:rPr>
          <w:color w:val="000000"/>
          <w:szCs w:val="22"/>
          <w:lang w:val="es-ES"/>
        </w:rPr>
        <w:t>Lucentis</w:t>
      </w:r>
      <w:proofErr w:type="spellEnd"/>
      <w:r w:rsidRPr="003E0B98">
        <w:rPr>
          <w:color w:val="000000"/>
          <w:szCs w:val="22"/>
          <w:lang w:val="es-ES"/>
        </w:rPr>
        <w:t xml:space="preserve"> en niños y adolescentes menores de 18 años</w:t>
      </w:r>
      <w:r w:rsidR="00B550FF" w:rsidRPr="003E0B98">
        <w:rPr>
          <w:color w:val="000000"/>
          <w:szCs w:val="22"/>
          <w:lang w:val="es-ES"/>
        </w:rPr>
        <w:t xml:space="preserve"> para </w:t>
      </w:r>
      <w:r w:rsidR="004B5AAE" w:rsidRPr="003E0B98">
        <w:rPr>
          <w:color w:val="000000"/>
          <w:szCs w:val="22"/>
          <w:lang w:val="es-ES"/>
        </w:rPr>
        <w:t xml:space="preserve">las </w:t>
      </w:r>
      <w:r w:rsidR="00B550FF" w:rsidRPr="003E0B98">
        <w:rPr>
          <w:color w:val="000000"/>
          <w:szCs w:val="22"/>
          <w:lang w:val="es-ES"/>
        </w:rPr>
        <w:t>indicaciones distintas a la retinopatía del prematuro</w:t>
      </w:r>
      <w:r w:rsidRPr="003E0B98">
        <w:rPr>
          <w:color w:val="000000"/>
          <w:szCs w:val="22"/>
          <w:lang w:val="es-ES"/>
        </w:rPr>
        <w:t xml:space="preserve">. </w:t>
      </w:r>
      <w:r w:rsidR="00ED753F" w:rsidRPr="003E0B98">
        <w:rPr>
          <w:color w:val="000000"/>
          <w:szCs w:val="22"/>
          <w:lang w:val="es-ES"/>
        </w:rPr>
        <w:t>Los datos disponibles en pacientes adolescentes de 12 a 17 años con alteración visual debida a</w:t>
      </w:r>
      <w:r w:rsidR="00AB4864" w:rsidRPr="003E0B98">
        <w:rPr>
          <w:color w:val="000000"/>
          <w:szCs w:val="22"/>
          <w:lang w:val="es-ES"/>
        </w:rPr>
        <w:t xml:space="preserve"> </w:t>
      </w:r>
      <w:r w:rsidR="00851CFB" w:rsidRPr="003E0B98">
        <w:rPr>
          <w:color w:val="000000"/>
          <w:szCs w:val="22"/>
          <w:lang w:val="es-ES"/>
        </w:rPr>
        <w:t xml:space="preserve">NVC </w:t>
      </w:r>
      <w:r w:rsidR="00ED753F" w:rsidRPr="003E0B98">
        <w:rPr>
          <w:color w:val="000000"/>
          <w:szCs w:val="22"/>
          <w:lang w:val="es-ES"/>
        </w:rPr>
        <w:t>están descritos en la sección 5.1</w:t>
      </w:r>
      <w:r w:rsidR="00B550FF" w:rsidRPr="003E0B98">
        <w:rPr>
          <w:lang w:val="es-ES"/>
        </w:rPr>
        <w:t xml:space="preserve"> </w:t>
      </w:r>
      <w:r w:rsidR="00B550FF" w:rsidRPr="003E0B98">
        <w:rPr>
          <w:color w:val="000000"/>
          <w:szCs w:val="22"/>
          <w:lang w:val="es-ES"/>
        </w:rPr>
        <w:t>pero no se puede hacer ninguna recomendación sobre posología</w:t>
      </w:r>
      <w:r w:rsidR="00C93232" w:rsidRPr="003E0B98">
        <w:rPr>
          <w:color w:val="000000"/>
          <w:szCs w:val="22"/>
          <w:lang w:val="es-ES"/>
        </w:rPr>
        <w:t>.</w:t>
      </w:r>
    </w:p>
    <w:p w14:paraId="10C43909" w14:textId="77777777" w:rsidR="002E5034" w:rsidRPr="003E0B98" w:rsidRDefault="002E5034" w:rsidP="004361AC">
      <w:pPr>
        <w:tabs>
          <w:tab w:val="clear" w:pos="567"/>
        </w:tabs>
        <w:spacing w:line="240" w:lineRule="auto"/>
        <w:rPr>
          <w:color w:val="000000"/>
          <w:szCs w:val="22"/>
          <w:lang w:val="es-ES_tradnl"/>
        </w:rPr>
      </w:pPr>
    </w:p>
    <w:p w14:paraId="52CCD287" w14:textId="77777777" w:rsidR="002E5034" w:rsidRPr="003E0B98" w:rsidRDefault="002E5034" w:rsidP="004361AC">
      <w:pPr>
        <w:keepNext/>
        <w:tabs>
          <w:tab w:val="clear" w:pos="567"/>
        </w:tabs>
        <w:spacing w:line="240" w:lineRule="auto"/>
        <w:rPr>
          <w:color w:val="000000"/>
          <w:szCs w:val="22"/>
          <w:u w:val="single"/>
          <w:lang w:val="es-ES_tradnl"/>
        </w:rPr>
      </w:pPr>
      <w:r w:rsidRPr="003E0B98">
        <w:rPr>
          <w:color w:val="000000"/>
          <w:szCs w:val="22"/>
          <w:u w:val="single"/>
          <w:lang w:val="es-ES_tradnl"/>
        </w:rPr>
        <w:t>Forma de administración</w:t>
      </w:r>
    </w:p>
    <w:p w14:paraId="16B57118" w14:textId="77777777" w:rsidR="00576109" w:rsidRPr="003E0B98" w:rsidRDefault="00576109" w:rsidP="004361AC">
      <w:pPr>
        <w:keepNext/>
        <w:tabs>
          <w:tab w:val="clear" w:pos="567"/>
        </w:tabs>
        <w:spacing w:line="240" w:lineRule="auto"/>
        <w:rPr>
          <w:color w:val="000000"/>
          <w:szCs w:val="22"/>
          <w:lang w:val="es-ES"/>
        </w:rPr>
      </w:pPr>
    </w:p>
    <w:p w14:paraId="49C05659" w14:textId="77777777" w:rsidR="002E5034" w:rsidRPr="003E0B98" w:rsidRDefault="002E5034" w:rsidP="004361AC">
      <w:pPr>
        <w:tabs>
          <w:tab w:val="clear" w:pos="567"/>
        </w:tabs>
        <w:spacing w:line="240" w:lineRule="auto"/>
        <w:rPr>
          <w:color w:val="000000"/>
          <w:szCs w:val="22"/>
          <w:lang w:val="es-ES"/>
        </w:rPr>
      </w:pPr>
      <w:r w:rsidRPr="003E0B98">
        <w:rPr>
          <w:color w:val="000000"/>
          <w:szCs w:val="22"/>
          <w:lang w:val="es-ES"/>
        </w:rPr>
        <w:t>Vial para un solo uso. Únicamente para vía intravítrea.</w:t>
      </w:r>
    </w:p>
    <w:p w14:paraId="72BD69BF" w14:textId="77777777" w:rsidR="002E5034" w:rsidRPr="003E0B98" w:rsidRDefault="002E5034" w:rsidP="004361AC">
      <w:pPr>
        <w:tabs>
          <w:tab w:val="clear" w:pos="567"/>
        </w:tabs>
        <w:spacing w:line="240" w:lineRule="auto"/>
        <w:rPr>
          <w:color w:val="000000"/>
          <w:szCs w:val="22"/>
          <w:lang w:val="es-ES"/>
        </w:rPr>
      </w:pPr>
    </w:p>
    <w:p w14:paraId="678EC749" w14:textId="77777777" w:rsidR="005D015E" w:rsidRPr="003E0B98" w:rsidRDefault="005D015E" w:rsidP="004361AC">
      <w:pPr>
        <w:tabs>
          <w:tab w:val="clear" w:pos="567"/>
        </w:tabs>
        <w:spacing w:line="240" w:lineRule="auto"/>
        <w:rPr>
          <w:color w:val="000000"/>
          <w:szCs w:val="22"/>
          <w:lang w:val="es-ES"/>
        </w:rPr>
      </w:pPr>
      <w:r w:rsidRPr="003E0B98">
        <w:rPr>
          <w:color w:val="000000"/>
          <w:szCs w:val="22"/>
          <w:lang w:val="es-ES"/>
        </w:rPr>
        <w:t>Dado que el volumen que contiene el vial (0,23 ml) es superior a la dosis recomendada (0,05 ml</w:t>
      </w:r>
      <w:r w:rsidR="00B550FF" w:rsidRPr="003E0B98">
        <w:rPr>
          <w:color w:val="000000"/>
          <w:szCs w:val="22"/>
          <w:lang w:val="es-ES"/>
        </w:rPr>
        <w:t xml:space="preserve"> para adultos y 0,02 ml para recién nacidos </w:t>
      </w:r>
      <w:r w:rsidR="003400BD" w:rsidRPr="003E0B98">
        <w:rPr>
          <w:color w:val="000000"/>
          <w:szCs w:val="22"/>
          <w:lang w:val="es-ES"/>
        </w:rPr>
        <w:t>pretérmino</w:t>
      </w:r>
      <w:r w:rsidRPr="003E0B98">
        <w:rPr>
          <w:color w:val="000000"/>
          <w:szCs w:val="22"/>
          <w:lang w:val="es-ES"/>
        </w:rPr>
        <w:t>), antes de la administración se debe desechar una parte del volumen que contiene el vial.</w:t>
      </w:r>
    </w:p>
    <w:p w14:paraId="6B8021F2" w14:textId="77777777" w:rsidR="006D1B40" w:rsidRPr="003E0B98" w:rsidRDefault="006D1B40" w:rsidP="004361AC">
      <w:pPr>
        <w:tabs>
          <w:tab w:val="clear" w:pos="567"/>
        </w:tabs>
        <w:spacing w:line="240" w:lineRule="auto"/>
        <w:rPr>
          <w:color w:val="000000"/>
          <w:szCs w:val="22"/>
          <w:lang w:val="es-ES"/>
        </w:rPr>
      </w:pPr>
    </w:p>
    <w:p w14:paraId="2DA3265E" w14:textId="77777777" w:rsidR="002E5034" w:rsidRPr="003E0B98" w:rsidRDefault="002E5034" w:rsidP="004361AC">
      <w:pPr>
        <w:tabs>
          <w:tab w:val="clear" w:pos="567"/>
        </w:tabs>
        <w:spacing w:line="240" w:lineRule="auto"/>
        <w:rPr>
          <w:color w:val="000000"/>
          <w:szCs w:val="22"/>
          <w:lang w:val="es-ES"/>
        </w:rPr>
      </w:pPr>
      <w:r w:rsidRPr="003E0B98">
        <w:rPr>
          <w:color w:val="000000"/>
          <w:szCs w:val="22"/>
          <w:lang w:val="es-ES"/>
        </w:rPr>
        <w:t xml:space="preserve">Antes de la administración de </w:t>
      </w:r>
      <w:proofErr w:type="spellStart"/>
      <w:r w:rsidRPr="003E0B98">
        <w:rPr>
          <w:color w:val="000000"/>
          <w:szCs w:val="22"/>
          <w:lang w:val="es-ES"/>
        </w:rPr>
        <w:t>Lucentis</w:t>
      </w:r>
      <w:proofErr w:type="spellEnd"/>
      <w:r w:rsidRPr="003E0B98">
        <w:rPr>
          <w:color w:val="000000"/>
          <w:szCs w:val="22"/>
          <w:lang w:val="es-ES"/>
        </w:rPr>
        <w:t xml:space="preserve"> se debe comprobar visualmente la ausencia de partículas y decoloración.</w:t>
      </w:r>
    </w:p>
    <w:p w14:paraId="6703BBE3" w14:textId="77777777" w:rsidR="002E5034" w:rsidRPr="003E0B98" w:rsidRDefault="002E5034" w:rsidP="004361AC">
      <w:pPr>
        <w:tabs>
          <w:tab w:val="clear" w:pos="567"/>
        </w:tabs>
        <w:spacing w:line="240" w:lineRule="auto"/>
        <w:rPr>
          <w:color w:val="000000"/>
          <w:szCs w:val="22"/>
          <w:lang w:val="es-ES"/>
        </w:rPr>
      </w:pPr>
    </w:p>
    <w:p w14:paraId="154BE835" w14:textId="77777777" w:rsidR="006B60F8" w:rsidRPr="003E0B98" w:rsidRDefault="006B60F8" w:rsidP="004361AC">
      <w:pPr>
        <w:tabs>
          <w:tab w:val="clear" w:pos="567"/>
        </w:tabs>
        <w:spacing w:line="240" w:lineRule="auto"/>
        <w:rPr>
          <w:color w:val="000000"/>
          <w:szCs w:val="22"/>
          <w:lang w:val="es-ES"/>
        </w:rPr>
      </w:pPr>
      <w:r w:rsidRPr="003E0B98">
        <w:rPr>
          <w:color w:val="000000"/>
          <w:szCs w:val="22"/>
          <w:lang w:val="es-ES"/>
        </w:rPr>
        <w:t xml:space="preserve">Para </w:t>
      </w:r>
      <w:r w:rsidR="00075450" w:rsidRPr="003E0B98">
        <w:rPr>
          <w:color w:val="000000"/>
          <w:szCs w:val="22"/>
          <w:lang w:val="es-ES"/>
        </w:rPr>
        <w:t xml:space="preserve">consultar </w:t>
      </w:r>
      <w:r w:rsidRPr="003E0B98">
        <w:rPr>
          <w:color w:val="000000"/>
          <w:szCs w:val="22"/>
          <w:lang w:val="es-ES"/>
        </w:rPr>
        <w:t xml:space="preserve">la información relativa a la preparación de </w:t>
      </w:r>
      <w:proofErr w:type="spellStart"/>
      <w:r w:rsidRPr="003E0B98">
        <w:rPr>
          <w:color w:val="000000"/>
          <w:szCs w:val="22"/>
          <w:lang w:val="es-ES"/>
        </w:rPr>
        <w:t>Lucentis</w:t>
      </w:r>
      <w:proofErr w:type="spellEnd"/>
      <w:r w:rsidRPr="003E0B98">
        <w:rPr>
          <w:color w:val="000000"/>
          <w:szCs w:val="22"/>
          <w:lang w:val="es-ES"/>
        </w:rPr>
        <w:t>, ver sección 6.6.</w:t>
      </w:r>
    </w:p>
    <w:p w14:paraId="1C17EC95" w14:textId="77777777" w:rsidR="006B60F8" w:rsidRPr="003E0B98" w:rsidRDefault="006B60F8" w:rsidP="004361AC">
      <w:pPr>
        <w:tabs>
          <w:tab w:val="clear" w:pos="567"/>
        </w:tabs>
        <w:spacing w:line="240" w:lineRule="auto"/>
        <w:rPr>
          <w:color w:val="000000"/>
          <w:szCs w:val="22"/>
          <w:lang w:val="es-ES"/>
        </w:rPr>
      </w:pPr>
    </w:p>
    <w:p w14:paraId="5CDBD3DD" w14:textId="77777777" w:rsidR="002E5034" w:rsidRPr="003E0B98" w:rsidRDefault="002E5034" w:rsidP="004361AC">
      <w:pPr>
        <w:tabs>
          <w:tab w:val="clear" w:pos="567"/>
        </w:tabs>
        <w:spacing w:line="240" w:lineRule="auto"/>
        <w:rPr>
          <w:color w:val="000000"/>
          <w:szCs w:val="22"/>
          <w:lang w:val="es-ES"/>
        </w:rPr>
      </w:pPr>
      <w:r w:rsidRPr="003E0B98">
        <w:rPr>
          <w:color w:val="000000"/>
          <w:szCs w:val="22"/>
          <w:lang w:val="es-ES"/>
        </w:rPr>
        <w:t xml:space="preserve">El procedimiento de inyección deberá llevarse a cabo bajo condiciones asépticas, que incluyen el lavado quirúrgico de las manos, el uso de guantes estériles, un campo estéril, un </w:t>
      </w:r>
      <w:proofErr w:type="spellStart"/>
      <w:r w:rsidRPr="003E0B98">
        <w:rPr>
          <w:color w:val="000000"/>
          <w:szCs w:val="22"/>
          <w:lang w:val="es-ES"/>
        </w:rPr>
        <w:t>blefarostato</w:t>
      </w:r>
      <w:proofErr w:type="spellEnd"/>
      <w:r w:rsidRPr="003E0B98">
        <w:rPr>
          <w:color w:val="000000"/>
          <w:szCs w:val="22"/>
          <w:lang w:val="es-ES"/>
        </w:rPr>
        <w:t xml:space="preserve"> estéril para los párpados (o equivalente) y la disponibilidad de una paracentesis estéril (en caso necesario). Antes de realizar el procedimiento de inyección intravítrea, se deberá evaluar detalladamente la historia clínica del paciente en cuanto a reacciones de hipersensibilidad (ver sección 4.4). Antes de la inyección se debe administrar una anestesia adecuada y un microbicida tópico de amplio espectro</w:t>
      </w:r>
      <w:r w:rsidR="0091082B" w:rsidRPr="003E0B98">
        <w:rPr>
          <w:color w:val="000000"/>
          <w:szCs w:val="22"/>
          <w:lang w:val="es-ES"/>
        </w:rPr>
        <w:t xml:space="preserve"> para desinfectar la piel de la zona periocular, párpado y superficie ocular, de acuerdo con la práctica local</w:t>
      </w:r>
      <w:r w:rsidRPr="003E0B98">
        <w:rPr>
          <w:color w:val="000000"/>
          <w:szCs w:val="22"/>
          <w:lang w:val="es-ES"/>
        </w:rPr>
        <w:t>.</w:t>
      </w:r>
    </w:p>
    <w:p w14:paraId="785BA6EA" w14:textId="77777777" w:rsidR="002E5034" w:rsidRPr="003E0B98" w:rsidRDefault="002E5034" w:rsidP="004361AC">
      <w:pPr>
        <w:tabs>
          <w:tab w:val="clear" w:pos="567"/>
        </w:tabs>
        <w:spacing w:line="240" w:lineRule="auto"/>
        <w:rPr>
          <w:color w:val="000000"/>
          <w:szCs w:val="22"/>
          <w:lang w:val="es-ES_tradnl"/>
        </w:rPr>
      </w:pPr>
    </w:p>
    <w:p w14:paraId="6F1F52D8" w14:textId="77777777" w:rsidR="00B550FF" w:rsidRPr="003E0B98" w:rsidRDefault="00B550FF" w:rsidP="004361AC">
      <w:pPr>
        <w:keepNext/>
        <w:tabs>
          <w:tab w:val="clear" w:pos="567"/>
        </w:tabs>
        <w:spacing w:line="240" w:lineRule="auto"/>
        <w:rPr>
          <w:color w:val="000000"/>
          <w:szCs w:val="22"/>
          <w:lang w:val="es-ES_tradnl"/>
        </w:rPr>
      </w:pPr>
      <w:r w:rsidRPr="003E0B98">
        <w:rPr>
          <w:i/>
          <w:color w:val="000000"/>
          <w:szCs w:val="22"/>
          <w:u w:val="single"/>
          <w:lang w:val="es-ES_tradnl"/>
        </w:rPr>
        <w:t>Adultos</w:t>
      </w:r>
    </w:p>
    <w:p w14:paraId="1FBA21C8" w14:textId="77777777" w:rsidR="002E5034" w:rsidRPr="003E0B98" w:rsidRDefault="00B550FF" w:rsidP="004361AC">
      <w:pPr>
        <w:tabs>
          <w:tab w:val="clear" w:pos="567"/>
        </w:tabs>
        <w:spacing w:line="240" w:lineRule="auto"/>
        <w:rPr>
          <w:color w:val="000000"/>
          <w:szCs w:val="22"/>
          <w:lang w:val="es-ES"/>
        </w:rPr>
      </w:pPr>
      <w:r w:rsidRPr="003E0B98">
        <w:rPr>
          <w:color w:val="000000"/>
          <w:szCs w:val="22"/>
          <w:lang w:val="es-ES"/>
        </w:rPr>
        <w:t>En adultos l</w:t>
      </w:r>
      <w:r w:rsidR="002E5034" w:rsidRPr="003E0B98">
        <w:rPr>
          <w:color w:val="000000"/>
          <w:szCs w:val="22"/>
          <w:lang w:val="es-ES"/>
        </w:rPr>
        <w:t>a aguja para inyección se deberá introducir 3,5</w:t>
      </w:r>
      <w:r w:rsidR="002E5034" w:rsidRPr="003E0B98">
        <w:rPr>
          <w:color w:val="000000"/>
          <w:szCs w:val="22"/>
          <w:lang w:val="es-ES"/>
        </w:rPr>
        <w:noBreakHyphen/>
        <w:t xml:space="preserve">4,0 mm por detrás del limbo en la cavidad vítrea, </w:t>
      </w:r>
      <w:r w:rsidR="002E5034" w:rsidRPr="003E0B98">
        <w:rPr>
          <w:color w:val="000000"/>
          <w:lang w:val="es-ES"/>
        </w:rPr>
        <w:t xml:space="preserve">evitando el meridiano horizontal y en dirección al centro del globo. Seguidamente debe liberarse el volumen de inyección de </w:t>
      </w:r>
      <w:r w:rsidR="002E5034" w:rsidRPr="003E0B98">
        <w:rPr>
          <w:color w:val="000000"/>
          <w:szCs w:val="22"/>
          <w:lang w:val="es-ES"/>
        </w:rPr>
        <w:t xml:space="preserve">0,05 ml; las inyecciones siguientes deberán aplicarse cada vez en un punto </w:t>
      </w:r>
      <w:proofErr w:type="spellStart"/>
      <w:r w:rsidR="002E5034" w:rsidRPr="003E0B98">
        <w:rPr>
          <w:color w:val="000000"/>
          <w:szCs w:val="22"/>
          <w:lang w:val="es-ES"/>
        </w:rPr>
        <w:t>escleral</w:t>
      </w:r>
      <w:proofErr w:type="spellEnd"/>
      <w:r w:rsidR="002E5034" w:rsidRPr="003E0B98">
        <w:rPr>
          <w:color w:val="000000"/>
          <w:szCs w:val="22"/>
          <w:lang w:val="es-ES"/>
        </w:rPr>
        <w:t xml:space="preserve"> distinto.</w:t>
      </w:r>
    </w:p>
    <w:p w14:paraId="42AEAC21" w14:textId="77777777" w:rsidR="00B550FF" w:rsidRPr="003E0B98" w:rsidRDefault="00B550FF" w:rsidP="004361AC">
      <w:pPr>
        <w:tabs>
          <w:tab w:val="clear" w:pos="567"/>
        </w:tabs>
        <w:spacing w:line="240" w:lineRule="auto"/>
        <w:rPr>
          <w:color w:val="000000"/>
          <w:szCs w:val="22"/>
          <w:lang w:val="es-ES"/>
        </w:rPr>
      </w:pPr>
    </w:p>
    <w:p w14:paraId="420E49DA" w14:textId="77777777" w:rsidR="00B550FF" w:rsidRPr="003E0B98" w:rsidRDefault="00B550FF" w:rsidP="004361AC">
      <w:pPr>
        <w:keepNext/>
        <w:tabs>
          <w:tab w:val="clear" w:pos="567"/>
        </w:tabs>
        <w:spacing w:line="240" w:lineRule="auto"/>
        <w:rPr>
          <w:i/>
          <w:color w:val="000000"/>
          <w:szCs w:val="22"/>
          <w:u w:val="single"/>
          <w:lang w:val="es-ES"/>
        </w:rPr>
      </w:pPr>
      <w:r w:rsidRPr="003E0B98">
        <w:rPr>
          <w:i/>
          <w:color w:val="000000"/>
          <w:szCs w:val="22"/>
          <w:u w:val="single"/>
          <w:lang w:val="es-ES"/>
        </w:rPr>
        <w:t>Población pediátrica</w:t>
      </w:r>
    </w:p>
    <w:p w14:paraId="3933FE32" w14:textId="77777777" w:rsidR="00B550FF" w:rsidRPr="003E0B98" w:rsidRDefault="00B550FF" w:rsidP="004361AC">
      <w:pPr>
        <w:tabs>
          <w:tab w:val="clear" w:pos="567"/>
        </w:tabs>
        <w:spacing w:line="240" w:lineRule="auto"/>
        <w:rPr>
          <w:color w:val="000000"/>
          <w:szCs w:val="22"/>
          <w:lang w:val="es-ES"/>
        </w:rPr>
      </w:pPr>
      <w:r w:rsidRPr="003E0B98">
        <w:rPr>
          <w:color w:val="000000"/>
          <w:szCs w:val="22"/>
          <w:lang w:val="es-ES"/>
        </w:rPr>
        <w:t xml:space="preserve">Para el tratamiento de recién nacidos </w:t>
      </w:r>
      <w:r w:rsidR="003400BD" w:rsidRPr="003E0B98">
        <w:rPr>
          <w:color w:val="000000"/>
          <w:szCs w:val="22"/>
          <w:lang w:val="es-ES"/>
        </w:rPr>
        <w:t>pretérmino</w:t>
      </w:r>
      <w:r w:rsidRPr="003E0B98">
        <w:rPr>
          <w:color w:val="000000"/>
          <w:szCs w:val="22"/>
          <w:lang w:val="es-ES"/>
        </w:rPr>
        <w:t xml:space="preserve">, se debe usar la </w:t>
      </w:r>
      <w:r w:rsidR="003400BD" w:rsidRPr="003E0B98">
        <w:rPr>
          <w:color w:val="000000"/>
          <w:szCs w:val="22"/>
          <w:lang w:val="es-ES"/>
        </w:rPr>
        <w:t>jeringa de bajo volumen y alta precisión</w:t>
      </w:r>
      <w:r w:rsidRPr="003E0B98">
        <w:rPr>
          <w:color w:val="000000"/>
          <w:szCs w:val="22"/>
          <w:lang w:val="es-ES"/>
        </w:rPr>
        <w:t xml:space="preserve"> </w:t>
      </w:r>
      <w:r w:rsidR="004B5AAE" w:rsidRPr="003E0B98">
        <w:rPr>
          <w:color w:val="000000"/>
          <w:szCs w:val="22"/>
          <w:lang w:val="es-ES"/>
        </w:rPr>
        <w:t>que se proporciona</w:t>
      </w:r>
      <w:r w:rsidRPr="003E0B98">
        <w:rPr>
          <w:color w:val="000000"/>
          <w:szCs w:val="22"/>
          <w:lang w:val="es-ES"/>
        </w:rPr>
        <w:t xml:space="preserve"> con una aguja </w:t>
      </w:r>
      <w:r w:rsidR="005D7079" w:rsidRPr="003E0B98">
        <w:rPr>
          <w:color w:val="000000"/>
          <w:szCs w:val="22"/>
          <w:lang w:val="es-ES"/>
        </w:rPr>
        <w:t>para</w:t>
      </w:r>
      <w:r w:rsidRPr="003E0B98">
        <w:rPr>
          <w:color w:val="000000"/>
          <w:szCs w:val="22"/>
          <w:lang w:val="es-ES"/>
        </w:rPr>
        <w:t xml:space="preserve"> inyección (30G x ½ ″) en el kit VISISURE (consulte también la sección 6.6).</w:t>
      </w:r>
    </w:p>
    <w:p w14:paraId="1AABA161" w14:textId="77777777" w:rsidR="00B550FF" w:rsidRPr="003E0B98" w:rsidRDefault="00B550FF" w:rsidP="004361AC">
      <w:pPr>
        <w:tabs>
          <w:tab w:val="clear" w:pos="567"/>
        </w:tabs>
        <w:spacing w:line="240" w:lineRule="auto"/>
        <w:rPr>
          <w:color w:val="000000"/>
          <w:szCs w:val="22"/>
          <w:lang w:val="es-ES"/>
        </w:rPr>
      </w:pPr>
    </w:p>
    <w:p w14:paraId="455AB837" w14:textId="77777777" w:rsidR="00B550FF" w:rsidRPr="003E0B98" w:rsidRDefault="00B550FF" w:rsidP="004361AC">
      <w:pPr>
        <w:tabs>
          <w:tab w:val="clear" w:pos="567"/>
        </w:tabs>
        <w:spacing w:line="240" w:lineRule="auto"/>
        <w:rPr>
          <w:color w:val="000000"/>
          <w:szCs w:val="22"/>
          <w:lang w:val="es-ES"/>
        </w:rPr>
      </w:pPr>
      <w:r w:rsidRPr="003E0B98">
        <w:rPr>
          <w:color w:val="000000"/>
          <w:szCs w:val="22"/>
          <w:lang w:val="es-ES"/>
        </w:rPr>
        <w:t xml:space="preserve">En </w:t>
      </w:r>
      <w:r w:rsidR="004100F7" w:rsidRPr="003E0B98">
        <w:rPr>
          <w:color w:val="000000"/>
          <w:szCs w:val="22"/>
          <w:lang w:val="es-ES"/>
        </w:rPr>
        <w:t xml:space="preserve">los bebés </w:t>
      </w:r>
      <w:r w:rsidR="003400BD" w:rsidRPr="003E0B98">
        <w:rPr>
          <w:color w:val="000000"/>
          <w:szCs w:val="22"/>
          <w:lang w:val="es-ES"/>
        </w:rPr>
        <w:t>pretérmino</w:t>
      </w:r>
      <w:r w:rsidR="004100F7" w:rsidRPr="003E0B98">
        <w:rPr>
          <w:color w:val="000000"/>
          <w:szCs w:val="22"/>
          <w:lang w:val="es-ES"/>
        </w:rPr>
        <w:t xml:space="preserve">, la aguja </w:t>
      </w:r>
      <w:r w:rsidR="005D7079" w:rsidRPr="003E0B98">
        <w:rPr>
          <w:color w:val="000000"/>
          <w:szCs w:val="22"/>
          <w:lang w:val="es-ES"/>
        </w:rPr>
        <w:t>para</w:t>
      </w:r>
      <w:r w:rsidRPr="003E0B98">
        <w:rPr>
          <w:color w:val="000000"/>
          <w:szCs w:val="22"/>
          <w:lang w:val="es-ES"/>
        </w:rPr>
        <w:t xml:space="preserve"> inyección </w:t>
      </w:r>
      <w:r w:rsidR="00502AC8" w:rsidRPr="003E0B98">
        <w:rPr>
          <w:color w:val="000000"/>
          <w:szCs w:val="22"/>
          <w:lang w:val="es-ES"/>
        </w:rPr>
        <w:t xml:space="preserve">se </w:t>
      </w:r>
      <w:r w:rsidRPr="003E0B98">
        <w:rPr>
          <w:color w:val="000000"/>
          <w:szCs w:val="22"/>
          <w:lang w:val="es-ES"/>
        </w:rPr>
        <w:t xml:space="preserve">debe </w:t>
      </w:r>
      <w:r w:rsidR="00502AC8" w:rsidRPr="003E0B98">
        <w:rPr>
          <w:color w:val="000000"/>
          <w:szCs w:val="22"/>
          <w:lang w:val="es-ES"/>
        </w:rPr>
        <w:t>introducir</w:t>
      </w:r>
      <w:r w:rsidRPr="003E0B98">
        <w:rPr>
          <w:color w:val="000000"/>
          <w:szCs w:val="22"/>
          <w:lang w:val="es-ES"/>
        </w:rPr>
        <w:t xml:space="preserve"> 1,0 a 2,0 mm </w:t>
      </w:r>
      <w:r w:rsidR="00502AC8" w:rsidRPr="003E0B98">
        <w:rPr>
          <w:color w:val="000000"/>
          <w:szCs w:val="22"/>
          <w:lang w:val="es-ES"/>
        </w:rPr>
        <w:t>por detrás del</w:t>
      </w:r>
      <w:r w:rsidRPr="003E0B98">
        <w:rPr>
          <w:color w:val="000000"/>
          <w:szCs w:val="22"/>
          <w:lang w:val="es-ES"/>
        </w:rPr>
        <w:t xml:space="preserve"> limbo</w:t>
      </w:r>
      <w:r w:rsidR="00502AC8" w:rsidRPr="003E0B98">
        <w:rPr>
          <w:color w:val="000000"/>
          <w:szCs w:val="22"/>
          <w:lang w:val="es-ES"/>
        </w:rPr>
        <w:t xml:space="preserve"> en la cavidad vítrea</w:t>
      </w:r>
      <w:r w:rsidRPr="003E0B98">
        <w:rPr>
          <w:color w:val="000000"/>
          <w:szCs w:val="22"/>
          <w:lang w:val="es-ES"/>
        </w:rPr>
        <w:t xml:space="preserve">, con la aguja </w:t>
      </w:r>
      <w:r w:rsidR="00502AC8" w:rsidRPr="003E0B98">
        <w:rPr>
          <w:color w:val="000000"/>
          <w:szCs w:val="22"/>
          <w:lang w:val="es-ES"/>
        </w:rPr>
        <w:t>en dirección</w:t>
      </w:r>
      <w:r w:rsidRPr="003E0B98">
        <w:rPr>
          <w:color w:val="000000"/>
          <w:szCs w:val="22"/>
          <w:lang w:val="es-ES"/>
        </w:rPr>
        <w:t xml:space="preserve"> hacia el nervio óptico. Seguidamente debe liberarse el volumen de inyección de 0.02 ml.</w:t>
      </w:r>
    </w:p>
    <w:p w14:paraId="4459F5BD" w14:textId="77777777" w:rsidR="002E5034" w:rsidRPr="003E0B98" w:rsidRDefault="002E5034" w:rsidP="004361AC">
      <w:pPr>
        <w:tabs>
          <w:tab w:val="clear" w:pos="567"/>
        </w:tabs>
        <w:spacing w:line="240" w:lineRule="auto"/>
        <w:rPr>
          <w:color w:val="000000"/>
          <w:szCs w:val="22"/>
          <w:lang w:val="es-ES"/>
        </w:rPr>
      </w:pPr>
    </w:p>
    <w:p w14:paraId="4A3532BE" w14:textId="77777777" w:rsidR="002E5034" w:rsidRPr="003E0B98" w:rsidRDefault="002E5034" w:rsidP="004361AC">
      <w:pPr>
        <w:keepNext/>
        <w:tabs>
          <w:tab w:val="clear" w:pos="567"/>
        </w:tabs>
        <w:spacing w:line="240" w:lineRule="auto"/>
        <w:rPr>
          <w:color w:val="000000"/>
          <w:szCs w:val="22"/>
          <w:lang w:val="es-ES"/>
        </w:rPr>
      </w:pPr>
      <w:r w:rsidRPr="003E0B98">
        <w:rPr>
          <w:b/>
          <w:color w:val="000000"/>
          <w:szCs w:val="22"/>
          <w:lang w:val="es-ES"/>
        </w:rPr>
        <w:t>4.3</w:t>
      </w:r>
      <w:r w:rsidRPr="003E0B98">
        <w:rPr>
          <w:b/>
          <w:color w:val="000000"/>
          <w:szCs w:val="22"/>
          <w:lang w:val="es-ES"/>
        </w:rPr>
        <w:tab/>
        <w:t>Contraindicaciones</w:t>
      </w:r>
    </w:p>
    <w:p w14:paraId="75E8901E" w14:textId="77777777" w:rsidR="002E5034" w:rsidRPr="003E0B98" w:rsidRDefault="002E5034" w:rsidP="004361AC">
      <w:pPr>
        <w:keepNext/>
        <w:tabs>
          <w:tab w:val="clear" w:pos="567"/>
        </w:tabs>
        <w:spacing w:line="240" w:lineRule="auto"/>
        <w:rPr>
          <w:color w:val="000000"/>
          <w:szCs w:val="22"/>
          <w:lang w:val="es-ES"/>
        </w:rPr>
      </w:pPr>
    </w:p>
    <w:p w14:paraId="75EDBAB8" w14:textId="77777777" w:rsidR="002E5034" w:rsidRPr="003E0B98" w:rsidRDefault="002E5034" w:rsidP="004361AC">
      <w:pPr>
        <w:tabs>
          <w:tab w:val="clear" w:pos="567"/>
        </w:tabs>
        <w:spacing w:line="240" w:lineRule="auto"/>
        <w:rPr>
          <w:color w:val="000000"/>
          <w:szCs w:val="22"/>
          <w:lang w:val="es-ES"/>
        </w:rPr>
      </w:pPr>
      <w:r w:rsidRPr="003E0B98">
        <w:rPr>
          <w:color w:val="000000"/>
          <w:szCs w:val="22"/>
          <w:lang w:val="es-ES"/>
        </w:rPr>
        <w:t>Hipersensibilidad al principio activo o a alguno de los excipientes incluidos en la sección</w:t>
      </w:r>
      <w:r w:rsidR="007017F4" w:rsidRPr="003E0B98">
        <w:rPr>
          <w:color w:val="000000"/>
          <w:szCs w:val="22"/>
          <w:lang w:val="es-ES"/>
        </w:rPr>
        <w:t> </w:t>
      </w:r>
      <w:r w:rsidRPr="003E0B98">
        <w:rPr>
          <w:color w:val="000000"/>
          <w:szCs w:val="22"/>
          <w:lang w:val="es-ES"/>
        </w:rPr>
        <w:t>6.1.</w:t>
      </w:r>
    </w:p>
    <w:p w14:paraId="3C210D5F" w14:textId="77777777" w:rsidR="002E5034" w:rsidRPr="003E0B98" w:rsidRDefault="002E5034" w:rsidP="004361AC">
      <w:pPr>
        <w:tabs>
          <w:tab w:val="clear" w:pos="567"/>
        </w:tabs>
        <w:spacing w:line="240" w:lineRule="auto"/>
        <w:rPr>
          <w:color w:val="000000"/>
          <w:szCs w:val="22"/>
          <w:lang w:val="es-ES"/>
        </w:rPr>
      </w:pPr>
    </w:p>
    <w:p w14:paraId="5B0AB7F9" w14:textId="77777777" w:rsidR="002E5034" w:rsidRPr="003E0B98" w:rsidRDefault="002E5034" w:rsidP="004361AC">
      <w:pPr>
        <w:tabs>
          <w:tab w:val="clear" w:pos="567"/>
        </w:tabs>
        <w:spacing w:line="240" w:lineRule="auto"/>
        <w:rPr>
          <w:color w:val="000000"/>
          <w:szCs w:val="22"/>
          <w:lang w:val="es-ES"/>
        </w:rPr>
      </w:pPr>
      <w:r w:rsidRPr="003E0B98">
        <w:rPr>
          <w:color w:val="000000"/>
          <w:szCs w:val="22"/>
          <w:lang w:val="es-ES"/>
        </w:rPr>
        <w:t>Pacientes con infecciones oculares o perioculares o con sospecha de éstas.</w:t>
      </w:r>
    </w:p>
    <w:p w14:paraId="4540A9B8" w14:textId="77777777" w:rsidR="002E5034" w:rsidRPr="003E0B98" w:rsidRDefault="002E5034" w:rsidP="004361AC">
      <w:pPr>
        <w:tabs>
          <w:tab w:val="clear" w:pos="567"/>
        </w:tabs>
        <w:spacing w:line="240" w:lineRule="auto"/>
        <w:rPr>
          <w:color w:val="000000"/>
          <w:szCs w:val="22"/>
          <w:lang w:val="es-ES"/>
        </w:rPr>
      </w:pPr>
    </w:p>
    <w:p w14:paraId="5CBBBEA6" w14:textId="77777777" w:rsidR="002E5034" w:rsidRPr="003E0B98" w:rsidRDefault="002E5034" w:rsidP="004361AC">
      <w:pPr>
        <w:tabs>
          <w:tab w:val="clear" w:pos="567"/>
        </w:tabs>
        <w:spacing w:line="240" w:lineRule="auto"/>
        <w:rPr>
          <w:color w:val="000000"/>
          <w:szCs w:val="22"/>
          <w:lang w:val="es-ES"/>
        </w:rPr>
      </w:pPr>
      <w:r w:rsidRPr="003E0B98">
        <w:rPr>
          <w:color w:val="000000"/>
          <w:szCs w:val="22"/>
          <w:lang w:val="es-ES"/>
        </w:rPr>
        <w:t>Pacientes con inflamación intraocular grave.</w:t>
      </w:r>
    </w:p>
    <w:p w14:paraId="298DD919" w14:textId="77777777" w:rsidR="002E5034" w:rsidRPr="003E0B98" w:rsidRDefault="002E5034" w:rsidP="004361AC">
      <w:pPr>
        <w:tabs>
          <w:tab w:val="clear" w:pos="567"/>
        </w:tabs>
        <w:spacing w:line="240" w:lineRule="auto"/>
        <w:rPr>
          <w:color w:val="000000"/>
          <w:szCs w:val="22"/>
          <w:lang w:val="es-ES"/>
        </w:rPr>
      </w:pPr>
    </w:p>
    <w:p w14:paraId="41CE520C" w14:textId="77777777" w:rsidR="002E5034" w:rsidRPr="003E0B98" w:rsidRDefault="002E5034" w:rsidP="004361AC">
      <w:pPr>
        <w:keepNext/>
        <w:tabs>
          <w:tab w:val="clear" w:pos="567"/>
        </w:tabs>
        <w:spacing w:line="240" w:lineRule="auto"/>
        <w:rPr>
          <w:color w:val="000000"/>
          <w:szCs w:val="22"/>
          <w:lang w:val="es-ES_tradnl"/>
        </w:rPr>
      </w:pPr>
      <w:r w:rsidRPr="003E0B98">
        <w:rPr>
          <w:b/>
          <w:color w:val="000000"/>
          <w:szCs w:val="22"/>
          <w:lang w:val="es-ES_tradnl"/>
        </w:rPr>
        <w:t>4.4</w:t>
      </w:r>
      <w:r w:rsidRPr="003E0B98">
        <w:rPr>
          <w:b/>
          <w:color w:val="000000"/>
          <w:szCs w:val="22"/>
          <w:lang w:val="es-ES_tradnl"/>
        </w:rPr>
        <w:tab/>
      </w:r>
      <w:r w:rsidRPr="003E0B98">
        <w:rPr>
          <w:b/>
          <w:color w:val="000000"/>
          <w:szCs w:val="22"/>
          <w:lang w:val="es-ES"/>
        </w:rPr>
        <w:t>Advertencias y precauciones especiales de empleo</w:t>
      </w:r>
    </w:p>
    <w:p w14:paraId="43A2C3ED" w14:textId="77777777" w:rsidR="0026006C" w:rsidRPr="003E0B98" w:rsidRDefault="0026006C" w:rsidP="004361AC">
      <w:pPr>
        <w:keepNext/>
        <w:tabs>
          <w:tab w:val="clear" w:pos="567"/>
        </w:tabs>
        <w:spacing w:line="240" w:lineRule="auto"/>
        <w:rPr>
          <w:color w:val="000000"/>
          <w:szCs w:val="22"/>
          <w:lang w:val="es-ES"/>
        </w:rPr>
      </w:pPr>
    </w:p>
    <w:p w14:paraId="31BA5402" w14:textId="56432E7E" w:rsidR="0026006C" w:rsidRPr="003E0B98" w:rsidRDefault="0026006C" w:rsidP="004361AC">
      <w:pPr>
        <w:keepNext/>
        <w:tabs>
          <w:tab w:val="clear" w:pos="567"/>
        </w:tabs>
        <w:spacing w:line="240" w:lineRule="auto"/>
        <w:rPr>
          <w:color w:val="000000"/>
          <w:szCs w:val="22"/>
          <w:lang w:val="es-ES"/>
        </w:rPr>
      </w:pPr>
      <w:r w:rsidRPr="003E0B98">
        <w:rPr>
          <w:color w:val="000000"/>
          <w:szCs w:val="22"/>
          <w:u w:val="single"/>
          <w:lang w:val="es-ES"/>
        </w:rPr>
        <w:t>Trazabilidad</w:t>
      </w:r>
    </w:p>
    <w:p w14:paraId="6A5B77FB" w14:textId="77777777" w:rsidR="0026006C" w:rsidRPr="003E0B98" w:rsidRDefault="0026006C" w:rsidP="004361AC">
      <w:pPr>
        <w:keepNext/>
        <w:tabs>
          <w:tab w:val="clear" w:pos="567"/>
        </w:tabs>
        <w:spacing w:line="240" w:lineRule="auto"/>
        <w:rPr>
          <w:color w:val="000000"/>
          <w:szCs w:val="22"/>
          <w:lang w:val="es-ES"/>
        </w:rPr>
      </w:pPr>
    </w:p>
    <w:p w14:paraId="232E7884" w14:textId="7CC08DDC" w:rsidR="002E5034" w:rsidRPr="003E0B98" w:rsidRDefault="0026006C" w:rsidP="004361AC">
      <w:pPr>
        <w:tabs>
          <w:tab w:val="clear" w:pos="567"/>
        </w:tabs>
        <w:spacing w:line="240" w:lineRule="auto"/>
        <w:rPr>
          <w:color w:val="000000"/>
          <w:szCs w:val="22"/>
          <w:lang w:val="es-ES"/>
        </w:rPr>
      </w:pPr>
      <w:r w:rsidRPr="003E0B98">
        <w:rPr>
          <w:color w:val="000000"/>
          <w:szCs w:val="22"/>
          <w:lang w:val="es-ES"/>
        </w:rPr>
        <w:t>Con objeto de mejorar la trazabilidad de los medicamentos biológicos, el nombre y el número de lote del medicamento administrado deben estar claramente registrados.</w:t>
      </w:r>
    </w:p>
    <w:p w14:paraId="020F2BE2" w14:textId="77777777" w:rsidR="0026006C" w:rsidRPr="003E0B98" w:rsidRDefault="0026006C" w:rsidP="004361AC">
      <w:pPr>
        <w:tabs>
          <w:tab w:val="clear" w:pos="567"/>
        </w:tabs>
        <w:spacing w:line="240" w:lineRule="auto"/>
        <w:rPr>
          <w:color w:val="000000"/>
          <w:szCs w:val="22"/>
          <w:lang w:val="es-ES"/>
        </w:rPr>
      </w:pPr>
    </w:p>
    <w:p w14:paraId="48D237D8" w14:textId="77777777" w:rsidR="002E5034" w:rsidRPr="003E0B98" w:rsidRDefault="002E5034" w:rsidP="004361AC">
      <w:pPr>
        <w:keepNext/>
        <w:tabs>
          <w:tab w:val="clear" w:pos="567"/>
        </w:tabs>
        <w:spacing w:line="240" w:lineRule="auto"/>
        <w:rPr>
          <w:color w:val="000000"/>
          <w:szCs w:val="22"/>
          <w:lang w:val="es-ES"/>
        </w:rPr>
      </w:pPr>
      <w:r w:rsidRPr="003E0B98">
        <w:rPr>
          <w:color w:val="000000"/>
          <w:szCs w:val="22"/>
          <w:u w:val="single"/>
          <w:lang w:val="es-ES"/>
        </w:rPr>
        <w:t>Reacciones relacionadas con la inyección intravítrea</w:t>
      </w:r>
    </w:p>
    <w:p w14:paraId="43B535C8" w14:textId="77777777" w:rsidR="006B60F8" w:rsidRPr="003E0B98" w:rsidRDefault="006B60F8" w:rsidP="004361AC">
      <w:pPr>
        <w:keepNext/>
        <w:tabs>
          <w:tab w:val="clear" w:pos="567"/>
        </w:tabs>
        <w:spacing w:line="240" w:lineRule="auto"/>
        <w:rPr>
          <w:color w:val="000000"/>
          <w:szCs w:val="22"/>
          <w:lang w:val="es-ES"/>
        </w:rPr>
      </w:pPr>
    </w:p>
    <w:p w14:paraId="19DD0B1B" w14:textId="77777777" w:rsidR="002E5034" w:rsidRPr="003E0B98" w:rsidRDefault="002E5034" w:rsidP="004361AC">
      <w:pPr>
        <w:tabs>
          <w:tab w:val="clear" w:pos="567"/>
        </w:tabs>
        <w:spacing w:line="240" w:lineRule="auto"/>
        <w:rPr>
          <w:color w:val="000000"/>
          <w:szCs w:val="22"/>
          <w:lang w:val="es-ES"/>
        </w:rPr>
      </w:pPr>
      <w:r w:rsidRPr="003E0B98">
        <w:rPr>
          <w:color w:val="000000"/>
          <w:szCs w:val="22"/>
          <w:lang w:val="es-ES"/>
        </w:rPr>
        <w:t xml:space="preserve">Las inyecciones intravítreas, incluidas las de </w:t>
      </w:r>
      <w:proofErr w:type="spellStart"/>
      <w:r w:rsidRPr="003E0B98">
        <w:rPr>
          <w:color w:val="000000"/>
          <w:szCs w:val="22"/>
          <w:lang w:val="es-ES"/>
        </w:rPr>
        <w:t>Lucentis</w:t>
      </w:r>
      <w:proofErr w:type="spellEnd"/>
      <w:r w:rsidRPr="003E0B98">
        <w:rPr>
          <w:color w:val="000000"/>
          <w:szCs w:val="22"/>
          <w:lang w:val="es-ES"/>
        </w:rPr>
        <w:t xml:space="preserve">, se han asociado a </w:t>
      </w:r>
      <w:proofErr w:type="spellStart"/>
      <w:r w:rsidRPr="003E0B98">
        <w:rPr>
          <w:color w:val="000000"/>
          <w:szCs w:val="22"/>
          <w:lang w:val="es-ES"/>
        </w:rPr>
        <w:t>endoftalmitis</w:t>
      </w:r>
      <w:proofErr w:type="spellEnd"/>
      <w:r w:rsidRPr="003E0B98">
        <w:rPr>
          <w:color w:val="000000"/>
          <w:szCs w:val="22"/>
          <w:lang w:val="es-ES"/>
        </w:rPr>
        <w:t xml:space="preserve">, inflamación intraocular, desprendimiento de retina </w:t>
      </w:r>
      <w:proofErr w:type="spellStart"/>
      <w:r w:rsidRPr="003E0B98">
        <w:rPr>
          <w:color w:val="000000"/>
          <w:szCs w:val="22"/>
          <w:lang w:val="es-ES"/>
        </w:rPr>
        <w:t>regmatógeno</w:t>
      </w:r>
      <w:proofErr w:type="spellEnd"/>
      <w:r w:rsidRPr="003E0B98">
        <w:rPr>
          <w:color w:val="000000"/>
          <w:szCs w:val="22"/>
          <w:lang w:val="es-ES"/>
        </w:rPr>
        <w:t>, desgarro retiniano y catarata traumática iatrogénica (ver sección</w:t>
      </w:r>
      <w:r w:rsidR="007017F4" w:rsidRPr="003E0B98">
        <w:rPr>
          <w:color w:val="000000"/>
          <w:szCs w:val="22"/>
          <w:lang w:val="es-ES"/>
        </w:rPr>
        <w:t> </w:t>
      </w:r>
      <w:r w:rsidRPr="003E0B98">
        <w:rPr>
          <w:color w:val="000000"/>
          <w:szCs w:val="22"/>
          <w:lang w:val="es-ES"/>
        </w:rPr>
        <w:t xml:space="preserve">4.8). Siempre que se administre </w:t>
      </w:r>
      <w:proofErr w:type="spellStart"/>
      <w:r w:rsidRPr="003E0B98">
        <w:rPr>
          <w:color w:val="000000"/>
          <w:szCs w:val="22"/>
          <w:lang w:val="es-ES"/>
        </w:rPr>
        <w:t>Lucentis</w:t>
      </w:r>
      <w:proofErr w:type="spellEnd"/>
      <w:r w:rsidRPr="003E0B98">
        <w:rPr>
          <w:color w:val="000000"/>
          <w:szCs w:val="22"/>
          <w:lang w:val="es-ES"/>
        </w:rPr>
        <w:t xml:space="preserve"> se deben emplear </w:t>
      </w:r>
      <w:r w:rsidRPr="003E0B98">
        <w:rPr>
          <w:color w:val="000000"/>
          <w:lang w:val="es-ES"/>
        </w:rPr>
        <w:t xml:space="preserve">técnicas de inyección asépticas adecuadas. Además, deberá realizarse un seguimiento de los pacientes durante la semana posterior a la inyección para poder administrar tratamiento temprano en caso de infección. Se deberá instruir a los pacientes sobre la necesidad de comunicar inmediatamente cualquier síntoma que sugiera </w:t>
      </w:r>
      <w:proofErr w:type="spellStart"/>
      <w:r w:rsidRPr="003E0B98">
        <w:rPr>
          <w:color w:val="000000"/>
          <w:lang w:val="es-ES"/>
        </w:rPr>
        <w:t>endoftalmitis</w:t>
      </w:r>
      <w:proofErr w:type="spellEnd"/>
      <w:r w:rsidRPr="003E0B98">
        <w:rPr>
          <w:color w:val="000000"/>
          <w:lang w:val="es-ES"/>
        </w:rPr>
        <w:t xml:space="preserve"> o cualquiera de los acontecimientos mencionados anteriormente.</w:t>
      </w:r>
    </w:p>
    <w:p w14:paraId="4FFFCF4B" w14:textId="77777777" w:rsidR="002E5034" w:rsidRPr="003E0B98" w:rsidRDefault="002E5034" w:rsidP="004361AC">
      <w:pPr>
        <w:tabs>
          <w:tab w:val="clear" w:pos="567"/>
        </w:tabs>
        <w:spacing w:line="240" w:lineRule="auto"/>
        <w:rPr>
          <w:color w:val="000000"/>
          <w:szCs w:val="22"/>
          <w:lang w:val="es-ES_tradnl"/>
        </w:rPr>
      </w:pPr>
    </w:p>
    <w:p w14:paraId="23C04AD6" w14:textId="77777777" w:rsidR="002E5034" w:rsidRPr="003E0B98" w:rsidRDefault="002E5034" w:rsidP="004361AC">
      <w:pPr>
        <w:keepNext/>
        <w:tabs>
          <w:tab w:val="clear" w:pos="567"/>
        </w:tabs>
        <w:spacing w:line="240" w:lineRule="auto"/>
        <w:rPr>
          <w:color w:val="000000"/>
          <w:u w:val="single"/>
          <w:lang w:val="es-ES"/>
        </w:rPr>
      </w:pPr>
      <w:r w:rsidRPr="003E0B98">
        <w:rPr>
          <w:color w:val="000000"/>
          <w:u w:val="single"/>
          <w:lang w:val="es-ES"/>
        </w:rPr>
        <w:t>Aumento de la presión intraocular</w:t>
      </w:r>
    </w:p>
    <w:p w14:paraId="2303BE5F" w14:textId="77777777" w:rsidR="006B60F8" w:rsidRPr="003E0B98" w:rsidRDefault="006B60F8" w:rsidP="004361AC">
      <w:pPr>
        <w:keepNext/>
        <w:tabs>
          <w:tab w:val="clear" w:pos="567"/>
        </w:tabs>
        <w:spacing w:line="240" w:lineRule="auto"/>
        <w:rPr>
          <w:color w:val="000000"/>
          <w:lang w:val="es-ES"/>
        </w:rPr>
      </w:pPr>
    </w:p>
    <w:p w14:paraId="61AB190D" w14:textId="77777777" w:rsidR="002E5034" w:rsidRPr="003E0B98" w:rsidRDefault="00BC0A4F" w:rsidP="004361AC">
      <w:pPr>
        <w:tabs>
          <w:tab w:val="clear" w:pos="567"/>
        </w:tabs>
        <w:spacing w:line="240" w:lineRule="auto"/>
        <w:rPr>
          <w:color w:val="000000"/>
          <w:lang w:val="es-ES"/>
        </w:rPr>
      </w:pPr>
      <w:r w:rsidRPr="003E0B98">
        <w:rPr>
          <w:color w:val="000000"/>
          <w:lang w:val="es-ES"/>
        </w:rPr>
        <w:t>En adultos s</w:t>
      </w:r>
      <w:r w:rsidR="002E5034" w:rsidRPr="003E0B98">
        <w:rPr>
          <w:color w:val="000000"/>
          <w:lang w:val="es-ES"/>
        </w:rPr>
        <w:t xml:space="preserve">e han observado aumentos transitorios de la presión intraocular (PIO) en los 60 minutos siguientes a la inyección de </w:t>
      </w:r>
      <w:proofErr w:type="spellStart"/>
      <w:r w:rsidR="002E5034" w:rsidRPr="003E0B98">
        <w:rPr>
          <w:color w:val="000000"/>
          <w:lang w:val="es-ES"/>
        </w:rPr>
        <w:t>Lucentis</w:t>
      </w:r>
      <w:proofErr w:type="spellEnd"/>
      <w:r w:rsidR="002E5034" w:rsidRPr="003E0B98">
        <w:rPr>
          <w:color w:val="000000"/>
          <w:lang w:val="es-ES"/>
        </w:rPr>
        <w:t>. También se han identificado aumentos sostenidos de la PIO (ver sección 4.8).</w:t>
      </w:r>
      <w:r w:rsidR="002E5034" w:rsidRPr="003E0B98">
        <w:rPr>
          <w:color w:val="000000"/>
          <w:lang w:val="es-ES_tradnl"/>
        </w:rPr>
        <w:t xml:space="preserve"> </w:t>
      </w:r>
      <w:r w:rsidR="002E5034" w:rsidRPr="003E0B98">
        <w:rPr>
          <w:color w:val="000000"/>
          <w:lang w:val="es-ES"/>
        </w:rPr>
        <w:t xml:space="preserve">Tanto la presión intraocular como la perfusión de la cabeza del nervio </w:t>
      </w:r>
      <w:proofErr w:type="gramStart"/>
      <w:r w:rsidR="002E5034" w:rsidRPr="003E0B98">
        <w:rPr>
          <w:color w:val="000000"/>
          <w:lang w:val="es-ES"/>
        </w:rPr>
        <w:t>óptico,</w:t>
      </w:r>
      <w:proofErr w:type="gramEnd"/>
      <w:r w:rsidR="002E5034" w:rsidRPr="003E0B98">
        <w:rPr>
          <w:color w:val="000000"/>
          <w:lang w:val="es-ES"/>
        </w:rPr>
        <w:t xml:space="preserve"> se deben monitorizar y tratar adecuadamente.</w:t>
      </w:r>
    </w:p>
    <w:p w14:paraId="7BED000E" w14:textId="77777777" w:rsidR="002E5034" w:rsidRPr="003E0B98" w:rsidRDefault="002E5034" w:rsidP="004361AC">
      <w:pPr>
        <w:tabs>
          <w:tab w:val="clear" w:pos="567"/>
        </w:tabs>
        <w:spacing w:line="240" w:lineRule="auto"/>
        <w:rPr>
          <w:color w:val="000000"/>
          <w:szCs w:val="22"/>
          <w:lang w:val="es-ES_tradnl"/>
        </w:rPr>
      </w:pPr>
    </w:p>
    <w:p w14:paraId="4E280E59" w14:textId="77777777" w:rsidR="006B60F8" w:rsidRPr="003E0B98" w:rsidRDefault="006B60F8" w:rsidP="004361AC">
      <w:pPr>
        <w:tabs>
          <w:tab w:val="clear" w:pos="567"/>
        </w:tabs>
        <w:spacing w:line="240" w:lineRule="auto"/>
        <w:rPr>
          <w:color w:val="000000"/>
          <w:szCs w:val="22"/>
          <w:lang w:val="es-ES_tradnl"/>
        </w:rPr>
      </w:pPr>
      <w:r w:rsidRPr="003E0B98">
        <w:rPr>
          <w:color w:val="000000"/>
          <w:szCs w:val="22"/>
          <w:lang w:val="es-ES_tradnl"/>
        </w:rPr>
        <w:t>Se debe informar a los pacientes de los síntomas de estas reacciones adversas potenciales e instruirlos para que informen a su médico en caso de aparición de signos tales como dolor ocular o aumento del malestar en el ojo, empeoramiento del enrojecimiento del ojo, visión borrosa o disminución de la visión, aumento del número de pequeñas manchas en su visión o aumento de la sensibilidad a la luz (ver sección 4.8).</w:t>
      </w:r>
    </w:p>
    <w:p w14:paraId="71BB5082" w14:textId="77777777" w:rsidR="006B60F8" w:rsidRPr="003E0B98" w:rsidRDefault="006B60F8" w:rsidP="004361AC">
      <w:pPr>
        <w:tabs>
          <w:tab w:val="clear" w:pos="567"/>
        </w:tabs>
        <w:spacing w:line="240" w:lineRule="auto"/>
        <w:rPr>
          <w:color w:val="000000"/>
          <w:szCs w:val="22"/>
          <w:lang w:val="es-ES_tradnl"/>
        </w:rPr>
      </w:pPr>
    </w:p>
    <w:p w14:paraId="3A0C85CF" w14:textId="77777777" w:rsidR="002E5034" w:rsidRPr="003E0B98" w:rsidRDefault="002E5034" w:rsidP="004361AC">
      <w:pPr>
        <w:keepNext/>
        <w:tabs>
          <w:tab w:val="clear" w:pos="567"/>
        </w:tabs>
        <w:spacing w:line="240" w:lineRule="auto"/>
        <w:rPr>
          <w:color w:val="000000"/>
          <w:szCs w:val="22"/>
          <w:u w:val="single"/>
          <w:lang w:val="es-ES"/>
        </w:rPr>
      </w:pPr>
      <w:r w:rsidRPr="003E0B98">
        <w:rPr>
          <w:color w:val="000000"/>
          <w:szCs w:val="22"/>
          <w:u w:val="single"/>
          <w:lang w:val="es-ES"/>
        </w:rPr>
        <w:t>Tratamiento bilateral</w:t>
      </w:r>
    </w:p>
    <w:p w14:paraId="0D763656" w14:textId="77777777" w:rsidR="006B60F8" w:rsidRPr="003E0B98" w:rsidRDefault="006B60F8" w:rsidP="004361AC">
      <w:pPr>
        <w:keepNext/>
        <w:tabs>
          <w:tab w:val="clear" w:pos="567"/>
        </w:tabs>
        <w:spacing w:line="240" w:lineRule="auto"/>
        <w:rPr>
          <w:color w:val="000000"/>
          <w:szCs w:val="22"/>
          <w:lang w:val="es-ES"/>
        </w:rPr>
      </w:pPr>
    </w:p>
    <w:p w14:paraId="0B0F3672" w14:textId="77777777" w:rsidR="002E5034" w:rsidRPr="003E0B98" w:rsidRDefault="00E55DC0" w:rsidP="004361AC">
      <w:pPr>
        <w:tabs>
          <w:tab w:val="clear" w:pos="567"/>
        </w:tabs>
        <w:spacing w:line="240" w:lineRule="auto"/>
        <w:rPr>
          <w:color w:val="000000"/>
          <w:szCs w:val="22"/>
          <w:lang w:val="es-ES_tradnl"/>
        </w:rPr>
      </w:pPr>
      <w:r w:rsidRPr="003E0B98">
        <w:rPr>
          <w:color w:val="000000"/>
          <w:szCs w:val="22"/>
          <w:lang w:val="es-ES"/>
        </w:rPr>
        <w:t xml:space="preserve">Los </w:t>
      </w:r>
      <w:r w:rsidR="00175C5C" w:rsidRPr="003E0B98">
        <w:rPr>
          <w:color w:val="000000"/>
          <w:szCs w:val="22"/>
          <w:lang w:val="es-ES"/>
        </w:rPr>
        <w:t xml:space="preserve">escasos </w:t>
      </w:r>
      <w:r w:rsidRPr="003E0B98">
        <w:rPr>
          <w:color w:val="000000"/>
          <w:szCs w:val="22"/>
          <w:lang w:val="es-ES"/>
        </w:rPr>
        <w:t xml:space="preserve">datos existentes sobre el tratamiento bilateral con </w:t>
      </w:r>
      <w:proofErr w:type="spellStart"/>
      <w:r w:rsidRPr="003E0B98">
        <w:rPr>
          <w:color w:val="000000"/>
          <w:szCs w:val="22"/>
          <w:lang w:val="es-ES"/>
        </w:rPr>
        <w:t>Lucentis</w:t>
      </w:r>
      <w:proofErr w:type="spellEnd"/>
      <w:r w:rsidR="00AD41EB" w:rsidRPr="003E0B98">
        <w:rPr>
          <w:color w:val="000000"/>
          <w:szCs w:val="22"/>
          <w:lang w:val="es-ES"/>
        </w:rPr>
        <w:t xml:space="preserve"> (incluyendo la administración en el mismo día) no sugieren un riesgo incrementado </w:t>
      </w:r>
      <w:r w:rsidR="00AD41EB" w:rsidRPr="003E0B98">
        <w:rPr>
          <w:color w:val="000000"/>
          <w:szCs w:val="22"/>
          <w:lang w:val="es-ES_tradnl"/>
        </w:rPr>
        <w:t>de efectos adversos sistémicos en comparación con el tratamiento unilateral</w:t>
      </w:r>
      <w:r w:rsidRPr="003E0B98">
        <w:rPr>
          <w:color w:val="000000"/>
          <w:szCs w:val="22"/>
          <w:lang w:val="es-ES"/>
        </w:rPr>
        <w:t>.</w:t>
      </w:r>
    </w:p>
    <w:p w14:paraId="61A8658A" w14:textId="77777777" w:rsidR="002E5034" w:rsidRPr="003E0B98" w:rsidRDefault="002E5034" w:rsidP="004361AC">
      <w:pPr>
        <w:tabs>
          <w:tab w:val="clear" w:pos="567"/>
        </w:tabs>
        <w:spacing w:line="240" w:lineRule="auto"/>
        <w:rPr>
          <w:color w:val="000000"/>
          <w:szCs w:val="22"/>
          <w:lang w:val="es-ES_tradnl"/>
        </w:rPr>
      </w:pPr>
    </w:p>
    <w:p w14:paraId="144C4CD5" w14:textId="77777777" w:rsidR="002E5034" w:rsidRPr="003E0B98" w:rsidRDefault="002E5034" w:rsidP="004361AC">
      <w:pPr>
        <w:keepNext/>
        <w:tabs>
          <w:tab w:val="clear" w:pos="567"/>
        </w:tabs>
        <w:spacing w:line="240" w:lineRule="auto"/>
        <w:rPr>
          <w:color w:val="000000"/>
          <w:szCs w:val="22"/>
          <w:u w:val="single"/>
          <w:lang w:val="es-ES_tradnl"/>
        </w:rPr>
      </w:pPr>
      <w:r w:rsidRPr="003E0B98">
        <w:rPr>
          <w:color w:val="000000"/>
          <w:szCs w:val="22"/>
          <w:u w:val="single"/>
          <w:lang w:val="es-ES_tradnl"/>
        </w:rPr>
        <w:t>Inmunogenicidad</w:t>
      </w:r>
    </w:p>
    <w:p w14:paraId="4E2C37DB" w14:textId="77777777" w:rsidR="006B60F8" w:rsidRPr="003E0B98" w:rsidRDefault="006B60F8" w:rsidP="004361AC">
      <w:pPr>
        <w:keepNext/>
        <w:tabs>
          <w:tab w:val="clear" w:pos="567"/>
        </w:tabs>
        <w:spacing w:line="240" w:lineRule="auto"/>
        <w:rPr>
          <w:color w:val="000000"/>
          <w:szCs w:val="22"/>
          <w:lang w:val="es-ES_tradnl"/>
        </w:rPr>
      </w:pPr>
    </w:p>
    <w:p w14:paraId="1167BA68" w14:textId="77777777" w:rsidR="002E5034" w:rsidRPr="003E0B98" w:rsidRDefault="002E5034" w:rsidP="004361AC">
      <w:pPr>
        <w:tabs>
          <w:tab w:val="clear" w:pos="567"/>
        </w:tabs>
        <w:spacing w:line="240" w:lineRule="auto"/>
        <w:rPr>
          <w:color w:val="000000"/>
          <w:szCs w:val="22"/>
          <w:lang w:val="es-ES"/>
        </w:rPr>
      </w:pPr>
      <w:r w:rsidRPr="003E0B98">
        <w:rPr>
          <w:color w:val="000000"/>
          <w:szCs w:val="22"/>
          <w:lang w:val="es-ES_tradnl"/>
        </w:rPr>
        <w:t xml:space="preserve">Hay un potencial de inmunogenicidad con </w:t>
      </w:r>
      <w:proofErr w:type="spellStart"/>
      <w:r w:rsidRPr="003E0B98">
        <w:rPr>
          <w:color w:val="000000"/>
          <w:szCs w:val="22"/>
          <w:lang w:val="es-ES_tradnl"/>
        </w:rPr>
        <w:t>Lucentis</w:t>
      </w:r>
      <w:proofErr w:type="spellEnd"/>
      <w:r w:rsidRPr="003E0B98">
        <w:rPr>
          <w:color w:val="000000"/>
          <w:szCs w:val="22"/>
          <w:lang w:val="es-ES_tradnl"/>
        </w:rPr>
        <w:t xml:space="preserve">. Dado que en sujetos con EMD existe un potencial para una exposición sistémica incrementada, no puede excluirse un mayor riesgo para desarrollar hipersensibilidad en esta población de pacientes. También </w:t>
      </w:r>
      <w:r w:rsidRPr="003E0B98">
        <w:rPr>
          <w:color w:val="000000"/>
          <w:szCs w:val="22"/>
          <w:lang w:val="es-ES"/>
        </w:rPr>
        <w:t>se deberá instruir a los pacientes sobre la necesidad de notificar si la inflamación intraocular incrementa en su gravedad, lo que puede ser un signo clínico atribuible a la formación de anticuerpos intraoculares.</w:t>
      </w:r>
    </w:p>
    <w:p w14:paraId="5366E632" w14:textId="77777777" w:rsidR="002E5034" w:rsidRPr="003E0B98" w:rsidRDefault="002E5034" w:rsidP="004361AC">
      <w:pPr>
        <w:tabs>
          <w:tab w:val="clear" w:pos="567"/>
        </w:tabs>
        <w:spacing w:line="240" w:lineRule="auto"/>
        <w:rPr>
          <w:color w:val="000000"/>
          <w:szCs w:val="22"/>
          <w:lang w:val="es-ES"/>
        </w:rPr>
      </w:pPr>
    </w:p>
    <w:p w14:paraId="2D99F1C5" w14:textId="77777777" w:rsidR="002E5034" w:rsidRPr="003E0B98" w:rsidRDefault="002E5034" w:rsidP="004361AC">
      <w:pPr>
        <w:keepNext/>
        <w:tabs>
          <w:tab w:val="clear" w:pos="567"/>
        </w:tabs>
        <w:spacing w:line="240" w:lineRule="auto"/>
        <w:rPr>
          <w:color w:val="000000"/>
          <w:szCs w:val="22"/>
          <w:u w:val="single"/>
          <w:lang w:val="es-ES"/>
        </w:rPr>
      </w:pPr>
      <w:r w:rsidRPr="003E0B98">
        <w:rPr>
          <w:color w:val="000000"/>
          <w:szCs w:val="22"/>
          <w:u w:val="single"/>
          <w:lang w:val="es-ES"/>
        </w:rPr>
        <w:t>Uso concomitante con otros anti-VEGF (factor de crecimiento endotelial vascular)</w:t>
      </w:r>
    </w:p>
    <w:p w14:paraId="05DCD1BC" w14:textId="77777777" w:rsidR="006B60F8" w:rsidRPr="003E0B98" w:rsidRDefault="006B60F8" w:rsidP="004361AC">
      <w:pPr>
        <w:keepNext/>
        <w:tabs>
          <w:tab w:val="clear" w:pos="567"/>
        </w:tabs>
        <w:spacing w:line="240" w:lineRule="auto"/>
        <w:rPr>
          <w:color w:val="000000"/>
          <w:szCs w:val="22"/>
          <w:lang w:val="es-ES"/>
        </w:rPr>
      </w:pPr>
    </w:p>
    <w:p w14:paraId="0366D17F" w14:textId="77777777" w:rsidR="002E5034" w:rsidRPr="003E0B98" w:rsidRDefault="002E5034" w:rsidP="004361AC">
      <w:pPr>
        <w:tabs>
          <w:tab w:val="clear" w:pos="567"/>
        </w:tabs>
        <w:spacing w:line="240" w:lineRule="auto"/>
        <w:rPr>
          <w:color w:val="000000"/>
          <w:szCs w:val="22"/>
          <w:lang w:val="es-ES"/>
        </w:rPr>
      </w:pPr>
      <w:proofErr w:type="spellStart"/>
      <w:r w:rsidRPr="003E0B98">
        <w:rPr>
          <w:color w:val="000000"/>
          <w:szCs w:val="22"/>
          <w:lang w:val="es-ES"/>
        </w:rPr>
        <w:t>Lucentis</w:t>
      </w:r>
      <w:proofErr w:type="spellEnd"/>
      <w:r w:rsidRPr="003E0B98">
        <w:rPr>
          <w:color w:val="000000"/>
          <w:szCs w:val="22"/>
          <w:lang w:val="es-ES"/>
        </w:rPr>
        <w:t xml:space="preserve"> no se deberá administrar de forma concurrente con otros medicamentos anti-VEGF (sistémicos u oculares).</w:t>
      </w:r>
    </w:p>
    <w:p w14:paraId="1A7FB175" w14:textId="77777777" w:rsidR="002E5034" w:rsidRPr="003E0B98" w:rsidRDefault="002E5034" w:rsidP="004361AC">
      <w:pPr>
        <w:tabs>
          <w:tab w:val="clear" w:pos="567"/>
        </w:tabs>
        <w:spacing w:line="240" w:lineRule="auto"/>
        <w:rPr>
          <w:color w:val="000000"/>
          <w:szCs w:val="22"/>
          <w:lang w:val="es-ES_tradnl"/>
        </w:rPr>
      </w:pPr>
    </w:p>
    <w:p w14:paraId="2FC79173" w14:textId="77777777" w:rsidR="002E5034" w:rsidRPr="003E0B98" w:rsidRDefault="002E5034" w:rsidP="004361AC">
      <w:pPr>
        <w:keepNext/>
        <w:tabs>
          <w:tab w:val="clear" w:pos="567"/>
        </w:tabs>
        <w:spacing w:line="240" w:lineRule="auto"/>
        <w:rPr>
          <w:color w:val="000000"/>
          <w:szCs w:val="22"/>
          <w:u w:val="single"/>
          <w:lang w:val="es-ES_tradnl"/>
        </w:rPr>
      </w:pPr>
      <w:r w:rsidRPr="003E0B98">
        <w:rPr>
          <w:color w:val="000000"/>
          <w:szCs w:val="22"/>
          <w:u w:val="single"/>
          <w:lang w:val="es-ES_tradnl"/>
        </w:rPr>
        <w:t xml:space="preserve">Aplazamiento del tratamiento con </w:t>
      </w:r>
      <w:proofErr w:type="spellStart"/>
      <w:r w:rsidRPr="003E0B98">
        <w:rPr>
          <w:color w:val="000000"/>
          <w:szCs w:val="22"/>
          <w:u w:val="single"/>
          <w:lang w:val="es-ES_tradnl"/>
        </w:rPr>
        <w:t>Lucentis</w:t>
      </w:r>
      <w:proofErr w:type="spellEnd"/>
      <w:r w:rsidR="00BC0A4F" w:rsidRPr="003E0B98">
        <w:rPr>
          <w:color w:val="000000"/>
          <w:szCs w:val="22"/>
          <w:u w:val="single"/>
          <w:lang w:val="es-ES_tradnl"/>
        </w:rPr>
        <w:t xml:space="preserve"> en adultos</w:t>
      </w:r>
    </w:p>
    <w:p w14:paraId="1623A83F" w14:textId="77777777" w:rsidR="006B60F8" w:rsidRPr="003E0B98" w:rsidRDefault="006B60F8" w:rsidP="004361AC">
      <w:pPr>
        <w:keepNext/>
        <w:tabs>
          <w:tab w:val="clear" w:pos="567"/>
        </w:tabs>
        <w:spacing w:line="240" w:lineRule="auto"/>
        <w:rPr>
          <w:color w:val="000000"/>
          <w:szCs w:val="22"/>
          <w:lang w:val="es-ES_tradnl"/>
        </w:rPr>
      </w:pPr>
    </w:p>
    <w:p w14:paraId="70FA2697" w14:textId="77777777" w:rsidR="002E5034" w:rsidRPr="003E0B98" w:rsidRDefault="002E5034" w:rsidP="004361AC">
      <w:pPr>
        <w:keepNext/>
        <w:tabs>
          <w:tab w:val="clear" w:pos="567"/>
        </w:tabs>
        <w:spacing w:line="240" w:lineRule="auto"/>
        <w:rPr>
          <w:color w:val="000000"/>
          <w:szCs w:val="22"/>
          <w:lang w:val="es-ES_tradnl"/>
        </w:rPr>
      </w:pPr>
      <w:r w:rsidRPr="003E0B98">
        <w:rPr>
          <w:color w:val="000000"/>
          <w:szCs w:val="22"/>
          <w:lang w:val="es-ES_tradnl"/>
        </w:rPr>
        <w:t>La administración se deberá aplazar y el tratamiento no deberá reanudarse antes del siguiente tratamiento programado en caso de:</w:t>
      </w:r>
    </w:p>
    <w:p w14:paraId="47A7676A" w14:textId="77777777" w:rsidR="002E5034" w:rsidRPr="003E0B98" w:rsidRDefault="002E5034" w:rsidP="004361AC">
      <w:pPr>
        <w:numPr>
          <w:ilvl w:val="0"/>
          <w:numId w:val="12"/>
        </w:numPr>
        <w:tabs>
          <w:tab w:val="clear" w:pos="567"/>
        </w:tabs>
        <w:spacing w:line="240" w:lineRule="auto"/>
        <w:ind w:left="567" w:hanging="567"/>
        <w:rPr>
          <w:color w:val="000000"/>
          <w:lang w:val="es-ES"/>
        </w:rPr>
      </w:pPr>
      <w:r w:rsidRPr="003E0B98">
        <w:rPr>
          <w:color w:val="000000"/>
          <w:lang w:val="es-ES"/>
        </w:rPr>
        <w:t>una disminución en la agudeza visual mejor corregida (AVMC) de ≥30 letras comparado con la última evaluación de la agudeza visual;</w:t>
      </w:r>
    </w:p>
    <w:p w14:paraId="7C373162" w14:textId="77777777" w:rsidR="002E5034" w:rsidRPr="003E0B98" w:rsidRDefault="002E5034" w:rsidP="004361AC">
      <w:pPr>
        <w:numPr>
          <w:ilvl w:val="0"/>
          <w:numId w:val="12"/>
        </w:numPr>
        <w:tabs>
          <w:tab w:val="clear" w:pos="567"/>
        </w:tabs>
        <w:spacing w:line="240" w:lineRule="auto"/>
        <w:ind w:left="567" w:hanging="567"/>
        <w:rPr>
          <w:color w:val="000000"/>
          <w:lang w:val="es-ES"/>
        </w:rPr>
      </w:pPr>
      <w:r w:rsidRPr="003E0B98">
        <w:rPr>
          <w:color w:val="000000"/>
          <w:lang w:val="es-ES"/>
        </w:rPr>
        <w:t>una presión intraocular de ≥30 </w:t>
      </w:r>
      <w:proofErr w:type="spellStart"/>
      <w:r w:rsidRPr="003E0B98">
        <w:rPr>
          <w:color w:val="000000"/>
          <w:lang w:val="es-ES"/>
        </w:rPr>
        <w:t>mmHg</w:t>
      </w:r>
      <w:proofErr w:type="spellEnd"/>
      <w:r w:rsidRPr="003E0B98">
        <w:rPr>
          <w:color w:val="000000"/>
          <w:lang w:val="es-ES"/>
        </w:rPr>
        <w:t>;</w:t>
      </w:r>
    </w:p>
    <w:p w14:paraId="6C6E81AC" w14:textId="77777777" w:rsidR="002E5034" w:rsidRPr="003E0B98" w:rsidRDefault="002E5034" w:rsidP="004361AC">
      <w:pPr>
        <w:numPr>
          <w:ilvl w:val="0"/>
          <w:numId w:val="12"/>
        </w:numPr>
        <w:tabs>
          <w:tab w:val="clear" w:pos="567"/>
        </w:tabs>
        <w:spacing w:line="240" w:lineRule="auto"/>
        <w:ind w:left="567" w:hanging="567"/>
        <w:rPr>
          <w:color w:val="000000"/>
          <w:lang w:val="es-ES"/>
        </w:rPr>
      </w:pPr>
      <w:r w:rsidRPr="003E0B98">
        <w:rPr>
          <w:color w:val="000000"/>
          <w:lang w:val="es-ES"/>
        </w:rPr>
        <w:t>una rotura retiniana;</w:t>
      </w:r>
    </w:p>
    <w:p w14:paraId="66719419" w14:textId="77777777" w:rsidR="002E5034" w:rsidRPr="003E0B98" w:rsidRDefault="002E5034" w:rsidP="004361AC">
      <w:pPr>
        <w:numPr>
          <w:ilvl w:val="0"/>
          <w:numId w:val="12"/>
        </w:numPr>
        <w:tabs>
          <w:tab w:val="clear" w:pos="567"/>
        </w:tabs>
        <w:spacing w:line="240" w:lineRule="auto"/>
        <w:ind w:left="567" w:hanging="567"/>
        <w:rPr>
          <w:color w:val="000000"/>
          <w:lang w:val="es-ES"/>
        </w:rPr>
      </w:pPr>
      <w:r w:rsidRPr="003E0B98">
        <w:rPr>
          <w:color w:val="000000"/>
          <w:lang w:val="es-ES"/>
        </w:rPr>
        <w:t xml:space="preserve">una hemorragia </w:t>
      </w:r>
      <w:proofErr w:type="spellStart"/>
      <w:r w:rsidRPr="003E0B98">
        <w:rPr>
          <w:color w:val="000000"/>
          <w:lang w:val="es-ES"/>
        </w:rPr>
        <w:t>subretiniana</w:t>
      </w:r>
      <w:proofErr w:type="spellEnd"/>
      <w:r w:rsidRPr="003E0B98">
        <w:rPr>
          <w:color w:val="000000"/>
          <w:lang w:val="es-ES"/>
        </w:rPr>
        <w:t xml:space="preserve"> que afecte al centro de la fóvea, o, si el tamaño de la hemorragia es ≥50% del área total de la lesión;</w:t>
      </w:r>
    </w:p>
    <w:p w14:paraId="2E4B8396" w14:textId="77777777" w:rsidR="002E5034" w:rsidRPr="003E0B98" w:rsidRDefault="002E5034" w:rsidP="004361AC">
      <w:pPr>
        <w:numPr>
          <w:ilvl w:val="0"/>
          <w:numId w:val="12"/>
        </w:numPr>
        <w:tabs>
          <w:tab w:val="clear" w:pos="567"/>
        </w:tabs>
        <w:spacing w:line="240" w:lineRule="auto"/>
        <w:ind w:left="567" w:hanging="567"/>
        <w:rPr>
          <w:color w:val="000000"/>
          <w:lang w:val="es-ES"/>
        </w:rPr>
      </w:pPr>
      <w:r w:rsidRPr="003E0B98">
        <w:rPr>
          <w:color w:val="000000"/>
          <w:lang w:val="es-ES"/>
        </w:rPr>
        <w:t>cirugía intraocular realizada en los 28 días previos o prevista durante los 28 días posteriores.</w:t>
      </w:r>
    </w:p>
    <w:p w14:paraId="2203D8AD" w14:textId="77777777" w:rsidR="002E5034" w:rsidRPr="003E0B98" w:rsidRDefault="002E5034" w:rsidP="004361AC">
      <w:pPr>
        <w:tabs>
          <w:tab w:val="clear" w:pos="567"/>
        </w:tabs>
        <w:spacing w:line="240" w:lineRule="auto"/>
        <w:rPr>
          <w:color w:val="000000"/>
          <w:szCs w:val="22"/>
          <w:lang w:val="es-ES"/>
        </w:rPr>
      </w:pPr>
    </w:p>
    <w:p w14:paraId="089C2DC2" w14:textId="77777777" w:rsidR="002E5034" w:rsidRPr="003E0B98" w:rsidRDefault="002E5034" w:rsidP="004361AC">
      <w:pPr>
        <w:keepNext/>
        <w:tabs>
          <w:tab w:val="clear" w:pos="567"/>
        </w:tabs>
        <w:spacing w:line="240" w:lineRule="auto"/>
        <w:rPr>
          <w:color w:val="000000"/>
          <w:szCs w:val="22"/>
          <w:u w:val="single"/>
          <w:lang w:val="es-ES"/>
        </w:rPr>
      </w:pPr>
      <w:r w:rsidRPr="003E0B98">
        <w:rPr>
          <w:color w:val="000000"/>
          <w:szCs w:val="22"/>
          <w:u w:val="single"/>
          <w:lang w:val="es-ES"/>
        </w:rPr>
        <w:t>Desgarro del epitelio pigmentario de la retina</w:t>
      </w:r>
    </w:p>
    <w:p w14:paraId="6A9414D6" w14:textId="77777777" w:rsidR="006B60F8" w:rsidRPr="003E0B98" w:rsidRDefault="006B60F8" w:rsidP="004361AC">
      <w:pPr>
        <w:keepNext/>
        <w:tabs>
          <w:tab w:val="clear" w:pos="567"/>
        </w:tabs>
        <w:spacing w:line="240" w:lineRule="auto"/>
        <w:rPr>
          <w:color w:val="000000"/>
          <w:szCs w:val="22"/>
          <w:lang w:val="es-ES"/>
        </w:rPr>
      </w:pPr>
    </w:p>
    <w:p w14:paraId="4DF039C5" w14:textId="77777777" w:rsidR="002E5034" w:rsidRPr="003E0B98" w:rsidRDefault="002E5034" w:rsidP="004361AC">
      <w:pPr>
        <w:tabs>
          <w:tab w:val="clear" w:pos="567"/>
        </w:tabs>
        <w:spacing w:line="240" w:lineRule="auto"/>
        <w:rPr>
          <w:color w:val="000000"/>
          <w:szCs w:val="22"/>
          <w:lang w:val="es-ES"/>
        </w:rPr>
      </w:pPr>
      <w:r w:rsidRPr="003E0B98">
        <w:rPr>
          <w:color w:val="000000"/>
          <w:szCs w:val="22"/>
          <w:lang w:val="es-ES"/>
        </w:rPr>
        <w:t>Los factores de riesgo asociados con el desarrollo de un desgarro del epitelio pigmentario de la retina tras la terapia con anti-VEGF para la DMAE exudativa</w:t>
      </w:r>
      <w:r w:rsidR="00F41408" w:rsidRPr="003E0B98">
        <w:rPr>
          <w:color w:val="000000"/>
          <w:szCs w:val="22"/>
          <w:lang w:val="es-ES"/>
        </w:rPr>
        <w:t xml:space="preserve"> </w:t>
      </w:r>
      <w:r w:rsidR="00AD5277" w:rsidRPr="003E0B98">
        <w:rPr>
          <w:color w:val="000000"/>
          <w:szCs w:val="22"/>
          <w:lang w:val="es-ES"/>
        </w:rPr>
        <w:t>y potencialmente también para otras formas de NVC</w:t>
      </w:r>
      <w:r w:rsidRPr="003E0B98">
        <w:rPr>
          <w:color w:val="000000"/>
          <w:szCs w:val="22"/>
          <w:lang w:val="es-ES"/>
        </w:rPr>
        <w:t xml:space="preserve">, incluyen un desprendimiento del epitelio pigmentario de la retina extenso y/o elevado. Cuando se inicie la terapia con </w:t>
      </w:r>
      <w:proofErr w:type="spellStart"/>
      <w:r w:rsidR="009E146B" w:rsidRPr="003E0B98">
        <w:rPr>
          <w:color w:val="000000"/>
          <w:szCs w:val="22"/>
          <w:lang w:val="es-ES"/>
        </w:rPr>
        <w:t>ranibizumab</w:t>
      </w:r>
      <w:proofErr w:type="spellEnd"/>
      <w:r w:rsidRPr="003E0B98">
        <w:rPr>
          <w:color w:val="000000"/>
          <w:szCs w:val="22"/>
          <w:lang w:val="es-ES"/>
        </w:rPr>
        <w:t xml:space="preserve"> se debe tener precaución en pacientes con estos factores de riesgo de desarrollar desgarros del epitelio pigmentario de la retina.</w:t>
      </w:r>
    </w:p>
    <w:p w14:paraId="13E52737" w14:textId="77777777" w:rsidR="002E5034" w:rsidRPr="003E0B98" w:rsidRDefault="002E5034" w:rsidP="004361AC">
      <w:pPr>
        <w:tabs>
          <w:tab w:val="clear" w:pos="567"/>
        </w:tabs>
        <w:spacing w:line="240" w:lineRule="auto"/>
        <w:rPr>
          <w:color w:val="000000"/>
          <w:szCs w:val="22"/>
          <w:lang w:val="es-ES"/>
        </w:rPr>
      </w:pPr>
    </w:p>
    <w:p w14:paraId="591E2AFE" w14:textId="77777777" w:rsidR="002E5034" w:rsidRPr="003E0B98" w:rsidRDefault="002E5034" w:rsidP="004361AC">
      <w:pPr>
        <w:keepNext/>
        <w:tabs>
          <w:tab w:val="clear" w:pos="567"/>
        </w:tabs>
        <w:spacing w:line="240" w:lineRule="auto"/>
        <w:rPr>
          <w:color w:val="000000"/>
          <w:szCs w:val="22"/>
          <w:u w:val="single"/>
          <w:lang w:val="es-ES"/>
        </w:rPr>
      </w:pPr>
      <w:r w:rsidRPr="003E0B98">
        <w:rPr>
          <w:color w:val="000000"/>
          <w:szCs w:val="22"/>
          <w:u w:val="single"/>
          <w:lang w:val="es-ES"/>
        </w:rPr>
        <w:t xml:space="preserve">Desprendimiento de retina </w:t>
      </w:r>
      <w:proofErr w:type="spellStart"/>
      <w:r w:rsidRPr="003E0B98">
        <w:rPr>
          <w:color w:val="000000"/>
          <w:szCs w:val="22"/>
          <w:u w:val="single"/>
          <w:lang w:val="es-ES"/>
        </w:rPr>
        <w:t>regmatógeno</w:t>
      </w:r>
      <w:proofErr w:type="spellEnd"/>
      <w:r w:rsidRPr="003E0B98">
        <w:rPr>
          <w:color w:val="000000"/>
          <w:szCs w:val="22"/>
          <w:u w:val="single"/>
          <w:lang w:val="es-ES"/>
        </w:rPr>
        <w:t xml:space="preserve"> o agujeros maculares</w:t>
      </w:r>
      <w:r w:rsidR="00BC0A4F" w:rsidRPr="003E0B98">
        <w:rPr>
          <w:color w:val="000000"/>
          <w:szCs w:val="22"/>
          <w:u w:val="single"/>
          <w:lang w:val="es-ES"/>
        </w:rPr>
        <w:t xml:space="preserve"> en adultos</w:t>
      </w:r>
    </w:p>
    <w:p w14:paraId="75642D15" w14:textId="77777777" w:rsidR="009E146B" w:rsidRPr="003E0B98" w:rsidRDefault="009E146B" w:rsidP="004361AC">
      <w:pPr>
        <w:keepNext/>
        <w:tabs>
          <w:tab w:val="clear" w:pos="567"/>
        </w:tabs>
        <w:spacing w:line="240" w:lineRule="auto"/>
        <w:rPr>
          <w:color w:val="000000"/>
          <w:szCs w:val="22"/>
          <w:lang w:val="es-ES"/>
        </w:rPr>
      </w:pPr>
    </w:p>
    <w:p w14:paraId="1F228487" w14:textId="77777777" w:rsidR="002E5034" w:rsidRPr="003E0B98" w:rsidRDefault="002E5034" w:rsidP="004361AC">
      <w:pPr>
        <w:tabs>
          <w:tab w:val="clear" w:pos="567"/>
        </w:tabs>
        <w:spacing w:line="240" w:lineRule="auto"/>
        <w:rPr>
          <w:color w:val="000000"/>
          <w:szCs w:val="22"/>
          <w:lang w:val="es-ES"/>
        </w:rPr>
      </w:pPr>
      <w:r w:rsidRPr="003E0B98">
        <w:rPr>
          <w:color w:val="000000"/>
          <w:szCs w:val="22"/>
          <w:lang w:val="es-ES"/>
        </w:rPr>
        <w:t xml:space="preserve">El tratamiento se debe interrumpir en sujetos con desprendimiento de retina </w:t>
      </w:r>
      <w:proofErr w:type="spellStart"/>
      <w:r w:rsidRPr="003E0B98">
        <w:rPr>
          <w:color w:val="000000"/>
          <w:szCs w:val="22"/>
          <w:lang w:val="es-ES"/>
        </w:rPr>
        <w:t>regmatógeno</w:t>
      </w:r>
      <w:proofErr w:type="spellEnd"/>
      <w:r w:rsidRPr="003E0B98">
        <w:rPr>
          <w:color w:val="000000"/>
          <w:szCs w:val="22"/>
          <w:lang w:val="es-ES"/>
        </w:rPr>
        <w:t xml:space="preserve"> o agujeros maculares en </w:t>
      </w:r>
      <w:proofErr w:type="spellStart"/>
      <w:proofErr w:type="gramStart"/>
      <w:r w:rsidRPr="003E0B98">
        <w:rPr>
          <w:color w:val="000000"/>
          <w:szCs w:val="22"/>
          <w:lang w:val="es-ES"/>
        </w:rPr>
        <w:t>estadíos</w:t>
      </w:r>
      <w:proofErr w:type="spellEnd"/>
      <w:proofErr w:type="gramEnd"/>
      <w:r w:rsidRPr="003E0B98">
        <w:rPr>
          <w:color w:val="000000"/>
          <w:szCs w:val="22"/>
          <w:lang w:val="es-ES"/>
        </w:rPr>
        <w:t xml:space="preserve"> 3 </w:t>
      </w:r>
      <w:proofErr w:type="spellStart"/>
      <w:r w:rsidRPr="003E0B98">
        <w:rPr>
          <w:color w:val="000000"/>
          <w:szCs w:val="22"/>
          <w:lang w:val="es-ES"/>
        </w:rPr>
        <w:t>ó</w:t>
      </w:r>
      <w:proofErr w:type="spellEnd"/>
      <w:r w:rsidRPr="003E0B98">
        <w:rPr>
          <w:color w:val="000000"/>
          <w:szCs w:val="22"/>
          <w:lang w:val="es-ES"/>
        </w:rPr>
        <w:t xml:space="preserve"> 4.</w:t>
      </w:r>
    </w:p>
    <w:p w14:paraId="0A42F94D" w14:textId="77777777" w:rsidR="002E5034" w:rsidRPr="003E0B98" w:rsidRDefault="002E5034" w:rsidP="004361AC">
      <w:pPr>
        <w:tabs>
          <w:tab w:val="clear" w:pos="567"/>
        </w:tabs>
        <w:spacing w:line="240" w:lineRule="auto"/>
        <w:rPr>
          <w:color w:val="000000"/>
          <w:szCs w:val="22"/>
          <w:lang w:val="es-ES"/>
        </w:rPr>
      </w:pPr>
    </w:p>
    <w:p w14:paraId="4662B2AC" w14:textId="77777777" w:rsidR="00BC0A4F" w:rsidRPr="003E0B98" w:rsidRDefault="00BC0A4F" w:rsidP="004361AC">
      <w:pPr>
        <w:keepNext/>
        <w:tabs>
          <w:tab w:val="clear" w:pos="567"/>
        </w:tabs>
        <w:spacing w:line="240" w:lineRule="auto"/>
        <w:rPr>
          <w:color w:val="000000"/>
          <w:szCs w:val="22"/>
          <w:u w:val="single"/>
          <w:lang w:val="es-ES"/>
        </w:rPr>
      </w:pPr>
      <w:r w:rsidRPr="003E0B98">
        <w:rPr>
          <w:color w:val="000000"/>
          <w:szCs w:val="22"/>
          <w:u w:val="single"/>
          <w:lang w:val="es-ES"/>
        </w:rPr>
        <w:t>Población pediátrica</w:t>
      </w:r>
    </w:p>
    <w:p w14:paraId="536D570F" w14:textId="77777777" w:rsidR="00BE5591" w:rsidRPr="003E0B98" w:rsidRDefault="00BE5591" w:rsidP="004361AC">
      <w:pPr>
        <w:keepNext/>
        <w:tabs>
          <w:tab w:val="clear" w:pos="567"/>
        </w:tabs>
        <w:spacing w:line="240" w:lineRule="auto"/>
        <w:rPr>
          <w:color w:val="000000"/>
          <w:szCs w:val="22"/>
          <w:u w:val="single"/>
          <w:lang w:val="es-ES"/>
        </w:rPr>
      </w:pPr>
    </w:p>
    <w:p w14:paraId="24B1CDD7" w14:textId="054F7693" w:rsidR="00BC0A4F" w:rsidRPr="003E0B98" w:rsidRDefault="00BC0A4F" w:rsidP="004361AC">
      <w:pPr>
        <w:tabs>
          <w:tab w:val="clear" w:pos="567"/>
        </w:tabs>
        <w:spacing w:line="240" w:lineRule="auto"/>
        <w:rPr>
          <w:color w:val="000000"/>
          <w:szCs w:val="22"/>
          <w:lang w:val="es-ES"/>
        </w:rPr>
      </w:pPr>
      <w:r w:rsidRPr="003E0B98">
        <w:rPr>
          <w:color w:val="000000"/>
          <w:szCs w:val="22"/>
          <w:lang w:val="es-ES"/>
        </w:rPr>
        <w:t xml:space="preserve">Las advertencias y precauciones para adultos también aplican a los recién nacidos </w:t>
      </w:r>
      <w:r w:rsidR="003400BD" w:rsidRPr="003E0B98">
        <w:rPr>
          <w:color w:val="000000"/>
          <w:szCs w:val="22"/>
          <w:lang w:val="es-ES"/>
        </w:rPr>
        <w:t>pretérmino</w:t>
      </w:r>
      <w:r w:rsidRPr="003E0B98">
        <w:rPr>
          <w:color w:val="000000"/>
          <w:szCs w:val="22"/>
          <w:lang w:val="es-ES"/>
        </w:rPr>
        <w:t xml:space="preserve"> con </w:t>
      </w:r>
      <w:r w:rsidR="00153893" w:rsidRPr="003E0B98">
        <w:rPr>
          <w:color w:val="000000"/>
          <w:szCs w:val="22"/>
          <w:lang w:val="es-ES"/>
        </w:rPr>
        <w:t>R</w:t>
      </w:r>
      <w:r w:rsidR="00714C3D" w:rsidRPr="003E0B98">
        <w:rPr>
          <w:color w:val="000000"/>
          <w:szCs w:val="22"/>
          <w:lang w:val="es-ES"/>
        </w:rPr>
        <w:t>O</w:t>
      </w:r>
      <w:r w:rsidR="00153893" w:rsidRPr="003E0B98">
        <w:rPr>
          <w:color w:val="000000"/>
          <w:szCs w:val="22"/>
          <w:lang w:val="es-ES"/>
        </w:rPr>
        <w:t>P</w:t>
      </w:r>
      <w:r w:rsidRPr="003E0B98">
        <w:rPr>
          <w:color w:val="000000"/>
          <w:szCs w:val="22"/>
          <w:lang w:val="es-ES"/>
        </w:rPr>
        <w:t xml:space="preserve">. </w:t>
      </w:r>
      <w:r w:rsidR="00C47CA5" w:rsidRPr="003E0B98">
        <w:rPr>
          <w:color w:val="000000"/>
          <w:szCs w:val="22"/>
          <w:lang w:val="es-ES"/>
        </w:rPr>
        <w:t xml:space="preserve">La seguridad a largo plazo en recién nacidos pretérmino con ROP se ha estudiado en el </w:t>
      </w:r>
      <w:r w:rsidR="0030432C">
        <w:rPr>
          <w:color w:val="000000"/>
          <w:szCs w:val="22"/>
          <w:lang w:val="es-ES"/>
        </w:rPr>
        <w:t>estudio</w:t>
      </w:r>
      <w:r w:rsidR="0030432C" w:rsidRPr="003E0B98">
        <w:rPr>
          <w:color w:val="000000"/>
          <w:szCs w:val="22"/>
          <w:lang w:val="es-ES"/>
        </w:rPr>
        <w:t xml:space="preserve"> </w:t>
      </w:r>
      <w:r w:rsidR="00C47CA5" w:rsidRPr="003E0B98">
        <w:rPr>
          <w:color w:val="000000"/>
          <w:szCs w:val="22"/>
          <w:lang w:val="es-ES"/>
        </w:rPr>
        <w:t xml:space="preserve">de extensión RAINBOW </w:t>
      </w:r>
      <w:r w:rsidR="0030432C" w:rsidRPr="0030432C">
        <w:rPr>
          <w:color w:val="000000"/>
          <w:szCs w:val="22"/>
          <w:lang w:val="es-ES"/>
        </w:rPr>
        <w:t xml:space="preserve">hasta la edad de cinco años. El perfil de seguridad de </w:t>
      </w:r>
      <w:proofErr w:type="spellStart"/>
      <w:r w:rsidR="0030432C" w:rsidRPr="0030432C">
        <w:rPr>
          <w:color w:val="000000"/>
          <w:szCs w:val="22"/>
          <w:lang w:val="es-ES"/>
        </w:rPr>
        <w:t>ranibizumab</w:t>
      </w:r>
      <w:proofErr w:type="spellEnd"/>
      <w:r w:rsidR="0030432C" w:rsidRPr="0030432C">
        <w:rPr>
          <w:color w:val="000000"/>
          <w:szCs w:val="22"/>
          <w:lang w:val="es-ES"/>
        </w:rPr>
        <w:t xml:space="preserve"> 0,2</w:t>
      </w:r>
      <w:r w:rsidR="0030432C">
        <w:rPr>
          <w:color w:val="000000"/>
          <w:szCs w:val="22"/>
          <w:lang w:val="es-ES"/>
        </w:rPr>
        <w:t> </w:t>
      </w:r>
      <w:r w:rsidR="0030432C" w:rsidRPr="0030432C">
        <w:rPr>
          <w:color w:val="000000"/>
          <w:szCs w:val="22"/>
          <w:lang w:val="es-ES"/>
        </w:rPr>
        <w:t xml:space="preserve">mg durante el estudio de extensión fue consistente con el observado en el </w:t>
      </w:r>
      <w:r w:rsidR="0030432C" w:rsidRPr="008A0C7B">
        <w:rPr>
          <w:color w:val="000000"/>
          <w:szCs w:val="22"/>
          <w:lang w:val="es-ES"/>
        </w:rPr>
        <w:t xml:space="preserve">estudio </w:t>
      </w:r>
      <w:proofErr w:type="spellStart"/>
      <w:r w:rsidR="0030432C" w:rsidRPr="008A0C7B">
        <w:rPr>
          <w:color w:val="000000"/>
          <w:szCs w:val="22"/>
          <w:lang w:val="es-ES"/>
        </w:rPr>
        <w:t>p</w:t>
      </w:r>
      <w:r w:rsidR="00160989" w:rsidRPr="008A0C7B">
        <w:rPr>
          <w:color w:val="000000"/>
          <w:szCs w:val="22"/>
          <w:lang w:val="es-ES"/>
        </w:rPr>
        <w:t>ivotal</w:t>
      </w:r>
      <w:proofErr w:type="spellEnd"/>
      <w:r w:rsidR="0030432C" w:rsidRPr="008A0C7B">
        <w:rPr>
          <w:color w:val="000000"/>
          <w:szCs w:val="22"/>
          <w:lang w:val="es-ES"/>
        </w:rPr>
        <w:t xml:space="preserve"> a las</w:t>
      </w:r>
      <w:r w:rsidR="0030432C" w:rsidRPr="0030432C">
        <w:rPr>
          <w:color w:val="000000"/>
          <w:szCs w:val="22"/>
          <w:lang w:val="es-ES"/>
        </w:rPr>
        <w:t xml:space="preserve"> 24</w:t>
      </w:r>
      <w:r w:rsidR="0030432C">
        <w:rPr>
          <w:color w:val="000000"/>
          <w:szCs w:val="22"/>
          <w:lang w:val="es-ES"/>
        </w:rPr>
        <w:t> </w:t>
      </w:r>
      <w:r w:rsidR="0030432C" w:rsidRPr="0030432C">
        <w:rPr>
          <w:color w:val="000000"/>
          <w:szCs w:val="22"/>
          <w:lang w:val="es-ES"/>
        </w:rPr>
        <w:t>semanas (ver sección</w:t>
      </w:r>
      <w:r w:rsidR="008A0C7B">
        <w:rPr>
          <w:color w:val="000000"/>
          <w:szCs w:val="22"/>
          <w:lang w:val="es-ES"/>
        </w:rPr>
        <w:t> </w:t>
      </w:r>
      <w:r w:rsidR="0030432C" w:rsidRPr="0030432C">
        <w:rPr>
          <w:color w:val="000000"/>
          <w:szCs w:val="22"/>
          <w:lang w:val="es-ES"/>
        </w:rPr>
        <w:t>4.8).</w:t>
      </w:r>
    </w:p>
    <w:p w14:paraId="54328074" w14:textId="77777777" w:rsidR="00BC0A4F" w:rsidRPr="003E0B98" w:rsidRDefault="00BC0A4F" w:rsidP="004361AC">
      <w:pPr>
        <w:tabs>
          <w:tab w:val="clear" w:pos="567"/>
        </w:tabs>
        <w:spacing w:line="240" w:lineRule="auto"/>
        <w:rPr>
          <w:color w:val="000000"/>
          <w:szCs w:val="22"/>
          <w:lang w:val="es-ES"/>
        </w:rPr>
      </w:pPr>
    </w:p>
    <w:p w14:paraId="3076C9B1" w14:textId="77777777" w:rsidR="002E5034" w:rsidRPr="003E0B98" w:rsidRDefault="002E5034" w:rsidP="004361AC">
      <w:pPr>
        <w:keepNext/>
        <w:tabs>
          <w:tab w:val="clear" w:pos="567"/>
        </w:tabs>
        <w:spacing w:line="240" w:lineRule="auto"/>
        <w:rPr>
          <w:color w:val="000000"/>
          <w:szCs w:val="22"/>
          <w:u w:val="single"/>
          <w:lang w:val="es-ES"/>
        </w:rPr>
      </w:pPr>
      <w:r w:rsidRPr="003E0B98">
        <w:rPr>
          <w:color w:val="000000"/>
          <w:szCs w:val="22"/>
          <w:u w:val="single"/>
          <w:lang w:val="es-ES"/>
        </w:rPr>
        <w:t>Poblaciones con datos limitados</w:t>
      </w:r>
    </w:p>
    <w:p w14:paraId="58246630" w14:textId="77777777" w:rsidR="009E146B" w:rsidRPr="003E0B98" w:rsidRDefault="009E146B" w:rsidP="004361AC">
      <w:pPr>
        <w:keepNext/>
        <w:tabs>
          <w:tab w:val="clear" w:pos="567"/>
        </w:tabs>
        <w:spacing w:line="240" w:lineRule="auto"/>
        <w:rPr>
          <w:color w:val="000000"/>
          <w:szCs w:val="22"/>
          <w:lang w:val="es-ES"/>
        </w:rPr>
      </w:pPr>
    </w:p>
    <w:p w14:paraId="077125F1" w14:textId="0DC97EC0" w:rsidR="002E5034" w:rsidRPr="003E0B98" w:rsidRDefault="002E5034" w:rsidP="004361AC">
      <w:pPr>
        <w:tabs>
          <w:tab w:val="clear" w:pos="567"/>
        </w:tabs>
        <w:spacing w:line="240" w:lineRule="auto"/>
        <w:rPr>
          <w:color w:val="000000"/>
          <w:szCs w:val="22"/>
          <w:lang w:val="es-ES"/>
        </w:rPr>
      </w:pPr>
      <w:r w:rsidRPr="003E0B98">
        <w:rPr>
          <w:color w:val="000000"/>
          <w:szCs w:val="22"/>
          <w:lang w:val="es-ES"/>
        </w:rPr>
        <w:t xml:space="preserve">Sólo existe experiencia limitada en el tratamiento de sujetos con EMD debido a diabetes tipo I. </w:t>
      </w:r>
      <w:proofErr w:type="spellStart"/>
      <w:r w:rsidRPr="003E0B98">
        <w:rPr>
          <w:color w:val="000000"/>
          <w:szCs w:val="22"/>
          <w:lang w:val="es-ES"/>
        </w:rPr>
        <w:t>Lucentis</w:t>
      </w:r>
      <w:proofErr w:type="spellEnd"/>
      <w:r w:rsidRPr="003E0B98">
        <w:rPr>
          <w:color w:val="000000"/>
          <w:szCs w:val="22"/>
          <w:lang w:val="es-ES"/>
        </w:rPr>
        <w:t xml:space="preserve"> no ha sido estudiado en pacientes que hayan recibido previamente inyecciones intravítreas, en pacientes con infecciones sistémicas activas, ni en pacientes con enfermedades oculares simultáneas tales como desprendimiento de retina o agujero macular. </w:t>
      </w:r>
      <w:r w:rsidR="00113D12" w:rsidRPr="003E0B98">
        <w:rPr>
          <w:color w:val="000000"/>
          <w:szCs w:val="22"/>
          <w:lang w:val="es-ES"/>
        </w:rPr>
        <w:t>E</w:t>
      </w:r>
      <w:r w:rsidRPr="003E0B98">
        <w:rPr>
          <w:color w:val="000000"/>
          <w:szCs w:val="22"/>
          <w:lang w:val="es-ES"/>
        </w:rPr>
        <w:t xml:space="preserve">xiste experiencia </w:t>
      </w:r>
      <w:r w:rsidR="00113D12" w:rsidRPr="003E0B98">
        <w:rPr>
          <w:color w:val="000000"/>
          <w:szCs w:val="22"/>
          <w:lang w:val="es-ES"/>
        </w:rPr>
        <w:t xml:space="preserve">limitada </w:t>
      </w:r>
      <w:r w:rsidRPr="003E0B98">
        <w:rPr>
          <w:color w:val="000000"/>
          <w:szCs w:val="22"/>
          <w:lang w:val="es-ES"/>
        </w:rPr>
        <w:t xml:space="preserve">en el tratamiento con </w:t>
      </w:r>
      <w:proofErr w:type="spellStart"/>
      <w:r w:rsidRPr="003E0B98">
        <w:rPr>
          <w:color w:val="000000"/>
          <w:szCs w:val="22"/>
          <w:lang w:val="es-ES"/>
        </w:rPr>
        <w:t>Lucentis</w:t>
      </w:r>
      <w:proofErr w:type="spellEnd"/>
      <w:r w:rsidRPr="003E0B98">
        <w:rPr>
          <w:color w:val="000000"/>
          <w:szCs w:val="22"/>
          <w:lang w:val="es-ES"/>
        </w:rPr>
        <w:t xml:space="preserve"> en pacientes diabéticos con un HbA1c por encima de </w:t>
      </w:r>
      <w:r w:rsidR="00113D12" w:rsidRPr="003E0B98">
        <w:rPr>
          <w:color w:val="000000"/>
          <w:szCs w:val="22"/>
          <w:lang w:val="es-ES"/>
        </w:rPr>
        <w:t>108</w:t>
      </w:r>
      <w:r w:rsidR="003A34AB" w:rsidRPr="003E0B98">
        <w:rPr>
          <w:color w:val="000000"/>
          <w:szCs w:val="22"/>
          <w:lang w:val="es-ES"/>
        </w:rPr>
        <w:t> </w:t>
      </w:r>
      <w:r w:rsidR="00113D12" w:rsidRPr="003E0B98">
        <w:rPr>
          <w:color w:val="000000"/>
          <w:szCs w:val="22"/>
          <w:lang w:val="es-ES"/>
        </w:rPr>
        <w:t>mmol/mol (</w:t>
      </w:r>
      <w:r w:rsidRPr="003E0B98">
        <w:rPr>
          <w:color w:val="000000"/>
          <w:szCs w:val="22"/>
          <w:lang w:val="es-ES"/>
        </w:rPr>
        <w:t>12%</w:t>
      </w:r>
      <w:r w:rsidR="00113D12" w:rsidRPr="003E0B98">
        <w:rPr>
          <w:color w:val="000000"/>
          <w:szCs w:val="22"/>
          <w:lang w:val="es-ES"/>
        </w:rPr>
        <w:t>)</w:t>
      </w:r>
      <w:r w:rsidRPr="003E0B98">
        <w:rPr>
          <w:color w:val="000000"/>
          <w:szCs w:val="22"/>
          <w:lang w:val="es-ES"/>
        </w:rPr>
        <w:t xml:space="preserve"> </w:t>
      </w:r>
      <w:r w:rsidR="00113D12" w:rsidRPr="003E0B98">
        <w:rPr>
          <w:color w:val="000000"/>
          <w:szCs w:val="22"/>
          <w:lang w:val="es-ES"/>
        </w:rPr>
        <w:t>y no existe experiencia en pacientes con</w:t>
      </w:r>
      <w:r w:rsidRPr="003E0B98">
        <w:rPr>
          <w:color w:val="000000"/>
          <w:szCs w:val="22"/>
          <w:lang w:val="es-ES"/>
        </w:rPr>
        <w:t xml:space="preserve"> hipertensión no controlada. El médico debe tener en cuenta esta falta de información al tratar a tales pacientes.</w:t>
      </w:r>
    </w:p>
    <w:p w14:paraId="1AC9549D" w14:textId="77777777" w:rsidR="00457504" w:rsidRPr="003E0B98" w:rsidRDefault="00457504" w:rsidP="004361AC">
      <w:pPr>
        <w:tabs>
          <w:tab w:val="clear" w:pos="567"/>
        </w:tabs>
        <w:spacing w:line="240" w:lineRule="auto"/>
        <w:rPr>
          <w:color w:val="000000"/>
          <w:szCs w:val="22"/>
          <w:lang w:val="es-ES"/>
        </w:rPr>
      </w:pPr>
    </w:p>
    <w:p w14:paraId="38BFB825" w14:textId="77777777" w:rsidR="00457504" w:rsidRPr="003E0B98" w:rsidRDefault="00457504" w:rsidP="004361AC">
      <w:pPr>
        <w:tabs>
          <w:tab w:val="clear" w:pos="567"/>
        </w:tabs>
        <w:spacing w:line="240" w:lineRule="auto"/>
        <w:rPr>
          <w:color w:val="000000"/>
          <w:szCs w:val="22"/>
          <w:lang w:val="es-ES"/>
        </w:rPr>
      </w:pPr>
      <w:r w:rsidRPr="003E0B98">
        <w:rPr>
          <w:color w:val="000000"/>
          <w:szCs w:val="22"/>
          <w:lang w:val="es-ES"/>
        </w:rPr>
        <w:t xml:space="preserve">No hay datos suficientes </w:t>
      </w:r>
      <w:r w:rsidR="009C770A" w:rsidRPr="003E0B98">
        <w:rPr>
          <w:color w:val="000000"/>
          <w:szCs w:val="22"/>
          <w:lang w:val="es-ES"/>
        </w:rPr>
        <w:t xml:space="preserve">que permitan </w:t>
      </w:r>
      <w:r w:rsidR="007D389E" w:rsidRPr="003E0B98">
        <w:rPr>
          <w:color w:val="000000"/>
          <w:szCs w:val="22"/>
          <w:lang w:val="es-ES"/>
        </w:rPr>
        <w:t>establecer una conclusi</w:t>
      </w:r>
      <w:r w:rsidR="001D4BBC" w:rsidRPr="003E0B98">
        <w:rPr>
          <w:color w:val="000000"/>
          <w:szCs w:val="22"/>
          <w:lang w:val="es-ES"/>
        </w:rPr>
        <w:t xml:space="preserve">ón acerca del efecto de </w:t>
      </w:r>
      <w:proofErr w:type="spellStart"/>
      <w:r w:rsidR="001D4BBC" w:rsidRPr="003E0B98">
        <w:rPr>
          <w:color w:val="000000"/>
          <w:szCs w:val="22"/>
          <w:lang w:val="es-ES"/>
        </w:rPr>
        <w:t>Lucentis</w:t>
      </w:r>
      <w:proofErr w:type="spellEnd"/>
      <w:r w:rsidR="001D4BBC" w:rsidRPr="003E0B98">
        <w:rPr>
          <w:color w:val="000000"/>
          <w:szCs w:val="22"/>
          <w:lang w:val="es-ES"/>
        </w:rPr>
        <w:t xml:space="preserve"> en pacientes con OVR que presentan pérdida irreversible de la función visual isquémica.</w:t>
      </w:r>
    </w:p>
    <w:p w14:paraId="2E082441" w14:textId="77777777" w:rsidR="00457504" w:rsidRPr="003E0B98" w:rsidRDefault="00457504" w:rsidP="004361AC">
      <w:pPr>
        <w:tabs>
          <w:tab w:val="clear" w:pos="567"/>
        </w:tabs>
        <w:spacing w:line="240" w:lineRule="auto"/>
        <w:rPr>
          <w:color w:val="000000"/>
          <w:szCs w:val="22"/>
          <w:lang w:val="es-ES"/>
        </w:rPr>
      </w:pPr>
    </w:p>
    <w:p w14:paraId="0963B007" w14:textId="38B38E4B" w:rsidR="002E5034" w:rsidRPr="003E0B98" w:rsidRDefault="002E5034" w:rsidP="004361AC">
      <w:pPr>
        <w:tabs>
          <w:tab w:val="clear" w:pos="567"/>
        </w:tabs>
        <w:spacing w:line="240" w:lineRule="auto"/>
        <w:rPr>
          <w:color w:val="000000"/>
          <w:szCs w:val="22"/>
          <w:lang w:val="es-ES"/>
        </w:rPr>
      </w:pPr>
      <w:r w:rsidRPr="003E0B98">
        <w:rPr>
          <w:color w:val="000000"/>
          <w:szCs w:val="22"/>
          <w:lang w:val="es-ES"/>
        </w:rPr>
        <w:t xml:space="preserve">En pacientes con MP, hay datos limitados del efecto de </w:t>
      </w:r>
      <w:proofErr w:type="spellStart"/>
      <w:r w:rsidRPr="003E0B98">
        <w:rPr>
          <w:color w:val="000000"/>
          <w:szCs w:val="22"/>
          <w:lang w:val="es-ES"/>
        </w:rPr>
        <w:t>Lucentis</w:t>
      </w:r>
      <w:proofErr w:type="spellEnd"/>
      <w:r w:rsidRPr="003E0B98">
        <w:rPr>
          <w:color w:val="000000"/>
          <w:szCs w:val="22"/>
          <w:lang w:val="es-ES"/>
        </w:rPr>
        <w:t xml:space="preserve"> en pacientes que han sido sometidos previamente a un tratamiento de terapia fotodinámica con </w:t>
      </w:r>
      <w:proofErr w:type="spellStart"/>
      <w:r w:rsidRPr="003E0B98">
        <w:rPr>
          <w:color w:val="000000"/>
          <w:szCs w:val="22"/>
          <w:lang w:val="es-ES"/>
        </w:rPr>
        <w:t>verteporfina</w:t>
      </w:r>
      <w:proofErr w:type="spellEnd"/>
      <w:r w:rsidRPr="003E0B98">
        <w:rPr>
          <w:color w:val="000000"/>
          <w:szCs w:val="22"/>
          <w:lang w:val="es-ES"/>
        </w:rPr>
        <w:t xml:space="preserve"> (</w:t>
      </w:r>
      <w:proofErr w:type="spellStart"/>
      <w:r w:rsidRPr="003E0B98">
        <w:rPr>
          <w:color w:val="000000"/>
          <w:szCs w:val="22"/>
          <w:lang w:val="es-ES"/>
        </w:rPr>
        <w:t>TFDv</w:t>
      </w:r>
      <w:proofErr w:type="spellEnd"/>
      <w:r w:rsidRPr="003E0B98">
        <w:rPr>
          <w:color w:val="000000"/>
          <w:szCs w:val="22"/>
          <w:lang w:val="es-ES"/>
        </w:rPr>
        <w:t xml:space="preserve">) sin </w:t>
      </w:r>
      <w:r w:rsidR="00C47CA5" w:rsidRPr="003E0B98">
        <w:rPr>
          <w:color w:val="000000"/>
          <w:szCs w:val="22"/>
          <w:lang w:val="es-ES"/>
        </w:rPr>
        <w:t>é</w:t>
      </w:r>
      <w:r w:rsidRPr="003E0B98">
        <w:rPr>
          <w:color w:val="000000"/>
          <w:szCs w:val="22"/>
          <w:lang w:val="es-ES"/>
        </w:rPr>
        <w:t xml:space="preserve">xito. Además, mientras que en sujetos con lesiones </w:t>
      </w:r>
      <w:proofErr w:type="spellStart"/>
      <w:r w:rsidRPr="003E0B98">
        <w:rPr>
          <w:color w:val="000000"/>
          <w:szCs w:val="22"/>
          <w:lang w:val="es-ES"/>
        </w:rPr>
        <w:t>subfoveales</w:t>
      </w:r>
      <w:proofErr w:type="spellEnd"/>
      <w:r w:rsidRPr="003E0B98">
        <w:rPr>
          <w:color w:val="000000"/>
          <w:szCs w:val="22"/>
          <w:lang w:val="es-ES"/>
        </w:rPr>
        <w:t xml:space="preserve"> y </w:t>
      </w:r>
      <w:proofErr w:type="spellStart"/>
      <w:r w:rsidRPr="003E0B98">
        <w:rPr>
          <w:color w:val="000000"/>
          <w:szCs w:val="22"/>
          <w:lang w:val="es-ES"/>
        </w:rPr>
        <w:t>yuxtafoveales</w:t>
      </w:r>
      <w:proofErr w:type="spellEnd"/>
      <w:r w:rsidRPr="003E0B98">
        <w:rPr>
          <w:color w:val="000000"/>
          <w:szCs w:val="22"/>
          <w:lang w:val="es-ES"/>
        </w:rPr>
        <w:t xml:space="preserve"> se observó un efecto consistente, no hay datos suficientes para establecer conclusiones sobre el efecto de </w:t>
      </w:r>
      <w:proofErr w:type="spellStart"/>
      <w:r w:rsidRPr="003E0B98">
        <w:rPr>
          <w:color w:val="000000"/>
          <w:szCs w:val="22"/>
          <w:lang w:val="es-ES"/>
        </w:rPr>
        <w:t>Lucentis</w:t>
      </w:r>
      <w:proofErr w:type="spellEnd"/>
      <w:r w:rsidRPr="003E0B98">
        <w:rPr>
          <w:color w:val="000000"/>
          <w:szCs w:val="22"/>
          <w:lang w:val="es-ES"/>
        </w:rPr>
        <w:t xml:space="preserve"> en sujetos con MP y lesiones </w:t>
      </w:r>
      <w:proofErr w:type="spellStart"/>
      <w:r w:rsidRPr="003E0B98">
        <w:rPr>
          <w:color w:val="000000"/>
          <w:szCs w:val="22"/>
          <w:lang w:val="es-ES"/>
        </w:rPr>
        <w:t>extrafoveales</w:t>
      </w:r>
      <w:proofErr w:type="spellEnd"/>
      <w:r w:rsidRPr="003E0B98">
        <w:rPr>
          <w:color w:val="000000"/>
          <w:szCs w:val="22"/>
          <w:lang w:val="es-ES"/>
        </w:rPr>
        <w:t>.</w:t>
      </w:r>
    </w:p>
    <w:p w14:paraId="5064AAEC" w14:textId="77777777" w:rsidR="002E5034" w:rsidRPr="003E0B98" w:rsidRDefault="002E5034" w:rsidP="004361AC">
      <w:pPr>
        <w:tabs>
          <w:tab w:val="clear" w:pos="567"/>
        </w:tabs>
        <w:spacing w:line="240" w:lineRule="auto"/>
        <w:rPr>
          <w:color w:val="000000"/>
          <w:szCs w:val="22"/>
          <w:lang w:val="es-ES_tradnl"/>
        </w:rPr>
      </w:pPr>
    </w:p>
    <w:p w14:paraId="40FE0A48" w14:textId="77777777" w:rsidR="002E5034" w:rsidRPr="003E0B98" w:rsidRDefault="002E5034" w:rsidP="004361AC">
      <w:pPr>
        <w:keepNext/>
        <w:tabs>
          <w:tab w:val="clear" w:pos="567"/>
        </w:tabs>
        <w:spacing w:line="240" w:lineRule="auto"/>
        <w:rPr>
          <w:color w:val="000000"/>
          <w:szCs w:val="22"/>
          <w:u w:val="single"/>
          <w:lang w:val="es-ES_tradnl"/>
        </w:rPr>
      </w:pPr>
      <w:r w:rsidRPr="003E0B98">
        <w:rPr>
          <w:color w:val="000000"/>
          <w:szCs w:val="22"/>
          <w:u w:val="single"/>
          <w:lang w:val="es-ES_tradnl"/>
        </w:rPr>
        <w:t>Efectos sistémicos tras el uso intravítreo</w:t>
      </w:r>
    </w:p>
    <w:p w14:paraId="6CDD513B" w14:textId="77777777" w:rsidR="009E146B" w:rsidRPr="003E0B98" w:rsidRDefault="009E146B" w:rsidP="004361AC">
      <w:pPr>
        <w:keepNext/>
        <w:tabs>
          <w:tab w:val="clear" w:pos="567"/>
        </w:tabs>
        <w:spacing w:line="240" w:lineRule="auto"/>
        <w:rPr>
          <w:color w:val="000000"/>
          <w:szCs w:val="22"/>
          <w:lang w:val="es-ES_tradnl"/>
        </w:rPr>
      </w:pPr>
    </w:p>
    <w:p w14:paraId="018245EA" w14:textId="77777777" w:rsidR="002E5034" w:rsidRPr="003E0B98" w:rsidRDefault="002E5034" w:rsidP="004361AC">
      <w:pPr>
        <w:tabs>
          <w:tab w:val="clear" w:pos="567"/>
        </w:tabs>
        <w:spacing w:line="240" w:lineRule="auto"/>
        <w:rPr>
          <w:color w:val="000000"/>
          <w:szCs w:val="22"/>
          <w:lang w:val="es-ES_tradnl"/>
        </w:rPr>
      </w:pPr>
      <w:r w:rsidRPr="003E0B98">
        <w:rPr>
          <w:color w:val="000000"/>
          <w:szCs w:val="22"/>
          <w:lang w:val="es-ES_tradnl"/>
        </w:rPr>
        <w:t>Se han notificado acontecimientos adversos sistémicos, incluyendo hemorragias no oculares y acontecimientos tromboembólicos arteriales tras la inyección intravítrea de inhibidores del VEGF.</w:t>
      </w:r>
    </w:p>
    <w:p w14:paraId="7DC0D0AF" w14:textId="77777777" w:rsidR="002E5034" w:rsidRPr="003E0B98" w:rsidRDefault="002E5034" w:rsidP="004361AC">
      <w:pPr>
        <w:tabs>
          <w:tab w:val="clear" w:pos="567"/>
        </w:tabs>
        <w:spacing w:line="240" w:lineRule="auto"/>
        <w:rPr>
          <w:color w:val="000000"/>
          <w:szCs w:val="22"/>
          <w:lang w:val="es-ES_tradnl"/>
        </w:rPr>
      </w:pPr>
    </w:p>
    <w:p w14:paraId="6912CFFF" w14:textId="54848EC3" w:rsidR="002E5034" w:rsidRPr="003E0B98" w:rsidRDefault="002E5034" w:rsidP="004361AC">
      <w:pPr>
        <w:tabs>
          <w:tab w:val="clear" w:pos="567"/>
        </w:tabs>
        <w:spacing w:line="240" w:lineRule="auto"/>
        <w:rPr>
          <w:color w:val="000000"/>
          <w:szCs w:val="22"/>
          <w:lang w:val="es-ES_tradnl"/>
        </w:rPr>
      </w:pPr>
      <w:r w:rsidRPr="003E0B98">
        <w:rPr>
          <w:color w:val="000000"/>
          <w:szCs w:val="22"/>
          <w:lang w:val="es-ES_tradnl"/>
        </w:rPr>
        <w:t>Existen datos limitados sobre seguridad en el tratamiento de pacientes con EMD, edema macular debido a OVR y NVC secundaria a MP que tengan antecedentes de accidente cerebrovascular o ataques isquémicos transitorios. Se debe tener precaución cuando se traten tales pacientes (ver sección</w:t>
      </w:r>
      <w:r w:rsidR="00707E0E">
        <w:rPr>
          <w:color w:val="000000"/>
          <w:szCs w:val="22"/>
          <w:lang w:val="es-ES_tradnl"/>
        </w:rPr>
        <w:t> </w:t>
      </w:r>
      <w:r w:rsidRPr="003E0B98">
        <w:rPr>
          <w:color w:val="000000"/>
          <w:szCs w:val="22"/>
          <w:lang w:val="es-ES_tradnl"/>
        </w:rPr>
        <w:t>4.8).</w:t>
      </w:r>
    </w:p>
    <w:p w14:paraId="11C249C6" w14:textId="77777777" w:rsidR="002E5034" w:rsidRPr="003E0B98" w:rsidRDefault="002E5034" w:rsidP="004361AC">
      <w:pPr>
        <w:tabs>
          <w:tab w:val="clear" w:pos="567"/>
        </w:tabs>
        <w:spacing w:line="240" w:lineRule="auto"/>
        <w:rPr>
          <w:color w:val="000000"/>
          <w:szCs w:val="22"/>
          <w:lang w:val="es-ES_tradnl"/>
        </w:rPr>
      </w:pPr>
    </w:p>
    <w:p w14:paraId="6594E620" w14:textId="77777777" w:rsidR="002E5034" w:rsidRPr="003E0B98" w:rsidRDefault="002E5034" w:rsidP="004361AC">
      <w:pPr>
        <w:keepNext/>
        <w:tabs>
          <w:tab w:val="clear" w:pos="567"/>
        </w:tabs>
        <w:spacing w:line="240" w:lineRule="auto"/>
        <w:rPr>
          <w:color w:val="000000"/>
          <w:szCs w:val="22"/>
          <w:lang w:val="es-ES_tradnl"/>
        </w:rPr>
      </w:pPr>
      <w:r w:rsidRPr="003E0B98">
        <w:rPr>
          <w:b/>
          <w:color w:val="000000"/>
          <w:szCs w:val="22"/>
          <w:lang w:val="es-ES_tradnl"/>
        </w:rPr>
        <w:t>4.5</w:t>
      </w:r>
      <w:r w:rsidRPr="003E0B98">
        <w:rPr>
          <w:b/>
          <w:color w:val="000000"/>
          <w:szCs w:val="22"/>
          <w:lang w:val="es-ES_tradnl"/>
        </w:rPr>
        <w:tab/>
      </w:r>
      <w:r w:rsidRPr="003E0B98">
        <w:rPr>
          <w:b/>
          <w:color w:val="000000"/>
          <w:szCs w:val="22"/>
          <w:lang w:val="es-ES"/>
        </w:rPr>
        <w:t>Interacción con otros medicamentos y otras formas de interacción</w:t>
      </w:r>
    </w:p>
    <w:p w14:paraId="1C4D587B" w14:textId="77777777" w:rsidR="002E5034" w:rsidRPr="003E0B98" w:rsidRDefault="002E5034" w:rsidP="004361AC">
      <w:pPr>
        <w:keepNext/>
        <w:tabs>
          <w:tab w:val="clear" w:pos="567"/>
        </w:tabs>
        <w:spacing w:line="240" w:lineRule="auto"/>
        <w:rPr>
          <w:color w:val="000000"/>
          <w:szCs w:val="22"/>
          <w:lang w:val="es-ES_tradnl"/>
        </w:rPr>
      </w:pPr>
    </w:p>
    <w:p w14:paraId="5E482E04" w14:textId="77777777" w:rsidR="002E5034" w:rsidRPr="003E0B98" w:rsidRDefault="002E5034" w:rsidP="004361AC">
      <w:pPr>
        <w:pStyle w:val="Text"/>
        <w:spacing w:before="0"/>
        <w:jc w:val="left"/>
        <w:rPr>
          <w:color w:val="000000"/>
          <w:sz w:val="22"/>
          <w:szCs w:val="22"/>
          <w:lang w:val="es-ES_tradnl"/>
        </w:rPr>
      </w:pPr>
      <w:r w:rsidRPr="003E0B98">
        <w:rPr>
          <w:color w:val="000000"/>
          <w:sz w:val="22"/>
          <w:szCs w:val="22"/>
          <w:lang w:val="es-ES_tradnl"/>
        </w:rPr>
        <w:t>No se han realizado estudios de interacciones formales.</w:t>
      </w:r>
    </w:p>
    <w:p w14:paraId="121A264C" w14:textId="77777777" w:rsidR="002E5034" w:rsidRPr="003E0B98" w:rsidRDefault="002E5034" w:rsidP="004361AC">
      <w:pPr>
        <w:tabs>
          <w:tab w:val="clear" w:pos="567"/>
        </w:tabs>
        <w:spacing w:line="240" w:lineRule="auto"/>
        <w:rPr>
          <w:color w:val="000000"/>
          <w:szCs w:val="22"/>
          <w:lang w:val="es-ES_tradnl"/>
        </w:rPr>
      </w:pPr>
    </w:p>
    <w:p w14:paraId="103BF918" w14:textId="77777777" w:rsidR="002E5034" w:rsidRPr="003E0B98" w:rsidRDefault="002E5034" w:rsidP="004361AC">
      <w:pPr>
        <w:tabs>
          <w:tab w:val="clear" w:pos="567"/>
        </w:tabs>
        <w:spacing w:line="240" w:lineRule="auto"/>
        <w:rPr>
          <w:color w:val="000000"/>
          <w:szCs w:val="22"/>
          <w:lang w:val="es-ES"/>
        </w:rPr>
      </w:pPr>
      <w:r w:rsidRPr="003E0B98">
        <w:rPr>
          <w:color w:val="000000"/>
          <w:szCs w:val="22"/>
          <w:lang w:val="es-ES_tradnl"/>
        </w:rPr>
        <w:t xml:space="preserve">Para el uso conjunto de terapia fotodinámica (TFD) con </w:t>
      </w:r>
      <w:proofErr w:type="spellStart"/>
      <w:r w:rsidRPr="003E0B98">
        <w:rPr>
          <w:color w:val="000000"/>
          <w:szCs w:val="22"/>
          <w:lang w:val="es-ES_tradnl"/>
        </w:rPr>
        <w:t>verteporfina</w:t>
      </w:r>
      <w:proofErr w:type="spellEnd"/>
      <w:r w:rsidRPr="003E0B98">
        <w:rPr>
          <w:color w:val="000000"/>
          <w:szCs w:val="22"/>
          <w:lang w:val="es-ES_tradnl"/>
        </w:rPr>
        <w:t xml:space="preserve"> y </w:t>
      </w:r>
      <w:proofErr w:type="spellStart"/>
      <w:r w:rsidRPr="003E0B98">
        <w:rPr>
          <w:color w:val="000000"/>
          <w:szCs w:val="22"/>
          <w:lang w:val="es-ES_tradnl"/>
        </w:rPr>
        <w:t>Lucentis</w:t>
      </w:r>
      <w:proofErr w:type="spellEnd"/>
      <w:r w:rsidRPr="003E0B98">
        <w:rPr>
          <w:color w:val="000000"/>
          <w:szCs w:val="22"/>
          <w:lang w:val="es-ES_tradnl"/>
        </w:rPr>
        <w:t xml:space="preserve"> en la DMAE exudativa y en la MP, </w:t>
      </w:r>
      <w:r w:rsidRPr="003E0B98">
        <w:rPr>
          <w:color w:val="000000"/>
          <w:szCs w:val="22"/>
          <w:lang w:val="es-ES"/>
        </w:rPr>
        <w:t>ver sección 5.1.</w:t>
      </w:r>
    </w:p>
    <w:p w14:paraId="67CFCC22" w14:textId="77777777" w:rsidR="002E5034" w:rsidRPr="003E0B98" w:rsidRDefault="002E5034" w:rsidP="004361AC">
      <w:pPr>
        <w:tabs>
          <w:tab w:val="clear" w:pos="567"/>
        </w:tabs>
        <w:spacing w:line="240" w:lineRule="auto"/>
        <w:rPr>
          <w:color w:val="000000"/>
          <w:szCs w:val="22"/>
          <w:lang w:val="es-ES"/>
        </w:rPr>
      </w:pPr>
    </w:p>
    <w:p w14:paraId="29D719F5" w14:textId="77777777" w:rsidR="002E5034" w:rsidRPr="003E0B98" w:rsidRDefault="002E5034" w:rsidP="004361AC">
      <w:pPr>
        <w:tabs>
          <w:tab w:val="clear" w:pos="567"/>
        </w:tabs>
        <w:spacing w:line="240" w:lineRule="auto"/>
        <w:rPr>
          <w:color w:val="000000"/>
          <w:szCs w:val="22"/>
          <w:lang w:val="es-ES_tradnl"/>
        </w:rPr>
      </w:pPr>
      <w:r w:rsidRPr="003E0B98">
        <w:rPr>
          <w:color w:val="000000"/>
          <w:szCs w:val="22"/>
          <w:lang w:val="es-ES"/>
        </w:rPr>
        <w:t xml:space="preserve">Para el uso conjunto de fotocoagulación con láser y </w:t>
      </w:r>
      <w:proofErr w:type="spellStart"/>
      <w:r w:rsidRPr="003E0B98">
        <w:rPr>
          <w:color w:val="000000"/>
          <w:szCs w:val="22"/>
          <w:lang w:val="es-ES"/>
        </w:rPr>
        <w:t>Lucent</w:t>
      </w:r>
      <w:r w:rsidR="004C5BFF" w:rsidRPr="003E0B98">
        <w:rPr>
          <w:color w:val="000000"/>
          <w:szCs w:val="22"/>
          <w:lang w:val="es-ES"/>
        </w:rPr>
        <w:t>is</w:t>
      </w:r>
      <w:proofErr w:type="spellEnd"/>
      <w:r w:rsidR="004C5BFF" w:rsidRPr="003E0B98">
        <w:rPr>
          <w:color w:val="000000"/>
          <w:szCs w:val="22"/>
          <w:lang w:val="es-ES"/>
        </w:rPr>
        <w:t xml:space="preserve"> en EMD y ORVR, ver secciones 4.2 y </w:t>
      </w:r>
      <w:r w:rsidRPr="003E0B98">
        <w:rPr>
          <w:color w:val="000000"/>
          <w:szCs w:val="22"/>
          <w:lang w:val="es-ES"/>
        </w:rPr>
        <w:t>5.1.</w:t>
      </w:r>
    </w:p>
    <w:p w14:paraId="3C0B8B2B" w14:textId="77777777" w:rsidR="002E5034" w:rsidRPr="003E0B98" w:rsidRDefault="002E5034" w:rsidP="004361AC">
      <w:pPr>
        <w:tabs>
          <w:tab w:val="clear" w:pos="567"/>
        </w:tabs>
        <w:spacing w:line="240" w:lineRule="auto"/>
        <w:rPr>
          <w:color w:val="000000"/>
          <w:szCs w:val="22"/>
          <w:lang w:val="es-ES_tradnl"/>
        </w:rPr>
      </w:pPr>
    </w:p>
    <w:p w14:paraId="21E6CF2F" w14:textId="77777777" w:rsidR="006A0A91" w:rsidRPr="003E0B98" w:rsidRDefault="006A0A91" w:rsidP="004361AC">
      <w:pPr>
        <w:tabs>
          <w:tab w:val="clear" w:pos="567"/>
        </w:tabs>
        <w:spacing w:line="240" w:lineRule="auto"/>
        <w:rPr>
          <w:color w:val="000000"/>
          <w:szCs w:val="22"/>
          <w:lang w:val="es-ES_tradnl"/>
        </w:rPr>
      </w:pPr>
      <w:r w:rsidRPr="003E0B98">
        <w:rPr>
          <w:color w:val="000000"/>
          <w:szCs w:val="22"/>
          <w:lang w:val="es-ES_tradnl"/>
        </w:rPr>
        <w:t>En ensayos clínicos para el tratamiento de la alteración visual debida al EMD</w:t>
      </w:r>
      <w:r w:rsidR="00C64F8A" w:rsidRPr="003E0B98">
        <w:rPr>
          <w:color w:val="000000"/>
          <w:szCs w:val="22"/>
          <w:lang w:val="es-ES_tradnl"/>
        </w:rPr>
        <w:t>,</w:t>
      </w:r>
      <w:r w:rsidRPr="003E0B98">
        <w:rPr>
          <w:color w:val="000000"/>
          <w:szCs w:val="22"/>
          <w:lang w:val="es-ES_tradnl"/>
        </w:rPr>
        <w:t xml:space="preserve"> </w:t>
      </w:r>
      <w:r w:rsidR="00C64F8A" w:rsidRPr="003E0B98">
        <w:rPr>
          <w:color w:val="000000"/>
          <w:szCs w:val="22"/>
          <w:lang w:val="es-ES_tradnl"/>
        </w:rPr>
        <w:t xml:space="preserve">el tratamiento concomitante con </w:t>
      </w:r>
      <w:proofErr w:type="spellStart"/>
      <w:r w:rsidR="00C64F8A" w:rsidRPr="003E0B98">
        <w:rPr>
          <w:color w:val="000000"/>
          <w:szCs w:val="22"/>
          <w:lang w:val="es-ES_tradnl"/>
        </w:rPr>
        <w:t>tiazolidinedionas</w:t>
      </w:r>
      <w:proofErr w:type="spellEnd"/>
      <w:r w:rsidR="00C64F8A" w:rsidRPr="003E0B98">
        <w:rPr>
          <w:color w:val="000000"/>
          <w:szCs w:val="22"/>
          <w:lang w:val="es-ES_tradnl"/>
        </w:rPr>
        <w:t xml:space="preserve"> </w:t>
      </w:r>
      <w:r w:rsidR="00595F1B" w:rsidRPr="003E0B98">
        <w:rPr>
          <w:color w:val="000000"/>
          <w:szCs w:val="22"/>
          <w:lang w:val="es-ES_tradnl"/>
        </w:rPr>
        <w:t xml:space="preserve">en pacientes tratados con </w:t>
      </w:r>
      <w:proofErr w:type="spellStart"/>
      <w:r w:rsidR="00595F1B" w:rsidRPr="003E0B98">
        <w:rPr>
          <w:color w:val="000000"/>
          <w:szCs w:val="22"/>
          <w:lang w:val="es-ES_tradnl"/>
        </w:rPr>
        <w:t>Lucentis</w:t>
      </w:r>
      <w:proofErr w:type="spellEnd"/>
      <w:r w:rsidR="00595F1B" w:rsidRPr="003E0B98">
        <w:rPr>
          <w:color w:val="000000"/>
          <w:szCs w:val="22"/>
          <w:lang w:val="es-ES_tradnl"/>
        </w:rPr>
        <w:t xml:space="preserve">, </w:t>
      </w:r>
      <w:r w:rsidR="00C64F8A" w:rsidRPr="003E0B98">
        <w:rPr>
          <w:color w:val="000000"/>
          <w:szCs w:val="22"/>
          <w:lang w:val="es-ES_tradnl"/>
        </w:rPr>
        <w:t xml:space="preserve">no afectó </w:t>
      </w:r>
      <w:r w:rsidRPr="003E0B98">
        <w:rPr>
          <w:color w:val="000000"/>
          <w:szCs w:val="22"/>
          <w:lang w:val="es-ES_tradnl"/>
        </w:rPr>
        <w:t xml:space="preserve">el resultado </w:t>
      </w:r>
      <w:proofErr w:type="gramStart"/>
      <w:r w:rsidRPr="003E0B98">
        <w:rPr>
          <w:color w:val="000000"/>
          <w:szCs w:val="22"/>
          <w:lang w:val="es-ES_tradnl"/>
        </w:rPr>
        <w:t xml:space="preserve">en </w:t>
      </w:r>
      <w:r w:rsidR="00C64F8A" w:rsidRPr="003E0B98">
        <w:rPr>
          <w:color w:val="000000"/>
          <w:szCs w:val="22"/>
          <w:lang w:val="es-ES_tradnl"/>
        </w:rPr>
        <w:t>relación</w:t>
      </w:r>
      <w:r w:rsidRPr="003E0B98">
        <w:rPr>
          <w:color w:val="000000"/>
          <w:szCs w:val="22"/>
          <w:lang w:val="es-ES_tradnl"/>
        </w:rPr>
        <w:t xml:space="preserve"> a</w:t>
      </w:r>
      <w:proofErr w:type="gramEnd"/>
      <w:r w:rsidRPr="003E0B98">
        <w:rPr>
          <w:color w:val="000000"/>
          <w:szCs w:val="22"/>
          <w:lang w:val="es-ES_tradnl"/>
        </w:rPr>
        <w:t xml:space="preserve"> </w:t>
      </w:r>
      <w:r w:rsidR="00C64F8A" w:rsidRPr="003E0B98">
        <w:rPr>
          <w:color w:val="000000"/>
          <w:szCs w:val="22"/>
          <w:lang w:val="es-ES_tradnl"/>
        </w:rPr>
        <w:t xml:space="preserve">la </w:t>
      </w:r>
      <w:r w:rsidRPr="003E0B98">
        <w:rPr>
          <w:color w:val="000000"/>
          <w:szCs w:val="22"/>
          <w:lang w:val="es-ES_tradnl"/>
        </w:rPr>
        <w:t xml:space="preserve">agudeza visual o </w:t>
      </w:r>
      <w:r w:rsidR="00C64F8A" w:rsidRPr="003E0B98">
        <w:rPr>
          <w:color w:val="000000"/>
          <w:szCs w:val="22"/>
          <w:lang w:val="es-ES_tradnl"/>
        </w:rPr>
        <w:t xml:space="preserve">al </w:t>
      </w:r>
      <w:r w:rsidRPr="003E0B98">
        <w:rPr>
          <w:color w:val="000000"/>
          <w:szCs w:val="22"/>
          <w:lang w:val="es-ES_tradnl"/>
        </w:rPr>
        <w:t>grosor de</w:t>
      </w:r>
      <w:r w:rsidR="007457BA" w:rsidRPr="003E0B98">
        <w:rPr>
          <w:color w:val="000000"/>
          <w:szCs w:val="22"/>
          <w:lang w:val="es-ES_tradnl"/>
        </w:rPr>
        <w:t>l subcampo central</w:t>
      </w:r>
      <w:r w:rsidRPr="003E0B98">
        <w:rPr>
          <w:color w:val="000000"/>
          <w:szCs w:val="22"/>
          <w:lang w:val="es-ES_tradnl"/>
        </w:rPr>
        <w:t xml:space="preserve"> de la retina (</w:t>
      </w:r>
      <w:r w:rsidR="007457BA" w:rsidRPr="003E0B98">
        <w:rPr>
          <w:color w:val="000000"/>
          <w:szCs w:val="22"/>
          <w:lang w:val="es-ES_tradnl"/>
        </w:rPr>
        <w:t>GSCR</w:t>
      </w:r>
      <w:r w:rsidRPr="003E0B98">
        <w:rPr>
          <w:color w:val="000000"/>
          <w:szCs w:val="22"/>
          <w:lang w:val="es-ES_tradnl"/>
        </w:rPr>
        <w:t>)</w:t>
      </w:r>
      <w:r w:rsidR="00C64F8A" w:rsidRPr="003E0B98">
        <w:rPr>
          <w:color w:val="000000"/>
          <w:szCs w:val="22"/>
          <w:lang w:val="es-ES_tradnl"/>
        </w:rPr>
        <w:t>.</w:t>
      </w:r>
    </w:p>
    <w:p w14:paraId="2EA6FA65" w14:textId="77777777" w:rsidR="00C64F8A" w:rsidRPr="003E0B98" w:rsidRDefault="00C64F8A" w:rsidP="004361AC">
      <w:pPr>
        <w:tabs>
          <w:tab w:val="clear" w:pos="567"/>
        </w:tabs>
        <w:spacing w:line="240" w:lineRule="auto"/>
        <w:rPr>
          <w:color w:val="000000"/>
          <w:szCs w:val="22"/>
          <w:lang w:val="es-ES_tradnl"/>
        </w:rPr>
      </w:pPr>
    </w:p>
    <w:p w14:paraId="56E0B0A2" w14:textId="77777777" w:rsidR="006C44FE" w:rsidRPr="003E0B98" w:rsidRDefault="006C44FE" w:rsidP="004361AC">
      <w:pPr>
        <w:keepNext/>
        <w:tabs>
          <w:tab w:val="clear" w:pos="567"/>
        </w:tabs>
        <w:spacing w:line="240" w:lineRule="auto"/>
        <w:rPr>
          <w:color w:val="000000"/>
          <w:szCs w:val="22"/>
          <w:u w:val="single"/>
          <w:lang w:val="es-ES_tradnl"/>
        </w:rPr>
      </w:pPr>
      <w:r w:rsidRPr="003E0B98">
        <w:rPr>
          <w:color w:val="000000"/>
          <w:szCs w:val="22"/>
          <w:u w:val="single"/>
          <w:lang w:val="es-ES_tradnl"/>
        </w:rPr>
        <w:t>Población pediátrica</w:t>
      </w:r>
    </w:p>
    <w:p w14:paraId="04E51CAF" w14:textId="77777777" w:rsidR="006C44FE" w:rsidRPr="003E0B98" w:rsidRDefault="006C44FE" w:rsidP="004361AC">
      <w:pPr>
        <w:keepNext/>
        <w:tabs>
          <w:tab w:val="clear" w:pos="567"/>
        </w:tabs>
        <w:spacing w:line="240" w:lineRule="auto"/>
        <w:rPr>
          <w:color w:val="000000"/>
          <w:szCs w:val="22"/>
          <w:lang w:val="es-ES_tradnl"/>
        </w:rPr>
      </w:pPr>
    </w:p>
    <w:p w14:paraId="648A1347" w14:textId="77777777" w:rsidR="006C44FE" w:rsidRPr="003E0B98" w:rsidRDefault="006C44FE" w:rsidP="004361AC">
      <w:pPr>
        <w:tabs>
          <w:tab w:val="clear" w:pos="567"/>
        </w:tabs>
        <w:spacing w:line="240" w:lineRule="auto"/>
        <w:rPr>
          <w:color w:val="000000"/>
          <w:szCs w:val="22"/>
          <w:lang w:val="es-ES"/>
        </w:rPr>
      </w:pPr>
      <w:r w:rsidRPr="003E0B98">
        <w:rPr>
          <w:color w:val="000000"/>
          <w:szCs w:val="22"/>
          <w:lang w:val="es-ES"/>
        </w:rPr>
        <w:t>No se han realizado estudios de interacci</w:t>
      </w:r>
      <w:r w:rsidR="00A6723E" w:rsidRPr="003E0B98">
        <w:rPr>
          <w:color w:val="000000"/>
          <w:szCs w:val="22"/>
          <w:lang w:val="es-ES"/>
        </w:rPr>
        <w:t>ones</w:t>
      </w:r>
      <w:r w:rsidRPr="003E0B98">
        <w:rPr>
          <w:color w:val="000000"/>
          <w:szCs w:val="22"/>
          <w:lang w:val="es-ES"/>
        </w:rPr>
        <w:t>.</w:t>
      </w:r>
    </w:p>
    <w:p w14:paraId="2012835B" w14:textId="77777777" w:rsidR="006C44FE" w:rsidRPr="003E0B98" w:rsidRDefault="006C44FE" w:rsidP="004361AC">
      <w:pPr>
        <w:tabs>
          <w:tab w:val="clear" w:pos="567"/>
        </w:tabs>
        <w:spacing w:line="240" w:lineRule="auto"/>
        <w:rPr>
          <w:color w:val="000000"/>
          <w:szCs w:val="22"/>
          <w:lang w:val="es-ES"/>
        </w:rPr>
      </w:pPr>
    </w:p>
    <w:p w14:paraId="0145F781" w14:textId="77777777" w:rsidR="002E5034" w:rsidRPr="003E0B98" w:rsidRDefault="002E5034" w:rsidP="004361AC">
      <w:pPr>
        <w:keepNext/>
        <w:tabs>
          <w:tab w:val="clear" w:pos="567"/>
        </w:tabs>
        <w:spacing w:line="240" w:lineRule="auto"/>
        <w:rPr>
          <w:color w:val="000000"/>
          <w:szCs w:val="22"/>
          <w:lang w:val="es-ES_tradnl"/>
        </w:rPr>
      </w:pPr>
      <w:r w:rsidRPr="003E0B98">
        <w:rPr>
          <w:b/>
          <w:color w:val="000000"/>
          <w:szCs w:val="22"/>
          <w:lang w:val="es-ES_tradnl"/>
        </w:rPr>
        <w:t>4.6</w:t>
      </w:r>
      <w:r w:rsidRPr="003E0B98">
        <w:rPr>
          <w:b/>
          <w:color w:val="000000"/>
          <w:szCs w:val="22"/>
          <w:lang w:val="es-ES_tradnl"/>
        </w:rPr>
        <w:tab/>
        <w:t xml:space="preserve">Fertilidad, </w:t>
      </w:r>
      <w:r w:rsidRPr="003E0B98">
        <w:rPr>
          <w:b/>
          <w:color w:val="000000"/>
          <w:szCs w:val="22"/>
          <w:lang w:val="es-ES"/>
        </w:rPr>
        <w:t>embarazo y lactancia</w:t>
      </w:r>
    </w:p>
    <w:p w14:paraId="7434C13D" w14:textId="77777777" w:rsidR="002E5034" w:rsidRPr="003E0B98" w:rsidRDefault="002E5034" w:rsidP="004361AC">
      <w:pPr>
        <w:keepNext/>
        <w:tabs>
          <w:tab w:val="clear" w:pos="567"/>
        </w:tabs>
        <w:spacing w:line="240" w:lineRule="auto"/>
        <w:rPr>
          <w:color w:val="000000"/>
          <w:szCs w:val="22"/>
          <w:lang w:val="es-ES_tradnl"/>
        </w:rPr>
      </w:pPr>
    </w:p>
    <w:p w14:paraId="26E635E7" w14:textId="77777777" w:rsidR="002E5034" w:rsidRPr="003E0B98" w:rsidRDefault="002E5034" w:rsidP="004361AC">
      <w:pPr>
        <w:keepNext/>
        <w:tabs>
          <w:tab w:val="clear" w:pos="567"/>
        </w:tabs>
        <w:spacing w:line="240" w:lineRule="auto"/>
        <w:rPr>
          <w:color w:val="000000"/>
          <w:szCs w:val="22"/>
          <w:u w:val="single"/>
          <w:lang w:val="es-ES_tradnl"/>
        </w:rPr>
      </w:pPr>
      <w:r w:rsidRPr="003E0B98">
        <w:rPr>
          <w:color w:val="000000"/>
          <w:szCs w:val="22"/>
          <w:u w:val="single"/>
          <w:lang w:val="es-ES_tradnl"/>
        </w:rPr>
        <w:t>Mujeres en edad fértil/anticoncepción en mujeres</w:t>
      </w:r>
    </w:p>
    <w:p w14:paraId="68AE9DC8" w14:textId="77777777" w:rsidR="009E146B" w:rsidRPr="003E0B98" w:rsidRDefault="009E146B" w:rsidP="004361AC">
      <w:pPr>
        <w:keepNext/>
        <w:tabs>
          <w:tab w:val="clear" w:pos="567"/>
        </w:tabs>
        <w:spacing w:line="240" w:lineRule="auto"/>
        <w:rPr>
          <w:color w:val="000000"/>
          <w:szCs w:val="22"/>
          <w:lang w:val="es-ES_tradnl"/>
        </w:rPr>
      </w:pPr>
    </w:p>
    <w:p w14:paraId="0DE7EAB6" w14:textId="77777777" w:rsidR="002E5034" w:rsidRPr="003E0B98" w:rsidRDefault="002E5034" w:rsidP="004361AC">
      <w:pPr>
        <w:tabs>
          <w:tab w:val="clear" w:pos="567"/>
        </w:tabs>
        <w:spacing w:line="240" w:lineRule="auto"/>
        <w:rPr>
          <w:color w:val="000000"/>
          <w:szCs w:val="22"/>
          <w:lang w:val="es-ES_tradnl"/>
        </w:rPr>
      </w:pPr>
      <w:r w:rsidRPr="003E0B98">
        <w:rPr>
          <w:color w:val="000000"/>
          <w:szCs w:val="22"/>
          <w:lang w:val="es-ES_tradnl"/>
        </w:rPr>
        <w:t>Las mujeres en edad fértil deben utilizar métodos anticonceptivos efectivos durante el tratamiento.</w:t>
      </w:r>
    </w:p>
    <w:p w14:paraId="1523EE8F" w14:textId="77777777" w:rsidR="002E5034" w:rsidRPr="003E0B98" w:rsidRDefault="002E5034" w:rsidP="004361AC">
      <w:pPr>
        <w:tabs>
          <w:tab w:val="clear" w:pos="567"/>
        </w:tabs>
        <w:spacing w:line="240" w:lineRule="auto"/>
        <w:rPr>
          <w:color w:val="000000"/>
          <w:szCs w:val="22"/>
          <w:lang w:val="es-ES_tradnl"/>
        </w:rPr>
      </w:pPr>
    </w:p>
    <w:p w14:paraId="1E839E65" w14:textId="77777777" w:rsidR="002E5034" w:rsidRPr="003E0B98" w:rsidRDefault="002E5034" w:rsidP="004361AC">
      <w:pPr>
        <w:keepNext/>
        <w:tabs>
          <w:tab w:val="clear" w:pos="567"/>
        </w:tabs>
        <w:spacing w:line="240" w:lineRule="auto"/>
        <w:rPr>
          <w:color w:val="000000"/>
          <w:szCs w:val="22"/>
          <w:u w:val="single"/>
          <w:lang w:val="es-ES_tradnl"/>
        </w:rPr>
      </w:pPr>
      <w:r w:rsidRPr="003E0B98">
        <w:rPr>
          <w:color w:val="000000"/>
          <w:szCs w:val="22"/>
          <w:u w:val="single"/>
          <w:lang w:val="es-ES_tradnl"/>
        </w:rPr>
        <w:t>Embarazo</w:t>
      </w:r>
    </w:p>
    <w:p w14:paraId="3A60563E" w14:textId="77777777" w:rsidR="009E146B" w:rsidRPr="003E0B98" w:rsidRDefault="009E146B" w:rsidP="004361AC">
      <w:pPr>
        <w:keepNext/>
        <w:tabs>
          <w:tab w:val="clear" w:pos="567"/>
        </w:tabs>
        <w:spacing w:line="240" w:lineRule="auto"/>
        <w:rPr>
          <w:color w:val="000000"/>
          <w:szCs w:val="22"/>
          <w:lang w:val="es-ES_tradnl"/>
        </w:rPr>
      </w:pPr>
    </w:p>
    <w:p w14:paraId="1CD9624A" w14:textId="77777777" w:rsidR="002E5034" w:rsidRPr="003E0B98" w:rsidRDefault="002E5034" w:rsidP="004361AC">
      <w:pPr>
        <w:tabs>
          <w:tab w:val="clear" w:pos="567"/>
        </w:tabs>
        <w:spacing w:line="240" w:lineRule="auto"/>
        <w:rPr>
          <w:color w:val="000000"/>
          <w:szCs w:val="22"/>
          <w:lang w:val="es-ES_tradnl"/>
        </w:rPr>
      </w:pPr>
      <w:r w:rsidRPr="003E0B98">
        <w:rPr>
          <w:color w:val="000000"/>
          <w:szCs w:val="22"/>
          <w:lang w:val="es-ES_tradnl"/>
        </w:rPr>
        <w:t xml:space="preserve">No se dispone de datos clínicos de exposición a </w:t>
      </w:r>
      <w:proofErr w:type="spellStart"/>
      <w:r w:rsidRPr="003E0B98">
        <w:rPr>
          <w:color w:val="000000"/>
          <w:szCs w:val="22"/>
          <w:lang w:val="es-ES_tradnl"/>
        </w:rPr>
        <w:t>ranibizumab</w:t>
      </w:r>
      <w:proofErr w:type="spellEnd"/>
      <w:r w:rsidRPr="003E0B98">
        <w:rPr>
          <w:color w:val="000000"/>
          <w:szCs w:val="22"/>
          <w:lang w:val="es-ES_tradnl"/>
        </w:rPr>
        <w:t xml:space="preserve"> en embarazos. Los estudios en </w:t>
      </w:r>
      <w:r w:rsidRPr="003E0B98">
        <w:rPr>
          <w:szCs w:val="22"/>
          <w:lang w:val="es-ES_tradnl"/>
        </w:rPr>
        <w:t xml:space="preserve">monos </w:t>
      </w:r>
      <w:proofErr w:type="spellStart"/>
      <w:r w:rsidRPr="003E0B98">
        <w:rPr>
          <w:szCs w:val="22"/>
          <w:lang w:val="es-ES_tradnl"/>
        </w:rPr>
        <w:t>cinomolgos</w:t>
      </w:r>
      <w:proofErr w:type="spellEnd"/>
      <w:r w:rsidRPr="003E0B98">
        <w:rPr>
          <w:color w:val="000000"/>
          <w:szCs w:val="22"/>
          <w:lang w:val="es-ES_tradnl"/>
        </w:rPr>
        <w:t xml:space="preserve"> </w:t>
      </w:r>
      <w:r w:rsidRPr="003E0B98">
        <w:rPr>
          <w:szCs w:val="22"/>
          <w:lang w:val="es-ES_tradnl"/>
        </w:rPr>
        <w:t xml:space="preserve">no sugieren efectos perjudiciales directos ni indirectos en términos de embarazo o desarrollo </w:t>
      </w:r>
      <w:proofErr w:type="spellStart"/>
      <w:r w:rsidRPr="003E0B98">
        <w:rPr>
          <w:szCs w:val="22"/>
          <w:lang w:val="es-ES_tradnl"/>
        </w:rPr>
        <w:t>embrional</w:t>
      </w:r>
      <w:proofErr w:type="spellEnd"/>
      <w:r w:rsidRPr="003E0B98">
        <w:rPr>
          <w:szCs w:val="22"/>
          <w:lang w:val="es-ES_tradnl"/>
        </w:rPr>
        <w:t xml:space="preserve">/fetal (ver sección 5.3). </w:t>
      </w:r>
      <w:r w:rsidRPr="003E0B98">
        <w:rPr>
          <w:color w:val="000000"/>
          <w:szCs w:val="22"/>
          <w:lang w:val="es-ES_tradnl"/>
        </w:rPr>
        <w:t xml:space="preserve">La exposición sistémica a </w:t>
      </w:r>
      <w:proofErr w:type="spellStart"/>
      <w:r w:rsidRPr="003E0B98">
        <w:rPr>
          <w:color w:val="000000"/>
          <w:szCs w:val="22"/>
          <w:lang w:val="es-ES_tradnl"/>
        </w:rPr>
        <w:t>ranibizumab</w:t>
      </w:r>
      <w:proofErr w:type="spellEnd"/>
      <w:r w:rsidRPr="003E0B98">
        <w:rPr>
          <w:color w:val="000000"/>
          <w:szCs w:val="22"/>
          <w:lang w:val="es-ES_tradnl"/>
        </w:rPr>
        <w:t xml:space="preserve"> tras la administración ocular es baja, pero debido a su mecanismo de acción, </w:t>
      </w:r>
      <w:proofErr w:type="spellStart"/>
      <w:r w:rsidRPr="003E0B98">
        <w:rPr>
          <w:color w:val="000000"/>
          <w:szCs w:val="22"/>
          <w:lang w:val="es-ES_tradnl"/>
        </w:rPr>
        <w:t>ranibizumab</w:t>
      </w:r>
      <w:proofErr w:type="spellEnd"/>
      <w:r w:rsidRPr="003E0B98">
        <w:rPr>
          <w:color w:val="000000"/>
          <w:szCs w:val="22"/>
          <w:lang w:val="es-ES_tradnl"/>
        </w:rPr>
        <w:t xml:space="preserve"> debe considerarse como potencialmente teratogénico y </w:t>
      </w:r>
      <w:proofErr w:type="spellStart"/>
      <w:r w:rsidRPr="003E0B98">
        <w:rPr>
          <w:color w:val="000000"/>
          <w:szCs w:val="22"/>
          <w:lang w:val="es-ES_tradnl"/>
        </w:rPr>
        <w:t>embrio</w:t>
      </w:r>
      <w:proofErr w:type="spellEnd"/>
      <w:r w:rsidRPr="003E0B98">
        <w:rPr>
          <w:color w:val="000000"/>
          <w:szCs w:val="22"/>
          <w:lang w:val="es-ES_tradnl"/>
        </w:rPr>
        <w:t>-/</w:t>
      </w:r>
      <w:proofErr w:type="spellStart"/>
      <w:r w:rsidRPr="003E0B98">
        <w:rPr>
          <w:color w:val="000000"/>
          <w:szCs w:val="22"/>
          <w:lang w:val="es-ES_tradnl"/>
        </w:rPr>
        <w:t>fetotóxico</w:t>
      </w:r>
      <w:proofErr w:type="spellEnd"/>
      <w:r w:rsidRPr="003E0B98">
        <w:rPr>
          <w:color w:val="000000"/>
          <w:szCs w:val="22"/>
          <w:lang w:val="es-ES_tradnl"/>
        </w:rPr>
        <w:t xml:space="preserve">. Por ello </w:t>
      </w:r>
      <w:proofErr w:type="spellStart"/>
      <w:r w:rsidRPr="003E0B98">
        <w:rPr>
          <w:color w:val="000000"/>
          <w:szCs w:val="22"/>
          <w:lang w:val="es-ES_tradnl"/>
        </w:rPr>
        <w:t>ranibizumab</w:t>
      </w:r>
      <w:proofErr w:type="spellEnd"/>
      <w:r w:rsidRPr="003E0B98">
        <w:rPr>
          <w:color w:val="000000"/>
          <w:szCs w:val="22"/>
          <w:lang w:val="es-ES_tradnl"/>
        </w:rPr>
        <w:t xml:space="preserve"> no se deberá usar durante el embarazo salvo que el beneficio esperado supere el riesgo potencial para el feto. </w:t>
      </w:r>
      <w:r w:rsidRPr="003E0B98">
        <w:rPr>
          <w:szCs w:val="22"/>
          <w:lang w:val="es-ES_tradnl"/>
        </w:rPr>
        <w:t xml:space="preserve">Para mujeres que deseen quedarse embarazadas y hayan sido tratadas con </w:t>
      </w:r>
      <w:proofErr w:type="spellStart"/>
      <w:r w:rsidRPr="003E0B98">
        <w:rPr>
          <w:szCs w:val="22"/>
          <w:lang w:val="es-ES_tradnl"/>
        </w:rPr>
        <w:t>ranibizumab</w:t>
      </w:r>
      <w:proofErr w:type="spellEnd"/>
      <w:r w:rsidRPr="003E0B98">
        <w:rPr>
          <w:szCs w:val="22"/>
          <w:lang w:val="es-ES_tradnl"/>
        </w:rPr>
        <w:t xml:space="preserve">, se recomienda esperar como mínimo 3 meses tras la última dosis de </w:t>
      </w:r>
      <w:proofErr w:type="spellStart"/>
      <w:r w:rsidRPr="003E0B98">
        <w:rPr>
          <w:szCs w:val="22"/>
          <w:lang w:val="es-ES_tradnl"/>
        </w:rPr>
        <w:t>ranibizumab</w:t>
      </w:r>
      <w:proofErr w:type="spellEnd"/>
      <w:r w:rsidRPr="003E0B98">
        <w:rPr>
          <w:szCs w:val="22"/>
          <w:lang w:val="es-ES_tradnl"/>
        </w:rPr>
        <w:t xml:space="preserve"> antes de concebir un hijo.</w:t>
      </w:r>
    </w:p>
    <w:p w14:paraId="5A9C7B96" w14:textId="77777777" w:rsidR="002E5034" w:rsidRPr="003E0B98" w:rsidRDefault="002E5034" w:rsidP="004361AC">
      <w:pPr>
        <w:tabs>
          <w:tab w:val="clear" w:pos="567"/>
        </w:tabs>
        <w:spacing w:line="240" w:lineRule="auto"/>
        <w:rPr>
          <w:color w:val="000000"/>
          <w:szCs w:val="22"/>
          <w:lang w:val="es-ES_tradnl"/>
        </w:rPr>
      </w:pPr>
    </w:p>
    <w:p w14:paraId="403E0701" w14:textId="77777777" w:rsidR="002E5034" w:rsidRPr="003E0B98" w:rsidRDefault="002E5034" w:rsidP="004361AC">
      <w:pPr>
        <w:keepNext/>
        <w:tabs>
          <w:tab w:val="clear" w:pos="567"/>
        </w:tabs>
        <w:spacing w:line="240" w:lineRule="auto"/>
        <w:rPr>
          <w:color w:val="000000"/>
          <w:szCs w:val="22"/>
          <w:u w:val="single"/>
          <w:lang w:val="es-ES_tradnl"/>
        </w:rPr>
      </w:pPr>
      <w:r w:rsidRPr="003E0B98">
        <w:rPr>
          <w:color w:val="000000"/>
          <w:szCs w:val="22"/>
          <w:u w:val="single"/>
          <w:lang w:val="es-ES_tradnl"/>
        </w:rPr>
        <w:t>Lactancia</w:t>
      </w:r>
    </w:p>
    <w:p w14:paraId="269F7F37" w14:textId="77777777" w:rsidR="009E146B" w:rsidRPr="003E0B98" w:rsidRDefault="009E146B" w:rsidP="004361AC">
      <w:pPr>
        <w:keepNext/>
        <w:tabs>
          <w:tab w:val="clear" w:pos="567"/>
        </w:tabs>
        <w:spacing w:line="240" w:lineRule="auto"/>
        <w:rPr>
          <w:color w:val="000000"/>
          <w:szCs w:val="22"/>
          <w:lang w:val="es-ES"/>
        </w:rPr>
      </w:pPr>
    </w:p>
    <w:p w14:paraId="4FE03041" w14:textId="1931500F" w:rsidR="002E5034" w:rsidRPr="003E0B98" w:rsidRDefault="003F5AB1" w:rsidP="004361AC">
      <w:pPr>
        <w:tabs>
          <w:tab w:val="clear" w:pos="567"/>
        </w:tabs>
        <w:spacing w:line="240" w:lineRule="auto"/>
        <w:rPr>
          <w:color w:val="000000"/>
          <w:szCs w:val="22"/>
          <w:lang w:val="es-ES_tradnl"/>
        </w:rPr>
      </w:pPr>
      <w:r w:rsidRPr="003E0B98">
        <w:rPr>
          <w:color w:val="000000"/>
          <w:szCs w:val="22"/>
          <w:lang w:val="es-ES"/>
        </w:rPr>
        <w:t xml:space="preserve">Según datos </w:t>
      </w:r>
      <w:r w:rsidR="00E6036F" w:rsidRPr="003E0B98">
        <w:rPr>
          <w:color w:val="000000"/>
          <w:szCs w:val="22"/>
          <w:lang w:val="es-ES"/>
        </w:rPr>
        <w:t xml:space="preserve">muy </w:t>
      </w:r>
      <w:r w:rsidRPr="003E0B98">
        <w:rPr>
          <w:color w:val="000000"/>
          <w:szCs w:val="22"/>
          <w:lang w:val="es-ES"/>
        </w:rPr>
        <w:t xml:space="preserve">limitados, </w:t>
      </w:r>
      <w:proofErr w:type="spellStart"/>
      <w:r w:rsidRPr="003E0B98">
        <w:rPr>
          <w:color w:val="000000"/>
          <w:szCs w:val="22"/>
          <w:lang w:val="es-ES"/>
        </w:rPr>
        <w:t>ranibizumab</w:t>
      </w:r>
      <w:proofErr w:type="spellEnd"/>
      <w:r w:rsidRPr="003E0B98">
        <w:rPr>
          <w:color w:val="000000"/>
          <w:szCs w:val="22"/>
          <w:lang w:val="es-ES"/>
        </w:rPr>
        <w:t xml:space="preserve"> </w:t>
      </w:r>
      <w:r w:rsidR="00E6036F" w:rsidRPr="003E0B98">
        <w:rPr>
          <w:color w:val="000000"/>
          <w:szCs w:val="22"/>
          <w:lang w:val="es-ES"/>
        </w:rPr>
        <w:t>puede excretarse</w:t>
      </w:r>
      <w:r w:rsidRPr="003E0B98">
        <w:rPr>
          <w:color w:val="000000"/>
          <w:szCs w:val="22"/>
          <w:lang w:val="es-ES"/>
        </w:rPr>
        <w:t xml:space="preserve"> en la leche materna </w:t>
      </w:r>
      <w:r w:rsidR="00E6036F" w:rsidRPr="003E0B98">
        <w:rPr>
          <w:color w:val="000000"/>
          <w:szCs w:val="22"/>
          <w:lang w:val="es-ES"/>
        </w:rPr>
        <w:t xml:space="preserve">a niveles bajos. </w:t>
      </w:r>
      <w:r w:rsidRPr="003E0B98">
        <w:rPr>
          <w:color w:val="000000"/>
          <w:szCs w:val="22"/>
          <w:lang w:val="es-ES"/>
        </w:rPr>
        <w:t>Se desconoce</w:t>
      </w:r>
      <w:r w:rsidR="00E6036F" w:rsidRPr="003E0B98">
        <w:rPr>
          <w:color w:val="000000"/>
          <w:szCs w:val="22"/>
          <w:lang w:val="es-ES"/>
        </w:rPr>
        <w:t xml:space="preserve"> el</w:t>
      </w:r>
      <w:r w:rsidRPr="003E0B98">
        <w:rPr>
          <w:color w:val="000000"/>
          <w:szCs w:val="22"/>
          <w:lang w:val="es-ES"/>
        </w:rPr>
        <w:t xml:space="preserve"> efecto de </w:t>
      </w:r>
      <w:proofErr w:type="spellStart"/>
      <w:r w:rsidRPr="003E0B98">
        <w:rPr>
          <w:color w:val="000000"/>
          <w:szCs w:val="22"/>
          <w:lang w:val="es-ES"/>
        </w:rPr>
        <w:t>ranibizumab</w:t>
      </w:r>
      <w:proofErr w:type="spellEnd"/>
      <w:r w:rsidRPr="003E0B98">
        <w:rPr>
          <w:color w:val="000000"/>
          <w:szCs w:val="22"/>
          <w:lang w:val="es-ES"/>
        </w:rPr>
        <w:t xml:space="preserve"> en recién nacidos/niños lactantes</w:t>
      </w:r>
      <w:r w:rsidRPr="003E0B98">
        <w:rPr>
          <w:color w:val="000000"/>
          <w:szCs w:val="22"/>
          <w:lang w:val="es-ES_tradnl"/>
        </w:rPr>
        <w:t>. Como medida de precaución,</w:t>
      </w:r>
      <w:r w:rsidR="002E5034" w:rsidRPr="003E0B98">
        <w:rPr>
          <w:color w:val="000000"/>
          <w:szCs w:val="22"/>
          <w:lang w:val="es-ES_tradnl"/>
        </w:rPr>
        <w:t xml:space="preserve"> </w:t>
      </w:r>
      <w:r w:rsidRPr="003E0B98">
        <w:rPr>
          <w:color w:val="000000"/>
          <w:szCs w:val="22"/>
          <w:lang w:val="es-ES_tradnl"/>
        </w:rPr>
        <w:t>n</w:t>
      </w:r>
      <w:r w:rsidR="002E5034" w:rsidRPr="003E0B98">
        <w:rPr>
          <w:color w:val="000000"/>
          <w:szCs w:val="22"/>
          <w:lang w:val="es-ES_tradnl"/>
        </w:rPr>
        <w:t xml:space="preserve">o se recomienda la lactancia durante el uso de </w:t>
      </w:r>
      <w:proofErr w:type="spellStart"/>
      <w:r w:rsidR="002E5034" w:rsidRPr="003E0B98">
        <w:rPr>
          <w:color w:val="000000"/>
          <w:szCs w:val="22"/>
          <w:lang w:val="es-ES_tradnl"/>
        </w:rPr>
        <w:t>Lucentis</w:t>
      </w:r>
      <w:proofErr w:type="spellEnd"/>
      <w:r w:rsidR="002E5034" w:rsidRPr="003E0B98">
        <w:rPr>
          <w:color w:val="000000"/>
          <w:szCs w:val="22"/>
          <w:lang w:val="es-ES_tradnl"/>
        </w:rPr>
        <w:t>.</w:t>
      </w:r>
    </w:p>
    <w:p w14:paraId="66A80E32" w14:textId="77777777" w:rsidR="002E5034" w:rsidRPr="003E0B98" w:rsidRDefault="002E5034" w:rsidP="004361AC">
      <w:pPr>
        <w:tabs>
          <w:tab w:val="clear" w:pos="567"/>
        </w:tabs>
        <w:spacing w:line="240" w:lineRule="auto"/>
        <w:rPr>
          <w:color w:val="000000"/>
          <w:szCs w:val="22"/>
          <w:lang w:val="es-ES_tradnl"/>
        </w:rPr>
      </w:pPr>
    </w:p>
    <w:p w14:paraId="5835732C" w14:textId="77777777" w:rsidR="002E5034" w:rsidRPr="003E0B98" w:rsidRDefault="002E5034" w:rsidP="004361AC">
      <w:pPr>
        <w:keepNext/>
        <w:tabs>
          <w:tab w:val="clear" w:pos="567"/>
        </w:tabs>
        <w:spacing w:line="240" w:lineRule="auto"/>
        <w:rPr>
          <w:color w:val="000000"/>
          <w:szCs w:val="22"/>
          <w:u w:val="single"/>
          <w:lang w:val="es-ES_tradnl"/>
        </w:rPr>
      </w:pPr>
      <w:r w:rsidRPr="003E0B98">
        <w:rPr>
          <w:color w:val="000000"/>
          <w:szCs w:val="22"/>
          <w:u w:val="single"/>
          <w:lang w:val="es-ES_tradnl"/>
        </w:rPr>
        <w:t>Fertilidad</w:t>
      </w:r>
    </w:p>
    <w:p w14:paraId="1590451D" w14:textId="77777777" w:rsidR="009E146B" w:rsidRPr="003E0B98" w:rsidRDefault="009E146B" w:rsidP="004361AC">
      <w:pPr>
        <w:keepNext/>
        <w:tabs>
          <w:tab w:val="clear" w:pos="567"/>
        </w:tabs>
        <w:spacing w:line="240" w:lineRule="auto"/>
        <w:rPr>
          <w:color w:val="000000"/>
          <w:szCs w:val="22"/>
          <w:lang w:val="es-ES_tradnl"/>
        </w:rPr>
      </w:pPr>
    </w:p>
    <w:p w14:paraId="5AB8331D" w14:textId="77777777" w:rsidR="002E5034" w:rsidRPr="003E0B98" w:rsidRDefault="002E5034" w:rsidP="004361AC">
      <w:pPr>
        <w:tabs>
          <w:tab w:val="clear" w:pos="567"/>
        </w:tabs>
        <w:spacing w:line="240" w:lineRule="auto"/>
        <w:rPr>
          <w:color w:val="000000"/>
          <w:szCs w:val="22"/>
          <w:lang w:val="es-ES_tradnl"/>
        </w:rPr>
      </w:pPr>
      <w:r w:rsidRPr="003E0B98">
        <w:rPr>
          <w:color w:val="000000"/>
          <w:szCs w:val="22"/>
          <w:lang w:val="es-ES_tradnl"/>
        </w:rPr>
        <w:t>No hay datos disponibles sobre fertilidad.</w:t>
      </w:r>
    </w:p>
    <w:p w14:paraId="678DC79C" w14:textId="77777777" w:rsidR="002E5034" w:rsidRPr="003E0B98" w:rsidRDefault="002E5034" w:rsidP="004361AC">
      <w:pPr>
        <w:tabs>
          <w:tab w:val="clear" w:pos="567"/>
        </w:tabs>
        <w:spacing w:line="240" w:lineRule="auto"/>
        <w:rPr>
          <w:color w:val="000000"/>
          <w:szCs w:val="22"/>
          <w:lang w:val="es-ES_tradnl"/>
        </w:rPr>
      </w:pPr>
    </w:p>
    <w:p w14:paraId="452F90FA" w14:textId="77777777" w:rsidR="002E5034" w:rsidRPr="003E0B98" w:rsidRDefault="002E5034" w:rsidP="004361AC">
      <w:pPr>
        <w:keepNext/>
        <w:tabs>
          <w:tab w:val="clear" w:pos="567"/>
        </w:tabs>
        <w:spacing w:line="240" w:lineRule="auto"/>
        <w:rPr>
          <w:color w:val="000000"/>
          <w:szCs w:val="22"/>
          <w:lang w:val="es-ES_tradnl"/>
        </w:rPr>
      </w:pPr>
      <w:r w:rsidRPr="003E0B98">
        <w:rPr>
          <w:b/>
          <w:color w:val="000000"/>
          <w:szCs w:val="22"/>
          <w:lang w:val="es-ES_tradnl"/>
        </w:rPr>
        <w:t>4.7</w:t>
      </w:r>
      <w:r w:rsidRPr="003E0B98">
        <w:rPr>
          <w:b/>
          <w:color w:val="000000"/>
          <w:szCs w:val="22"/>
          <w:lang w:val="es-ES_tradnl"/>
        </w:rPr>
        <w:tab/>
      </w:r>
      <w:r w:rsidRPr="003E0B98">
        <w:rPr>
          <w:b/>
          <w:noProof/>
          <w:color w:val="000000"/>
          <w:lang w:val="es-ES_tradnl"/>
        </w:rPr>
        <w:t>Efectos sobre la capacidad para conducir y utilizar máquinas</w:t>
      </w:r>
    </w:p>
    <w:p w14:paraId="4CD99079" w14:textId="77777777" w:rsidR="002E5034" w:rsidRPr="003E0B98" w:rsidRDefault="002E5034" w:rsidP="004361AC">
      <w:pPr>
        <w:keepNext/>
        <w:tabs>
          <w:tab w:val="clear" w:pos="567"/>
        </w:tabs>
        <w:spacing w:line="240" w:lineRule="auto"/>
        <w:rPr>
          <w:color w:val="000000"/>
          <w:szCs w:val="22"/>
          <w:lang w:val="es-ES_tradnl"/>
        </w:rPr>
      </w:pPr>
    </w:p>
    <w:p w14:paraId="51886100" w14:textId="77777777" w:rsidR="002E5034" w:rsidRPr="003E0B98" w:rsidRDefault="003633BE" w:rsidP="004361AC">
      <w:pPr>
        <w:pStyle w:val="Text"/>
        <w:spacing w:before="0"/>
        <w:jc w:val="left"/>
        <w:rPr>
          <w:color w:val="000000"/>
          <w:sz w:val="22"/>
          <w:szCs w:val="22"/>
          <w:lang w:val="es-ES_tradnl"/>
        </w:rPr>
      </w:pPr>
      <w:r w:rsidRPr="003E0B98">
        <w:rPr>
          <w:rFonts w:eastAsia="MS Mincho"/>
          <w:color w:val="000000"/>
          <w:sz w:val="22"/>
          <w:szCs w:val="22"/>
          <w:lang w:val="es-ES_tradnl" w:eastAsia="ja-JP"/>
        </w:rPr>
        <w:t>La forma de administrar este</w:t>
      </w:r>
      <w:r w:rsidR="002E5034" w:rsidRPr="003E0B98">
        <w:rPr>
          <w:rFonts w:eastAsia="MS Mincho"/>
          <w:color w:val="000000"/>
          <w:sz w:val="22"/>
          <w:szCs w:val="22"/>
          <w:lang w:val="es-ES_tradnl" w:eastAsia="ja-JP"/>
        </w:rPr>
        <w:t xml:space="preserve"> tratamiento puede producir alteraciones visuales transitorias, que pueden afectar la capacidad para conducir o utilizar máquinas (ver sección 4.8). Los pacientes que experimenten estos signos no deben conducir ni utilizar máquinas hasta que dichas alteraciones visuales transitorias remitan.</w:t>
      </w:r>
    </w:p>
    <w:p w14:paraId="77FE1E2E" w14:textId="77777777" w:rsidR="002E5034" w:rsidRPr="003E0B98" w:rsidRDefault="002E5034" w:rsidP="004361AC">
      <w:pPr>
        <w:tabs>
          <w:tab w:val="clear" w:pos="567"/>
        </w:tabs>
        <w:spacing w:line="240" w:lineRule="auto"/>
        <w:rPr>
          <w:color w:val="000000"/>
          <w:szCs w:val="22"/>
          <w:lang w:val="es-ES_tradnl"/>
        </w:rPr>
      </w:pPr>
    </w:p>
    <w:p w14:paraId="6AD8BB1A" w14:textId="77777777" w:rsidR="002E5034" w:rsidRPr="003E0B98" w:rsidRDefault="002E5034" w:rsidP="004361AC">
      <w:pPr>
        <w:keepNext/>
        <w:tabs>
          <w:tab w:val="clear" w:pos="567"/>
        </w:tabs>
        <w:spacing w:line="240" w:lineRule="auto"/>
        <w:rPr>
          <w:b/>
          <w:color w:val="000000"/>
          <w:szCs w:val="22"/>
          <w:lang w:val="es-ES_tradnl"/>
        </w:rPr>
      </w:pPr>
      <w:r w:rsidRPr="003E0B98">
        <w:rPr>
          <w:b/>
          <w:color w:val="000000"/>
          <w:szCs w:val="22"/>
          <w:lang w:val="es-ES"/>
        </w:rPr>
        <w:t>4.8</w:t>
      </w:r>
      <w:r w:rsidRPr="003E0B98">
        <w:rPr>
          <w:b/>
          <w:color w:val="000000"/>
          <w:szCs w:val="22"/>
          <w:lang w:val="es-ES"/>
        </w:rPr>
        <w:tab/>
        <w:t>Reacciones adversas</w:t>
      </w:r>
    </w:p>
    <w:p w14:paraId="178EBFF8" w14:textId="77777777" w:rsidR="002E5034" w:rsidRPr="003E0B98" w:rsidRDefault="002E5034" w:rsidP="004361AC">
      <w:pPr>
        <w:keepNext/>
        <w:tabs>
          <w:tab w:val="clear" w:pos="567"/>
        </w:tabs>
        <w:spacing w:line="240" w:lineRule="auto"/>
        <w:rPr>
          <w:color w:val="000000"/>
          <w:szCs w:val="22"/>
          <w:lang w:val="es-ES_tradnl"/>
        </w:rPr>
      </w:pPr>
    </w:p>
    <w:p w14:paraId="5A6759BE" w14:textId="77777777" w:rsidR="002E5034" w:rsidRPr="003E0B98" w:rsidRDefault="002E5034" w:rsidP="004361AC">
      <w:pPr>
        <w:keepNext/>
        <w:tabs>
          <w:tab w:val="clear" w:pos="567"/>
        </w:tabs>
        <w:spacing w:line="240" w:lineRule="auto"/>
        <w:rPr>
          <w:color w:val="000000"/>
          <w:szCs w:val="22"/>
          <w:u w:val="single"/>
          <w:lang w:val="es-ES_tradnl"/>
        </w:rPr>
      </w:pPr>
      <w:r w:rsidRPr="003E0B98">
        <w:rPr>
          <w:color w:val="000000"/>
          <w:szCs w:val="22"/>
          <w:u w:val="single"/>
          <w:lang w:val="es-ES_tradnl"/>
        </w:rPr>
        <w:t>Resumen del perfil de seguridad</w:t>
      </w:r>
    </w:p>
    <w:p w14:paraId="49EAC742" w14:textId="77777777" w:rsidR="009E146B" w:rsidRPr="003E0B98" w:rsidRDefault="009E146B" w:rsidP="004361AC">
      <w:pPr>
        <w:keepNext/>
        <w:tabs>
          <w:tab w:val="clear" w:pos="567"/>
        </w:tabs>
        <w:spacing w:line="240" w:lineRule="auto"/>
        <w:rPr>
          <w:color w:val="000000"/>
          <w:szCs w:val="22"/>
          <w:lang w:val="es-ES_tradnl"/>
        </w:rPr>
      </w:pPr>
    </w:p>
    <w:p w14:paraId="4EEB04C5" w14:textId="77777777" w:rsidR="002E5034" w:rsidRPr="003E0B98" w:rsidRDefault="002E5034" w:rsidP="004361AC">
      <w:pPr>
        <w:tabs>
          <w:tab w:val="clear" w:pos="567"/>
        </w:tabs>
        <w:spacing w:line="240" w:lineRule="auto"/>
        <w:rPr>
          <w:color w:val="000000"/>
          <w:szCs w:val="22"/>
          <w:lang w:val="es-ES_tradnl"/>
        </w:rPr>
      </w:pPr>
      <w:r w:rsidRPr="003E0B98">
        <w:rPr>
          <w:color w:val="000000"/>
          <w:szCs w:val="22"/>
          <w:lang w:val="es-ES_tradnl"/>
        </w:rPr>
        <w:t xml:space="preserve">La mayoría de las reacciones adversas notificadas tras la administración de </w:t>
      </w:r>
      <w:proofErr w:type="spellStart"/>
      <w:r w:rsidRPr="003E0B98">
        <w:rPr>
          <w:color w:val="000000"/>
          <w:szCs w:val="22"/>
          <w:lang w:val="es-ES_tradnl"/>
        </w:rPr>
        <w:t>Lucentis</w:t>
      </w:r>
      <w:proofErr w:type="spellEnd"/>
      <w:r w:rsidRPr="003E0B98">
        <w:rPr>
          <w:color w:val="000000"/>
          <w:szCs w:val="22"/>
          <w:lang w:val="es-ES_tradnl"/>
        </w:rPr>
        <w:t xml:space="preserve"> están relacionadas con el procedimiento de inyección intravítrea.</w:t>
      </w:r>
    </w:p>
    <w:p w14:paraId="2922D295" w14:textId="77777777" w:rsidR="002E5034" w:rsidRPr="003E0B98" w:rsidRDefault="002E5034" w:rsidP="004361AC">
      <w:pPr>
        <w:tabs>
          <w:tab w:val="clear" w:pos="567"/>
        </w:tabs>
        <w:spacing w:line="240" w:lineRule="auto"/>
        <w:rPr>
          <w:color w:val="000000"/>
          <w:szCs w:val="22"/>
          <w:lang w:val="es-ES_tradnl"/>
        </w:rPr>
      </w:pPr>
    </w:p>
    <w:p w14:paraId="37F56FE0" w14:textId="77777777" w:rsidR="002E5034" w:rsidRPr="003E0B98" w:rsidRDefault="002E5034" w:rsidP="004361AC">
      <w:pPr>
        <w:tabs>
          <w:tab w:val="clear" w:pos="567"/>
        </w:tabs>
        <w:spacing w:line="240" w:lineRule="auto"/>
        <w:rPr>
          <w:color w:val="000000"/>
          <w:szCs w:val="22"/>
          <w:lang w:val="es-ES_tradnl"/>
        </w:rPr>
      </w:pPr>
      <w:r w:rsidRPr="003E0B98">
        <w:rPr>
          <w:color w:val="000000"/>
          <w:szCs w:val="22"/>
          <w:lang w:val="es-ES_tradnl"/>
        </w:rPr>
        <w:t xml:space="preserve">Las reacciones adversas oculares tras la inyección de </w:t>
      </w:r>
      <w:proofErr w:type="spellStart"/>
      <w:r w:rsidRPr="003E0B98">
        <w:rPr>
          <w:color w:val="000000"/>
          <w:szCs w:val="22"/>
          <w:lang w:val="es-ES_tradnl"/>
        </w:rPr>
        <w:t>Lucentis</w:t>
      </w:r>
      <w:proofErr w:type="spellEnd"/>
      <w:r w:rsidRPr="003E0B98">
        <w:rPr>
          <w:color w:val="000000"/>
          <w:szCs w:val="22"/>
          <w:lang w:val="es-ES_tradnl"/>
        </w:rPr>
        <w:t xml:space="preserve"> notificadas más frecuentemente son: dolor ocular, hiperemia ocular, aumento de la presión intraocular, </w:t>
      </w:r>
      <w:proofErr w:type="spellStart"/>
      <w:r w:rsidRPr="003E0B98">
        <w:rPr>
          <w:color w:val="000000"/>
          <w:szCs w:val="22"/>
          <w:lang w:val="es-ES_tradnl"/>
        </w:rPr>
        <w:t>vitritis</w:t>
      </w:r>
      <w:proofErr w:type="spellEnd"/>
      <w:r w:rsidRPr="003E0B98">
        <w:rPr>
          <w:color w:val="000000"/>
          <w:szCs w:val="22"/>
          <w:lang w:val="es-ES_tradnl"/>
        </w:rPr>
        <w:t>, desprendimiento de vítreo, hemorragia retiniana, alteración visual, partículas flotantes en el vítreo, hemorragia conjuntival, irritación ocular, sensación de cuerpo extraño en los ojos, aumento del lagrimeo, blefaritis, ojo seco, y prurito ocular.</w:t>
      </w:r>
    </w:p>
    <w:p w14:paraId="5DD1C4BB" w14:textId="77777777" w:rsidR="009E146B" w:rsidRPr="003E0B98" w:rsidRDefault="009E146B" w:rsidP="004361AC">
      <w:pPr>
        <w:tabs>
          <w:tab w:val="clear" w:pos="567"/>
        </w:tabs>
        <w:spacing w:line="240" w:lineRule="auto"/>
        <w:rPr>
          <w:color w:val="000000"/>
          <w:szCs w:val="22"/>
          <w:lang w:val="es-ES_tradnl"/>
        </w:rPr>
      </w:pPr>
    </w:p>
    <w:p w14:paraId="53752A66" w14:textId="77777777" w:rsidR="002E5034" w:rsidRPr="003E0B98" w:rsidRDefault="002E5034" w:rsidP="004361AC">
      <w:pPr>
        <w:tabs>
          <w:tab w:val="clear" w:pos="567"/>
        </w:tabs>
        <w:spacing w:line="240" w:lineRule="auto"/>
        <w:rPr>
          <w:color w:val="000000"/>
          <w:szCs w:val="22"/>
          <w:lang w:val="es-ES_tradnl"/>
        </w:rPr>
      </w:pPr>
      <w:r w:rsidRPr="003E0B98">
        <w:rPr>
          <w:color w:val="000000"/>
          <w:szCs w:val="22"/>
          <w:lang w:val="es-ES_tradnl"/>
        </w:rPr>
        <w:t>Las reacciones adversas no oculares notificadas más frecuentemente son cefalea, nasofaringitis y artralgia.</w:t>
      </w:r>
    </w:p>
    <w:p w14:paraId="50E87D8B" w14:textId="77777777" w:rsidR="002E5034" w:rsidRPr="003E0B98" w:rsidRDefault="002E5034" w:rsidP="004361AC">
      <w:pPr>
        <w:pStyle w:val="Text"/>
        <w:tabs>
          <w:tab w:val="left" w:pos="996"/>
        </w:tabs>
        <w:spacing w:before="0"/>
        <w:jc w:val="left"/>
        <w:rPr>
          <w:color w:val="000000"/>
          <w:sz w:val="22"/>
          <w:szCs w:val="22"/>
          <w:lang w:val="es-ES_tradnl"/>
        </w:rPr>
      </w:pPr>
    </w:p>
    <w:p w14:paraId="02252C52" w14:textId="77777777" w:rsidR="002E5034" w:rsidRPr="003E0B98" w:rsidRDefault="002E5034" w:rsidP="004361AC">
      <w:pPr>
        <w:pStyle w:val="Text"/>
        <w:spacing w:before="0"/>
        <w:jc w:val="left"/>
        <w:rPr>
          <w:color w:val="000000"/>
          <w:sz w:val="22"/>
          <w:szCs w:val="22"/>
          <w:lang w:val="es-ES_tradnl"/>
        </w:rPr>
      </w:pPr>
      <w:r w:rsidRPr="003E0B98">
        <w:rPr>
          <w:color w:val="000000"/>
          <w:sz w:val="22"/>
          <w:szCs w:val="22"/>
          <w:lang w:val="es-ES_tradnl"/>
        </w:rPr>
        <w:t xml:space="preserve">Las reacciones adversas notificadas con menor frecuencia, pero de mayor gravedad, incluyen </w:t>
      </w:r>
      <w:proofErr w:type="spellStart"/>
      <w:r w:rsidRPr="003E0B98">
        <w:rPr>
          <w:color w:val="000000"/>
          <w:sz w:val="22"/>
          <w:szCs w:val="22"/>
          <w:lang w:val="es-ES"/>
        </w:rPr>
        <w:t>endoftalmitis</w:t>
      </w:r>
      <w:proofErr w:type="spellEnd"/>
      <w:r w:rsidRPr="003E0B98">
        <w:rPr>
          <w:color w:val="000000"/>
          <w:sz w:val="22"/>
          <w:szCs w:val="22"/>
          <w:lang w:val="es-ES"/>
        </w:rPr>
        <w:t>, ceguera, desprendimiento de retina, desgarro retiniano y catarata traumática iatrogénica</w:t>
      </w:r>
      <w:r w:rsidR="004C5BFF" w:rsidRPr="003E0B98">
        <w:rPr>
          <w:color w:val="000000"/>
          <w:sz w:val="22"/>
          <w:szCs w:val="22"/>
          <w:lang w:val="es-ES_tradnl"/>
        </w:rPr>
        <w:t xml:space="preserve"> (ver sección </w:t>
      </w:r>
      <w:r w:rsidRPr="003E0B98">
        <w:rPr>
          <w:color w:val="000000"/>
          <w:sz w:val="22"/>
          <w:szCs w:val="22"/>
          <w:lang w:val="es-ES_tradnl"/>
        </w:rPr>
        <w:t>4.4).</w:t>
      </w:r>
    </w:p>
    <w:p w14:paraId="6721EBB3" w14:textId="77777777" w:rsidR="002E5034" w:rsidRPr="003E0B98" w:rsidRDefault="002E5034" w:rsidP="004361AC">
      <w:pPr>
        <w:pStyle w:val="Text"/>
        <w:spacing w:before="0"/>
        <w:jc w:val="left"/>
        <w:rPr>
          <w:color w:val="000000"/>
          <w:sz w:val="22"/>
          <w:szCs w:val="22"/>
          <w:lang w:val="es-ES_tradnl"/>
        </w:rPr>
      </w:pPr>
    </w:p>
    <w:p w14:paraId="1B5C2ECA" w14:textId="7C65B2DE" w:rsidR="002E5034" w:rsidRPr="003E0B98" w:rsidRDefault="002E5034" w:rsidP="004361AC">
      <w:pPr>
        <w:pStyle w:val="Text"/>
        <w:spacing w:before="0"/>
        <w:jc w:val="left"/>
        <w:rPr>
          <w:color w:val="000000"/>
          <w:sz w:val="22"/>
          <w:szCs w:val="22"/>
          <w:lang w:val="es-ES_tradnl"/>
        </w:rPr>
      </w:pPr>
      <w:r w:rsidRPr="003E0B98">
        <w:rPr>
          <w:color w:val="000000"/>
          <w:sz w:val="22"/>
          <w:szCs w:val="22"/>
          <w:lang w:val="es-ES_tradnl"/>
        </w:rPr>
        <w:t xml:space="preserve">En la siguiente tabla se resumen las reacciones adversas ocurridas tras la administración de </w:t>
      </w:r>
      <w:proofErr w:type="spellStart"/>
      <w:r w:rsidRPr="003E0B98">
        <w:rPr>
          <w:color w:val="000000"/>
          <w:sz w:val="22"/>
          <w:szCs w:val="22"/>
          <w:lang w:val="es-ES_tradnl"/>
        </w:rPr>
        <w:t>Lucentis</w:t>
      </w:r>
      <w:proofErr w:type="spellEnd"/>
      <w:r w:rsidRPr="003E0B98">
        <w:rPr>
          <w:color w:val="000000"/>
          <w:sz w:val="22"/>
          <w:szCs w:val="22"/>
          <w:lang w:val="es-ES_tradnl"/>
        </w:rPr>
        <w:t xml:space="preserve"> en los </w:t>
      </w:r>
      <w:r w:rsidR="0030432C">
        <w:rPr>
          <w:color w:val="000000"/>
          <w:sz w:val="22"/>
          <w:szCs w:val="22"/>
          <w:lang w:val="es-ES_tradnl"/>
        </w:rPr>
        <w:t>estudios</w:t>
      </w:r>
      <w:r w:rsidR="0030432C" w:rsidRPr="003E0B98">
        <w:rPr>
          <w:color w:val="000000"/>
          <w:sz w:val="22"/>
          <w:szCs w:val="22"/>
          <w:lang w:val="es-ES_tradnl"/>
        </w:rPr>
        <w:t xml:space="preserve"> </w:t>
      </w:r>
      <w:r w:rsidRPr="003E0B98">
        <w:rPr>
          <w:color w:val="000000"/>
          <w:sz w:val="22"/>
          <w:szCs w:val="22"/>
          <w:lang w:val="es-ES_tradnl"/>
        </w:rPr>
        <w:t>clínicos.</w:t>
      </w:r>
    </w:p>
    <w:p w14:paraId="3A7BB00F" w14:textId="77777777" w:rsidR="002E5034" w:rsidRPr="003E0B98" w:rsidRDefault="002E5034" w:rsidP="004361AC">
      <w:pPr>
        <w:tabs>
          <w:tab w:val="clear" w:pos="567"/>
        </w:tabs>
        <w:spacing w:line="240" w:lineRule="auto"/>
        <w:rPr>
          <w:color w:val="000000"/>
          <w:szCs w:val="22"/>
          <w:lang w:val="es-ES_tradnl"/>
        </w:rPr>
      </w:pPr>
    </w:p>
    <w:p w14:paraId="361DFD87" w14:textId="77777777" w:rsidR="002E5034" w:rsidRPr="003E0B98" w:rsidRDefault="00CD1D62" w:rsidP="004361AC">
      <w:pPr>
        <w:keepNext/>
        <w:tabs>
          <w:tab w:val="clear" w:pos="567"/>
        </w:tabs>
        <w:spacing w:line="240" w:lineRule="auto"/>
        <w:rPr>
          <w:color w:val="000000"/>
          <w:szCs w:val="22"/>
          <w:u w:val="single"/>
          <w:lang w:val="es-ES_tradnl"/>
        </w:rPr>
      </w:pPr>
      <w:r w:rsidRPr="003E0B98">
        <w:rPr>
          <w:color w:val="000000"/>
          <w:szCs w:val="22"/>
          <w:u w:val="single"/>
          <w:lang w:val="es-ES_tradnl"/>
        </w:rPr>
        <w:t>Tabla</w:t>
      </w:r>
      <w:r w:rsidR="002E5034" w:rsidRPr="003E0B98">
        <w:rPr>
          <w:color w:val="000000"/>
          <w:szCs w:val="22"/>
          <w:u w:val="single"/>
          <w:lang w:val="es-ES_tradnl"/>
        </w:rPr>
        <w:t xml:space="preserve"> de reacciones adversas</w:t>
      </w:r>
      <w:r w:rsidR="002E5034" w:rsidRPr="003E0B98">
        <w:rPr>
          <w:color w:val="000000"/>
          <w:szCs w:val="22"/>
          <w:u w:val="single"/>
          <w:vertAlign w:val="superscript"/>
          <w:lang w:val="es-ES_tradnl"/>
        </w:rPr>
        <w:t>#</w:t>
      </w:r>
    </w:p>
    <w:p w14:paraId="3793E1DC" w14:textId="77777777" w:rsidR="009E146B" w:rsidRPr="003E0B98" w:rsidRDefault="009E146B" w:rsidP="004361AC">
      <w:pPr>
        <w:keepNext/>
        <w:tabs>
          <w:tab w:val="clear" w:pos="567"/>
        </w:tabs>
        <w:spacing w:line="240" w:lineRule="auto"/>
        <w:rPr>
          <w:color w:val="000000"/>
          <w:szCs w:val="22"/>
          <w:lang w:val="es-ES_tradnl"/>
        </w:rPr>
      </w:pPr>
    </w:p>
    <w:p w14:paraId="3F4C8924" w14:textId="77777777" w:rsidR="002E5034" w:rsidRPr="003E0B98" w:rsidRDefault="002E5034" w:rsidP="004361AC">
      <w:pPr>
        <w:tabs>
          <w:tab w:val="clear" w:pos="567"/>
        </w:tabs>
        <w:spacing w:line="240" w:lineRule="auto"/>
        <w:rPr>
          <w:color w:val="000000"/>
          <w:szCs w:val="22"/>
          <w:lang w:val="es-ES_tradnl"/>
        </w:rPr>
      </w:pPr>
      <w:r w:rsidRPr="003E0B98">
        <w:rPr>
          <w:color w:val="000000"/>
          <w:szCs w:val="22"/>
          <w:lang w:val="es-ES_tradnl"/>
        </w:rPr>
        <w:t>Las reacciones adversas se listan con un sistema de clasificación de órganos y</w:t>
      </w:r>
      <w:r w:rsidRPr="003E0B98">
        <w:rPr>
          <w:color w:val="000000"/>
          <w:szCs w:val="22"/>
          <w:lang w:val="es-ES"/>
        </w:rPr>
        <w:t xml:space="preserve"> frecuencia usando el siguiente criterio:</w:t>
      </w:r>
      <w:r w:rsidRPr="003E0B98">
        <w:rPr>
          <w:color w:val="000000"/>
          <w:szCs w:val="22"/>
          <w:lang w:val="es-ES_tradnl"/>
        </w:rPr>
        <w:t xml:space="preserve"> </w:t>
      </w:r>
      <w:r w:rsidRPr="003E0B98">
        <w:rPr>
          <w:color w:val="000000"/>
          <w:szCs w:val="22"/>
          <w:lang w:val="es-ES"/>
        </w:rPr>
        <w:t xml:space="preserve">muy frecuentes </w:t>
      </w:r>
      <w:r w:rsidRPr="003E0B98">
        <w:rPr>
          <w:color w:val="000000"/>
          <w:szCs w:val="22"/>
          <w:lang w:val="es-ES_tradnl"/>
        </w:rPr>
        <w:t xml:space="preserve">(≥1/10), </w:t>
      </w:r>
      <w:r w:rsidRPr="003E0B98">
        <w:rPr>
          <w:color w:val="000000"/>
          <w:szCs w:val="22"/>
          <w:lang w:val="es-ES"/>
        </w:rPr>
        <w:t xml:space="preserve">frecuentes </w:t>
      </w:r>
      <w:r w:rsidRPr="003E0B98">
        <w:rPr>
          <w:color w:val="000000"/>
          <w:szCs w:val="22"/>
          <w:lang w:val="es-ES_tradnl"/>
        </w:rPr>
        <w:t xml:space="preserve">(≥1/100 a &lt;1/10), poco </w:t>
      </w:r>
      <w:r w:rsidRPr="003E0B98">
        <w:rPr>
          <w:color w:val="000000"/>
          <w:szCs w:val="22"/>
          <w:lang w:val="es-ES"/>
        </w:rPr>
        <w:t>frecuentes</w:t>
      </w:r>
      <w:r w:rsidRPr="003E0B98">
        <w:rPr>
          <w:color w:val="000000"/>
          <w:szCs w:val="22"/>
          <w:lang w:val="es-ES_tradnl"/>
        </w:rPr>
        <w:t xml:space="preserve"> (≥1/1.000 a &lt;1/100), raras (≥1/10.000 a &lt;1/1.000), muy raras (&lt;1/10.000), frecuencia no conocida (no puede estimarse a partir de los datos disponibles). Las reacciones adversas se enumeran en orden decreciente de gravedad dentro de cada intervalo frecuencia.</w:t>
      </w:r>
    </w:p>
    <w:p w14:paraId="76360A35" w14:textId="77777777" w:rsidR="002E5034" w:rsidRPr="003E0B98" w:rsidRDefault="002E5034" w:rsidP="004361AC">
      <w:pPr>
        <w:tabs>
          <w:tab w:val="clear" w:pos="567"/>
        </w:tabs>
        <w:spacing w:line="240" w:lineRule="auto"/>
        <w:rPr>
          <w:color w:val="000000"/>
          <w:szCs w:val="22"/>
          <w:lang w:val="es-ES_tradnl"/>
        </w:rPr>
      </w:pPr>
    </w:p>
    <w:tbl>
      <w:tblPr>
        <w:tblW w:w="9356" w:type="dxa"/>
        <w:tblInd w:w="-34" w:type="dxa"/>
        <w:tblLook w:val="01E0" w:firstRow="1" w:lastRow="1" w:firstColumn="1" w:lastColumn="1" w:noHBand="0" w:noVBand="0"/>
      </w:tblPr>
      <w:tblGrid>
        <w:gridCol w:w="3261"/>
        <w:gridCol w:w="6095"/>
      </w:tblGrid>
      <w:tr w:rsidR="002E5034" w:rsidRPr="003E0B98" w14:paraId="2C0BF7F7" w14:textId="77777777" w:rsidTr="004305B3">
        <w:tc>
          <w:tcPr>
            <w:tcW w:w="3261" w:type="dxa"/>
          </w:tcPr>
          <w:p w14:paraId="1232952F" w14:textId="77777777" w:rsidR="002E5034" w:rsidRPr="003E0B98" w:rsidRDefault="002E5034" w:rsidP="004361AC">
            <w:pPr>
              <w:keepNext/>
              <w:spacing w:line="240" w:lineRule="auto"/>
              <w:rPr>
                <w:color w:val="000000"/>
                <w:szCs w:val="22"/>
              </w:rPr>
            </w:pPr>
            <w:proofErr w:type="spellStart"/>
            <w:r w:rsidRPr="003E0B98">
              <w:rPr>
                <w:color w:val="000000"/>
                <w:szCs w:val="22"/>
              </w:rPr>
              <w:t>Infecciones</w:t>
            </w:r>
            <w:proofErr w:type="spellEnd"/>
            <w:r w:rsidRPr="003E0B98">
              <w:rPr>
                <w:color w:val="000000"/>
                <w:szCs w:val="22"/>
              </w:rPr>
              <w:t xml:space="preserve"> e </w:t>
            </w:r>
            <w:proofErr w:type="spellStart"/>
            <w:r w:rsidRPr="003E0B98">
              <w:rPr>
                <w:color w:val="000000"/>
                <w:szCs w:val="22"/>
              </w:rPr>
              <w:t>infestaciones</w:t>
            </w:r>
            <w:proofErr w:type="spellEnd"/>
          </w:p>
        </w:tc>
        <w:tc>
          <w:tcPr>
            <w:tcW w:w="6095" w:type="dxa"/>
          </w:tcPr>
          <w:p w14:paraId="3991DE5A" w14:textId="77777777" w:rsidR="002E5034" w:rsidRPr="003E0B98" w:rsidRDefault="002E5034" w:rsidP="004361AC">
            <w:pPr>
              <w:keepNext/>
              <w:spacing w:line="240" w:lineRule="auto"/>
              <w:rPr>
                <w:color w:val="000000"/>
                <w:szCs w:val="22"/>
              </w:rPr>
            </w:pPr>
          </w:p>
        </w:tc>
      </w:tr>
      <w:tr w:rsidR="002E5034" w:rsidRPr="003E0B98" w14:paraId="577015E8" w14:textId="77777777" w:rsidTr="004305B3">
        <w:tc>
          <w:tcPr>
            <w:tcW w:w="3261" w:type="dxa"/>
          </w:tcPr>
          <w:p w14:paraId="62348D54" w14:textId="77777777" w:rsidR="002E5034" w:rsidRPr="003E0B98" w:rsidRDefault="002E5034" w:rsidP="004361AC">
            <w:pPr>
              <w:keepNext/>
              <w:spacing w:line="240" w:lineRule="auto"/>
              <w:rPr>
                <w:i/>
                <w:color w:val="000000"/>
                <w:szCs w:val="22"/>
              </w:rPr>
            </w:pPr>
            <w:r w:rsidRPr="003E0B98">
              <w:rPr>
                <w:i/>
                <w:color w:val="000000"/>
                <w:szCs w:val="22"/>
                <w:lang w:val="es-ES"/>
              </w:rPr>
              <w:t>Muy frecuentes</w:t>
            </w:r>
          </w:p>
        </w:tc>
        <w:tc>
          <w:tcPr>
            <w:tcW w:w="6095" w:type="dxa"/>
          </w:tcPr>
          <w:p w14:paraId="151EBE1D" w14:textId="77777777" w:rsidR="002E5034" w:rsidRPr="003E0B98" w:rsidRDefault="002E5034" w:rsidP="004361AC">
            <w:pPr>
              <w:keepNext/>
              <w:spacing w:line="240" w:lineRule="auto"/>
              <w:rPr>
                <w:color w:val="000000"/>
                <w:szCs w:val="22"/>
                <w:lang w:val="es-ES_tradnl"/>
              </w:rPr>
            </w:pPr>
            <w:proofErr w:type="spellStart"/>
            <w:r w:rsidRPr="003E0B98">
              <w:rPr>
                <w:color w:val="000000"/>
                <w:szCs w:val="22"/>
              </w:rPr>
              <w:t>Nasofaringitis</w:t>
            </w:r>
            <w:proofErr w:type="spellEnd"/>
          </w:p>
        </w:tc>
      </w:tr>
      <w:tr w:rsidR="002E5034" w:rsidRPr="003C169A" w14:paraId="41693835" w14:textId="77777777" w:rsidTr="004305B3">
        <w:tc>
          <w:tcPr>
            <w:tcW w:w="3261" w:type="dxa"/>
          </w:tcPr>
          <w:p w14:paraId="0205480A" w14:textId="77777777" w:rsidR="002E5034" w:rsidRPr="003E0B98" w:rsidRDefault="002E5034" w:rsidP="004361AC">
            <w:pPr>
              <w:rPr>
                <w:i/>
                <w:color w:val="000000"/>
                <w:szCs w:val="22"/>
                <w:lang w:val="es-ES_tradnl"/>
              </w:rPr>
            </w:pPr>
            <w:r w:rsidRPr="003E0B98">
              <w:rPr>
                <w:i/>
                <w:color w:val="000000"/>
                <w:szCs w:val="22"/>
                <w:lang w:val="es-ES"/>
              </w:rPr>
              <w:t>Frecuentes</w:t>
            </w:r>
          </w:p>
        </w:tc>
        <w:tc>
          <w:tcPr>
            <w:tcW w:w="6095" w:type="dxa"/>
          </w:tcPr>
          <w:p w14:paraId="1FA96A8C" w14:textId="77777777" w:rsidR="002E5034" w:rsidRPr="003E0B98" w:rsidRDefault="002E5034" w:rsidP="004361AC">
            <w:pPr>
              <w:rPr>
                <w:color w:val="000000"/>
                <w:szCs w:val="22"/>
                <w:lang w:val="es-ES_tradnl"/>
              </w:rPr>
            </w:pPr>
            <w:r w:rsidRPr="003E0B98">
              <w:rPr>
                <w:color w:val="000000"/>
                <w:szCs w:val="22"/>
                <w:lang w:val="es-ES_tradnl"/>
              </w:rPr>
              <w:t>Infección de las vías urinarias*</w:t>
            </w:r>
          </w:p>
        </w:tc>
      </w:tr>
      <w:tr w:rsidR="002E5034" w:rsidRPr="003C169A" w14:paraId="429E3F14" w14:textId="77777777" w:rsidTr="004305B3">
        <w:tc>
          <w:tcPr>
            <w:tcW w:w="3261" w:type="dxa"/>
          </w:tcPr>
          <w:p w14:paraId="7C9E0E56" w14:textId="77777777" w:rsidR="002E5034" w:rsidRPr="003E0B98" w:rsidRDefault="002E5034" w:rsidP="004361AC">
            <w:pPr>
              <w:rPr>
                <w:i/>
                <w:color w:val="000000"/>
                <w:szCs w:val="22"/>
                <w:lang w:val="es-ES_tradnl"/>
              </w:rPr>
            </w:pPr>
          </w:p>
        </w:tc>
        <w:tc>
          <w:tcPr>
            <w:tcW w:w="6095" w:type="dxa"/>
          </w:tcPr>
          <w:p w14:paraId="5698E536" w14:textId="77777777" w:rsidR="002E5034" w:rsidRPr="003E0B98" w:rsidRDefault="002E5034" w:rsidP="004361AC">
            <w:pPr>
              <w:rPr>
                <w:color w:val="000000"/>
                <w:szCs w:val="22"/>
                <w:lang w:val="es-ES_tradnl"/>
              </w:rPr>
            </w:pPr>
          </w:p>
        </w:tc>
      </w:tr>
      <w:tr w:rsidR="002E5034" w:rsidRPr="003C169A" w14:paraId="6ECAFDF8" w14:textId="77777777" w:rsidTr="004305B3">
        <w:tc>
          <w:tcPr>
            <w:tcW w:w="9356" w:type="dxa"/>
            <w:gridSpan w:val="2"/>
          </w:tcPr>
          <w:p w14:paraId="4BE6C2C6" w14:textId="77777777" w:rsidR="002E5034" w:rsidRPr="003E0B98" w:rsidRDefault="002E5034" w:rsidP="004361AC">
            <w:pPr>
              <w:pStyle w:val="Text"/>
              <w:keepNext/>
              <w:spacing w:before="0"/>
              <w:jc w:val="left"/>
              <w:rPr>
                <w:color w:val="000000"/>
                <w:sz w:val="22"/>
                <w:szCs w:val="22"/>
                <w:lang w:val="es-ES_tradnl" w:eastAsia="en-US"/>
              </w:rPr>
            </w:pPr>
            <w:r w:rsidRPr="003E0B98">
              <w:rPr>
                <w:bCs/>
                <w:color w:val="000000"/>
                <w:sz w:val="22"/>
                <w:szCs w:val="22"/>
                <w:lang w:val="es-ES_tradnl" w:eastAsia="en-US"/>
              </w:rPr>
              <w:t>Trastornos de la sangre y del sistema linfático</w:t>
            </w:r>
          </w:p>
        </w:tc>
      </w:tr>
      <w:tr w:rsidR="002E5034" w:rsidRPr="003E0B98" w14:paraId="54335D66" w14:textId="77777777" w:rsidTr="004305B3">
        <w:tc>
          <w:tcPr>
            <w:tcW w:w="3261" w:type="dxa"/>
          </w:tcPr>
          <w:p w14:paraId="7C7DFD57" w14:textId="77777777" w:rsidR="002E5034" w:rsidRPr="003E0B98" w:rsidRDefault="002E5034" w:rsidP="004361AC">
            <w:pPr>
              <w:pStyle w:val="Text"/>
              <w:spacing w:before="0"/>
              <w:jc w:val="left"/>
              <w:rPr>
                <w:bCs/>
                <w:i/>
                <w:iCs/>
                <w:color w:val="000000"/>
                <w:sz w:val="22"/>
                <w:szCs w:val="22"/>
                <w:lang w:val="en-GB" w:eastAsia="en-US"/>
              </w:rPr>
            </w:pPr>
            <w:r w:rsidRPr="003E0B98">
              <w:rPr>
                <w:i/>
                <w:color w:val="000000"/>
                <w:sz w:val="22"/>
                <w:szCs w:val="22"/>
                <w:lang w:val="es-ES" w:eastAsia="en-US"/>
              </w:rPr>
              <w:t>Frecuentes</w:t>
            </w:r>
          </w:p>
        </w:tc>
        <w:tc>
          <w:tcPr>
            <w:tcW w:w="6095" w:type="dxa"/>
          </w:tcPr>
          <w:p w14:paraId="086CE254" w14:textId="77777777" w:rsidR="002E5034" w:rsidRPr="003E0B98" w:rsidRDefault="002E5034" w:rsidP="004361AC">
            <w:pPr>
              <w:pStyle w:val="Text"/>
              <w:spacing w:before="0"/>
              <w:jc w:val="left"/>
              <w:rPr>
                <w:color w:val="000000"/>
                <w:sz w:val="22"/>
                <w:szCs w:val="22"/>
                <w:lang w:val="en-GB" w:eastAsia="en-US"/>
              </w:rPr>
            </w:pPr>
            <w:proofErr w:type="spellStart"/>
            <w:r w:rsidRPr="003E0B98">
              <w:rPr>
                <w:color w:val="000000"/>
                <w:sz w:val="22"/>
                <w:szCs w:val="22"/>
                <w:lang w:val="en-GB" w:eastAsia="en-US"/>
              </w:rPr>
              <w:t>Anemia</w:t>
            </w:r>
            <w:proofErr w:type="spellEnd"/>
          </w:p>
        </w:tc>
      </w:tr>
      <w:tr w:rsidR="002E5034" w:rsidRPr="003E0B98" w14:paraId="516B0DB8" w14:textId="77777777" w:rsidTr="004305B3">
        <w:tc>
          <w:tcPr>
            <w:tcW w:w="3261" w:type="dxa"/>
          </w:tcPr>
          <w:p w14:paraId="5192E453" w14:textId="77777777" w:rsidR="002E5034" w:rsidRPr="003E0B98" w:rsidRDefault="002E5034" w:rsidP="004361AC">
            <w:pPr>
              <w:pStyle w:val="Text"/>
              <w:spacing w:before="0"/>
              <w:jc w:val="left"/>
              <w:rPr>
                <w:b/>
                <w:color w:val="000000"/>
                <w:sz w:val="22"/>
                <w:szCs w:val="22"/>
                <w:lang w:val="en-GB" w:eastAsia="en-US"/>
              </w:rPr>
            </w:pPr>
          </w:p>
        </w:tc>
        <w:tc>
          <w:tcPr>
            <w:tcW w:w="6095" w:type="dxa"/>
          </w:tcPr>
          <w:p w14:paraId="0B4E2EEE" w14:textId="77777777" w:rsidR="002E5034" w:rsidRPr="003E0B98" w:rsidRDefault="002E5034" w:rsidP="004361AC">
            <w:pPr>
              <w:pStyle w:val="Text"/>
              <w:spacing w:before="0"/>
              <w:jc w:val="left"/>
              <w:rPr>
                <w:color w:val="000000"/>
                <w:sz w:val="22"/>
                <w:szCs w:val="22"/>
                <w:lang w:val="en-GB" w:eastAsia="en-US"/>
              </w:rPr>
            </w:pPr>
          </w:p>
        </w:tc>
      </w:tr>
      <w:tr w:rsidR="002E5034" w:rsidRPr="003E0B98" w14:paraId="1FDB0F63" w14:textId="77777777" w:rsidTr="004305B3">
        <w:tc>
          <w:tcPr>
            <w:tcW w:w="9356" w:type="dxa"/>
            <w:gridSpan w:val="2"/>
          </w:tcPr>
          <w:p w14:paraId="12FA1A99" w14:textId="77777777" w:rsidR="002E5034" w:rsidRPr="003E0B98" w:rsidRDefault="002E5034" w:rsidP="004361AC">
            <w:pPr>
              <w:pStyle w:val="Text"/>
              <w:keepNext/>
              <w:spacing w:before="0"/>
              <w:jc w:val="left"/>
              <w:rPr>
                <w:color w:val="000000"/>
                <w:sz w:val="22"/>
                <w:szCs w:val="22"/>
                <w:lang w:val="en-GB" w:eastAsia="en-US"/>
              </w:rPr>
            </w:pPr>
            <w:r w:rsidRPr="003E0B98">
              <w:rPr>
                <w:color w:val="000000"/>
                <w:sz w:val="22"/>
                <w:szCs w:val="22"/>
                <w:lang w:val="es-ES" w:eastAsia="en-US"/>
              </w:rPr>
              <w:t>Trastornos del sistema inmunológico</w:t>
            </w:r>
          </w:p>
        </w:tc>
      </w:tr>
      <w:tr w:rsidR="002E5034" w:rsidRPr="003E0B98" w14:paraId="6419F8F5" w14:textId="77777777" w:rsidTr="004305B3">
        <w:tc>
          <w:tcPr>
            <w:tcW w:w="3261" w:type="dxa"/>
          </w:tcPr>
          <w:p w14:paraId="31EA1E76" w14:textId="77777777" w:rsidR="002E5034" w:rsidRPr="003E0B98" w:rsidRDefault="002E5034" w:rsidP="004361AC">
            <w:pPr>
              <w:pStyle w:val="Text"/>
              <w:spacing w:before="0"/>
              <w:jc w:val="left"/>
              <w:rPr>
                <w:b/>
                <w:color w:val="000000"/>
                <w:sz w:val="22"/>
                <w:szCs w:val="22"/>
                <w:lang w:val="en-GB" w:eastAsia="en-US"/>
              </w:rPr>
            </w:pPr>
            <w:r w:rsidRPr="003E0B98">
              <w:rPr>
                <w:i/>
                <w:color w:val="000000"/>
                <w:sz w:val="22"/>
                <w:szCs w:val="22"/>
                <w:lang w:val="es-ES" w:eastAsia="en-US"/>
              </w:rPr>
              <w:t>Frecuentes</w:t>
            </w:r>
          </w:p>
        </w:tc>
        <w:tc>
          <w:tcPr>
            <w:tcW w:w="6095" w:type="dxa"/>
          </w:tcPr>
          <w:p w14:paraId="7D9F5201" w14:textId="77777777" w:rsidR="002E5034" w:rsidRPr="003E0B98" w:rsidRDefault="002E5034" w:rsidP="004361AC">
            <w:pPr>
              <w:pStyle w:val="Text"/>
              <w:spacing w:before="0"/>
              <w:jc w:val="left"/>
              <w:rPr>
                <w:color w:val="000000"/>
                <w:sz w:val="22"/>
                <w:szCs w:val="22"/>
                <w:lang w:val="en-GB" w:eastAsia="en-US"/>
              </w:rPr>
            </w:pPr>
            <w:proofErr w:type="spellStart"/>
            <w:r w:rsidRPr="003E0B98">
              <w:rPr>
                <w:color w:val="000000"/>
                <w:sz w:val="22"/>
                <w:szCs w:val="22"/>
                <w:lang w:val="en-GB" w:eastAsia="en-US"/>
              </w:rPr>
              <w:t>Hipersensibilidad</w:t>
            </w:r>
            <w:proofErr w:type="spellEnd"/>
          </w:p>
        </w:tc>
      </w:tr>
      <w:tr w:rsidR="002E5034" w:rsidRPr="003E0B98" w14:paraId="01CCB709" w14:textId="77777777" w:rsidTr="004305B3">
        <w:tc>
          <w:tcPr>
            <w:tcW w:w="3261" w:type="dxa"/>
          </w:tcPr>
          <w:p w14:paraId="5370ADF0" w14:textId="77777777" w:rsidR="002E5034" w:rsidRPr="003E0B98" w:rsidRDefault="002E5034" w:rsidP="004361AC">
            <w:pPr>
              <w:pStyle w:val="Text"/>
              <w:spacing w:before="0"/>
              <w:jc w:val="left"/>
              <w:rPr>
                <w:b/>
                <w:color w:val="000000"/>
                <w:sz w:val="22"/>
                <w:szCs w:val="22"/>
                <w:lang w:val="en-GB" w:eastAsia="en-US"/>
              </w:rPr>
            </w:pPr>
          </w:p>
        </w:tc>
        <w:tc>
          <w:tcPr>
            <w:tcW w:w="6095" w:type="dxa"/>
          </w:tcPr>
          <w:p w14:paraId="24CDAF59" w14:textId="77777777" w:rsidR="002E5034" w:rsidRPr="003E0B98" w:rsidRDefault="002E5034" w:rsidP="004361AC">
            <w:pPr>
              <w:pStyle w:val="Text"/>
              <w:spacing w:before="0"/>
              <w:jc w:val="left"/>
              <w:rPr>
                <w:color w:val="000000"/>
                <w:sz w:val="22"/>
                <w:szCs w:val="22"/>
                <w:lang w:val="en-GB" w:eastAsia="en-US"/>
              </w:rPr>
            </w:pPr>
          </w:p>
        </w:tc>
      </w:tr>
      <w:tr w:rsidR="002E5034" w:rsidRPr="003E0B98" w14:paraId="2EA0C19E" w14:textId="77777777" w:rsidTr="004305B3">
        <w:tc>
          <w:tcPr>
            <w:tcW w:w="3261" w:type="dxa"/>
          </w:tcPr>
          <w:p w14:paraId="2596959C" w14:textId="77777777" w:rsidR="002E5034" w:rsidRPr="003E0B98" w:rsidRDefault="002E5034" w:rsidP="004361AC">
            <w:pPr>
              <w:pStyle w:val="Text"/>
              <w:keepNext/>
              <w:spacing w:before="0"/>
              <w:jc w:val="left"/>
              <w:rPr>
                <w:color w:val="000000"/>
                <w:sz w:val="22"/>
                <w:szCs w:val="22"/>
                <w:lang w:val="en-GB" w:eastAsia="en-US"/>
              </w:rPr>
            </w:pPr>
            <w:proofErr w:type="spellStart"/>
            <w:r w:rsidRPr="003E0B98">
              <w:rPr>
                <w:color w:val="000000"/>
                <w:sz w:val="22"/>
                <w:szCs w:val="22"/>
                <w:lang w:val="en-GB" w:eastAsia="en-US"/>
              </w:rPr>
              <w:t>Trastornos</w:t>
            </w:r>
            <w:proofErr w:type="spellEnd"/>
            <w:r w:rsidRPr="003E0B98">
              <w:rPr>
                <w:color w:val="000000"/>
                <w:sz w:val="22"/>
                <w:szCs w:val="22"/>
                <w:lang w:val="en-GB" w:eastAsia="en-US"/>
              </w:rPr>
              <w:t xml:space="preserve"> </w:t>
            </w:r>
            <w:proofErr w:type="spellStart"/>
            <w:r w:rsidRPr="003E0B98">
              <w:rPr>
                <w:color w:val="000000"/>
                <w:sz w:val="22"/>
                <w:szCs w:val="22"/>
                <w:lang w:val="en-GB" w:eastAsia="en-US"/>
              </w:rPr>
              <w:t>psiquiátricos</w:t>
            </w:r>
            <w:proofErr w:type="spellEnd"/>
          </w:p>
        </w:tc>
        <w:tc>
          <w:tcPr>
            <w:tcW w:w="6095" w:type="dxa"/>
          </w:tcPr>
          <w:p w14:paraId="1CF64423" w14:textId="77777777" w:rsidR="002E5034" w:rsidRPr="003E0B98" w:rsidRDefault="002E5034" w:rsidP="004361AC">
            <w:pPr>
              <w:pStyle w:val="Text"/>
              <w:keepNext/>
              <w:spacing w:before="0"/>
              <w:jc w:val="left"/>
              <w:rPr>
                <w:color w:val="000000"/>
                <w:sz w:val="22"/>
                <w:szCs w:val="22"/>
                <w:lang w:val="en-GB" w:eastAsia="en-US"/>
              </w:rPr>
            </w:pPr>
          </w:p>
        </w:tc>
      </w:tr>
      <w:tr w:rsidR="002E5034" w:rsidRPr="003E0B98" w14:paraId="3EA46CC5" w14:textId="77777777" w:rsidTr="004305B3">
        <w:tc>
          <w:tcPr>
            <w:tcW w:w="3261" w:type="dxa"/>
          </w:tcPr>
          <w:p w14:paraId="68308823" w14:textId="77777777" w:rsidR="002E5034" w:rsidRPr="003E0B98" w:rsidRDefault="002E5034" w:rsidP="004361AC">
            <w:pPr>
              <w:pStyle w:val="Text"/>
              <w:spacing w:before="0"/>
              <w:jc w:val="left"/>
              <w:rPr>
                <w:b/>
                <w:color w:val="000000"/>
                <w:sz w:val="22"/>
                <w:szCs w:val="22"/>
                <w:lang w:val="en-GB" w:eastAsia="en-US"/>
              </w:rPr>
            </w:pPr>
            <w:r w:rsidRPr="003E0B98">
              <w:rPr>
                <w:i/>
                <w:color w:val="000000"/>
                <w:sz w:val="22"/>
                <w:szCs w:val="22"/>
                <w:lang w:val="es-ES" w:eastAsia="en-US"/>
              </w:rPr>
              <w:t>Frecuentes</w:t>
            </w:r>
          </w:p>
        </w:tc>
        <w:tc>
          <w:tcPr>
            <w:tcW w:w="6095" w:type="dxa"/>
          </w:tcPr>
          <w:p w14:paraId="28E39A55" w14:textId="77777777" w:rsidR="002E5034" w:rsidRPr="003E0B98" w:rsidRDefault="002E5034" w:rsidP="004361AC">
            <w:pPr>
              <w:pStyle w:val="Text"/>
              <w:spacing w:before="0"/>
              <w:jc w:val="left"/>
              <w:rPr>
                <w:color w:val="000000"/>
                <w:sz w:val="22"/>
                <w:szCs w:val="22"/>
                <w:lang w:val="en-GB" w:eastAsia="en-US"/>
              </w:rPr>
            </w:pPr>
            <w:proofErr w:type="spellStart"/>
            <w:r w:rsidRPr="003E0B98">
              <w:rPr>
                <w:color w:val="000000"/>
                <w:sz w:val="22"/>
                <w:szCs w:val="22"/>
                <w:lang w:val="en-GB" w:eastAsia="en-US"/>
              </w:rPr>
              <w:t>Ansiedad</w:t>
            </w:r>
            <w:proofErr w:type="spellEnd"/>
          </w:p>
        </w:tc>
      </w:tr>
      <w:tr w:rsidR="002E5034" w:rsidRPr="003E0B98" w14:paraId="1BAACB91" w14:textId="77777777" w:rsidTr="004305B3">
        <w:tc>
          <w:tcPr>
            <w:tcW w:w="3261" w:type="dxa"/>
          </w:tcPr>
          <w:p w14:paraId="44ED9CC1" w14:textId="77777777" w:rsidR="002E5034" w:rsidRPr="003E0B98" w:rsidRDefault="002E5034" w:rsidP="004361AC">
            <w:pPr>
              <w:pStyle w:val="Text"/>
              <w:spacing w:before="0"/>
              <w:jc w:val="left"/>
              <w:rPr>
                <w:b/>
                <w:color w:val="000000"/>
                <w:sz w:val="22"/>
                <w:szCs w:val="22"/>
                <w:lang w:val="en-GB" w:eastAsia="en-US"/>
              </w:rPr>
            </w:pPr>
          </w:p>
        </w:tc>
        <w:tc>
          <w:tcPr>
            <w:tcW w:w="6095" w:type="dxa"/>
          </w:tcPr>
          <w:p w14:paraId="6AA3741F" w14:textId="77777777" w:rsidR="002E5034" w:rsidRPr="003E0B98" w:rsidRDefault="002E5034" w:rsidP="004361AC">
            <w:pPr>
              <w:pStyle w:val="Text"/>
              <w:spacing w:before="0"/>
              <w:jc w:val="left"/>
              <w:rPr>
                <w:color w:val="000000"/>
                <w:sz w:val="22"/>
                <w:szCs w:val="22"/>
                <w:lang w:val="en-GB" w:eastAsia="en-US"/>
              </w:rPr>
            </w:pPr>
          </w:p>
        </w:tc>
      </w:tr>
      <w:tr w:rsidR="002E5034" w:rsidRPr="003E0B98" w14:paraId="4B55E89B" w14:textId="77777777" w:rsidTr="004305B3">
        <w:tc>
          <w:tcPr>
            <w:tcW w:w="3261" w:type="dxa"/>
          </w:tcPr>
          <w:p w14:paraId="02502849" w14:textId="77777777" w:rsidR="002E5034" w:rsidRPr="003E0B98" w:rsidRDefault="002E5034" w:rsidP="004361AC">
            <w:pPr>
              <w:keepNext/>
              <w:tabs>
                <w:tab w:val="clear" w:pos="567"/>
              </w:tabs>
              <w:spacing w:line="240" w:lineRule="auto"/>
              <w:rPr>
                <w:color w:val="000000"/>
                <w:szCs w:val="22"/>
              </w:rPr>
            </w:pPr>
            <w:r w:rsidRPr="003E0B98">
              <w:rPr>
                <w:bCs/>
                <w:color w:val="000000"/>
                <w:szCs w:val="22"/>
                <w:lang w:val="es-ES_tradnl"/>
              </w:rPr>
              <w:t>Trastornos del sistema nervioso</w:t>
            </w:r>
          </w:p>
        </w:tc>
        <w:tc>
          <w:tcPr>
            <w:tcW w:w="6095" w:type="dxa"/>
          </w:tcPr>
          <w:p w14:paraId="58262B3F" w14:textId="77777777" w:rsidR="002E5034" w:rsidRPr="003E0B98" w:rsidRDefault="002E5034" w:rsidP="004361AC">
            <w:pPr>
              <w:keepNext/>
              <w:tabs>
                <w:tab w:val="clear" w:pos="567"/>
              </w:tabs>
              <w:spacing w:line="240" w:lineRule="auto"/>
              <w:rPr>
                <w:b/>
                <w:color w:val="000000"/>
                <w:szCs w:val="22"/>
              </w:rPr>
            </w:pPr>
          </w:p>
        </w:tc>
      </w:tr>
      <w:tr w:rsidR="002E5034" w:rsidRPr="003E0B98" w14:paraId="56BA65A0" w14:textId="77777777" w:rsidTr="004305B3">
        <w:tc>
          <w:tcPr>
            <w:tcW w:w="3261" w:type="dxa"/>
          </w:tcPr>
          <w:p w14:paraId="39C94F30" w14:textId="77777777" w:rsidR="002E5034" w:rsidRPr="003E0B98" w:rsidRDefault="002E5034" w:rsidP="004361AC">
            <w:pPr>
              <w:pStyle w:val="Text"/>
              <w:spacing w:before="0"/>
              <w:jc w:val="left"/>
              <w:rPr>
                <w:color w:val="000000"/>
                <w:sz w:val="22"/>
                <w:szCs w:val="22"/>
                <w:lang w:val="en-GB" w:eastAsia="en-US"/>
              </w:rPr>
            </w:pPr>
            <w:r w:rsidRPr="003E0B98">
              <w:rPr>
                <w:i/>
                <w:color w:val="000000"/>
                <w:sz w:val="22"/>
                <w:szCs w:val="22"/>
                <w:lang w:val="es-ES" w:eastAsia="en-US"/>
              </w:rPr>
              <w:t>Muy frecuentes</w:t>
            </w:r>
          </w:p>
        </w:tc>
        <w:tc>
          <w:tcPr>
            <w:tcW w:w="6095" w:type="dxa"/>
          </w:tcPr>
          <w:p w14:paraId="7AEFA5D9" w14:textId="77777777" w:rsidR="002E5034" w:rsidRPr="003E0B98" w:rsidRDefault="002E5034" w:rsidP="004361AC">
            <w:pPr>
              <w:tabs>
                <w:tab w:val="clear" w:pos="567"/>
              </w:tabs>
              <w:spacing w:line="240" w:lineRule="auto"/>
              <w:rPr>
                <w:color w:val="000000"/>
                <w:szCs w:val="22"/>
              </w:rPr>
            </w:pPr>
            <w:proofErr w:type="spellStart"/>
            <w:r w:rsidRPr="003E0B98">
              <w:rPr>
                <w:color w:val="000000"/>
                <w:szCs w:val="22"/>
              </w:rPr>
              <w:t>Cefalea</w:t>
            </w:r>
            <w:proofErr w:type="spellEnd"/>
          </w:p>
        </w:tc>
      </w:tr>
      <w:tr w:rsidR="002E5034" w:rsidRPr="003E0B98" w14:paraId="172AF55F" w14:textId="77777777" w:rsidTr="004305B3">
        <w:tc>
          <w:tcPr>
            <w:tcW w:w="3261" w:type="dxa"/>
          </w:tcPr>
          <w:p w14:paraId="47D98543" w14:textId="77777777" w:rsidR="002E5034" w:rsidRPr="003E0B98" w:rsidRDefault="002E5034" w:rsidP="004361AC">
            <w:pPr>
              <w:tabs>
                <w:tab w:val="clear" w:pos="567"/>
              </w:tabs>
              <w:spacing w:line="240" w:lineRule="auto"/>
              <w:rPr>
                <w:color w:val="000000"/>
                <w:szCs w:val="22"/>
              </w:rPr>
            </w:pPr>
          </w:p>
        </w:tc>
        <w:tc>
          <w:tcPr>
            <w:tcW w:w="6095" w:type="dxa"/>
          </w:tcPr>
          <w:p w14:paraId="7EDA48E2" w14:textId="77777777" w:rsidR="002E5034" w:rsidRPr="003E0B98" w:rsidRDefault="002E5034" w:rsidP="004361AC">
            <w:pPr>
              <w:tabs>
                <w:tab w:val="clear" w:pos="567"/>
              </w:tabs>
              <w:spacing w:line="240" w:lineRule="auto"/>
              <w:rPr>
                <w:color w:val="000000"/>
                <w:szCs w:val="22"/>
              </w:rPr>
            </w:pPr>
          </w:p>
        </w:tc>
      </w:tr>
      <w:tr w:rsidR="002E5034" w:rsidRPr="003E0B98" w14:paraId="4622E730" w14:textId="77777777" w:rsidTr="004305B3">
        <w:tc>
          <w:tcPr>
            <w:tcW w:w="3261" w:type="dxa"/>
          </w:tcPr>
          <w:p w14:paraId="66140D4F" w14:textId="77777777" w:rsidR="002E5034" w:rsidRPr="003E0B98" w:rsidRDefault="002E5034" w:rsidP="004361AC">
            <w:pPr>
              <w:keepNext/>
              <w:spacing w:line="240" w:lineRule="auto"/>
              <w:rPr>
                <w:color w:val="000000"/>
                <w:szCs w:val="22"/>
              </w:rPr>
            </w:pPr>
            <w:r w:rsidRPr="003E0B98">
              <w:rPr>
                <w:bCs/>
                <w:color w:val="000000"/>
                <w:szCs w:val="22"/>
                <w:lang w:val="es-ES_tradnl"/>
              </w:rPr>
              <w:t>Trastornos oculares</w:t>
            </w:r>
          </w:p>
        </w:tc>
        <w:tc>
          <w:tcPr>
            <w:tcW w:w="6095" w:type="dxa"/>
          </w:tcPr>
          <w:p w14:paraId="2A4F7AB3" w14:textId="77777777" w:rsidR="002E5034" w:rsidRPr="003E0B98" w:rsidRDefault="002E5034" w:rsidP="004361AC">
            <w:pPr>
              <w:pStyle w:val="Text"/>
              <w:keepNext/>
              <w:spacing w:before="0"/>
              <w:jc w:val="left"/>
              <w:rPr>
                <w:color w:val="000000"/>
                <w:sz w:val="22"/>
                <w:szCs w:val="22"/>
                <w:lang w:val="en-GB" w:eastAsia="en-US"/>
              </w:rPr>
            </w:pPr>
          </w:p>
        </w:tc>
      </w:tr>
      <w:tr w:rsidR="002E5034" w:rsidRPr="00174177" w14:paraId="72C0A5DC" w14:textId="77777777" w:rsidTr="004305B3">
        <w:tc>
          <w:tcPr>
            <w:tcW w:w="3261" w:type="dxa"/>
          </w:tcPr>
          <w:p w14:paraId="440C0530" w14:textId="77777777" w:rsidR="002E5034" w:rsidRPr="003E0B98" w:rsidRDefault="002E5034" w:rsidP="004361AC">
            <w:pPr>
              <w:pStyle w:val="Text"/>
              <w:keepNext/>
              <w:spacing w:before="0"/>
              <w:jc w:val="left"/>
              <w:rPr>
                <w:color w:val="000000"/>
                <w:sz w:val="22"/>
                <w:szCs w:val="22"/>
                <w:lang w:val="en-GB" w:eastAsia="en-US"/>
              </w:rPr>
            </w:pPr>
            <w:r w:rsidRPr="003E0B98">
              <w:rPr>
                <w:i/>
                <w:color w:val="000000"/>
                <w:sz w:val="22"/>
                <w:szCs w:val="22"/>
                <w:lang w:val="es-ES" w:eastAsia="en-US"/>
              </w:rPr>
              <w:t>Muy frecuentes</w:t>
            </w:r>
          </w:p>
        </w:tc>
        <w:tc>
          <w:tcPr>
            <w:tcW w:w="6095" w:type="dxa"/>
          </w:tcPr>
          <w:p w14:paraId="1C2FD9BB" w14:textId="77777777" w:rsidR="002E5034" w:rsidRPr="003E0B98" w:rsidRDefault="002E5034" w:rsidP="004361AC">
            <w:pPr>
              <w:pStyle w:val="Text"/>
              <w:keepNext/>
              <w:spacing w:before="0"/>
              <w:jc w:val="left"/>
              <w:rPr>
                <w:color w:val="000000"/>
                <w:sz w:val="22"/>
                <w:szCs w:val="22"/>
                <w:lang w:val="es-ES_tradnl" w:eastAsia="en-US"/>
              </w:rPr>
            </w:pPr>
            <w:proofErr w:type="spellStart"/>
            <w:r w:rsidRPr="003E0B98">
              <w:rPr>
                <w:color w:val="000000"/>
                <w:sz w:val="22"/>
                <w:szCs w:val="22"/>
                <w:lang w:val="es-ES_tradnl" w:eastAsia="en-US"/>
              </w:rPr>
              <w:t>Vitritis</w:t>
            </w:r>
            <w:proofErr w:type="spellEnd"/>
            <w:r w:rsidRPr="003E0B98">
              <w:rPr>
                <w:color w:val="000000"/>
                <w:sz w:val="22"/>
                <w:szCs w:val="22"/>
                <w:lang w:val="es-ES_tradnl" w:eastAsia="en-US"/>
              </w:rPr>
              <w:t>, desprendimiento de vítreo, hemorragia retiniana, alteración visual, dolor ocular, partículas flotantes en el vítreo, hemorragia conjuntival, irritación ocular, sensación de cuerpo extraño en los ojos, aumento del lagrimeo, blefaritis, ojo seco, hiperemia ocular, prurito ocular.</w:t>
            </w:r>
          </w:p>
        </w:tc>
      </w:tr>
      <w:tr w:rsidR="002E5034" w:rsidRPr="00174177" w14:paraId="580DFAFD" w14:textId="77777777" w:rsidTr="004305B3">
        <w:tc>
          <w:tcPr>
            <w:tcW w:w="3261" w:type="dxa"/>
          </w:tcPr>
          <w:p w14:paraId="63A7DB56" w14:textId="77777777" w:rsidR="002E5034" w:rsidRPr="003E0B98" w:rsidRDefault="002E5034" w:rsidP="004361AC">
            <w:pPr>
              <w:pStyle w:val="Text"/>
              <w:keepNext/>
              <w:spacing w:before="0"/>
              <w:jc w:val="left"/>
              <w:rPr>
                <w:i/>
                <w:color w:val="000000"/>
                <w:sz w:val="22"/>
                <w:szCs w:val="22"/>
                <w:lang w:val="en-GB" w:eastAsia="en-US"/>
              </w:rPr>
            </w:pPr>
            <w:r w:rsidRPr="003E0B98">
              <w:rPr>
                <w:i/>
                <w:color w:val="000000"/>
                <w:sz w:val="22"/>
                <w:szCs w:val="22"/>
                <w:lang w:val="es-ES" w:eastAsia="en-US"/>
              </w:rPr>
              <w:t>Frecuentes</w:t>
            </w:r>
          </w:p>
        </w:tc>
        <w:tc>
          <w:tcPr>
            <w:tcW w:w="6095" w:type="dxa"/>
          </w:tcPr>
          <w:p w14:paraId="39965A2B" w14:textId="77777777" w:rsidR="002E5034" w:rsidRPr="003E0B98" w:rsidRDefault="002E5034" w:rsidP="004361AC">
            <w:pPr>
              <w:pStyle w:val="Text"/>
              <w:keepNext/>
              <w:spacing w:before="0"/>
              <w:jc w:val="left"/>
              <w:rPr>
                <w:color w:val="000000"/>
                <w:sz w:val="22"/>
                <w:szCs w:val="22"/>
                <w:lang w:val="es-ES_tradnl" w:eastAsia="en-US"/>
              </w:rPr>
            </w:pPr>
            <w:r w:rsidRPr="003E0B98">
              <w:rPr>
                <w:color w:val="000000"/>
                <w:sz w:val="22"/>
                <w:szCs w:val="22"/>
                <w:lang w:val="es-ES_tradnl" w:eastAsia="en-US"/>
              </w:rPr>
              <w:t xml:space="preserve">Degeneración retiniana, trastorno retiniano, desprendimiento de retina, </w:t>
            </w:r>
            <w:r w:rsidRPr="003E0B98">
              <w:rPr>
                <w:color w:val="000000"/>
                <w:sz w:val="22"/>
                <w:szCs w:val="22"/>
                <w:lang w:val="es-ES" w:eastAsia="en-US"/>
              </w:rPr>
              <w:t xml:space="preserve">desgarro retiniano, </w:t>
            </w:r>
            <w:r w:rsidRPr="003E0B98">
              <w:rPr>
                <w:color w:val="000000"/>
                <w:sz w:val="22"/>
                <w:szCs w:val="22"/>
                <w:lang w:val="es-ES_tradnl" w:eastAsia="en-US"/>
              </w:rPr>
              <w:t xml:space="preserve">desprendimiento del epitelio pigmentario retiniano, desgarro del epitelio pigmentario retiniano, agudeza visual reducida, hemorragia vítrea, trastorno del cuerpo vítreo, uveítis, iritis, </w:t>
            </w:r>
            <w:proofErr w:type="spellStart"/>
            <w:r w:rsidRPr="003E0B98">
              <w:rPr>
                <w:color w:val="000000"/>
                <w:sz w:val="22"/>
                <w:szCs w:val="22"/>
                <w:lang w:val="es-ES_tradnl" w:eastAsia="en-US"/>
              </w:rPr>
              <w:t>iridociclitis</w:t>
            </w:r>
            <w:proofErr w:type="spellEnd"/>
            <w:r w:rsidRPr="003E0B98">
              <w:rPr>
                <w:color w:val="000000"/>
                <w:sz w:val="22"/>
                <w:szCs w:val="22"/>
                <w:lang w:val="es-ES_tradnl" w:eastAsia="en-US"/>
              </w:rPr>
              <w:t xml:space="preserve">, catarata, catarata subcapsular, opacificación de la cápsula posterior, queratitis </w:t>
            </w:r>
            <w:proofErr w:type="spellStart"/>
            <w:r w:rsidRPr="003E0B98">
              <w:rPr>
                <w:color w:val="000000"/>
                <w:sz w:val="22"/>
                <w:szCs w:val="22"/>
                <w:lang w:val="es-ES_tradnl" w:eastAsia="en-US"/>
              </w:rPr>
              <w:t>punctata</w:t>
            </w:r>
            <w:proofErr w:type="spellEnd"/>
            <w:r w:rsidRPr="003E0B98">
              <w:rPr>
                <w:color w:val="000000"/>
                <w:sz w:val="22"/>
                <w:szCs w:val="22"/>
                <w:lang w:val="es-ES_tradnl" w:eastAsia="en-US"/>
              </w:rPr>
              <w:t xml:space="preserve">, abrasión corneal, células flotantes en la cámara anterior, visión borrosa, hemorragia en el lugar de inyección, </w:t>
            </w:r>
            <w:r w:rsidRPr="003E0B98">
              <w:rPr>
                <w:color w:val="000000"/>
                <w:sz w:val="22"/>
                <w:szCs w:val="22"/>
                <w:lang w:val="es-ES" w:eastAsia="en-US"/>
              </w:rPr>
              <w:t xml:space="preserve">hemorragia ocular, </w:t>
            </w:r>
            <w:r w:rsidRPr="003E0B98">
              <w:rPr>
                <w:color w:val="000000"/>
                <w:sz w:val="22"/>
                <w:szCs w:val="22"/>
                <w:lang w:val="es-ES_tradnl" w:eastAsia="en-US"/>
              </w:rPr>
              <w:t xml:space="preserve">conjuntivitis, conjuntivitis alérgica, secreción ocular, </w:t>
            </w:r>
            <w:proofErr w:type="spellStart"/>
            <w:r w:rsidRPr="003E0B98">
              <w:rPr>
                <w:color w:val="000000"/>
                <w:sz w:val="22"/>
                <w:szCs w:val="22"/>
                <w:lang w:val="es-ES_tradnl" w:eastAsia="en-US"/>
              </w:rPr>
              <w:t>fotopsia</w:t>
            </w:r>
            <w:proofErr w:type="spellEnd"/>
            <w:r w:rsidRPr="003E0B98">
              <w:rPr>
                <w:color w:val="000000"/>
                <w:sz w:val="22"/>
                <w:szCs w:val="22"/>
                <w:lang w:val="es-ES_tradnl" w:eastAsia="en-US"/>
              </w:rPr>
              <w:t xml:space="preserve">, fotofobia, molestia ocular, </w:t>
            </w:r>
            <w:r w:rsidRPr="003E0B98">
              <w:rPr>
                <w:color w:val="000000"/>
                <w:sz w:val="22"/>
                <w:szCs w:val="22"/>
                <w:lang w:val="es-ES" w:eastAsia="en-US"/>
              </w:rPr>
              <w:t xml:space="preserve">edema palpebral, dolor palpebral, </w:t>
            </w:r>
            <w:r w:rsidRPr="003E0B98">
              <w:rPr>
                <w:color w:val="000000"/>
                <w:sz w:val="22"/>
                <w:szCs w:val="22"/>
                <w:lang w:val="es-ES_tradnl" w:eastAsia="en-US"/>
              </w:rPr>
              <w:t>hiperemia conjuntival.</w:t>
            </w:r>
          </w:p>
        </w:tc>
      </w:tr>
      <w:tr w:rsidR="002E5034" w:rsidRPr="00174177" w14:paraId="7FE30836" w14:textId="77777777" w:rsidTr="004305B3">
        <w:tc>
          <w:tcPr>
            <w:tcW w:w="3261" w:type="dxa"/>
          </w:tcPr>
          <w:p w14:paraId="2B628DCF" w14:textId="77777777" w:rsidR="002E5034" w:rsidRPr="003E0B98" w:rsidRDefault="002E5034" w:rsidP="004361AC">
            <w:pPr>
              <w:pStyle w:val="Text"/>
              <w:spacing w:before="0"/>
              <w:jc w:val="left"/>
              <w:rPr>
                <w:color w:val="000000"/>
                <w:sz w:val="22"/>
                <w:szCs w:val="22"/>
                <w:lang w:val="en-GB" w:eastAsia="en-US"/>
              </w:rPr>
            </w:pPr>
            <w:r w:rsidRPr="003E0B98">
              <w:rPr>
                <w:i/>
                <w:color w:val="000000"/>
                <w:sz w:val="22"/>
                <w:szCs w:val="22"/>
                <w:lang w:val="es-ES" w:eastAsia="en-US"/>
              </w:rPr>
              <w:t>Poco frecuentes</w:t>
            </w:r>
          </w:p>
        </w:tc>
        <w:tc>
          <w:tcPr>
            <w:tcW w:w="6095" w:type="dxa"/>
          </w:tcPr>
          <w:p w14:paraId="7EE70620" w14:textId="77777777" w:rsidR="002E5034" w:rsidRPr="003E0B98" w:rsidRDefault="002E5034" w:rsidP="004361AC">
            <w:pPr>
              <w:pStyle w:val="Text"/>
              <w:spacing w:before="0"/>
              <w:jc w:val="left"/>
              <w:rPr>
                <w:i/>
                <w:color w:val="000000"/>
                <w:sz w:val="22"/>
                <w:szCs w:val="22"/>
                <w:lang w:val="es-ES_tradnl" w:eastAsia="en-US"/>
              </w:rPr>
            </w:pPr>
            <w:r w:rsidRPr="003E0B98">
              <w:rPr>
                <w:color w:val="000000"/>
                <w:sz w:val="22"/>
                <w:szCs w:val="22"/>
                <w:lang w:val="es-ES" w:eastAsia="en-US"/>
              </w:rPr>
              <w:t xml:space="preserve">Ceguera, </w:t>
            </w:r>
            <w:proofErr w:type="spellStart"/>
            <w:r w:rsidRPr="003E0B98">
              <w:rPr>
                <w:color w:val="000000"/>
                <w:sz w:val="22"/>
                <w:szCs w:val="22"/>
                <w:lang w:val="es-ES_tradnl" w:eastAsia="en-US"/>
              </w:rPr>
              <w:t>endoftalmitis</w:t>
            </w:r>
            <w:proofErr w:type="spellEnd"/>
            <w:r w:rsidRPr="003E0B98">
              <w:rPr>
                <w:color w:val="000000"/>
                <w:sz w:val="22"/>
                <w:szCs w:val="22"/>
                <w:lang w:val="es-ES_tradnl" w:eastAsia="en-US"/>
              </w:rPr>
              <w:t xml:space="preserve">, </w:t>
            </w:r>
            <w:proofErr w:type="spellStart"/>
            <w:r w:rsidRPr="003E0B98">
              <w:rPr>
                <w:color w:val="000000"/>
                <w:sz w:val="22"/>
                <w:szCs w:val="22"/>
                <w:lang w:val="es-ES" w:eastAsia="en-US"/>
              </w:rPr>
              <w:t>hipopion</w:t>
            </w:r>
            <w:proofErr w:type="spellEnd"/>
            <w:r w:rsidRPr="003E0B98">
              <w:rPr>
                <w:color w:val="000000"/>
                <w:sz w:val="22"/>
                <w:szCs w:val="22"/>
                <w:lang w:val="es-ES" w:eastAsia="en-US"/>
              </w:rPr>
              <w:t xml:space="preserve">, hipema, </w:t>
            </w:r>
            <w:proofErr w:type="spellStart"/>
            <w:r w:rsidRPr="003E0B98">
              <w:rPr>
                <w:color w:val="000000"/>
                <w:sz w:val="22"/>
                <w:szCs w:val="22"/>
                <w:lang w:val="es-ES" w:eastAsia="en-US"/>
              </w:rPr>
              <w:t>queratopatía</w:t>
            </w:r>
            <w:proofErr w:type="spellEnd"/>
            <w:r w:rsidRPr="003E0B98">
              <w:rPr>
                <w:color w:val="000000"/>
                <w:sz w:val="22"/>
                <w:szCs w:val="22"/>
                <w:lang w:val="es-ES" w:eastAsia="en-US"/>
              </w:rPr>
              <w:t xml:space="preserve">, adhesión del iris, depósitos corneales, edema corneal, </w:t>
            </w:r>
            <w:r w:rsidRPr="003E0B98">
              <w:rPr>
                <w:color w:val="000000"/>
                <w:sz w:val="22"/>
                <w:szCs w:val="22"/>
                <w:lang w:val="es-ES_tradnl" w:eastAsia="en-US"/>
              </w:rPr>
              <w:t xml:space="preserve">estrías corneales, dolor en el lugar de inyección, irritación en el lugar de inyección, sensación anormal en el ojo, </w:t>
            </w:r>
            <w:r w:rsidRPr="003E0B98">
              <w:rPr>
                <w:color w:val="000000"/>
                <w:sz w:val="22"/>
                <w:szCs w:val="22"/>
                <w:lang w:val="es-ES" w:eastAsia="en-US"/>
              </w:rPr>
              <w:t>irritación palpebral</w:t>
            </w:r>
            <w:r w:rsidRPr="003E0B98">
              <w:rPr>
                <w:color w:val="000000"/>
                <w:sz w:val="22"/>
                <w:szCs w:val="22"/>
                <w:lang w:val="es-ES_tradnl" w:eastAsia="en-US"/>
              </w:rPr>
              <w:t>.</w:t>
            </w:r>
          </w:p>
        </w:tc>
      </w:tr>
      <w:tr w:rsidR="002E5034" w:rsidRPr="00174177" w14:paraId="6A0B2D6E" w14:textId="77777777" w:rsidTr="004305B3">
        <w:tc>
          <w:tcPr>
            <w:tcW w:w="3261" w:type="dxa"/>
          </w:tcPr>
          <w:p w14:paraId="43BEF2EF" w14:textId="77777777" w:rsidR="002E5034" w:rsidRPr="003E0B98" w:rsidRDefault="002E5034" w:rsidP="004361AC">
            <w:pPr>
              <w:pStyle w:val="Text"/>
              <w:spacing w:before="0"/>
              <w:jc w:val="left"/>
              <w:rPr>
                <w:color w:val="000000"/>
                <w:sz w:val="22"/>
                <w:szCs w:val="22"/>
                <w:lang w:val="es-ES_tradnl" w:eastAsia="en-US"/>
              </w:rPr>
            </w:pPr>
          </w:p>
        </w:tc>
        <w:tc>
          <w:tcPr>
            <w:tcW w:w="6095" w:type="dxa"/>
          </w:tcPr>
          <w:p w14:paraId="0F7A8348" w14:textId="77777777" w:rsidR="002E5034" w:rsidRPr="003E0B98" w:rsidRDefault="002E5034" w:rsidP="004361AC">
            <w:pPr>
              <w:pStyle w:val="Text"/>
              <w:spacing w:before="0"/>
              <w:jc w:val="left"/>
              <w:rPr>
                <w:color w:val="000000"/>
                <w:sz w:val="22"/>
                <w:szCs w:val="22"/>
                <w:lang w:val="es-ES_tradnl" w:eastAsia="en-US"/>
              </w:rPr>
            </w:pPr>
          </w:p>
        </w:tc>
      </w:tr>
      <w:tr w:rsidR="002E5034" w:rsidRPr="00174177" w14:paraId="6AAC43E0" w14:textId="77777777" w:rsidTr="004305B3">
        <w:tc>
          <w:tcPr>
            <w:tcW w:w="9356" w:type="dxa"/>
            <w:gridSpan w:val="2"/>
          </w:tcPr>
          <w:p w14:paraId="49DAD1B7" w14:textId="77777777" w:rsidR="002E5034" w:rsidRPr="003E0B98" w:rsidRDefault="002E5034" w:rsidP="004361AC">
            <w:pPr>
              <w:keepNext/>
              <w:spacing w:line="240" w:lineRule="auto"/>
              <w:rPr>
                <w:color w:val="000000"/>
                <w:szCs w:val="22"/>
                <w:lang w:val="es-ES_tradnl"/>
              </w:rPr>
            </w:pPr>
            <w:r w:rsidRPr="003E0B98">
              <w:rPr>
                <w:bCs/>
                <w:color w:val="000000"/>
                <w:szCs w:val="22"/>
                <w:lang w:val="es-ES_tradnl"/>
              </w:rPr>
              <w:t>Trastornos respiratorios, torácicos y mediastínicos</w:t>
            </w:r>
          </w:p>
        </w:tc>
      </w:tr>
      <w:tr w:rsidR="002E5034" w:rsidRPr="003E0B98" w14:paraId="71198929" w14:textId="77777777" w:rsidTr="004305B3">
        <w:tc>
          <w:tcPr>
            <w:tcW w:w="3261" w:type="dxa"/>
          </w:tcPr>
          <w:p w14:paraId="6DB4E5E1" w14:textId="77777777" w:rsidR="002E5034" w:rsidRPr="003E0B98" w:rsidRDefault="002E5034" w:rsidP="004361AC">
            <w:pPr>
              <w:tabs>
                <w:tab w:val="clear" w:pos="567"/>
              </w:tabs>
              <w:spacing w:line="240" w:lineRule="auto"/>
              <w:rPr>
                <w:i/>
                <w:color w:val="000000"/>
                <w:szCs w:val="22"/>
              </w:rPr>
            </w:pPr>
            <w:r w:rsidRPr="003E0B98">
              <w:rPr>
                <w:i/>
                <w:color w:val="000000"/>
                <w:szCs w:val="22"/>
                <w:lang w:val="es-ES"/>
              </w:rPr>
              <w:t>Frecuentes</w:t>
            </w:r>
          </w:p>
        </w:tc>
        <w:tc>
          <w:tcPr>
            <w:tcW w:w="6095" w:type="dxa"/>
          </w:tcPr>
          <w:p w14:paraId="4FE3CC18" w14:textId="77777777" w:rsidR="002E5034" w:rsidRPr="003E0B98" w:rsidRDefault="002E5034" w:rsidP="004361AC">
            <w:pPr>
              <w:tabs>
                <w:tab w:val="clear" w:pos="567"/>
              </w:tabs>
              <w:spacing w:line="240" w:lineRule="auto"/>
              <w:rPr>
                <w:color w:val="000000"/>
                <w:szCs w:val="22"/>
              </w:rPr>
            </w:pPr>
            <w:r w:rsidRPr="003E0B98">
              <w:rPr>
                <w:color w:val="000000"/>
                <w:szCs w:val="22"/>
                <w:lang w:val="es-ES_tradnl"/>
              </w:rPr>
              <w:t>Tos</w:t>
            </w:r>
          </w:p>
        </w:tc>
      </w:tr>
      <w:tr w:rsidR="002E5034" w:rsidRPr="003E0B98" w14:paraId="4978ED9C" w14:textId="77777777" w:rsidTr="004305B3">
        <w:tc>
          <w:tcPr>
            <w:tcW w:w="3261" w:type="dxa"/>
          </w:tcPr>
          <w:p w14:paraId="7BAFDEEE" w14:textId="77777777" w:rsidR="002E5034" w:rsidRPr="003E0B98" w:rsidRDefault="002E5034" w:rsidP="004361AC">
            <w:pPr>
              <w:tabs>
                <w:tab w:val="clear" w:pos="567"/>
              </w:tabs>
              <w:spacing w:line="240" w:lineRule="auto"/>
              <w:rPr>
                <w:color w:val="000000"/>
                <w:szCs w:val="22"/>
              </w:rPr>
            </w:pPr>
          </w:p>
        </w:tc>
        <w:tc>
          <w:tcPr>
            <w:tcW w:w="6095" w:type="dxa"/>
          </w:tcPr>
          <w:p w14:paraId="2508462D" w14:textId="77777777" w:rsidR="002E5034" w:rsidRPr="003E0B98" w:rsidRDefault="002E5034" w:rsidP="004361AC">
            <w:pPr>
              <w:tabs>
                <w:tab w:val="clear" w:pos="567"/>
              </w:tabs>
              <w:spacing w:line="240" w:lineRule="auto"/>
              <w:rPr>
                <w:color w:val="000000"/>
                <w:szCs w:val="22"/>
              </w:rPr>
            </w:pPr>
          </w:p>
        </w:tc>
      </w:tr>
      <w:tr w:rsidR="002E5034" w:rsidRPr="003E0B98" w14:paraId="72291807" w14:textId="77777777" w:rsidTr="004305B3">
        <w:tc>
          <w:tcPr>
            <w:tcW w:w="3261" w:type="dxa"/>
          </w:tcPr>
          <w:p w14:paraId="3F405B87" w14:textId="77777777" w:rsidR="002E5034" w:rsidRPr="003E0B98" w:rsidRDefault="002E5034" w:rsidP="004361AC">
            <w:pPr>
              <w:keepNext/>
              <w:tabs>
                <w:tab w:val="clear" w:pos="567"/>
              </w:tabs>
              <w:spacing w:line="240" w:lineRule="auto"/>
              <w:rPr>
                <w:color w:val="000000"/>
                <w:szCs w:val="22"/>
              </w:rPr>
            </w:pPr>
            <w:r w:rsidRPr="003E0B98">
              <w:rPr>
                <w:bCs/>
                <w:color w:val="000000"/>
                <w:szCs w:val="22"/>
                <w:lang w:val="es-ES_tradnl"/>
              </w:rPr>
              <w:t xml:space="preserve">Trastornos </w:t>
            </w:r>
            <w:proofErr w:type="spellStart"/>
            <w:r w:rsidRPr="003E0B98">
              <w:rPr>
                <w:color w:val="000000"/>
                <w:szCs w:val="22"/>
              </w:rPr>
              <w:t>gastrointestinales</w:t>
            </w:r>
            <w:proofErr w:type="spellEnd"/>
          </w:p>
        </w:tc>
        <w:tc>
          <w:tcPr>
            <w:tcW w:w="6095" w:type="dxa"/>
          </w:tcPr>
          <w:p w14:paraId="23042C6D" w14:textId="77777777" w:rsidR="002E5034" w:rsidRPr="003E0B98" w:rsidRDefault="002E5034" w:rsidP="004361AC">
            <w:pPr>
              <w:pStyle w:val="Text"/>
              <w:keepNext/>
              <w:spacing w:before="0"/>
              <w:jc w:val="left"/>
              <w:rPr>
                <w:color w:val="000000"/>
                <w:sz w:val="22"/>
                <w:szCs w:val="22"/>
                <w:lang w:val="en-GB" w:eastAsia="en-US"/>
              </w:rPr>
            </w:pPr>
          </w:p>
        </w:tc>
      </w:tr>
      <w:tr w:rsidR="002E5034" w:rsidRPr="003E0B98" w14:paraId="72085024" w14:textId="77777777" w:rsidTr="004305B3">
        <w:tc>
          <w:tcPr>
            <w:tcW w:w="3261" w:type="dxa"/>
          </w:tcPr>
          <w:p w14:paraId="2D8BBADB" w14:textId="77777777" w:rsidR="002E5034" w:rsidRPr="003E0B98" w:rsidRDefault="002E5034" w:rsidP="004361AC">
            <w:pPr>
              <w:tabs>
                <w:tab w:val="clear" w:pos="567"/>
              </w:tabs>
              <w:spacing w:line="240" w:lineRule="auto"/>
              <w:rPr>
                <w:color w:val="000000"/>
                <w:szCs w:val="22"/>
              </w:rPr>
            </w:pPr>
            <w:r w:rsidRPr="003E0B98">
              <w:rPr>
                <w:i/>
                <w:color w:val="000000"/>
                <w:szCs w:val="22"/>
                <w:lang w:val="es-ES"/>
              </w:rPr>
              <w:t>Frecuentes</w:t>
            </w:r>
          </w:p>
        </w:tc>
        <w:tc>
          <w:tcPr>
            <w:tcW w:w="6095" w:type="dxa"/>
          </w:tcPr>
          <w:p w14:paraId="648C3634" w14:textId="77777777" w:rsidR="002E5034" w:rsidRPr="003E0B98" w:rsidRDefault="002E5034" w:rsidP="004361AC">
            <w:pPr>
              <w:tabs>
                <w:tab w:val="clear" w:pos="567"/>
              </w:tabs>
              <w:spacing w:line="240" w:lineRule="auto"/>
              <w:rPr>
                <w:color w:val="000000"/>
                <w:szCs w:val="22"/>
              </w:rPr>
            </w:pPr>
            <w:proofErr w:type="spellStart"/>
            <w:r w:rsidRPr="003E0B98">
              <w:rPr>
                <w:color w:val="000000"/>
                <w:szCs w:val="22"/>
              </w:rPr>
              <w:t>Náuseas</w:t>
            </w:r>
            <w:proofErr w:type="spellEnd"/>
          </w:p>
        </w:tc>
      </w:tr>
      <w:tr w:rsidR="002E5034" w:rsidRPr="003E0B98" w14:paraId="16F8956C" w14:textId="77777777" w:rsidTr="004305B3">
        <w:tc>
          <w:tcPr>
            <w:tcW w:w="3261" w:type="dxa"/>
          </w:tcPr>
          <w:p w14:paraId="43F75A75" w14:textId="77777777" w:rsidR="002E5034" w:rsidRPr="003E0B98" w:rsidRDefault="002E5034" w:rsidP="004361AC">
            <w:pPr>
              <w:tabs>
                <w:tab w:val="clear" w:pos="567"/>
              </w:tabs>
              <w:spacing w:line="240" w:lineRule="auto"/>
              <w:rPr>
                <w:color w:val="000000"/>
                <w:szCs w:val="22"/>
              </w:rPr>
            </w:pPr>
          </w:p>
        </w:tc>
        <w:tc>
          <w:tcPr>
            <w:tcW w:w="6095" w:type="dxa"/>
          </w:tcPr>
          <w:p w14:paraId="03560B35" w14:textId="77777777" w:rsidR="002E5034" w:rsidRPr="003E0B98" w:rsidRDefault="002E5034" w:rsidP="004361AC">
            <w:pPr>
              <w:tabs>
                <w:tab w:val="clear" w:pos="567"/>
              </w:tabs>
              <w:spacing w:line="240" w:lineRule="auto"/>
              <w:rPr>
                <w:b/>
                <w:color w:val="000000"/>
                <w:szCs w:val="22"/>
              </w:rPr>
            </w:pPr>
          </w:p>
        </w:tc>
      </w:tr>
      <w:tr w:rsidR="002E5034" w:rsidRPr="003C169A" w14:paraId="78EA2894" w14:textId="77777777" w:rsidTr="004305B3">
        <w:tc>
          <w:tcPr>
            <w:tcW w:w="9356" w:type="dxa"/>
            <w:gridSpan w:val="2"/>
          </w:tcPr>
          <w:p w14:paraId="5989074E" w14:textId="77777777" w:rsidR="002E5034" w:rsidRPr="003E0B98" w:rsidRDefault="002E5034" w:rsidP="004361AC">
            <w:pPr>
              <w:keepNext/>
              <w:tabs>
                <w:tab w:val="clear" w:pos="567"/>
              </w:tabs>
              <w:spacing w:line="240" w:lineRule="auto"/>
              <w:rPr>
                <w:color w:val="000000"/>
                <w:szCs w:val="22"/>
                <w:lang w:val="es-ES_tradnl"/>
              </w:rPr>
            </w:pPr>
            <w:r w:rsidRPr="003E0B98">
              <w:rPr>
                <w:bCs/>
                <w:color w:val="000000"/>
                <w:szCs w:val="22"/>
                <w:lang w:val="es-ES_tradnl"/>
              </w:rPr>
              <w:t>Trastornos de la piel y del tejido subcutáneo</w:t>
            </w:r>
          </w:p>
        </w:tc>
      </w:tr>
      <w:tr w:rsidR="002E5034" w:rsidRPr="00174177" w14:paraId="7999D1DD" w14:textId="77777777" w:rsidTr="004305B3">
        <w:tc>
          <w:tcPr>
            <w:tcW w:w="3261" w:type="dxa"/>
          </w:tcPr>
          <w:p w14:paraId="4A23AF86" w14:textId="77777777" w:rsidR="002E5034" w:rsidRPr="003E0B98" w:rsidRDefault="002E5034" w:rsidP="004361AC">
            <w:pPr>
              <w:tabs>
                <w:tab w:val="clear" w:pos="567"/>
              </w:tabs>
              <w:spacing w:line="240" w:lineRule="auto"/>
              <w:rPr>
                <w:i/>
                <w:color w:val="000000"/>
                <w:szCs w:val="22"/>
              </w:rPr>
            </w:pPr>
            <w:proofErr w:type="spellStart"/>
            <w:r w:rsidRPr="003E0B98">
              <w:rPr>
                <w:i/>
                <w:color w:val="000000"/>
                <w:szCs w:val="22"/>
              </w:rPr>
              <w:t>Frecuentes</w:t>
            </w:r>
            <w:proofErr w:type="spellEnd"/>
          </w:p>
        </w:tc>
        <w:tc>
          <w:tcPr>
            <w:tcW w:w="6095" w:type="dxa"/>
          </w:tcPr>
          <w:p w14:paraId="561187F6" w14:textId="77777777" w:rsidR="002E5034" w:rsidRPr="003E0B98" w:rsidRDefault="002E5034" w:rsidP="004361AC">
            <w:pPr>
              <w:tabs>
                <w:tab w:val="clear" w:pos="567"/>
              </w:tabs>
              <w:spacing w:line="240" w:lineRule="auto"/>
              <w:rPr>
                <w:color w:val="000000"/>
                <w:szCs w:val="22"/>
                <w:lang w:val="es-ES_tradnl"/>
              </w:rPr>
            </w:pPr>
            <w:r w:rsidRPr="003E0B98">
              <w:rPr>
                <w:color w:val="000000"/>
                <w:szCs w:val="22"/>
                <w:lang w:val="es-ES_tradnl"/>
              </w:rPr>
              <w:t>Reacciones alérgicas (erupción, urticaria, prurito, eritema)</w:t>
            </w:r>
          </w:p>
        </w:tc>
      </w:tr>
      <w:tr w:rsidR="002E5034" w:rsidRPr="00174177" w14:paraId="14E6C8E3" w14:textId="77777777" w:rsidTr="004305B3">
        <w:tc>
          <w:tcPr>
            <w:tcW w:w="3261" w:type="dxa"/>
          </w:tcPr>
          <w:p w14:paraId="1D1501E6" w14:textId="77777777" w:rsidR="002E5034" w:rsidRPr="003E0B98" w:rsidRDefault="002E5034" w:rsidP="004361AC">
            <w:pPr>
              <w:pStyle w:val="Text"/>
              <w:spacing w:before="0"/>
              <w:jc w:val="left"/>
              <w:rPr>
                <w:b/>
                <w:color w:val="000000"/>
                <w:sz w:val="22"/>
                <w:szCs w:val="22"/>
                <w:lang w:val="es-ES_tradnl" w:eastAsia="en-US"/>
              </w:rPr>
            </w:pPr>
          </w:p>
        </w:tc>
        <w:tc>
          <w:tcPr>
            <w:tcW w:w="6095" w:type="dxa"/>
          </w:tcPr>
          <w:p w14:paraId="49F69CB6" w14:textId="77777777" w:rsidR="002E5034" w:rsidRPr="003E0B98" w:rsidRDefault="002E5034" w:rsidP="004361AC">
            <w:pPr>
              <w:rPr>
                <w:b/>
                <w:color w:val="000000"/>
                <w:szCs w:val="22"/>
                <w:lang w:val="es-ES_tradnl"/>
              </w:rPr>
            </w:pPr>
          </w:p>
        </w:tc>
      </w:tr>
      <w:tr w:rsidR="002E5034" w:rsidRPr="003C169A" w14:paraId="6F229BB8" w14:textId="77777777" w:rsidTr="004305B3">
        <w:tc>
          <w:tcPr>
            <w:tcW w:w="9356" w:type="dxa"/>
            <w:gridSpan w:val="2"/>
          </w:tcPr>
          <w:p w14:paraId="74B56CFA" w14:textId="77777777" w:rsidR="002E5034" w:rsidRPr="003E0B98" w:rsidRDefault="002E5034" w:rsidP="004361AC">
            <w:pPr>
              <w:keepNext/>
              <w:tabs>
                <w:tab w:val="clear" w:pos="567"/>
              </w:tabs>
              <w:spacing w:line="240" w:lineRule="auto"/>
              <w:rPr>
                <w:color w:val="000000"/>
                <w:szCs w:val="22"/>
                <w:lang w:val="es-ES_tradnl"/>
              </w:rPr>
            </w:pPr>
            <w:r w:rsidRPr="003E0B98">
              <w:rPr>
                <w:bCs/>
                <w:color w:val="000000"/>
                <w:szCs w:val="22"/>
                <w:lang w:val="es-ES_tradnl"/>
              </w:rPr>
              <w:t>Trastornos musculoesqueléticos y del tejido conjuntivo</w:t>
            </w:r>
          </w:p>
        </w:tc>
      </w:tr>
      <w:tr w:rsidR="002E5034" w:rsidRPr="003E0B98" w14:paraId="71F6DB86" w14:textId="77777777" w:rsidTr="004305B3">
        <w:tc>
          <w:tcPr>
            <w:tcW w:w="3261" w:type="dxa"/>
          </w:tcPr>
          <w:p w14:paraId="1DBCC713" w14:textId="77777777" w:rsidR="002E5034" w:rsidRPr="003E0B98" w:rsidRDefault="002E5034" w:rsidP="004361AC">
            <w:pPr>
              <w:pStyle w:val="Text"/>
              <w:spacing w:before="0"/>
              <w:jc w:val="left"/>
              <w:rPr>
                <w:color w:val="000000"/>
                <w:sz w:val="22"/>
                <w:szCs w:val="22"/>
                <w:lang w:val="en-GB" w:eastAsia="en-US"/>
              </w:rPr>
            </w:pPr>
            <w:r w:rsidRPr="003E0B98">
              <w:rPr>
                <w:i/>
                <w:color w:val="000000"/>
                <w:sz w:val="22"/>
                <w:szCs w:val="22"/>
                <w:lang w:val="es-ES" w:eastAsia="en-US"/>
              </w:rPr>
              <w:t>Muy frecuentes</w:t>
            </w:r>
          </w:p>
        </w:tc>
        <w:tc>
          <w:tcPr>
            <w:tcW w:w="6095" w:type="dxa"/>
          </w:tcPr>
          <w:p w14:paraId="6E2DE6A9" w14:textId="77777777" w:rsidR="002E5034" w:rsidRPr="003E0B98" w:rsidRDefault="002E5034" w:rsidP="004361AC">
            <w:pPr>
              <w:pStyle w:val="Text"/>
              <w:spacing w:before="0"/>
              <w:jc w:val="left"/>
              <w:rPr>
                <w:color w:val="000000"/>
                <w:sz w:val="22"/>
                <w:szCs w:val="22"/>
                <w:lang w:val="en-GB" w:eastAsia="en-US"/>
              </w:rPr>
            </w:pPr>
            <w:proofErr w:type="spellStart"/>
            <w:r w:rsidRPr="003E0B98">
              <w:rPr>
                <w:color w:val="000000"/>
                <w:sz w:val="22"/>
                <w:szCs w:val="22"/>
                <w:lang w:val="en-GB" w:eastAsia="en-US"/>
              </w:rPr>
              <w:t>Artralgia</w:t>
            </w:r>
            <w:proofErr w:type="spellEnd"/>
          </w:p>
        </w:tc>
      </w:tr>
      <w:tr w:rsidR="002E5034" w:rsidRPr="003E0B98" w14:paraId="5EC47ED1" w14:textId="77777777" w:rsidTr="004305B3">
        <w:tc>
          <w:tcPr>
            <w:tcW w:w="3261" w:type="dxa"/>
          </w:tcPr>
          <w:p w14:paraId="2650A6E2" w14:textId="77777777" w:rsidR="002E5034" w:rsidRPr="003E0B98" w:rsidRDefault="002E5034" w:rsidP="004361AC">
            <w:pPr>
              <w:tabs>
                <w:tab w:val="clear" w:pos="567"/>
              </w:tabs>
              <w:spacing w:line="240" w:lineRule="auto"/>
              <w:rPr>
                <w:color w:val="000000"/>
                <w:szCs w:val="22"/>
              </w:rPr>
            </w:pPr>
          </w:p>
        </w:tc>
        <w:tc>
          <w:tcPr>
            <w:tcW w:w="6095" w:type="dxa"/>
          </w:tcPr>
          <w:p w14:paraId="7F1EE1AC" w14:textId="77777777" w:rsidR="002E5034" w:rsidRPr="003E0B98" w:rsidRDefault="002E5034" w:rsidP="004361AC">
            <w:pPr>
              <w:tabs>
                <w:tab w:val="clear" w:pos="567"/>
              </w:tabs>
              <w:spacing w:line="240" w:lineRule="auto"/>
              <w:rPr>
                <w:color w:val="000000"/>
                <w:szCs w:val="22"/>
              </w:rPr>
            </w:pPr>
          </w:p>
        </w:tc>
      </w:tr>
      <w:tr w:rsidR="002E5034" w:rsidRPr="003E0B98" w14:paraId="0721C4A5" w14:textId="77777777" w:rsidTr="004305B3">
        <w:tc>
          <w:tcPr>
            <w:tcW w:w="3261" w:type="dxa"/>
          </w:tcPr>
          <w:p w14:paraId="3341F12B" w14:textId="77777777" w:rsidR="002E5034" w:rsidRPr="003E0B98" w:rsidRDefault="002E5034" w:rsidP="004361AC">
            <w:pPr>
              <w:keepNext/>
              <w:tabs>
                <w:tab w:val="clear" w:pos="567"/>
              </w:tabs>
              <w:spacing w:line="240" w:lineRule="auto"/>
              <w:rPr>
                <w:color w:val="000000"/>
                <w:szCs w:val="22"/>
              </w:rPr>
            </w:pPr>
            <w:proofErr w:type="spellStart"/>
            <w:r w:rsidRPr="003E0B98">
              <w:rPr>
                <w:color w:val="000000"/>
                <w:szCs w:val="22"/>
              </w:rPr>
              <w:t>Exploraciones</w:t>
            </w:r>
            <w:proofErr w:type="spellEnd"/>
            <w:r w:rsidRPr="003E0B98">
              <w:rPr>
                <w:color w:val="000000"/>
                <w:szCs w:val="22"/>
              </w:rPr>
              <w:t xml:space="preserve"> </w:t>
            </w:r>
            <w:proofErr w:type="spellStart"/>
            <w:r w:rsidRPr="003E0B98">
              <w:rPr>
                <w:color w:val="000000"/>
                <w:szCs w:val="22"/>
              </w:rPr>
              <w:t>complementarias</w:t>
            </w:r>
            <w:proofErr w:type="spellEnd"/>
          </w:p>
        </w:tc>
        <w:tc>
          <w:tcPr>
            <w:tcW w:w="6095" w:type="dxa"/>
          </w:tcPr>
          <w:p w14:paraId="03CDBEEA" w14:textId="77777777" w:rsidR="002E5034" w:rsidRPr="003E0B98" w:rsidRDefault="002E5034" w:rsidP="004361AC">
            <w:pPr>
              <w:keepNext/>
              <w:tabs>
                <w:tab w:val="clear" w:pos="567"/>
              </w:tabs>
              <w:spacing w:line="240" w:lineRule="auto"/>
              <w:rPr>
                <w:color w:val="000000"/>
                <w:szCs w:val="22"/>
              </w:rPr>
            </w:pPr>
          </w:p>
        </w:tc>
      </w:tr>
      <w:tr w:rsidR="002E5034" w:rsidRPr="003C169A" w14:paraId="12FAA036" w14:textId="77777777" w:rsidTr="004305B3">
        <w:tc>
          <w:tcPr>
            <w:tcW w:w="3261" w:type="dxa"/>
          </w:tcPr>
          <w:p w14:paraId="358192CF" w14:textId="77777777" w:rsidR="002E5034" w:rsidRPr="003E0B98" w:rsidRDefault="002E5034" w:rsidP="004361AC">
            <w:pPr>
              <w:keepNext/>
              <w:tabs>
                <w:tab w:val="clear" w:pos="567"/>
              </w:tabs>
              <w:spacing w:line="240" w:lineRule="auto"/>
              <w:rPr>
                <w:color w:val="000000"/>
                <w:szCs w:val="22"/>
              </w:rPr>
            </w:pPr>
            <w:r w:rsidRPr="003E0B98">
              <w:rPr>
                <w:i/>
                <w:color w:val="000000"/>
                <w:szCs w:val="22"/>
                <w:lang w:val="es-ES"/>
              </w:rPr>
              <w:t>Muy frecuentes</w:t>
            </w:r>
          </w:p>
        </w:tc>
        <w:tc>
          <w:tcPr>
            <w:tcW w:w="6095" w:type="dxa"/>
          </w:tcPr>
          <w:p w14:paraId="46E9D0C3" w14:textId="77777777" w:rsidR="002E5034" w:rsidRPr="003E0B98" w:rsidRDefault="002E5034" w:rsidP="004361AC">
            <w:pPr>
              <w:keepNext/>
              <w:tabs>
                <w:tab w:val="clear" w:pos="567"/>
              </w:tabs>
              <w:spacing w:line="240" w:lineRule="auto"/>
              <w:rPr>
                <w:color w:val="000000"/>
                <w:szCs w:val="22"/>
                <w:lang w:val="es-ES_tradnl"/>
              </w:rPr>
            </w:pPr>
            <w:r w:rsidRPr="003E0B98">
              <w:rPr>
                <w:color w:val="000000"/>
                <w:szCs w:val="22"/>
                <w:lang w:val="es-ES_tradnl"/>
              </w:rPr>
              <w:t>Aumento de la presión intraocular</w:t>
            </w:r>
          </w:p>
        </w:tc>
      </w:tr>
      <w:tr w:rsidR="002E5034" w:rsidRPr="00174177" w14:paraId="54BE024E" w14:textId="77777777" w:rsidTr="004305B3">
        <w:tc>
          <w:tcPr>
            <w:tcW w:w="9356" w:type="dxa"/>
            <w:gridSpan w:val="2"/>
          </w:tcPr>
          <w:p w14:paraId="33E0E327" w14:textId="77777777" w:rsidR="002E5034" w:rsidRPr="003E0B98" w:rsidRDefault="002E5034" w:rsidP="004361AC">
            <w:pPr>
              <w:tabs>
                <w:tab w:val="clear" w:pos="567"/>
              </w:tabs>
              <w:spacing w:line="240" w:lineRule="auto"/>
              <w:rPr>
                <w:color w:val="000000"/>
                <w:szCs w:val="22"/>
                <w:lang w:val="es-ES_tradnl"/>
              </w:rPr>
            </w:pPr>
            <w:r w:rsidRPr="003E0B98">
              <w:rPr>
                <w:color w:val="000000"/>
                <w:szCs w:val="22"/>
                <w:vertAlign w:val="superscript"/>
                <w:lang w:val="es-ES_tradnl"/>
              </w:rPr>
              <w:t>#</w:t>
            </w:r>
            <w:r w:rsidRPr="003E0B98">
              <w:rPr>
                <w:color w:val="000000"/>
                <w:szCs w:val="22"/>
                <w:u w:val="single"/>
                <w:vertAlign w:val="superscript"/>
                <w:lang w:val="es-ES_tradnl"/>
              </w:rPr>
              <w:t xml:space="preserve"> </w:t>
            </w:r>
            <w:r w:rsidRPr="003E0B98">
              <w:rPr>
                <w:color w:val="000000"/>
                <w:szCs w:val="22"/>
                <w:lang w:val="es-ES_tradnl"/>
              </w:rPr>
              <w:t xml:space="preserve">Las reacciones adversas se definieron como acontecimientos adversos (en al menos 0,5 puntos porcentuales de pacientes) que ocurrieron con una frecuencia superior (como mínimo 2 puntos porcentuales) en los pacientes que recibieron el tratamiento con </w:t>
            </w:r>
            <w:proofErr w:type="spellStart"/>
            <w:r w:rsidRPr="003E0B98">
              <w:rPr>
                <w:color w:val="000000"/>
                <w:szCs w:val="22"/>
                <w:lang w:val="es-ES_tradnl"/>
              </w:rPr>
              <w:t>Lucentis</w:t>
            </w:r>
            <w:proofErr w:type="spellEnd"/>
            <w:r w:rsidRPr="003E0B98">
              <w:rPr>
                <w:color w:val="000000"/>
                <w:szCs w:val="22"/>
                <w:lang w:val="es-ES_tradnl"/>
              </w:rPr>
              <w:t xml:space="preserve"> 0,5 mg respecto a los que recibieron el tratamiento control (tratamiento simulado (</w:t>
            </w:r>
            <w:proofErr w:type="spellStart"/>
            <w:r w:rsidRPr="003E0B98">
              <w:rPr>
                <w:i/>
                <w:iCs/>
                <w:color w:val="000000"/>
                <w:szCs w:val="22"/>
                <w:lang w:val="es-ES_tradnl"/>
              </w:rPr>
              <w:t>sham</w:t>
            </w:r>
            <w:proofErr w:type="spellEnd"/>
            <w:r w:rsidRPr="003E0B98">
              <w:rPr>
                <w:i/>
                <w:iCs/>
                <w:color w:val="000000"/>
                <w:szCs w:val="22"/>
                <w:lang w:val="es-ES_tradnl"/>
              </w:rPr>
              <w:t>)</w:t>
            </w:r>
            <w:r w:rsidRPr="003E0B98">
              <w:rPr>
                <w:color w:val="000000"/>
                <w:szCs w:val="22"/>
                <w:lang w:val="es-ES_tradnl"/>
              </w:rPr>
              <w:t xml:space="preserve"> o TFD con </w:t>
            </w:r>
            <w:proofErr w:type="spellStart"/>
            <w:r w:rsidRPr="003E0B98">
              <w:rPr>
                <w:color w:val="000000"/>
                <w:szCs w:val="22"/>
                <w:lang w:val="es-ES_tradnl"/>
              </w:rPr>
              <w:t>verteporfina</w:t>
            </w:r>
            <w:proofErr w:type="spellEnd"/>
            <w:r w:rsidRPr="003E0B98">
              <w:rPr>
                <w:color w:val="000000"/>
                <w:szCs w:val="22"/>
                <w:lang w:val="es-ES_tradnl"/>
              </w:rPr>
              <w:t>).</w:t>
            </w:r>
          </w:p>
          <w:p w14:paraId="55771719" w14:textId="77777777" w:rsidR="002E5034" w:rsidRPr="003E0B98" w:rsidRDefault="002E5034" w:rsidP="004361AC">
            <w:pPr>
              <w:tabs>
                <w:tab w:val="clear" w:pos="567"/>
              </w:tabs>
              <w:spacing w:line="240" w:lineRule="auto"/>
              <w:rPr>
                <w:color w:val="000000"/>
                <w:szCs w:val="22"/>
                <w:lang w:val="es-ES_tradnl"/>
              </w:rPr>
            </w:pPr>
            <w:r w:rsidRPr="003E0B98">
              <w:rPr>
                <w:color w:val="000000"/>
                <w:szCs w:val="22"/>
                <w:lang w:val="es-ES_tradnl"/>
              </w:rPr>
              <w:t>* observado sólo en población con EMD</w:t>
            </w:r>
          </w:p>
        </w:tc>
      </w:tr>
    </w:tbl>
    <w:p w14:paraId="186B5D94" w14:textId="77777777" w:rsidR="002E5034" w:rsidRPr="003E0B98" w:rsidRDefault="002E5034" w:rsidP="004361AC">
      <w:pPr>
        <w:tabs>
          <w:tab w:val="clear" w:pos="567"/>
        </w:tabs>
        <w:spacing w:line="240" w:lineRule="auto"/>
        <w:rPr>
          <w:color w:val="000000"/>
          <w:szCs w:val="22"/>
          <w:lang w:val="es-ES_tradnl"/>
        </w:rPr>
      </w:pPr>
    </w:p>
    <w:p w14:paraId="69F1B82D" w14:textId="77777777" w:rsidR="002E5034" w:rsidRPr="003E0B98" w:rsidRDefault="002E5034" w:rsidP="004361AC">
      <w:pPr>
        <w:keepNext/>
        <w:tabs>
          <w:tab w:val="clear" w:pos="567"/>
        </w:tabs>
        <w:spacing w:line="240" w:lineRule="auto"/>
        <w:rPr>
          <w:color w:val="000000"/>
          <w:szCs w:val="22"/>
          <w:lang w:val="es-ES_tradnl"/>
        </w:rPr>
      </w:pPr>
      <w:r w:rsidRPr="003E0B98">
        <w:rPr>
          <w:color w:val="000000"/>
          <w:szCs w:val="22"/>
          <w:u w:val="single"/>
          <w:lang w:val="es-ES_tradnl"/>
        </w:rPr>
        <w:t>Reacciones adversas de clase terapéutica</w:t>
      </w:r>
    </w:p>
    <w:p w14:paraId="79338623" w14:textId="77777777" w:rsidR="009E146B" w:rsidRPr="003E0B98" w:rsidRDefault="009E146B" w:rsidP="004361AC">
      <w:pPr>
        <w:keepNext/>
        <w:tabs>
          <w:tab w:val="clear" w:pos="567"/>
        </w:tabs>
        <w:spacing w:line="240" w:lineRule="auto"/>
        <w:rPr>
          <w:color w:val="000000"/>
          <w:szCs w:val="22"/>
          <w:lang w:val="es-ES_tradnl"/>
        </w:rPr>
      </w:pPr>
    </w:p>
    <w:p w14:paraId="48ADED37" w14:textId="6468B4C5" w:rsidR="002E5034" w:rsidRPr="003E0B98" w:rsidRDefault="002E5034" w:rsidP="004361AC">
      <w:pPr>
        <w:tabs>
          <w:tab w:val="clear" w:pos="567"/>
        </w:tabs>
        <w:spacing w:line="240" w:lineRule="auto"/>
        <w:rPr>
          <w:color w:val="000000"/>
          <w:szCs w:val="22"/>
          <w:lang w:val="es-ES_tradnl"/>
        </w:rPr>
      </w:pPr>
      <w:r w:rsidRPr="003E0B98">
        <w:rPr>
          <w:color w:val="000000"/>
          <w:szCs w:val="22"/>
          <w:lang w:val="es-ES_tradnl"/>
        </w:rPr>
        <w:t>En los ensayos fase III en DMAE exudativa, la frecuencia global de hemorragias no oculares, un efecto adverso potencialmente relacionado con la inhibición sistémica del VEGF (</w:t>
      </w:r>
      <w:r w:rsidRPr="003E0B98">
        <w:rPr>
          <w:color w:val="000000"/>
          <w:lang w:val="es-ES"/>
        </w:rPr>
        <w:t>factor de crecimiento endotelial vascular)</w:t>
      </w:r>
      <w:r w:rsidRPr="003E0B98">
        <w:rPr>
          <w:color w:val="000000"/>
          <w:szCs w:val="22"/>
          <w:lang w:val="es-ES_tradnl"/>
        </w:rPr>
        <w:t xml:space="preserve">, fue ligeramente superior en los pacientes tratados con </w:t>
      </w:r>
      <w:proofErr w:type="spellStart"/>
      <w:r w:rsidRPr="003E0B98">
        <w:rPr>
          <w:color w:val="000000"/>
          <w:szCs w:val="22"/>
          <w:lang w:val="es-ES_tradnl"/>
        </w:rPr>
        <w:t>ranibizumab</w:t>
      </w:r>
      <w:proofErr w:type="spellEnd"/>
      <w:r w:rsidRPr="003E0B98">
        <w:rPr>
          <w:color w:val="000000"/>
          <w:szCs w:val="22"/>
          <w:lang w:val="es-ES_tradnl"/>
        </w:rPr>
        <w:t xml:space="preserve">. Sin embargo, no hubo un patrón consistente entre las distintas hemorragias. Tras el uso intravítreo de inhibidores del VEGF existe un riesgo teórico de acontecimientos tromboembólicos arteriales, incluyendo accidente cerebrovascular e infarto de miocardio. En los </w:t>
      </w:r>
      <w:r w:rsidR="0030432C">
        <w:rPr>
          <w:color w:val="000000"/>
          <w:szCs w:val="22"/>
          <w:lang w:val="es-ES_tradnl"/>
        </w:rPr>
        <w:t>estudios</w:t>
      </w:r>
      <w:r w:rsidR="0030432C" w:rsidRPr="003E0B98">
        <w:rPr>
          <w:color w:val="000000"/>
          <w:szCs w:val="22"/>
          <w:lang w:val="es-ES_tradnl"/>
        </w:rPr>
        <w:t xml:space="preserve"> </w:t>
      </w:r>
      <w:r w:rsidRPr="003E0B98">
        <w:rPr>
          <w:color w:val="000000"/>
          <w:szCs w:val="22"/>
          <w:lang w:val="es-ES_tradnl"/>
        </w:rPr>
        <w:t xml:space="preserve">clínicos con </w:t>
      </w:r>
      <w:proofErr w:type="spellStart"/>
      <w:r w:rsidRPr="003E0B98">
        <w:rPr>
          <w:color w:val="000000"/>
          <w:szCs w:val="22"/>
          <w:lang w:val="es-ES_tradnl"/>
        </w:rPr>
        <w:t>Lucentis</w:t>
      </w:r>
      <w:proofErr w:type="spellEnd"/>
      <w:r w:rsidRPr="003E0B98">
        <w:rPr>
          <w:color w:val="000000"/>
          <w:szCs w:val="22"/>
          <w:lang w:val="es-ES_tradnl"/>
        </w:rPr>
        <w:t xml:space="preserve"> se observó una incidencia baja de acontecimientos tromboembólicos arteriales en pacientes con DMAE, </w:t>
      </w:r>
      <w:r w:rsidR="00B95E93" w:rsidRPr="003E0B98">
        <w:rPr>
          <w:color w:val="000000"/>
          <w:szCs w:val="22"/>
          <w:lang w:val="es-ES_tradnl"/>
        </w:rPr>
        <w:t xml:space="preserve">EMD, RDP, OVR y </w:t>
      </w:r>
      <w:r w:rsidR="0014515E" w:rsidRPr="003E0B98">
        <w:rPr>
          <w:color w:val="000000"/>
          <w:szCs w:val="22"/>
          <w:lang w:val="es-ES_tradnl"/>
        </w:rPr>
        <w:t>NVC</w:t>
      </w:r>
      <w:r w:rsidRPr="003E0B98">
        <w:rPr>
          <w:color w:val="000000"/>
          <w:szCs w:val="22"/>
          <w:lang w:val="es-ES_tradnl"/>
        </w:rPr>
        <w:t xml:space="preserve"> y no hubo ninguna diferencia destacable entre los grupos tratados con </w:t>
      </w:r>
      <w:proofErr w:type="spellStart"/>
      <w:r w:rsidRPr="003E0B98">
        <w:rPr>
          <w:color w:val="000000"/>
          <w:szCs w:val="22"/>
          <w:lang w:val="es-ES_tradnl"/>
        </w:rPr>
        <w:t>ranibizumab</w:t>
      </w:r>
      <w:proofErr w:type="spellEnd"/>
      <w:r w:rsidRPr="003E0B98">
        <w:rPr>
          <w:color w:val="000000"/>
          <w:szCs w:val="22"/>
          <w:lang w:val="es-ES_tradnl"/>
        </w:rPr>
        <w:t xml:space="preserve"> comparado con el control.</w:t>
      </w:r>
    </w:p>
    <w:p w14:paraId="5372449A" w14:textId="77777777" w:rsidR="002E5034" w:rsidRPr="003E0B98" w:rsidRDefault="002E5034" w:rsidP="004361AC">
      <w:pPr>
        <w:tabs>
          <w:tab w:val="clear" w:pos="567"/>
        </w:tabs>
        <w:spacing w:line="240" w:lineRule="auto"/>
        <w:rPr>
          <w:color w:val="000000"/>
          <w:szCs w:val="22"/>
          <w:lang w:val="es-ES_tradnl"/>
        </w:rPr>
      </w:pPr>
    </w:p>
    <w:p w14:paraId="61BE97D1" w14:textId="77777777" w:rsidR="00C2616C" w:rsidRPr="003E0B98" w:rsidRDefault="00C2616C" w:rsidP="004361AC">
      <w:pPr>
        <w:keepNext/>
        <w:tabs>
          <w:tab w:val="clear" w:pos="567"/>
        </w:tabs>
        <w:spacing w:line="240" w:lineRule="auto"/>
        <w:rPr>
          <w:color w:val="000000"/>
          <w:szCs w:val="22"/>
          <w:u w:val="single"/>
          <w:lang w:val="es-ES_tradnl"/>
        </w:rPr>
      </w:pPr>
      <w:r w:rsidRPr="003E0B98">
        <w:rPr>
          <w:color w:val="000000"/>
          <w:szCs w:val="22"/>
          <w:u w:val="single"/>
          <w:lang w:val="es-ES_tradnl"/>
        </w:rPr>
        <w:t>Población pediátrica</w:t>
      </w:r>
    </w:p>
    <w:p w14:paraId="67D31EE4" w14:textId="77777777" w:rsidR="00CA1DA3" w:rsidRPr="003E0B98" w:rsidRDefault="00CA1DA3" w:rsidP="004361AC">
      <w:pPr>
        <w:keepNext/>
        <w:tabs>
          <w:tab w:val="clear" w:pos="567"/>
        </w:tabs>
        <w:spacing w:line="240" w:lineRule="auto"/>
        <w:rPr>
          <w:color w:val="000000"/>
          <w:szCs w:val="22"/>
          <w:lang w:val="es-ES"/>
        </w:rPr>
      </w:pPr>
    </w:p>
    <w:p w14:paraId="555F3B16" w14:textId="257BA4FC" w:rsidR="0030432C" w:rsidRDefault="00C2616C" w:rsidP="004361AC">
      <w:pPr>
        <w:tabs>
          <w:tab w:val="clear" w:pos="567"/>
        </w:tabs>
        <w:spacing w:line="240" w:lineRule="auto"/>
        <w:rPr>
          <w:color w:val="000000"/>
          <w:szCs w:val="22"/>
          <w:lang w:val="es-ES"/>
        </w:rPr>
      </w:pPr>
      <w:r w:rsidRPr="003E0B98">
        <w:rPr>
          <w:color w:val="000000"/>
          <w:szCs w:val="22"/>
          <w:lang w:val="es-ES"/>
        </w:rPr>
        <w:t xml:space="preserve">La seguridad de </w:t>
      </w:r>
      <w:r w:rsidR="00450AD7" w:rsidRPr="003E0B98">
        <w:rPr>
          <w:color w:val="000000"/>
          <w:szCs w:val="22"/>
          <w:lang w:val="es-ES"/>
        </w:rPr>
        <w:t xml:space="preserve">0,2 mg de </w:t>
      </w:r>
      <w:proofErr w:type="spellStart"/>
      <w:r w:rsidRPr="003E0B98">
        <w:rPr>
          <w:color w:val="000000"/>
          <w:szCs w:val="22"/>
          <w:lang w:val="es-ES"/>
        </w:rPr>
        <w:t>Lucentis</w:t>
      </w:r>
      <w:proofErr w:type="spellEnd"/>
      <w:r w:rsidRPr="003E0B98">
        <w:rPr>
          <w:color w:val="000000"/>
          <w:szCs w:val="22"/>
          <w:lang w:val="es-ES"/>
        </w:rPr>
        <w:t xml:space="preserve"> se estudió en un </w:t>
      </w:r>
      <w:r w:rsidR="0030432C">
        <w:rPr>
          <w:color w:val="000000"/>
          <w:szCs w:val="22"/>
          <w:lang w:val="es-ES"/>
        </w:rPr>
        <w:t>estudio</w:t>
      </w:r>
      <w:r w:rsidR="0030432C" w:rsidRPr="003E0B98">
        <w:rPr>
          <w:color w:val="000000"/>
          <w:szCs w:val="22"/>
          <w:lang w:val="es-ES"/>
        </w:rPr>
        <w:t xml:space="preserve"> </w:t>
      </w:r>
      <w:r w:rsidRPr="003E0B98">
        <w:rPr>
          <w:color w:val="000000"/>
          <w:szCs w:val="22"/>
          <w:lang w:val="es-ES"/>
        </w:rPr>
        <w:t>clínico de 6</w:t>
      </w:r>
      <w:r w:rsidR="00707E0E">
        <w:rPr>
          <w:color w:val="000000"/>
          <w:szCs w:val="22"/>
          <w:lang w:val="es-ES"/>
        </w:rPr>
        <w:t> </w:t>
      </w:r>
      <w:r w:rsidRPr="003E0B98">
        <w:rPr>
          <w:color w:val="000000"/>
          <w:szCs w:val="22"/>
          <w:lang w:val="es-ES"/>
        </w:rPr>
        <w:t>meses</w:t>
      </w:r>
      <w:r w:rsidR="00E8176D">
        <w:rPr>
          <w:color w:val="000000"/>
          <w:szCs w:val="22"/>
          <w:lang w:val="es-ES"/>
        </w:rPr>
        <w:t xml:space="preserve"> de duración</w:t>
      </w:r>
      <w:r w:rsidRPr="003E0B98">
        <w:rPr>
          <w:color w:val="000000"/>
          <w:szCs w:val="22"/>
          <w:lang w:val="es-ES"/>
        </w:rPr>
        <w:t xml:space="preserve"> (RAINBOW), que incluyó 73 recién nacidos </w:t>
      </w:r>
      <w:r w:rsidR="003400BD" w:rsidRPr="003E0B98">
        <w:rPr>
          <w:color w:val="000000"/>
          <w:szCs w:val="22"/>
          <w:lang w:val="es-ES"/>
        </w:rPr>
        <w:t>pretérmino</w:t>
      </w:r>
      <w:r w:rsidRPr="003E0B98">
        <w:rPr>
          <w:color w:val="000000"/>
          <w:szCs w:val="22"/>
          <w:lang w:val="es-ES"/>
        </w:rPr>
        <w:t xml:space="preserve"> con </w:t>
      </w:r>
      <w:r w:rsidR="00153893" w:rsidRPr="003E0B98">
        <w:rPr>
          <w:color w:val="000000"/>
          <w:szCs w:val="22"/>
          <w:lang w:val="es-ES"/>
        </w:rPr>
        <w:t>R</w:t>
      </w:r>
      <w:r w:rsidR="00714C3D" w:rsidRPr="003E0B98">
        <w:rPr>
          <w:color w:val="000000"/>
          <w:szCs w:val="22"/>
          <w:lang w:val="es-ES"/>
        </w:rPr>
        <w:t>O</w:t>
      </w:r>
      <w:r w:rsidR="00153893" w:rsidRPr="003E0B98">
        <w:rPr>
          <w:color w:val="000000"/>
          <w:szCs w:val="22"/>
          <w:lang w:val="es-ES"/>
        </w:rPr>
        <w:t>P</w:t>
      </w:r>
      <w:r w:rsidRPr="003E0B98">
        <w:rPr>
          <w:color w:val="000000"/>
          <w:szCs w:val="22"/>
          <w:lang w:val="es-ES"/>
        </w:rPr>
        <w:t xml:space="preserve"> tratados con </w:t>
      </w:r>
      <w:r w:rsidR="00CA1DA3" w:rsidRPr="003E0B98">
        <w:rPr>
          <w:color w:val="000000"/>
          <w:szCs w:val="22"/>
          <w:lang w:val="es-ES"/>
        </w:rPr>
        <w:t xml:space="preserve">0,2 mg de </w:t>
      </w:r>
      <w:proofErr w:type="spellStart"/>
      <w:r w:rsidRPr="003E0B98">
        <w:rPr>
          <w:color w:val="000000"/>
          <w:szCs w:val="22"/>
          <w:lang w:val="es-ES"/>
        </w:rPr>
        <w:t>ranibizumab</w:t>
      </w:r>
      <w:proofErr w:type="spellEnd"/>
      <w:r w:rsidRPr="003E0B98">
        <w:rPr>
          <w:color w:val="000000"/>
          <w:szCs w:val="22"/>
          <w:lang w:val="es-ES"/>
        </w:rPr>
        <w:t xml:space="preserve"> (ver sección 5.1). Las reacciones adversas oculares </w:t>
      </w:r>
      <w:r w:rsidR="00A86BA4" w:rsidRPr="003E0B98">
        <w:rPr>
          <w:color w:val="000000"/>
          <w:szCs w:val="22"/>
          <w:lang w:val="es-ES"/>
        </w:rPr>
        <w:t>notificadas</w:t>
      </w:r>
      <w:r w:rsidRPr="003E0B98">
        <w:rPr>
          <w:color w:val="000000"/>
          <w:szCs w:val="22"/>
          <w:lang w:val="es-ES"/>
        </w:rPr>
        <w:t xml:space="preserve"> en más de un paciente tratado con </w:t>
      </w:r>
      <w:r w:rsidR="00CA1DA3" w:rsidRPr="003E0B98">
        <w:rPr>
          <w:color w:val="000000"/>
          <w:szCs w:val="22"/>
          <w:lang w:val="es-ES"/>
        </w:rPr>
        <w:t xml:space="preserve">0,2 mg de </w:t>
      </w:r>
      <w:proofErr w:type="spellStart"/>
      <w:r w:rsidRPr="003E0B98">
        <w:rPr>
          <w:color w:val="000000"/>
          <w:szCs w:val="22"/>
          <w:lang w:val="es-ES"/>
        </w:rPr>
        <w:t>ranibizumab</w:t>
      </w:r>
      <w:proofErr w:type="spellEnd"/>
      <w:r w:rsidRPr="003E0B98">
        <w:rPr>
          <w:color w:val="000000"/>
          <w:szCs w:val="22"/>
          <w:lang w:val="es-ES"/>
        </w:rPr>
        <w:t xml:space="preserve"> fueron hemorragia retiniana y hemorragia conjuntival. Las reacciones adversas no oculares </w:t>
      </w:r>
      <w:r w:rsidR="00450AD7" w:rsidRPr="003E0B98">
        <w:rPr>
          <w:color w:val="000000"/>
          <w:szCs w:val="22"/>
          <w:lang w:val="es-ES"/>
        </w:rPr>
        <w:t>notificadas</w:t>
      </w:r>
      <w:r w:rsidRPr="003E0B98">
        <w:rPr>
          <w:color w:val="000000"/>
          <w:szCs w:val="22"/>
          <w:lang w:val="es-ES"/>
        </w:rPr>
        <w:t xml:space="preserve"> en más de un pacie</w:t>
      </w:r>
      <w:r w:rsidR="00450AD7" w:rsidRPr="003E0B98">
        <w:rPr>
          <w:color w:val="000000"/>
          <w:szCs w:val="22"/>
          <w:lang w:val="es-ES"/>
        </w:rPr>
        <w:t xml:space="preserve">nte tratado con </w:t>
      </w:r>
      <w:r w:rsidR="00CA1DA3" w:rsidRPr="003E0B98">
        <w:rPr>
          <w:color w:val="000000"/>
          <w:szCs w:val="22"/>
          <w:lang w:val="es-ES"/>
        </w:rPr>
        <w:t xml:space="preserve">0,2 mg de </w:t>
      </w:r>
      <w:proofErr w:type="spellStart"/>
      <w:r w:rsidR="00450AD7" w:rsidRPr="003E0B98">
        <w:rPr>
          <w:color w:val="000000"/>
          <w:szCs w:val="22"/>
          <w:lang w:val="es-ES"/>
        </w:rPr>
        <w:t>ranibizumab</w:t>
      </w:r>
      <w:proofErr w:type="spellEnd"/>
      <w:r w:rsidR="00450AD7" w:rsidRPr="003E0B98">
        <w:rPr>
          <w:color w:val="000000"/>
          <w:szCs w:val="22"/>
          <w:lang w:val="es-ES"/>
        </w:rPr>
        <w:t xml:space="preserve"> </w:t>
      </w:r>
      <w:r w:rsidRPr="003E0B98">
        <w:rPr>
          <w:color w:val="000000"/>
          <w:szCs w:val="22"/>
          <w:lang w:val="es-ES"/>
        </w:rPr>
        <w:t xml:space="preserve">fueron nasofaringitis, anemia, tos, infección del tracto urinario y reacciones alérgicas. Las reacciones adversas establecidas para </w:t>
      </w:r>
      <w:r w:rsidR="00CA1DA3" w:rsidRPr="003E0B98">
        <w:rPr>
          <w:color w:val="000000"/>
          <w:szCs w:val="22"/>
          <w:lang w:val="es-ES"/>
        </w:rPr>
        <w:t xml:space="preserve">las </w:t>
      </w:r>
      <w:r w:rsidRPr="003E0B98">
        <w:rPr>
          <w:color w:val="000000"/>
          <w:szCs w:val="22"/>
          <w:lang w:val="es-ES"/>
        </w:rPr>
        <w:t xml:space="preserve">indicaciones en adultos se consideran aplicables a los recién nacidos </w:t>
      </w:r>
      <w:r w:rsidR="003400BD" w:rsidRPr="003E0B98">
        <w:rPr>
          <w:color w:val="000000"/>
          <w:szCs w:val="22"/>
          <w:lang w:val="es-ES"/>
        </w:rPr>
        <w:t>pretérmino</w:t>
      </w:r>
      <w:r w:rsidR="00450AD7" w:rsidRPr="003E0B98">
        <w:rPr>
          <w:color w:val="000000"/>
          <w:szCs w:val="22"/>
          <w:lang w:val="es-ES"/>
        </w:rPr>
        <w:t xml:space="preserve"> con </w:t>
      </w:r>
      <w:r w:rsidR="00153893" w:rsidRPr="003E0B98">
        <w:rPr>
          <w:color w:val="000000"/>
          <w:szCs w:val="22"/>
          <w:lang w:val="es-ES"/>
        </w:rPr>
        <w:t>R</w:t>
      </w:r>
      <w:r w:rsidR="00714C3D" w:rsidRPr="003E0B98">
        <w:rPr>
          <w:color w:val="000000"/>
          <w:szCs w:val="22"/>
          <w:lang w:val="es-ES"/>
        </w:rPr>
        <w:t>O</w:t>
      </w:r>
      <w:r w:rsidR="00153893" w:rsidRPr="003E0B98">
        <w:rPr>
          <w:color w:val="000000"/>
          <w:szCs w:val="22"/>
          <w:lang w:val="es-ES"/>
        </w:rPr>
        <w:t>P</w:t>
      </w:r>
      <w:r w:rsidR="00450AD7" w:rsidRPr="003E0B98">
        <w:rPr>
          <w:color w:val="000000"/>
          <w:szCs w:val="22"/>
          <w:lang w:val="es-ES"/>
        </w:rPr>
        <w:t>, aunque no toda</w:t>
      </w:r>
      <w:r w:rsidRPr="003E0B98">
        <w:rPr>
          <w:color w:val="000000"/>
          <w:szCs w:val="22"/>
          <w:lang w:val="es-ES"/>
        </w:rPr>
        <w:t xml:space="preserve">s se observaron en el </w:t>
      </w:r>
      <w:r w:rsidR="0030432C">
        <w:rPr>
          <w:color w:val="000000"/>
          <w:szCs w:val="22"/>
          <w:lang w:val="es-ES"/>
        </w:rPr>
        <w:t>estudio</w:t>
      </w:r>
      <w:r w:rsidR="0030432C" w:rsidRPr="003E0B98">
        <w:rPr>
          <w:color w:val="000000"/>
          <w:szCs w:val="22"/>
          <w:lang w:val="es-ES"/>
        </w:rPr>
        <w:t xml:space="preserve"> </w:t>
      </w:r>
      <w:r w:rsidRPr="003E0B98">
        <w:rPr>
          <w:color w:val="000000"/>
          <w:szCs w:val="22"/>
          <w:lang w:val="es-ES"/>
        </w:rPr>
        <w:t>RAINBOW.</w:t>
      </w:r>
    </w:p>
    <w:p w14:paraId="5EADBB59" w14:textId="77777777" w:rsidR="0030432C" w:rsidRDefault="0030432C" w:rsidP="004361AC">
      <w:pPr>
        <w:tabs>
          <w:tab w:val="clear" w:pos="567"/>
        </w:tabs>
        <w:spacing w:line="240" w:lineRule="auto"/>
        <w:rPr>
          <w:color w:val="000000"/>
          <w:szCs w:val="22"/>
          <w:lang w:val="es-ES"/>
        </w:rPr>
      </w:pPr>
    </w:p>
    <w:p w14:paraId="2954F53C" w14:textId="621AA186" w:rsidR="00C2616C" w:rsidRPr="0030432C" w:rsidRDefault="00D83319" w:rsidP="004361AC">
      <w:pPr>
        <w:tabs>
          <w:tab w:val="clear" w:pos="567"/>
        </w:tabs>
        <w:spacing w:line="240" w:lineRule="auto"/>
        <w:rPr>
          <w:color w:val="000000"/>
          <w:szCs w:val="22"/>
          <w:lang w:val="es-ES"/>
        </w:rPr>
      </w:pPr>
      <w:r w:rsidRPr="003E0B98">
        <w:rPr>
          <w:color w:val="000000"/>
          <w:szCs w:val="22"/>
          <w:lang w:val="es-ES"/>
        </w:rPr>
        <w:t xml:space="preserve">La seguridad a largo plazo en recién nacidos pretérmino con ROP se ha estudiado </w:t>
      </w:r>
      <w:r w:rsidR="0030432C" w:rsidRPr="0030432C">
        <w:rPr>
          <w:color w:val="000000"/>
          <w:szCs w:val="22"/>
          <w:lang w:val="es-ES"/>
        </w:rPr>
        <w:t>hasta la edad de cinco años</w:t>
      </w:r>
      <w:r w:rsidRPr="003E0B98">
        <w:rPr>
          <w:color w:val="000000"/>
          <w:szCs w:val="22"/>
          <w:lang w:val="es-ES"/>
        </w:rPr>
        <w:t xml:space="preserve"> en el </w:t>
      </w:r>
      <w:r w:rsidR="0030432C">
        <w:rPr>
          <w:color w:val="000000"/>
          <w:szCs w:val="22"/>
          <w:lang w:val="es-ES"/>
        </w:rPr>
        <w:t>estudio</w:t>
      </w:r>
      <w:r w:rsidRPr="003E0B98">
        <w:rPr>
          <w:color w:val="000000"/>
          <w:szCs w:val="22"/>
          <w:lang w:val="es-ES"/>
        </w:rPr>
        <w:t xml:space="preserve"> de extensión RAINBOW y no mostró nuevas señales de seguridad. </w:t>
      </w:r>
      <w:r w:rsidR="0030432C" w:rsidRPr="0030432C">
        <w:rPr>
          <w:color w:val="000000"/>
          <w:szCs w:val="22"/>
          <w:lang w:val="es-ES"/>
        </w:rPr>
        <w:t xml:space="preserve">El perfil de seguridad de </w:t>
      </w:r>
      <w:proofErr w:type="spellStart"/>
      <w:r w:rsidR="0030432C" w:rsidRPr="0030432C">
        <w:rPr>
          <w:color w:val="000000"/>
          <w:szCs w:val="22"/>
          <w:lang w:val="es-ES"/>
        </w:rPr>
        <w:t>ranibizumab</w:t>
      </w:r>
      <w:proofErr w:type="spellEnd"/>
      <w:r w:rsidR="0030432C" w:rsidRPr="0030432C">
        <w:rPr>
          <w:color w:val="000000"/>
          <w:szCs w:val="22"/>
          <w:lang w:val="es-ES"/>
        </w:rPr>
        <w:t xml:space="preserve"> 0,2</w:t>
      </w:r>
      <w:r w:rsidR="0030432C">
        <w:rPr>
          <w:color w:val="000000"/>
          <w:szCs w:val="22"/>
          <w:lang w:val="es-ES"/>
        </w:rPr>
        <w:t> </w:t>
      </w:r>
      <w:r w:rsidR="0030432C" w:rsidRPr="0030432C">
        <w:rPr>
          <w:color w:val="000000"/>
          <w:szCs w:val="22"/>
          <w:lang w:val="es-ES"/>
        </w:rPr>
        <w:t xml:space="preserve">mg durante el estudio de extensión fue consistente con el observado en el </w:t>
      </w:r>
      <w:r w:rsidR="0030432C" w:rsidRPr="008A0C7B">
        <w:rPr>
          <w:color w:val="000000"/>
          <w:szCs w:val="22"/>
          <w:lang w:val="es-ES"/>
        </w:rPr>
        <w:t xml:space="preserve">estudio </w:t>
      </w:r>
      <w:proofErr w:type="spellStart"/>
      <w:r w:rsidR="0030432C" w:rsidRPr="008A0C7B">
        <w:rPr>
          <w:color w:val="000000"/>
          <w:szCs w:val="22"/>
          <w:lang w:val="es-ES"/>
        </w:rPr>
        <w:t>p</w:t>
      </w:r>
      <w:r w:rsidR="00160989" w:rsidRPr="008A0C7B">
        <w:rPr>
          <w:color w:val="000000"/>
          <w:szCs w:val="22"/>
          <w:lang w:val="es-ES"/>
        </w:rPr>
        <w:t>ivot</w:t>
      </w:r>
      <w:r w:rsidR="0030432C" w:rsidRPr="008A0C7B">
        <w:rPr>
          <w:color w:val="000000"/>
          <w:szCs w:val="22"/>
          <w:lang w:val="es-ES"/>
        </w:rPr>
        <w:t>al</w:t>
      </w:r>
      <w:proofErr w:type="spellEnd"/>
      <w:r w:rsidR="0030432C" w:rsidRPr="008A0C7B">
        <w:rPr>
          <w:color w:val="000000"/>
          <w:szCs w:val="22"/>
          <w:lang w:val="es-ES"/>
        </w:rPr>
        <w:t xml:space="preserve"> a</w:t>
      </w:r>
      <w:r w:rsidR="0030432C" w:rsidRPr="0030432C">
        <w:rPr>
          <w:color w:val="000000"/>
          <w:szCs w:val="22"/>
          <w:lang w:val="es-ES"/>
        </w:rPr>
        <w:t xml:space="preserve"> las 24</w:t>
      </w:r>
      <w:r w:rsidR="0030432C">
        <w:rPr>
          <w:color w:val="000000"/>
          <w:szCs w:val="22"/>
          <w:lang w:val="es-ES"/>
        </w:rPr>
        <w:t> </w:t>
      </w:r>
      <w:r w:rsidR="0030432C" w:rsidRPr="0030432C">
        <w:rPr>
          <w:color w:val="000000"/>
          <w:szCs w:val="22"/>
          <w:lang w:val="es-ES"/>
        </w:rPr>
        <w:t>semanas.</w:t>
      </w:r>
    </w:p>
    <w:p w14:paraId="3B50C18F" w14:textId="77777777" w:rsidR="00C2616C" w:rsidRPr="003E0B98" w:rsidRDefault="00C2616C" w:rsidP="004361AC">
      <w:pPr>
        <w:tabs>
          <w:tab w:val="clear" w:pos="567"/>
        </w:tabs>
        <w:spacing w:line="240" w:lineRule="auto"/>
        <w:rPr>
          <w:color w:val="000000"/>
          <w:szCs w:val="22"/>
          <w:lang w:val="es-ES"/>
        </w:rPr>
      </w:pPr>
    </w:p>
    <w:p w14:paraId="241E5EB9" w14:textId="77777777" w:rsidR="002E5034" w:rsidRPr="003E0B98" w:rsidRDefault="002E5034" w:rsidP="004361AC">
      <w:pPr>
        <w:keepNext/>
        <w:spacing w:line="240" w:lineRule="auto"/>
        <w:rPr>
          <w:szCs w:val="24"/>
          <w:u w:val="single"/>
          <w:lang w:val="es-ES_tradnl"/>
        </w:rPr>
      </w:pPr>
      <w:r w:rsidRPr="003E0B98">
        <w:rPr>
          <w:szCs w:val="24"/>
          <w:u w:val="single"/>
          <w:lang w:val="es-ES_tradnl"/>
        </w:rPr>
        <w:t>Notificación de sospechas de reacciones adversas</w:t>
      </w:r>
    </w:p>
    <w:p w14:paraId="3C249588" w14:textId="77777777" w:rsidR="009E146B" w:rsidRPr="003E0B98" w:rsidRDefault="009E146B" w:rsidP="004361AC">
      <w:pPr>
        <w:keepNext/>
        <w:tabs>
          <w:tab w:val="clear" w:pos="567"/>
        </w:tabs>
        <w:spacing w:line="240" w:lineRule="auto"/>
        <w:rPr>
          <w:szCs w:val="24"/>
          <w:lang w:val="es-ES_tradnl"/>
        </w:rPr>
      </w:pPr>
    </w:p>
    <w:p w14:paraId="62895054" w14:textId="77777777" w:rsidR="002E5034" w:rsidRPr="003E0B98" w:rsidRDefault="002E5034" w:rsidP="004361AC">
      <w:pPr>
        <w:tabs>
          <w:tab w:val="clear" w:pos="567"/>
        </w:tabs>
        <w:spacing w:line="240" w:lineRule="auto"/>
        <w:rPr>
          <w:szCs w:val="22"/>
          <w:u w:val="single"/>
          <w:lang w:val="es-ES"/>
        </w:rPr>
      </w:pPr>
      <w:r w:rsidRPr="003E0B98">
        <w:rPr>
          <w:szCs w:val="24"/>
          <w:lang w:val="es-ES_tradnl"/>
        </w:rPr>
        <w:t xml:space="preserve">Es importante notificar sospechas de reacciones adversas al medicamento tras su autorización. Ello permite una supervisión continuada de la relación beneficio/riesgo del medicamento. Se invita a los profesionales sanitarios a notificar las sospechas de reacciones adversas a través del </w:t>
      </w:r>
      <w:r w:rsidR="003C5D78" w:rsidRPr="003E0B98">
        <w:rPr>
          <w:szCs w:val="22"/>
          <w:shd w:val="pct15" w:color="auto" w:fill="auto"/>
          <w:lang w:val="es-ES"/>
        </w:rPr>
        <w:t xml:space="preserve">sistema nacional de notificación incluido en el </w:t>
      </w:r>
      <w:hyperlink r:id="rId9" w:history="1">
        <w:r w:rsidR="003C5D78" w:rsidRPr="003E0B98">
          <w:rPr>
            <w:rStyle w:val="Hyperlink"/>
            <w:szCs w:val="22"/>
            <w:shd w:val="pct15" w:color="auto" w:fill="auto"/>
            <w:lang w:val="es-ES"/>
          </w:rPr>
          <w:t>Apéndice V</w:t>
        </w:r>
      </w:hyperlink>
      <w:r w:rsidRPr="003E0B98">
        <w:rPr>
          <w:szCs w:val="22"/>
          <w:lang w:val="es-ES"/>
        </w:rPr>
        <w:t>.</w:t>
      </w:r>
    </w:p>
    <w:p w14:paraId="48DBA31F" w14:textId="77777777" w:rsidR="002E5034" w:rsidRPr="003E0B98" w:rsidRDefault="002E5034" w:rsidP="004361AC">
      <w:pPr>
        <w:tabs>
          <w:tab w:val="clear" w:pos="567"/>
        </w:tabs>
        <w:spacing w:line="240" w:lineRule="auto"/>
        <w:rPr>
          <w:color w:val="000000"/>
          <w:szCs w:val="22"/>
          <w:lang w:val="es-ES_tradnl"/>
        </w:rPr>
      </w:pPr>
    </w:p>
    <w:p w14:paraId="2D0DB8BA" w14:textId="77777777" w:rsidR="002E5034" w:rsidRPr="003E0B98" w:rsidRDefault="002E5034" w:rsidP="004361AC">
      <w:pPr>
        <w:keepNext/>
        <w:tabs>
          <w:tab w:val="clear" w:pos="567"/>
        </w:tabs>
        <w:spacing w:line="240" w:lineRule="auto"/>
        <w:rPr>
          <w:color w:val="000000"/>
          <w:szCs w:val="22"/>
          <w:lang w:val="es-ES_tradnl"/>
        </w:rPr>
      </w:pPr>
      <w:r w:rsidRPr="003E0B98">
        <w:rPr>
          <w:b/>
          <w:color w:val="000000"/>
          <w:szCs w:val="22"/>
          <w:lang w:val="es-ES_tradnl"/>
        </w:rPr>
        <w:t>4.9</w:t>
      </w:r>
      <w:r w:rsidRPr="003E0B98">
        <w:rPr>
          <w:b/>
          <w:color w:val="000000"/>
          <w:szCs w:val="22"/>
          <w:lang w:val="es-ES_tradnl"/>
        </w:rPr>
        <w:tab/>
      </w:r>
      <w:r w:rsidRPr="003E0B98">
        <w:rPr>
          <w:b/>
          <w:color w:val="000000"/>
          <w:szCs w:val="22"/>
          <w:lang w:val="es-ES"/>
        </w:rPr>
        <w:t>Sobredosis</w:t>
      </w:r>
    </w:p>
    <w:p w14:paraId="02747098" w14:textId="77777777" w:rsidR="002E5034" w:rsidRPr="003E0B98" w:rsidRDefault="002E5034" w:rsidP="004361AC">
      <w:pPr>
        <w:keepNext/>
        <w:tabs>
          <w:tab w:val="clear" w:pos="567"/>
        </w:tabs>
        <w:spacing w:line="240" w:lineRule="auto"/>
        <w:rPr>
          <w:color w:val="000000"/>
          <w:szCs w:val="22"/>
          <w:lang w:val="es-ES_tradnl"/>
        </w:rPr>
      </w:pPr>
    </w:p>
    <w:p w14:paraId="48103376" w14:textId="77777777" w:rsidR="002E5034" w:rsidRPr="003E0B98" w:rsidRDefault="002E5034" w:rsidP="004361AC">
      <w:pPr>
        <w:tabs>
          <w:tab w:val="clear" w:pos="567"/>
        </w:tabs>
        <w:spacing w:line="240" w:lineRule="auto"/>
        <w:rPr>
          <w:color w:val="000000"/>
          <w:szCs w:val="22"/>
          <w:lang w:val="es-ES_tradnl"/>
        </w:rPr>
      </w:pPr>
      <w:r w:rsidRPr="003E0B98">
        <w:rPr>
          <w:color w:val="000000"/>
          <w:szCs w:val="22"/>
          <w:lang w:val="es-ES_tradnl"/>
        </w:rPr>
        <w:t xml:space="preserve">Se han notificado casos de sobredosis accidental procedentes de los ensayos clínicos en DMAE exudativa y de los datos </w:t>
      </w:r>
      <w:proofErr w:type="spellStart"/>
      <w:r w:rsidRPr="003E0B98">
        <w:rPr>
          <w:color w:val="000000"/>
          <w:szCs w:val="22"/>
          <w:lang w:val="es-ES_tradnl"/>
        </w:rPr>
        <w:t>post-comercialización</w:t>
      </w:r>
      <w:proofErr w:type="spellEnd"/>
      <w:r w:rsidRPr="003E0B98">
        <w:rPr>
          <w:color w:val="000000"/>
          <w:szCs w:val="22"/>
          <w:lang w:val="es-ES_tradnl"/>
        </w:rPr>
        <w:t>. Las reacciones adversas que se asociaron a estos casos notificados fueron aumento de la presión intraocular, ceguera transitoria, agudeza visual reducida, edema corneal, dolor corneal y dolor ocular. En caso de sobredosis, se deberá realizar un seguimiento y tratamiento de la presión intraocular, si el médico lo considera necesario.</w:t>
      </w:r>
    </w:p>
    <w:p w14:paraId="30931135" w14:textId="77777777" w:rsidR="002E5034" w:rsidRPr="003E0B98" w:rsidRDefault="002E5034" w:rsidP="004361AC">
      <w:pPr>
        <w:tabs>
          <w:tab w:val="clear" w:pos="567"/>
        </w:tabs>
        <w:spacing w:line="240" w:lineRule="auto"/>
        <w:rPr>
          <w:color w:val="000000"/>
          <w:szCs w:val="22"/>
          <w:lang w:val="es-ES_tradnl"/>
        </w:rPr>
      </w:pPr>
    </w:p>
    <w:p w14:paraId="1507F8D8" w14:textId="77777777" w:rsidR="002E5034" w:rsidRPr="003E0B98" w:rsidRDefault="002E5034" w:rsidP="004361AC">
      <w:pPr>
        <w:tabs>
          <w:tab w:val="clear" w:pos="567"/>
        </w:tabs>
        <w:spacing w:line="240" w:lineRule="auto"/>
        <w:rPr>
          <w:color w:val="000000"/>
          <w:szCs w:val="22"/>
          <w:lang w:val="es-ES_tradnl"/>
        </w:rPr>
      </w:pPr>
    </w:p>
    <w:p w14:paraId="6DE24118" w14:textId="77777777" w:rsidR="002E5034" w:rsidRPr="003E0B98" w:rsidRDefault="002E5034" w:rsidP="004361AC">
      <w:pPr>
        <w:keepNext/>
        <w:tabs>
          <w:tab w:val="clear" w:pos="567"/>
        </w:tabs>
        <w:spacing w:line="240" w:lineRule="auto"/>
        <w:rPr>
          <w:color w:val="000000"/>
          <w:szCs w:val="22"/>
          <w:lang w:val="es-ES_tradnl"/>
        </w:rPr>
      </w:pPr>
      <w:r w:rsidRPr="003E0B98">
        <w:rPr>
          <w:b/>
          <w:color w:val="000000"/>
          <w:szCs w:val="22"/>
          <w:lang w:val="es-ES_tradnl"/>
        </w:rPr>
        <w:t>5.</w:t>
      </w:r>
      <w:r w:rsidRPr="003E0B98">
        <w:rPr>
          <w:b/>
          <w:color w:val="000000"/>
          <w:szCs w:val="22"/>
          <w:lang w:val="es-ES_tradnl"/>
        </w:rPr>
        <w:tab/>
      </w:r>
      <w:r w:rsidRPr="003E0B98">
        <w:rPr>
          <w:b/>
          <w:noProof/>
          <w:color w:val="000000"/>
          <w:lang w:val="es-ES_tradnl"/>
        </w:rPr>
        <w:t>PROPIEDADES FARMACOLÓGICAS</w:t>
      </w:r>
    </w:p>
    <w:p w14:paraId="1BE832A0" w14:textId="77777777" w:rsidR="002E5034" w:rsidRPr="003E0B98" w:rsidRDefault="002E5034" w:rsidP="004361AC">
      <w:pPr>
        <w:keepNext/>
        <w:tabs>
          <w:tab w:val="clear" w:pos="567"/>
        </w:tabs>
        <w:spacing w:line="240" w:lineRule="auto"/>
        <w:rPr>
          <w:color w:val="000000"/>
          <w:szCs w:val="22"/>
          <w:lang w:val="es-ES_tradnl"/>
        </w:rPr>
      </w:pPr>
    </w:p>
    <w:p w14:paraId="35EAF62C" w14:textId="77777777" w:rsidR="002E5034" w:rsidRPr="003E0B98" w:rsidRDefault="002E5034" w:rsidP="004361AC">
      <w:pPr>
        <w:keepNext/>
        <w:tabs>
          <w:tab w:val="clear" w:pos="567"/>
        </w:tabs>
        <w:spacing w:line="240" w:lineRule="auto"/>
        <w:rPr>
          <w:color w:val="000000"/>
          <w:szCs w:val="22"/>
          <w:lang w:val="es-ES_tradnl"/>
        </w:rPr>
      </w:pPr>
      <w:r w:rsidRPr="003E0B98">
        <w:rPr>
          <w:b/>
          <w:color w:val="000000"/>
          <w:szCs w:val="22"/>
          <w:lang w:val="es-ES_tradnl"/>
        </w:rPr>
        <w:t>5.1</w:t>
      </w:r>
      <w:r w:rsidRPr="003E0B98">
        <w:rPr>
          <w:b/>
          <w:color w:val="000000"/>
          <w:szCs w:val="22"/>
          <w:lang w:val="es-ES_tradnl"/>
        </w:rPr>
        <w:tab/>
      </w:r>
      <w:r w:rsidRPr="003E0B98">
        <w:rPr>
          <w:b/>
          <w:color w:val="000000"/>
          <w:szCs w:val="22"/>
          <w:lang w:val="es-ES"/>
        </w:rPr>
        <w:t>Propiedades farmacodinámicas</w:t>
      </w:r>
    </w:p>
    <w:p w14:paraId="11F2CBDB" w14:textId="77777777" w:rsidR="002E5034" w:rsidRPr="003E0B98" w:rsidRDefault="002E5034" w:rsidP="004361AC">
      <w:pPr>
        <w:keepNext/>
        <w:tabs>
          <w:tab w:val="clear" w:pos="567"/>
        </w:tabs>
        <w:spacing w:line="240" w:lineRule="auto"/>
        <w:rPr>
          <w:color w:val="000000"/>
          <w:szCs w:val="22"/>
          <w:lang w:val="es-ES_tradnl"/>
        </w:rPr>
      </w:pPr>
    </w:p>
    <w:p w14:paraId="2A834A2E" w14:textId="77777777" w:rsidR="002E5034" w:rsidRPr="003E0B98" w:rsidRDefault="002E5034" w:rsidP="004361AC">
      <w:pPr>
        <w:tabs>
          <w:tab w:val="clear" w:pos="567"/>
        </w:tabs>
        <w:spacing w:line="240" w:lineRule="auto"/>
        <w:rPr>
          <w:color w:val="000000"/>
          <w:szCs w:val="22"/>
          <w:lang w:val="es-ES_tradnl"/>
        </w:rPr>
      </w:pPr>
      <w:r w:rsidRPr="003E0B98">
        <w:rPr>
          <w:color w:val="000000"/>
          <w:szCs w:val="22"/>
          <w:lang w:val="pt-PT"/>
        </w:rPr>
        <w:t>Grupo farmacoterapéutico</w:t>
      </w:r>
      <w:r w:rsidRPr="003E0B98">
        <w:rPr>
          <w:color w:val="000000"/>
          <w:szCs w:val="22"/>
          <w:lang w:val="es-ES_tradnl"/>
        </w:rPr>
        <w:t xml:space="preserve">: Oftalmológicos, </w:t>
      </w:r>
      <w:r w:rsidRPr="003E0B98">
        <w:rPr>
          <w:color w:val="000000"/>
          <w:szCs w:val="22"/>
          <w:lang w:val="es-ES"/>
        </w:rPr>
        <w:t xml:space="preserve">agentes </w:t>
      </w:r>
      <w:proofErr w:type="spellStart"/>
      <w:r w:rsidRPr="003E0B98">
        <w:rPr>
          <w:color w:val="000000"/>
          <w:szCs w:val="22"/>
          <w:lang w:val="es-ES"/>
        </w:rPr>
        <w:t>antineovascularización</w:t>
      </w:r>
      <w:proofErr w:type="spellEnd"/>
      <w:r w:rsidRPr="003E0B98">
        <w:rPr>
          <w:color w:val="000000"/>
          <w:szCs w:val="22"/>
          <w:lang w:val="es-ES_tradnl"/>
        </w:rPr>
        <w:t xml:space="preserve">, </w:t>
      </w:r>
      <w:r w:rsidRPr="003E0B98">
        <w:rPr>
          <w:color w:val="000000"/>
          <w:szCs w:val="22"/>
          <w:lang w:val="pt-PT"/>
        </w:rPr>
        <w:t>código ATC</w:t>
      </w:r>
      <w:r w:rsidRPr="003E0B98">
        <w:rPr>
          <w:color w:val="000000"/>
          <w:szCs w:val="22"/>
          <w:lang w:val="es-ES_tradnl"/>
        </w:rPr>
        <w:t>: S01LA04</w:t>
      </w:r>
    </w:p>
    <w:p w14:paraId="09C19457" w14:textId="77777777" w:rsidR="002E5034" w:rsidRPr="003E0B98" w:rsidRDefault="002E5034" w:rsidP="004361AC">
      <w:pPr>
        <w:tabs>
          <w:tab w:val="clear" w:pos="567"/>
        </w:tabs>
        <w:spacing w:line="240" w:lineRule="auto"/>
        <w:rPr>
          <w:color w:val="000000"/>
          <w:szCs w:val="22"/>
          <w:lang w:val="es-ES_tradnl"/>
        </w:rPr>
      </w:pPr>
    </w:p>
    <w:p w14:paraId="626487F9" w14:textId="77777777" w:rsidR="008867BD" w:rsidRPr="003E0B98" w:rsidRDefault="008867BD" w:rsidP="004361AC">
      <w:pPr>
        <w:keepNext/>
        <w:tabs>
          <w:tab w:val="clear" w:pos="567"/>
        </w:tabs>
        <w:spacing w:line="240" w:lineRule="auto"/>
        <w:rPr>
          <w:color w:val="000000"/>
          <w:u w:val="single"/>
          <w:lang w:val="es-ES"/>
        </w:rPr>
      </w:pPr>
      <w:r w:rsidRPr="003E0B98">
        <w:rPr>
          <w:color w:val="000000"/>
          <w:u w:val="single"/>
          <w:lang w:val="es-ES"/>
        </w:rPr>
        <w:t>Mecanismo de acción</w:t>
      </w:r>
    </w:p>
    <w:p w14:paraId="45C14867" w14:textId="77777777" w:rsidR="008867BD" w:rsidRPr="003E0B98" w:rsidRDefault="008867BD" w:rsidP="004361AC">
      <w:pPr>
        <w:keepNext/>
        <w:tabs>
          <w:tab w:val="clear" w:pos="567"/>
        </w:tabs>
        <w:spacing w:line="240" w:lineRule="auto"/>
        <w:rPr>
          <w:color w:val="000000"/>
          <w:lang w:val="es-ES"/>
        </w:rPr>
      </w:pPr>
    </w:p>
    <w:p w14:paraId="2303754E" w14:textId="77777777" w:rsidR="002E5034" w:rsidRPr="003E0B98" w:rsidRDefault="002E5034" w:rsidP="004361AC">
      <w:pPr>
        <w:tabs>
          <w:tab w:val="clear" w:pos="567"/>
        </w:tabs>
        <w:spacing w:line="240" w:lineRule="auto"/>
        <w:rPr>
          <w:color w:val="000000"/>
          <w:szCs w:val="22"/>
          <w:lang w:val="es-ES_tradnl"/>
        </w:rPr>
      </w:pPr>
      <w:proofErr w:type="spellStart"/>
      <w:r w:rsidRPr="003E0B98">
        <w:rPr>
          <w:color w:val="000000"/>
          <w:lang w:val="es-ES"/>
        </w:rPr>
        <w:t>Ranibizumab</w:t>
      </w:r>
      <w:proofErr w:type="spellEnd"/>
      <w:r w:rsidRPr="003E0B98">
        <w:rPr>
          <w:color w:val="000000"/>
          <w:lang w:val="es-ES"/>
        </w:rPr>
        <w:t xml:space="preserve"> es un fragmento de anticuerpo monoclonal recombinante humanizado dirigido contra el factor de crecimiento endotelial vascular A (</w:t>
      </w:r>
      <w:r w:rsidRPr="003E0B98">
        <w:rPr>
          <w:color w:val="000000"/>
          <w:szCs w:val="22"/>
          <w:lang w:val="es-ES_tradnl"/>
        </w:rPr>
        <w:t xml:space="preserve">VEGF-A) </w:t>
      </w:r>
      <w:r w:rsidRPr="003E0B98">
        <w:rPr>
          <w:color w:val="000000"/>
          <w:lang w:val="es-ES"/>
        </w:rPr>
        <w:t>humano</w:t>
      </w:r>
      <w:r w:rsidRPr="003E0B98">
        <w:rPr>
          <w:color w:val="000000"/>
          <w:szCs w:val="22"/>
          <w:lang w:val="es-ES_tradnl"/>
        </w:rPr>
        <w:t>. Se une con alta afinidad a las isoformas del VEGF-A (p. ej. VEGF</w:t>
      </w:r>
      <w:r w:rsidRPr="003E0B98">
        <w:rPr>
          <w:color w:val="000000"/>
          <w:szCs w:val="22"/>
          <w:vertAlign w:val="subscript"/>
          <w:lang w:val="es-ES_tradnl"/>
        </w:rPr>
        <w:t>110</w:t>
      </w:r>
      <w:r w:rsidRPr="003E0B98">
        <w:rPr>
          <w:color w:val="000000"/>
          <w:szCs w:val="22"/>
          <w:lang w:val="es-ES_tradnl"/>
        </w:rPr>
        <w:t>, VEGF</w:t>
      </w:r>
      <w:r w:rsidRPr="003E0B98">
        <w:rPr>
          <w:color w:val="000000"/>
          <w:szCs w:val="22"/>
          <w:vertAlign w:val="subscript"/>
          <w:lang w:val="es-ES_tradnl"/>
        </w:rPr>
        <w:t>121</w:t>
      </w:r>
      <w:r w:rsidRPr="003E0B98">
        <w:rPr>
          <w:color w:val="000000"/>
          <w:szCs w:val="22"/>
          <w:lang w:val="es-ES_tradnl"/>
        </w:rPr>
        <w:t xml:space="preserve"> y VEGF</w:t>
      </w:r>
      <w:r w:rsidRPr="003E0B98">
        <w:rPr>
          <w:color w:val="000000"/>
          <w:szCs w:val="22"/>
          <w:vertAlign w:val="subscript"/>
          <w:lang w:val="es-ES_tradnl"/>
        </w:rPr>
        <w:t>165</w:t>
      </w:r>
      <w:r w:rsidRPr="003E0B98">
        <w:rPr>
          <w:color w:val="000000"/>
          <w:szCs w:val="22"/>
          <w:lang w:val="es-ES_tradnl"/>
        </w:rPr>
        <w:t xml:space="preserve">), impidiendo, por tanto, la unión del VEGF-A a sus receptores VEGFR-1 y VEGFR-2. La unión del VEGF-A a sus receptores conduce a la proliferación de las células endoteliales y la neovascularización, así como a la exudación vascular, todo lo cual se cree que contribuye a la progresión de la forma </w:t>
      </w:r>
      <w:proofErr w:type="spellStart"/>
      <w:r w:rsidRPr="003E0B98">
        <w:rPr>
          <w:color w:val="000000"/>
          <w:szCs w:val="22"/>
          <w:lang w:val="es-ES_tradnl"/>
        </w:rPr>
        <w:t>neovascular</w:t>
      </w:r>
      <w:proofErr w:type="spellEnd"/>
      <w:r w:rsidRPr="003E0B98">
        <w:rPr>
          <w:color w:val="000000"/>
          <w:szCs w:val="22"/>
          <w:lang w:val="es-ES_tradnl"/>
        </w:rPr>
        <w:t xml:space="preserve"> de la </w:t>
      </w:r>
      <w:r w:rsidRPr="003E0B98">
        <w:rPr>
          <w:color w:val="000000"/>
          <w:lang w:val="es-ES"/>
        </w:rPr>
        <w:t>degeneración macular asociada a la edad</w:t>
      </w:r>
      <w:r w:rsidR="00BD6935" w:rsidRPr="003E0B98">
        <w:rPr>
          <w:color w:val="000000"/>
          <w:lang w:val="es-ES"/>
        </w:rPr>
        <w:t xml:space="preserve">, </w:t>
      </w:r>
      <w:r w:rsidR="00A82E90" w:rsidRPr="003E0B98">
        <w:rPr>
          <w:color w:val="000000"/>
          <w:lang w:val="es-ES"/>
        </w:rPr>
        <w:t xml:space="preserve">la </w:t>
      </w:r>
      <w:r w:rsidR="00BD6935" w:rsidRPr="003E0B98">
        <w:rPr>
          <w:color w:val="000000"/>
          <w:lang w:val="es-ES"/>
        </w:rPr>
        <w:t>miopía patológica</w:t>
      </w:r>
      <w:r w:rsidR="0014515E" w:rsidRPr="003E0B98">
        <w:rPr>
          <w:color w:val="000000"/>
          <w:lang w:val="es-ES"/>
        </w:rPr>
        <w:t xml:space="preserve"> y la NVC</w:t>
      </w:r>
      <w:r w:rsidRPr="003E0B98">
        <w:rPr>
          <w:color w:val="000000"/>
          <w:lang w:val="es-ES"/>
        </w:rPr>
        <w:t xml:space="preserve"> o a la </w:t>
      </w:r>
      <w:r w:rsidRPr="003E0B98">
        <w:rPr>
          <w:color w:val="000000"/>
          <w:szCs w:val="22"/>
          <w:lang w:val="es-ES"/>
        </w:rPr>
        <w:t>alteración</w:t>
      </w:r>
      <w:r w:rsidRPr="003E0B98">
        <w:rPr>
          <w:color w:val="000000"/>
          <w:lang w:val="es-ES"/>
        </w:rPr>
        <w:t xml:space="preserve"> visual causada por el edema macular diabético o por el edema macular secundario a OVR</w:t>
      </w:r>
      <w:r w:rsidR="00915086" w:rsidRPr="003E0B98">
        <w:rPr>
          <w:color w:val="000000"/>
          <w:lang w:val="es-ES"/>
        </w:rPr>
        <w:t xml:space="preserve"> en adultos y a la retinopatía del prematuro en recién nacidos </w:t>
      </w:r>
      <w:r w:rsidR="003400BD" w:rsidRPr="003E0B98">
        <w:rPr>
          <w:color w:val="000000"/>
          <w:lang w:val="es-ES"/>
        </w:rPr>
        <w:t>pretérmino</w:t>
      </w:r>
      <w:r w:rsidRPr="003E0B98">
        <w:rPr>
          <w:color w:val="000000"/>
          <w:lang w:val="es-ES"/>
        </w:rPr>
        <w:t>.</w:t>
      </w:r>
    </w:p>
    <w:p w14:paraId="56B7FBAA" w14:textId="77777777" w:rsidR="002E5034" w:rsidRPr="003E0B98" w:rsidRDefault="002E5034" w:rsidP="004361AC">
      <w:pPr>
        <w:tabs>
          <w:tab w:val="clear" w:pos="567"/>
        </w:tabs>
        <w:spacing w:line="240" w:lineRule="auto"/>
        <w:rPr>
          <w:color w:val="000000"/>
          <w:szCs w:val="22"/>
          <w:lang w:val="es-ES_tradnl"/>
        </w:rPr>
      </w:pPr>
    </w:p>
    <w:p w14:paraId="6B3E89CA" w14:textId="77777777" w:rsidR="008867BD" w:rsidRPr="003E0B98" w:rsidRDefault="008867BD" w:rsidP="004361AC">
      <w:pPr>
        <w:keepNext/>
        <w:tabs>
          <w:tab w:val="clear" w:pos="567"/>
        </w:tabs>
        <w:spacing w:line="240" w:lineRule="auto"/>
        <w:rPr>
          <w:color w:val="000000"/>
          <w:szCs w:val="22"/>
          <w:u w:val="single"/>
          <w:lang w:val="es-ES_tradnl"/>
        </w:rPr>
      </w:pPr>
      <w:r w:rsidRPr="003E0B98">
        <w:rPr>
          <w:color w:val="000000"/>
          <w:szCs w:val="22"/>
          <w:u w:val="single"/>
          <w:lang w:val="es-ES_tradnl"/>
        </w:rPr>
        <w:t>Eficacia clínica y seguridad</w:t>
      </w:r>
    </w:p>
    <w:p w14:paraId="5938ECD6" w14:textId="77777777" w:rsidR="008867BD" w:rsidRPr="003E0B98" w:rsidRDefault="008867BD" w:rsidP="004361AC">
      <w:pPr>
        <w:keepNext/>
        <w:tabs>
          <w:tab w:val="clear" w:pos="567"/>
        </w:tabs>
        <w:spacing w:line="240" w:lineRule="auto"/>
        <w:rPr>
          <w:color w:val="000000"/>
          <w:szCs w:val="22"/>
          <w:lang w:val="es-ES_tradnl"/>
        </w:rPr>
      </w:pPr>
    </w:p>
    <w:p w14:paraId="77E2C1A7" w14:textId="77777777" w:rsidR="002E5034" w:rsidRPr="003E0B98" w:rsidRDefault="002E5034" w:rsidP="004361AC">
      <w:pPr>
        <w:keepNext/>
        <w:tabs>
          <w:tab w:val="clear" w:pos="567"/>
        </w:tabs>
        <w:spacing w:line="240" w:lineRule="auto"/>
        <w:rPr>
          <w:i/>
          <w:color w:val="000000"/>
          <w:szCs w:val="22"/>
          <w:u w:val="single"/>
          <w:lang w:val="es-ES_tradnl"/>
        </w:rPr>
      </w:pPr>
      <w:r w:rsidRPr="003E0B98">
        <w:rPr>
          <w:i/>
          <w:color w:val="000000"/>
          <w:szCs w:val="22"/>
          <w:u w:val="single"/>
          <w:lang w:val="es-ES_tradnl"/>
        </w:rPr>
        <w:t>Tratamiento de la DMAE exudativa</w:t>
      </w:r>
    </w:p>
    <w:p w14:paraId="512C23CB" w14:textId="77777777" w:rsidR="002E5034" w:rsidRPr="003E0B98" w:rsidRDefault="002E5034" w:rsidP="004361AC">
      <w:pPr>
        <w:tabs>
          <w:tab w:val="clear" w:pos="567"/>
        </w:tabs>
        <w:spacing w:line="240" w:lineRule="auto"/>
        <w:rPr>
          <w:color w:val="000000"/>
          <w:szCs w:val="22"/>
          <w:lang w:val="es-ES_tradnl"/>
        </w:rPr>
      </w:pPr>
      <w:r w:rsidRPr="003E0B98">
        <w:rPr>
          <w:color w:val="000000"/>
          <w:szCs w:val="22"/>
          <w:lang w:val="es-ES_tradnl"/>
        </w:rPr>
        <w:t xml:space="preserve">En la DMAE exudativa, la eficacia y seguridad clínicas de </w:t>
      </w:r>
      <w:proofErr w:type="spellStart"/>
      <w:r w:rsidRPr="003E0B98">
        <w:rPr>
          <w:color w:val="000000"/>
          <w:szCs w:val="22"/>
          <w:lang w:val="es-ES_tradnl"/>
        </w:rPr>
        <w:t>Lucentis</w:t>
      </w:r>
      <w:proofErr w:type="spellEnd"/>
      <w:r w:rsidRPr="003E0B98">
        <w:rPr>
          <w:color w:val="000000"/>
          <w:szCs w:val="22"/>
          <w:lang w:val="es-ES_tradnl"/>
        </w:rPr>
        <w:t xml:space="preserve"> se han evaluado en tres ensayos aleatorizados, doble ciego, controlados con tratamiento simulado (</w:t>
      </w:r>
      <w:proofErr w:type="spellStart"/>
      <w:r w:rsidRPr="003E0B98">
        <w:rPr>
          <w:color w:val="000000"/>
          <w:szCs w:val="22"/>
          <w:lang w:val="es-ES_tradnl"/>
        </w:rPr>
        <w:t>sham</w:t>
      </w:r>
      <w:proofErr w:type="spellEnd"/>
      <w:r w:rsidRPr="003E0B98">
        <w:rPr>
          <w:color w:val="000000"/>
          <w:szCs w:val="22"/>
          <w:lang w:val="es-ES_tradnl"/>
        </w:rPr>
        <w:t xml:space="preserve">) o con tratamiento activo de 24 meses de duración, en pacientes con DMAE </w:t>
      </w:r>
      <w:proofErr w:type="spellStart"/>
      <w:r w:rsidRPr="003E0B98">
        <w:rPr>
          <w:color w:val="000000"/>
          <w:szCs w:val="22"/>
          <w:lang w:val="es-ES_tradnl"/>
        </w:rPr>
        <w:t>neovascular</w:t>
      </w:r>
      <w:proofErr w:type="spellEnd"/>
      <w:r w:rsidRPr="003E0B98">
        <w:rPr>
          <w:color w:val="000000"/>
          <w:szCs w:val="22"/>
          <w:lang w:val="es-ES_tradnl"/>
        </w:rPr>
        <w:t>. En estos ensayos fueron reclutados un total de 1.323 pacientes (879 con tratamiento activo y 444 con control).</w:t>
      </w:r>
    </w:p>
    <w:p w14:paraId="256613F7" w14:textId="77777777" w:rsidR="002E5034" w:rsidRPr="003E0B98" w:rsidRDefault="002E5034" w:rsidP="004361AC">
      <w:pPr>
        <w:tabs>
          <w:tab w:val="clear" w:pos="567"/>
        </w:tabs>
        <w:spacing w:line="240" w:lineRule="auto"/>
        <w:rPr>
          <w:color w:val="000000"/>
          <w:szCs w:val="22"/>
          <w:lang w:val="es-ES_tradnl"/>
        </w:rPr>
      </w:pPr>
    </w:p>
    <w:p w14:paraId="5818AFD0" w14:textId="77777777" w:rsidR="002E5034" w:rsidRPr="003E0B98" w:rsidRDefault="002E5034" w:rsidP="004361AC">
      <w:pPr>
        <w:tabs>
          <w:tab w:val="clear" w:pos="567"/>
        </w:tabs>
        <w:spacing w:line="240" w:lineRule="auto"/>
        <w:rPr>
          <w:color w:val="000000"/>
          <w:szCs w:val="22"/>
          <w:lang w:val="es-ES_tradnl"/>
        </w:rPr>
      </w:pPr>
      <w:r w:rsidRPr="003E0B98">
        <w:rPr>
          <w:color w:val="000000"/>
          <w:szCs w:val="22"/>
          <w:lang w:val="es-ES_tradnl"/>
        </w:rPr>
        <w:t xml:space="preserve">En el ensayo FVF2598g (MARINA), </w:t>
      </w:r>
      <w:r w:rsidR="00016A95" w:rsidRPr="003E0B98">
        <w:rPr>
          <w:color w:val="000000"/>
          <w:szCs w:val="22"/>
          <w:lang w:val="es-ES_tradnl"/>
        </w:rPr>
        <w:t xml:space="preserve">se aleatorizaron </w:t>
      </w:r>
      <w:r w:rsidRPr="003E0B98">
        <w:rPr>
          <w:color w:val="000000"/>
          <w:szCs w:val="22"/>
          <w:lang w:val="es-ES_tradnl"/>
        </w:rPr>
        <w:t xml:space="preserve">716 pacientes con </w:t>
      </w:r>
      <w:r w:rsidR="00016A95" w:rsidRPr="003E0B98">
        <w:rPr>
          <w:color w:val="000000"/>
          <w:szCs w:val="22"/>
          <w:lang w:val="es-ES_tradnl"/>
        </w:rPr>
        <w:t>lesiones</w:t>
      </w:r>
      <w:r w:rsidRPr="003E0B98">
        <w:rPr>
          <w:color w:val="000000"/>
          <w:szCs w:val="22"/>
          <w:lang w:val="es-ES_tradnl"/>
        </w:rPr>
        <w:t xml:space="preserve"> mínimamente clásica</w:t>
      </w:r>
      <w:r w:rsidR="00016A95" w:rsidRPr="003E0B98">
        <w:rPr>
          <w:color w:val="000000"/>
          <w:szCs w:val="22"/>
          <w:lang w:val="es-ES_tradnl"/>
        </w:rPr>
        <w:t>s</w:t>
      </w:r>
      <w:r w:rsidRPr="003E0B98">
        <w:rPr>
          <w:color w:val="000000"/>
          <w:szCs w:val="22"/>
          <w:lang w:val="es-ES_tradnl"/>
        </w:rPr>
        <w:t xml:space="preserve"> u oculta</w:t>
      </w:r>
      <w:r w:rsidR="00016A95" w:rsidRPr="003E0B98">
        <w:rPr>
          <w:color w:val="000000"/>
          <w:szCs w:val="22"/>
          <w:lang w:val="es-ES_tradnl"/>
        </w:rPr>
        <w:t>s</w:t>
      </w:r>
      <w:r w:rsidRPr="003E0B98">
        <w:rPr>
          <w:color w:val="000000"/>
          <w:szCs w:val="22"/>
          <w:lang w:val="es-ES_tradnl"/>
        </w:rPr>
        <w:t xml:space="preserve"> sin componente clásico</w:t>
      </w:r>
      <w:r w:rsidR="00016A95" w:rsidRPr="003E0B98">
        <w:rPr>
          <w:color w:val="000000"/>
          <w:szCs w:val="22"/>
          <w:lang w:val="es-ES_tradnl"/>
        </w:rPr>
        <w:t xml:space="preserve"> en </w:t>
      </w:r>
      <w:proofErr w:type="gramStart"/>
      <w:r w:rsidR="00016A95" w:rsidRPr="003E0B98">
        <w:rPr>
          <w:color w:val="000000"/>
          <w:szCs w:val="22"/>
          <w:lang w:val="es-ES_tradnl"/>
        </w:rPr>
        <w:t>un ratio</w:t>
      </w:r>
      <w:proofErr w:type="gramEnd"/>
      <w:r w:rsidR="00973D08" w:rsidRPr="003E0B98">
        <w:rPr>
          <w:color w:val="000000"/>
          <w:szCs w:val="22"/>
          <w:lang w:val="es-ES_tradnl"/>
        </w:rPr>
        <w:t> </w:t>
      </w:r>
      <w:r w:rsidR="00016A95" w:rsidRPr="003E0B98">
        <w:rPr>
          <w:color w:val="000000"/>
          <w:szCs w:val="22"/>
          <w:lang w:val="es-ES_tradnl"/>
        </w:rPr>
        <w:t>1:1:1 para recibir</w:t>
      </w:r>
      <w:r w:rsidRPr="003E0B98">
        <w:rPr>
          <w:color w:val="000000"/>
          <w:szCs w:val="22"/>
          <w:lang w:val="es-ES_tradnl"/>
        </w:rPr>
        <w:t xml:space="preserve"> inyecciones de </w:t>
      </w:r>
      <w:proofErr w:type="spellStart"/>
      <w:r w:rsidRPr="003E0B98">
        <w:rPr>
          <w:color w:val="000000"/>
          <w:szCs w:val="22"/>
          <w:lang w:val="es-ES_tradnl"/>
        </w:rPr>
        <w:t>Lucentis</w:t>
      </w:r>
      <w:proofErr w:type="spellEnd"/>
      <w:r w:rsidRPr="003E0B98">
        <w:rPr>
          <w:color w:val="000000"/>
          <w:szCs w:val="22"/>
          <w:lang w:val="es-ES_tradnl"/>
        </w:rPr>
        <w:t xml:space="preserve"> 0,3 mg</w:t>
      </w:r>
      <w:r w:rsidR="00016A95" w:rsidRPr="003E0B98">
        <w:rPr>
          <w:color w:val="000000"/>
          <w:szCs w:val="22"/>
          <w:lang w:val="es-ES_tradnl"/>
        </w:rPr>
        <w:t>,</w:t>
      </w:r>
      <w:r w:rsidRPr="003E0B98">
        <w:rPr>
          <w:color w:val="000000"/>
          <w:szCs w:val="22"/>
          <w:lang w:val="es-ES_tradnl"/>
        </w:rPr>
        <w:t xml:space="preserve"> </w:t>
      </w:r>
      <w:proofErr w:type="spellStart"/>
      <w:r w:rsidR="00016A95" w:rsidRPr="003E0B98">
        <w:rPr>
          <w:color w:val="000000"/>
          <w:szCs w:val="22"/>
          <w:lang w:val="es-ES_tradnl"/>
        </w:rPr>
        <w:t>Lucentis</w:t>
      </w:r>
      <w:proofErr w:type="spellEnd"/>
      <w:r w:rsidR="00016A95" w:rsidRPr="003E0B98">
        <w:rPr>
          <w:color w:val="000000"/>
          <w:szCs w:val="22"/>
          <w:lang w:val="es-ES_tradnl"/>
        </w:rPr>
        <w:t xml:space="preserve"> </w:t>
      </w:r>
      <w:r w:rsidRPr="003E0B98">
        <w:rPr>
          <w:color w:val="000000"/>
          <w:szCs w:val="22"/>
          <w:lang w:val="es-ES_tradnl"/>
        </w:rPr>
        <w:t xml:space="preserve">0,5 mg o </w:t>
      </w:r>
      <w:r w:rsidR="00DF5BC8" w:rsidRPr="003E0B98">
        <w:rPr>
          <w:color w:val="000000"/>
          <w:szCs w:val="22"/>
          <w:lang w:val="es-ES_tradnl"/>
        </w:rPr>
        <w:t>tratamiento</w:t>
      </w:r>
      <w:r w:rsidRPr="003E0B98">
        <w:rPr>
          <w:color w:val="000000"/>
          <w:szCs w:val="22"/>
          <w:lang w:val="es-ES_tradnl"/>
        </w:rPr>
        <w:t xml:space="preserve"> simulad</w:t>
      </w:r>
      <w:r w:rsidR="00DF5BC8" w:rsidRPr="003E0B98">
        <w:rPr>
          <w:color w:val="000000"/>
          <w:szCs w:val="22"/>
          <w:lang w:val="es-ES_tradnl"/>
        </w:rPr>
        <w:t>o</w:t>
      </w:r>
      <w:r w:rsidRPr="003E0B98">
        <w:rPr>
          <w:color w:val="000000"/>
          <w:szCs w:val="22"/>
          <w:lang w:val="es-ES_tradnl"/>
        </w:rPr>
        <w:t xml:space="preserve"> una vez al mes.</w:t>
      </w:r>
    </w:p>
    <w:p w14:paraId="461DAA89" w14:textId="77777777" w:rsidR="002E5034" w:rsidRPr="003E0B98" w:rsidRDefault="002E5034" w:rsidP="004361AC">
      <w:pPr>
        <w:tabs>
          <w:tab w:val="clear" w:pos="567"/>
        </w:tabs>
        <w:spacing w:line="240" w:lineRule="auto"/>
        <w:rPr>
          <w:color w:val="000000"/>
          <w:szCs w:val="22"/>
          <w:lang w:val="es-ES_tradnl"/>
        </w:rPr>
      </w:pPr>
    </w:p>
    <w:p w14:paraId="7B2419CA" w14:textId="77777777" w:rsidR="002E5034" w:rsidRPr="003E0B98" w:rsidRDefault="002E5034" w:rsidP="004361AC">
      <w:pPr>
        <w:tabs>
          <w:tab w:val="clear" w:pos="567"/>
        </w:tabs>
        <w:spacing w:line="240" w:lineRule="auto"/>
        <w:rPr>
          <w:color w:val="000000"/>
          <w:szCs w:val="22"/>
          <w:lang w:val="es-ES_tradnl"/>
        </w:rPr>
      </w:pPr>
      <w:r w:rsidRPr="003E0B98">
        <w:rPr>
          <w:color w:val="000000"/>
          <w:szCs w:val="22"/>
          <w:lang w:val="es-ES_tradnl"/>
        </w:rPr>
        <w:t xml:space="preserve">En el ensayo FVF2587g (ANCHOR), </w:t>
      </w:r>
      <w:r w:rsidR="00DF5BC8" w:rsidRPr="003E0B98">
        <w:rPr>
          <w:color w:val="000000"/>
          <w:szCs w:val="22"/>
          <w:lang w:val="es-ES_tradnl"/>
        </w:rPr>
        <w:t xml:space="preserve">se aleatorizaron </w:t>
      </w:r>
      <w:r w:rsidRPr="003E0B98">
        <w:rPr>
          <w:color w:val="000000"/>
          <w:szCs w:val="22"/>
          <w:lang w:val="es-ES_tradnl"/>
        </w:rPr>
        <w:t>423 pacientes con lesiones de NVC predominantemente clásicas</w:t>
      </w:r>
      <w:r w:rsidR="00DF5BC8" w:rsidRPr="003E0B98">
        <w:rPr>
          <w:color w:val="000000"/>
          <w:szCs w:val="22"/>
          <w:lang w:val="es-ES_tradnl"/>
        </w:rPr>
        <w:t xml:space="preserve"> en </w:t>
      </w:r>
      <w:proofErr w:type="gramStart"/>
      <w:r w:rsidR="00DF5BC8" w:rsidRPr="003E0B98">
        <w:rPr>
          <w:color w:val="000000"/>
          <w:szCs w:val="22"/>
          <w:lang w:val="es-ES_tradnl"/>
        </w:rPr>
        <w:t>un ratio</w:t>
      </w:r>
      <w:proofErr w:type="gramEnd"/>
      <w:r w:rsidR="00973D08" w:rsidRPr="003E0B98">
        <w:rPr>
          <w:color w:val="000000"/>
          <w:szCs w:val="22"/>
          <w:lang w:val="es-ES_tradnl"/>
        </w:rPr>
        <w:t> </w:t>
      </w:r>
      <w:r w:rsidR="00DF5BC8" w:rsidRPr="003E0B98">
        <w:rPr>
          <w:color w:val="000000"/>
          <w:szCs w:val="22"/>
          <w:lang w:val="es-ES_tradnl"/>
        </w:rPr>
        <w:t>1:1:1 para recibir</w:t>
      </w:r>
      <w:r w:rsidRPr="003E0B98">
        <w:rPr>
          <w:color w:val="000000"/>
          <w:szCs w:val="22"/>
          <w:lang w:val="es-ES_tradnl"/>
        </w:rPr>
        <w:t xml:space="preserve"> </w:t>
      </w:r>
      <w:proofErr w:type="spellStart"/>
      <w:r w:rsidRPr="003E0B98">
        <w:rPr>
          <w:color w:val="000000"/>
          <w:szCs w:val="22"/>
          <w:lang w:val="es-ES_tradnl"/>
        </w:rPr>
        <w:t>Lucentis</w:t>
      </w:r>
      <w:proofErr w:type="spellEnd"/>
      <w:r w:rsidRPr="003E0B98">
        <w:rPr>
          <w:color w:val="000000"/>
          <w:szCs w:val="22"/>
          <w:lang w:val="es-ES_tradnl"/>
        </w:rPr>
        <w:t xml:space="preserve"> 0,3 mg una vez al mes</w:t>
      </w:r>
      <w:r w:rsidR="00DF5BC8" w:rsidRPr="003E0B98">
        <w:rPr>
          <w:color w:val="000000"/>
          <w:szCs w:val="22"/>
          <w:lang w:val="es-ES_tradnl"/>
        </w:rPr>
        <w:t>,</w:t>
      </w:r>
      <w:r w:rsidRPr="003E0B98">
        <w:rPr>
          <w:color w:val="000000"/>
          <w:szCs w:val="22"/>
          <w:lang w:val="es-ES_tradnl"/>
        </w:rPr>
        <w:t xml:space="preserve"> </w:t>
      </w:r>
      <w:proofErr w:type="spellStart"/>
      <w:r w:rsidRPr="003E0B98">
        <w:rPr>
          <w:color w:val="000000"/>
          <w:szCs w:val="22"/>
          <w:lang w:val="es-ES_tradnl"/>
        </w:rPr>
        <w:t>Lucentis</w:t>
      </w:r>
      <w:proofErr w:type="spellEnd"/>
      <w:r w:rsidRPr="003E0B98">
        <w:rPr>
          <w:color w:val="000000"/>
          <w:szCs w:val="22"/>
          <w:lang w:val="es-ES_tradnl"/>
        </w:rPr>
        <w:t xml:space="preserve"> 0,5 mg una vez al mes o TFD con </w:t>
      </w:r>
      <w:proofErr w:type="spellStart"/>
      <w:r w:rsidRPr="003E0B98">
        <w:rPr>
          <w:color w:val="000000"/>
          <w:szCs w:val="22"/>
          <w:lang w:val="es-ES_tradnl"/>
        </w:rPr>
        <w:t>verteporfina</w:t>
      </w:r>
      <w:proofErr w:type="spellEnd"/>
      <w:r w:rsidRPr="003E0B98">
        <w:rPr>
          <w:color w:val="000000"/>
          <w:szCs w:val="22"/>
          <w:lang w:val="es-ES_tradnl"/>
        </w:rPr>
        <w:t xml:space="preserve"> (</w:t>
      </w:r>
      <w:r w:rsidR="00DF5BC8" w:rsidRPr="003E0B98">
        <w:rPr>
          <w:color w:val="000000"/>
          <w:szCs w:val="22"/>
          <w:lang w:val="es-ES_tradnl"/>
        </w:rPr>
        <w:t xml:space="preserve">al inicio </w:t>
      </w:r>
      <w:r w:rsidRPr="003E0B98">
        <w:rPr>
          <w:color w:val="000000"/>
          <w:szCs w:val="22"/>
          <w:lang w:val="es-ES_tradnl"/>
        </w:rPr>
        <w:t xml:space="preserve">y posteriormente cada 3 meses si la angiografía </w:t>
      </w:r>
      <w:proofErr w:type="spellStart"/>
      <w:r w:rsidRPr="003E0B98">
        <w:rPr>
          <w:color w:val="000000"/>
          <w:szCs w:val="22"/>
          <w:lang w:val="es-ES_tradnl"/>
        </w:rPr>
        <w:t>fluoresceínica</w:t>
      </w:r>
      <w:proofErr w:type="spellEnd"/>
      <w:r w:rsidRPr="003E0B98">
        <w:rPr>
          <w:color w:val="000000"/>
          <w:szCs w:val="22"/>
          <w:lang w:val="es-ES_tradnl"/>
        </w:rPr>
        <w:t xml:space="preserve"> mostraba persistencia o recurrencia de la exudación vascular</w:t>
      </w:r>
      <w:r w:rsidR="00DF5BC8" w:rsidRPr="003E0B98">
        <w:rPr>
          <w:color w:val="000000"/>
          <w:szCs w:val="22"/>
          <w:lang w:val="es-ES_tradnl"/>
        </w:rPr>
        <w:t>)</w:t>
      </w:r>
      <w:r w:rsidRPr="003E0B98">
        <w:rPr>
          <w:color w:val="000000"/>
          <w:szCs w:val="22"/>
          <w:lang w:val="es-ES_tradnl"/>
        </w:rPr>
        <w:t>.</w:t>
      </w:r>
    </w:p>
    <w:p w14:paraId="32FE5A49" w14:textId="77777777" w:rsidR="002E5034" w:rsidRPr="003E0B98" w:rsidRDefault="002E5034" w:rsidP="004361AC">
      <w:pPr>
        <w:tabs>
          <w:tab w:val="clear" w:pos="567"/>
        </w:tabs>
        <w:spacing w:line="240" w:lineRule="auto"/>
        <w:rPr>
          <w:color w:val="000000"/>
          <w:szCs w:val="22"/>
          <w:lang w:val="es-ES_tradnl"/>
        </w:rPr>
      </w:pPr>
    </w:p>
    <w:p w14:paraId="62DA7EC1" w14:textId="77777777" w:rsidR="002E5034" w:rsidRPr="003E0B98" w:rsidRDefault="002E5034" w:rsidP="004361AC">
      <w:pPr>
        <w:tabs>
          <w:tab w:val="clear" w:pos="567"/>
        </w:tabs>
        <w:spacing w:line="240" w:lineRule="auto"/>
        <w:rPr>
          <w:color w:val="000000"/>
          <w:szCs w:val="22"/>
          <w:lang w:val="es-ES_tradnl"/>
        </w:rPr>
      </w:pPr>
      <w:r w:rsidRPr="003E0B98">
        <w:rPr>
          <w:color w:val="000000"/>
          <w:szCs w:val="22"/>
          <w:lang w:val="es-ES_tradnl"/>
        </w:rPr>
        <w:t>En la Tabla 1 y en la Figura 1 se resumen los resultados clave.</w:t>
      </w:r>
    </w:p>
    <w:p w14:paraId="733DA2F4" w14:textId="77777777" w:rsidR="002E5034" w:rsidRPr="003E0B98" w:rsidRDefault="002E5034" w:rsidP="004361AC">
      <w:pPr>
        <w:tabs>
          <w:tab w:val="clear" w:pos="567"/>
        </w:tabs>
        <w:spacing w:line="240" w:lineRule="auto"/>
        <w:rPr>
          <w:color w:val="000000"/>
          <w:szCs w:val="22"/>
          <w:lang w:val="es-ES_tradnl"/>
        </w:rPr>
      </w:pPr>
    </w:p>
    <w:p w14:paraId="1EA1599D" w14:textId="77777777" w:rsidR="002E5034" w:rsidRPr="003E0B98" w:rsidRDefault="002E5034" w:rsidP="004361AC">
      <w:pPr>
        <w:keepNext/>
        <w:keepLines/>
        <w:tabs>
          <w:tab w:val="clear" w:pos="567"/>
        </w:tabs>
        <w:spacing w:line="240" w:lineRule="auto"/>
        <w:ind w:left="1134" w:hanging="1134"/>
        <w:rPr>
          <w:b/>
          <w:color w:val="000000"/>
          <w:szCs w:val="22"/>
          <w:lang w:val="es-ES_tradnl"/>
        </w:rPr>
      </w:pPr>
      <w:r w:rsidRPr="003E0B98">
        <w:rPr>
          <w:b/>
          <w:color w:val="000000"/>
          <w:szCs w:val="22"/>
          <w:lang w:val="es-ES_tradnl"/>
        </w:rPr>
        <w:t>Tabla </w:t>
      </w:r>
      <w:r w:rsidR="00257CAC" w:rsidRPr="003E0B98">
        <w:rPr>
          <w:b/>
          <w:color w:val="000000"/>
          <w:szCs w:val="22"/>
          <w:lang w:val="es-ES_tradnl"/>
        </w:rPr>
        <w:t>1</w:t>
      </w:r>
      <w:r w:rsidRPr="003E0B98">
        <w:rPr>
          <w:b/>
          <w:color w:val="000000"/>
          <w:szCs w:val="22"/>
          <w:lang w:val="es-ES_tradnl"/>
        </w:rPr>
        <w:tab/>
        <w:t xml:space="preserve">Resultados al Mes 12 y al Mes 24 en el ensayo </w:t>
      </w:r>
      <w:r w:rsidR="002838B3" w:rsidRPr="003E0B98">
        <w:rPr>
          <w:b/>
          <w:color w:val="000000"/>
          <w:szCs w:val="22"/>
          <w:lang w:val="es-ES_tradnl"/>
        </w:rPr>
        <w:t xml:space="preserve">FVF2598g (MARINA) y </w:t>
      </w:r>
      <w:r w:rsidRPr="003E0B98">
        <w:rPr>
          <w:b/>
          <w:color w:val="000000"/>
          <w:szCs w:val="22"/>
          <w:lang w:val="es-ES_tradnl"/>
        </w:rPr>
        <w:t>FVF2587g (ANCHOR)</w:t>
      </w:r>
    </w:p>
    <w:p w14:paraId="2EF78FF6" w14:textId="77777777" w:rsidR="002E5034" w:rsidRPr="003E0B98" w:rsidRDefault="002E5034" w:rsidP="004361AC">
      <w:pPr>
        <w:keepNext/>
        <w:keepLines/>
        <w:tabs>
          <w:tab w:val="clear" w:pos="567"/>
        </w:tabs>
        <w:spacing w:line="240" w:lineRule="auto"/>
        <w:rPr>
          <w:color w:val="000000"/>
          <w:szCs w:val="22"/>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7"/>
        <w:gridCol w:w="1283"/>
        <w:gridCol w:w="1292"/>
        <w:gridCol w:w="1313"/>
        <w:gridCol w:w="1650"/>
        <w:gridCol w:w="1466"/>
      </w:tblGrid>
      <w:tr w:rsidR="00257CAC" w:rsidRPr="003E0B98" w14:paraId="265F96B9" w14:textId="77777777" w:rsidTr="001D4234">
        <w:tc>
          <w:tcPr>
            <w:tcW w:w="2143" w:type="dxa"/>
          </w:tcPr>
          <w:p w14:paraId="6A5AA57C" w14:textId="77777777" w:rsidR="00257CAC" w:rsidRPr="003E0B98" w:rsidRDefault="00257CAC" w:rsidP="004361AC">
            <w:pPr>
              <w:keepNext/>
              <w:tabs>
                <w:tab w:val="clear" w:pos="567"/>
              </w:tabs>
              <w:spacing w:line="240" w:lineRule="auto"/>
              <w:rPr>
                <w:color w:val="000000"/>
                <w:szCs w:val="22"/>
                <w:lang w:val="es-ES"/>
              </w:rPr>
            </w:pPr>
          </w:p>
        </w:tc>
        <w:tc>
          <w:tcPr>
            <w:tcW w:w="1362" w:type="dxa"/>
          </w:tcPr>
          <w:p w14:paraId="328B6D13" w14:textId="77777777" w:rsidR="00257CAC" w:rsidRPr="003E0B98" w:rsidRDefault="00257CAC" w:rsidP="004361AC">
            <w:pPr>
              <w:keepNext/>
              <w:tabs>
                <w:tab w:val="clear" w:pos="567"/>
              </w:tabs>
              <w:spacing w:line="240" w:lineRule="auto"/>
              <w:jc w:val="center"/>
              <w:rPr>
                <w:color w:val="000000"/>
                <w:szCs w:val="22"/>
                <w:lang w:val="es-ES"/>
              </w:rPr>
            </w:pPr>
          </w:p>
        </w:tc>
        <w:tc>
          <w:tcPr>
            <w:tcW w:w="2505" w:type="dxa"/>
            <w:gridSpan w:val="2"/>
          </w:tcPr>
          <w:p w14:paraId="29E44261" w14:textId="77777777" w:rsidR="00257CAC" w:rsidRPr="003E0B98" w:rsidRDefault="00257CAC" w:rsidP="004361AC">
            <w:pPr>
              <w:keepNext/>
              <w:tabs>
                <w:tab w:val="clear" w:pos="567"/>
              </w:tabs>
              <w:spacing w:line="240" w:lineRule="auto"/>
              <w:jc w:val="center"/>
              <w:rPr>
                <w:color w:val="000000"/>
                <w:szCs w:val="22"/>
              </w:rPr>
            </w:pPr>
            <w:r w:rsidRPr="003E0B98">
              <w:rPr>
                <w:color w:val="000000"/>
                <w:szCs w:val="22"/>
              </w:rPr>
              <w:t>FVF2598g (MARINA)</w:t>
            </w:r>
          </w:p>
        </w:tc>
        <w:tc>
          <w:tcPr>
            <w:tcW w:w="3277" w:type="dxa"/>
            <w:gridSpan w:val="2"/>
          </w:tcPr>
          <w:p w14:paraId="34D339DD" w14:textId="77777777" w:rsidR="00257CAC" w:rsidRPr="003E0B98" w:rsidRDefault="00257CAC" w:rsidP="004361AC">
            <w:pPr>
              <w:keepNext/>
              <w:tabs>
                <w:tab w:val="clear" w:pos="567"/>
              </w:tabs>
              <w:spacing w:line="240" w:lineRule="auto"/>
              <w:jc w:val="center"/>
              <w:rPr>
                <w:color w:val="000000"/>
                <w:szCs w:val="22"/>
              </w:rPr>
            </w:pPr>
            <w:r w:rsidRPr="003E0B98">
              <w:rPr>
                <w:color w:val="000000"/>
                <w:szCs w:val="22"/>
              </w:rPr>
              <w:t>FVF2587g (ANCHOR)</w:t>
            </w:r>
          </w:p>
        </w:tc>
      </w:tr>
      <w:tr w:rsidR="00257CAC" w:rsidRPr="003E0B98" w14:paraId="40490B27" w14:textId="77777777" w:rsidTr="000B316C">
        <w:tc>
          <w:tcPr>
            <w:tcW w:w="2143" w:type="dxa"/>
          </w:tcPr>
          <w:p w14:paraId="3C25FCF7" w14:textId="77777777" w:rsidR="00257CAC" w:rsidRPr="003E0B98" w:rsidRDefault="00257CAC" w:rsidP="004361AC">
            <w:pPr>
              <w:keepNext/>
              <w:tabs>
                <w:tab w:val="clear" w:pos="567"/>
              </w:tabs>
              <w:spacing w:line="240" w:lineRule="auto"/>
              <w:rPr>
                <w:color w:val="000000"/>
                <w:szCs w:val="22"/>
              </w:rPr>
            </w:pPr>
            <w:proofErr w:type="spellStart"/>
            <w:r w:rsidRPr="003E0B98">
              <w:rPr>
                <w:color w:val="000000"/>
                <w:szCs w:val="22"/>
              </w:rPr>
              <w:t>Medida</w:t>
            </w:r>
            <w:proofErr w:type="spellEnd"/>
            <w:r w:rsidRPr="003E0B98">
              <w:rPr>
                <w:color w:val="000000"/>
                <w:szCs w:val="22"/>
              </w:rPr>
              <w:t xml:space="preserve"> del </w:t>
            </w:r>
            <w:proofErr w:type="spellStart"/>
            <w:r w:rsidRPr="003E0B98">
              <w:rPr>
                <w:color w:val="000000"/>
                <w:szCs w:val="22"/>
              </w:rPr>
              <w:t>resultado</w:t>
            </w:r>
            <w:proofErr w:type="spellEnd"/>
          </w:p>
        </w:tc>
        <w:tc>
          <w:tcPr>
            <w:tcW w:w="1362" w:type="dxa"/>
          </w:tcPr>
          <w:p w14:paraId="18666DB1" w14:textId="77777777" w:rsidR="00257CAC" w:rsidRPr="003E0B98" w:rsidRDefault="00257CAC" w:rsidP="004361AC">
            <w:pPr>
              <w:keepNext/>
              <w:tabs>
                <w:tab w:val="clear" w:pos="567"/>
              </w:tabs>
              <w:spacing w:line="240" w:lineRule="auto"/>
              <w:jc w:val="center"/>
              <w:rPr>
                <w:color w:val="000000"/>
                <w:szCs w:val="22"/>
              </w:rPr>
            </w:pPr>
            <w:r w:rsidRPr="003E0B98">
              <w:rPr>
                <w:color w:val="000000"/>
                <w:szCs w:val="22"/>
              </w:rPr>
              <w:t>Mes</w:t>
            </w:r>
          </w:p>
        </w:tc>
        <w:tc>
          <w:tcPr>
            <w:tcW w:w="1128" w:type="dxa"/>
          </w:tcPr>
          <w:p w14:paraId="2C8AF099" w14:textId="77777777" w:rsidR="00257CAC" w:rsidRPr="003E0B98" w:rsidRDefault="00257CAC" w:rsidP="004361AC">
            <w:pPr>
              <w:keepNext/>
              <w:tabs>
                <w:tab w:val="clear" w:pos="567"/>
              </w:tabs>
              <w:spacing w:line="240" w:lineRule="auto"/>
              <w:jc w:val="center"/>
              <w:rPr>
                <w:color w:val="000000"/>
                <w:szCs w:val="22"/>
                <w:lang w:val="es-ES"/>
              </w:rPr>
            </w:pPr>
            <w:r w:rsidRPr="003E0B98">
              <w:rPr>
                <w:color w:val="000000"/>
                <w:szCs w:val="22"/>
                <w:lang w:val="es-ES"/>
              </w:rPr>
              <w:t xml:space="preserve">Tratamiento simulado o </w:t>
            </w:r>
            <w:proofErr w:type="spellStart"/>
            <w:r w:rsidRPr="003E0B98">
              <w:rPr>
                <w:color w:val="000000"/>
                <w:szCs w:val="22"/>
                <w:lang w:val="es-ES"/>
              </w:rPr>
              <w:t>sham</w:t>
            </w:r>
            <w:proofErr w:type="spellEnd"/>
          </w:p>
          <w:p w14:paraId="693CFA7E" w14:textId="77777777" w:rsidR="00257CAC" w:rsidRPr="003E0B98" w:rsidRDefault="00257CAC" w:rsidP="004361AC">
            <w:pPr>
              <w:keepNext/>
              <w:tabs>
                <w:tab w:val="clear" w:pos="567"/>
              </w:tabs>
              <w:spacing w:line="240" w:lineRule="auto"/>
              <w:jc w:val="center"/>
              <w:rPr>
                <w:color w:val="000000"/>
                <w:szCs w:val="22"/>
                <w:lang w:val="es-ES"/>
              </w:rPr>
            </w:pPr>
            <w:r w:rsidRPr="003E0B98">
              <w:rPr>
                <w:color w:val="000000"/>
                <w:szCs w:val="22"/>
                <w:lang w:val="es-ES"/>
              </w:rPr>
              <w:t>(n=238)</w:t>
            </w:r>
          </w:p>
        </w:tc>
        <w:tc>
          <w:tcPr>
            <w:tcW w:w="1377" w:type="dxa"/>
          </w:tcPr>
          <w:p w14:paraId="6362969A" w14:textId="77777777" w:rsidR="00257CAC" w:rsidRPr="003E0B98" w:rsidRDefault="00257CAC" w:rsidP="004361AC">
            <w:pPr>
              <w:keepNext/>
              <w:tabs>
                <w:tab w:val="clear" w:pos="567"/>
              </w:tabs>
              <w:spacing w:line="240" w:lineRule="auto"/>
              <w:jc w:val="center"/>
              <w:rPr>
                <w:color w:val="000000"/>
                <w:szCs w:val="22"/>
              </w:rPr>
            </w:pPr>
            <w:r w:rsidRPr="003E0B98">
              <w:rPr>
                <w:color w:val="000000"/>
                <w:szCs w:val="22"/>
              </w:rPr>
              <w:t>Lucentis 0,5 mg</w:t>
            </w:r>
          </w:p>
          <w:p w14:paraId="58388230" w14:textId="77777777" w:rsidR="00257CAC" w:rsidRPr="003E0B98" w:rsidRDefault="00257CAC" w:rsidP="004361AC">
            <w:pPr>
              <w:keepNext/>
              <w:tabs>
                <w:tab w:val="clear" w:pos="567"/>
              </w:tabs>
              <w:spacing w:line="240" w:lineRule="auto"/>
              <w:jc w:val="center"/>
              <w:rPr>
                <w:color w:val="000000"/>
                <w:szCs w:val="22"/>
              </w:rPr>
            </w:pPr>
            <w:r w:rsidRPr="003E0B98">
              <w:rPr>
                <w:color w:val="000000"/>
                <w:szCs w:val="22"/>
              </w:rPr>
              <w:t>(n=240)</w:t>
            </w:r>
          </w:p>
        </w:tc>
        <w:tc>
          <w:tcPr>
            <w:tcW w:w="1718" w:type="dxa"/>
          </w:tcPr>
          <w:p w14:paraId="0AE74907" w14:textId="77777777" w:rsidR="00257CAC" w:rsidRPr="003E0B98" w:rsidRDefault="00257CAC" w:rsidP="004361AC">
            <w:pPr>
              <w:keepNext/>
              <w:tabs>
                <w:tab w:val="clear" w:pos="567"/>
              </w:tabs>
              <w:spacing w:line="240" w:lineRule="auto"/>
              <w:jc w:val="center"/>
              <w:rPr>
                <w:color w:val="000000"/>
                <w:szCs w:val="22"/>
              </w:rPr>
            </w:pPr>
            <w:r w:rsidRPr="003E0B98">
              <w:rPr>
                <w:color w:val="000000"/>
                <w:szCs w:val="22"/>
              </w:rPr>
              <w:t xml:space="preserve">TFD con </w:t>
            </w:r>
            <w:proofErr w:type="spellStart"/>
            <w:r w:rsidRPr="003E0B98">
              <w:rPr>
                <w:color w:val="000000"/>
                <w:szCs w:val="22"/>
              </w:rPr>
              <w:t>verteporfina</w:t>
            </w:r>
            <w:proofErr w:type="spellEnd"/>
            <w:r w:rsidRPr="003E0B98">
              <w:rPr>
                <w:color w:val="000000"/>
                <w:szCs w:val="22"/>
              </w:rPr>
              <w:t xml:space="preserve"> (n=143)</w:t>
            </w:r>
          </w:p>
        </w:tc>
        <w:tc>
          <w:tcPr>
            <w:tcW w:w="1559" w:type="dxa"/>
          </w:tcPr>
          <w:p w14:paraId="65E93FFF" w14:textId="77777777" w:rsidR="00257CAC" w:rsidRPr="003E0B98" w:rsidRDefault="00257CAC" w:rsidP="004361AC">
            <w:pPr>
              <w:keepNext/>
              <w:tabs>
                <w:tab w:val="clear" w:pos="567"/>
              </w:tabs>
              <w:spacing w:line="240" w:lineRule="auto"/>
              <w:jc w:val="center"/>
              <w:rPr>
                <w:color w:val="000000"/>
                <w:szCs w:val="22"/>
              </w:rPr>
            </w:pPr>
            <w:r w:rsidRPr="003E0B98">
              <w:rPr>
                <w:color w:val="000000"/>
                <w:szCs w:val="22"/>
              </w:rPr>
              <w:t>Lucentis 0,5 mg (n=140)</w:t>
            </w:r>
          </w:p>
        </w:tc>
      </w:tr>
      <w:tr w:rsidR="00257CAC" w:rsidRPr="003E0B98" w14:paraId="67707C43" w14:textId="77777777" w:rsidTr="000B316C">
        <w:tc>
          <w:tcPr>
            <w:tcW w:w="2143" w:type="dxa"/>
            <w:vMerge w:val="restart"/>
          </w:tcPr>
          <w:p w14:paraId="4D3DB820" w14:textId="77777777" w:rsidR="00257CAC" w:rsidRPr="003E0B98" w:rsidRDefault="00257CAC" w:rsidP="004361AC">
            <w:pPr>
              <w:keepNext/>
              <w:tabs>
                <w:tab w:val="clear" w:pos="567"/>
              </w:tabs>
              <w:spacing w:line="240" w:lineRule="auto"/>
              <w:rPr>
                <w:color w:val="000000"/>
                <w:szCs w:val="22"/>
                <w:lang w:val="es-ES_tradnl"/>
              </w:rPr>
            </w:pPr>
            <w:r w:rsidRPr="003E0B98">
              <w:rPr>
                <w:color w:val="000000"/>
                <w:szCs w:val="22"/>
                <w:lang w:val="es-ES_tradnl"/>
              </w:rPr>
              <w:t>Pérdida de &lt;15 letras de agudeza visual (</w:t>
            </w:r>
            <w:proofErr w:type="gramStart"/>
            <w:r w:rsidRPr="003E0B98">
              <w:rPr>
                <w:color w:val="000000"/>
                <w:szCs w:val="22"/>
                <w:lang w:val="es-ES_tradnl"/>
              </w:rPr>
              <w:t>%)</w:t>
            </w:r>
            <w:r w:rsidRPr="003E0B98">
              <w:rPr>
                <w:color w:val="000000"/>
                <w:szCs w:val="22"/>
                <w:vertAlign w:val="superscript"/>
                <w:lang w:val="es-ES_tradnl"/>
              </w:rPr>
              <w:t>a</w:t>
            </w:r>
            <w:proofErr w:type="gramEnd"/>
          </w:p>
          <w:p w14:paraId="53CD7F1D" w14:textId="77777777" w:rsidR="00257CAC" w:rsidRPr="003E0B98" w:rsidRDefault="00257CAC" w:rsidP="004361AC">
            <w:pPr>
              <w:keepNext/>
              <w:tabs>
                <w:tab w:val="clear" w:pos="567"/>
              </w:tabs>
              <w:spacing w:line="240" w:lineRule="auto"/>
              <w:rPr>
                <w:color w:val="000000"/>
                <w:szCs w:val="22"/>
                <w:lang w:val="es-ES_tradnl"/>
              </w:rPr>
            </w:pPr>
            <w:r w:rsidRPr="003E0B98">
              <w:rPr>
                <w:color w:val="000000"/>
                <w:szCs w:val="22"/>
                <w:lang w:val="es-ES_tradnl"/>
              </w:rPr>
              <w:t>(mantenimiento de la visión, variable primaria)</w:t>
            </w:r>
          </w:p>
        </w:tc>
        <w:tc>
          <w:tcPr>
            <w:tcW w:w="1362" w:type="dxa"/>
          </w:tcPr>
          <w:p w14:paraId="0D924D0F" w14:textId="77777777" w:rsidR="00257CAC" w:rsidRPr="003E0B98" w:rsidRDefault="00257CAC" w:rsidP="004361AC">
            <w:pPr>
              <w:keepNext/>
              <w:tabs>
                <w:tab w:val="clear" w:pos="567"/>
              </w:tabs>
              <w:spacing w:line="240" w:lineRule="auto"/>
              <w:jc w:val="center"/>
              <w:rPr>
                <w:color w:val="000000"/>
                <w:szCs w:val="22"/>
              </w:rPr>
            </w:pPr>
            <w:r w:rsidRPr="003E0B98">
              <w:rPr>
                <w:color w:val="000000"/>
                <w:szCs w:val="22"/>
              </w:rPr>
              <w:t>Mes 12</w:t>
            </w:r>
          </w:p>
        </w:tc>
        <w:tc>
          <w:tcPr>
            <w:tcW w:w="1128" w:type="dxa"/>
          </w:tcPr>
          <w:p w14:paraId="40A303E7" w14:textId="77777777" w:rsidR="00257CAC" w:rsidRPr="003E0B98" w:rsidRDefault="00257CAC" w:rsidP="004361AC">
            <w:pPr>
              <w:keepNext/>
              <w:tabs>
                <w:tab w:val="clear" w:pos="567"/>
              </w:tabs>
              <w:spacing w:line="240" w:lineRule="auto"/>
              <w:jc w:val="center"/>
              <w:rPr>
                <w:color w:val="000000"/>
                <w:szCs w:val="22"/>
              </w:rPr>
            </w:pPr>
            <w:r w:rsidRPr="003E0B98">
              <w:rPr>
                <w:color w:val="000000"/>
                <w:szCs w:val="22"/>
              </w:rPr>
              <w:t>62%</w:t>
            </w:r>
          </w:p>
        </w:tc>
        <w:tc>
          <w:tcPr>
            <w:tcW w:w="1377" w:type="dxa"/>
          </w:tcPr>
          <w:p w14:paraId="48D98B63" w14:textId="77777777" w:rsidR="00257CAC" w:rsidRPr="003E0B98" w:rsidRDefault="002838B3" w:rsidP="004361AC">
            <w:pPr>
              <w:keepNext/>
              <w:tabs>
                <w:tab w:val="clear" w:pos="567"/>
              </w:tabs>
              <w:spacing w:line="240" w:lineRule="auto"/>
              <w:jc w:val="center"/>
              <w:rPr>
                <w:color w:val="000000"/>
                <w:szCs w:val="22"/>
              </w:rPr>
            </w:pPr>
            <w:r w:rsidRPr="003E0B98">
              <w:rPr>
                <w:color w:val="000000"/>
                <w:szCs w:val="22"/>
              </w:rPr>
              <w:t>95%</w:t>
            </w:r>
          </w:p>
        </w:tc>
        <w:tc>
          <w:tcPr>
            <w:tcW w:w="1718" w:type="dxa"/>
          </w:tcPr>
          <w:p w14:paraId="5CC51FF7" w14:textId="77777777" w:rsidR="00257CAC" w:rsidRPr="003E0B98" w:rsidRDefault="00257CAC" w:rsidP="004361AC">
            <w:pPr>
              <w:keepNext/>
              <w:tabs>
                <w:tab w:val="clear" w:pos="567"/>
              </w:tabs>
              <w:spacing w:line="240" w:lineRule="auto"/>
              <w:jc w:val="center"/>
              <w:rPr>
                <w:color w:val="000000"/>
                <w:szCs w:val="22"/>
              </w:rPr>
            </w:pPr>
            <w:r w:rsidRPr="003E0B98">
              <w:rPr>
                <w:color w:val="000000"/>
                <w:szCs w:val="22"/>
              </w:rPr>
              <w:t>64%</w:t>
            </w:r>
          </w:p>
        </w:tc>
        <w:tc>
          <w:tcPr>
            <w:tcW w:w="1559" w:type="dxa"/>
          </w:tcPr>
          <w:p w14:paraId="1168401E" w14:textId="77777777" w:rsidR="00257CAC" w:rsidRPr="003E0B98" w:rsidRDefault="00257CAC" w:rsidP="004361AC">
            <w:pPr>
              <w:keepNext/>
              <w:tabs>
                <w:tab w:val="clear" w:pos="567"/>
              </w:tabs>
              <w:spacing w:line="240" w:lineRule="auto"/>
              <w:jc w:val="center"/>
              <w:rPr>
                <w:color w:val="000000"/>
                <w:szCs w:val="22"/>
              </w:rPr>
            </w:pPr>
            <w:r w:rsidRPr="003E0B98">
              <w:rPr>
                <w:color w:val="000000"/>
                <w:szCs w:val="22"/>
              </w:rPr>
              <w:t>96%</w:t>
            </w:r>
          </w:p>
        </w:tc>
      </w:tr>
      <w:tr w:rsidR="00257CAC" w:rsidRPr="003E0B98" w14:paraId="4D8A5921" w14:textId="77777777" w:rsidTr="000B316C">
        <w:tc>
          <w:tcPr>
            <w:tcW w:w="2143" w:type="dxa"/>
            <w:vMerge/>
          </w:tcPr>
          <w:p w14:paraId="615C0D79" w14:textId="77777777" w:rsidR="00257CAC" w:rsidRPr="003E0B98" w:rsidRDefault="00257CAC" w:rsidP="004361AC">
            <w:pPr>
              <w:keepNext/>
              <w:tabs>
                <w:tab w:val="clear" w:pos="567"/>
              </w:tabs>
              <w:spacing w:line="240" w:lineRule="auto"/>
              <w:rPr>
                <w:color w:val="000000"/>
                <w:szCs w:val="22"/>
                <w:lang w:val="es-ES_tradnl"/>
              </w:rPr>
            </w:pPr>
          </w:p>
        </w:tc>
        <w:tc>
          <w:tcPr>
            <w:tcW w:w="1362" w:type="dxa"/>
          </w:tcPr>
          <w:p w14:paraId="237DD3D2" w14:textId="77777777" w:rsidR="00257CAC" w:rsidRPr="003E0B98" w:rsidRDefault="00257CAC" w:rsidP="004361AC">
            <w:pPr>
              <w:keepNext/>
              <w:tabs>
                <w:tab w:val="clear" w:pos="567"/>
              </w:tabs>
              <w:spacing w:line="240" w:lineRule="auto"/>
              <w:jc w:val="center"/>
              <w:rPr>
                <w:color w:val="000000"/>
                <w:szCs w:val="22"/>
              </w:rPr>
            </w:pPr>
            <w:r w:rsidRPr="003E0B98">
              <w:rPr>
                <w:color w:val="000000"/>
                <w:szCs w:val="22"/>
              </w:rPr>
              <w:t>Mes 24</w:t>
            </w:r>
          </w:p>
        </w:tc>
        <w:tc>
          <w:tcPr>
            <w:tcW w:w="1128" w:type="dxa"/>
          </w:tcPr>
          <w:p w14:paraId="2D33D23E" w14:textId="77777777" w:rsidR="00257CAC" w:rsidRPr="003E0B98" w:rsidRDefault="00257CAC" w:rsidP="004361AC">
            <w:pPr>
              <w:keepNext/>
              <w:tabs>
                <w:tab w:val="clear" w:pos="567"/>
              </w:tabs>
              <w:spacing w:line="240" w:lineRule="auto"/>
              <w:jc w:val="center"/>
              <w:rPr>
                <w:color w:val="000000"/>
                <w:szCs w:val="22"/>
              </w:rPr>
            </w:pPr>
            <w:r w:rsidRPr="003E0B98">
              <w:rPr>
                <w:color w:val="000000"/>
                <w:szCs w:val="22"/>
              </w:rPr>
              <w:t>53%</w:t>
            </w:r>
          </w:p>
        </w:tc>
        <w:tc>
          <w:tcPr>
            <w:tcW w:w="1377" w:type="dxa"/>
          </w:tcPr>
          <w:p w14:paraId="38155BC8" w14:textId="77777777" w:rsidR="00257CAC" w:rsidRPr="003E0B98" w:rsidRDefault="002838B3" w:rsidP="004361AC">
            <w:pPr>
              <w:keepNext/>
              <w:tabs>
                <w:tab w:val="clear" w:pos="567"/>
              </w:tabs>
              <w:spacing w:line="240" w:lineRule="auto"/>
              <w:jc w:val="center"/>
              <w:rPr>
                <w:color w:val="000000"/>
                <w:szCs w:val="22"/>
              </w:rPr>
            </w:pPr>
            <w:r w:rsidRPr="003E0B98">
              <w:rPr>
                <w:color w:val="000000"/>
                <w:szCs w:val="22"/>
              </w:rPr>
              <w:t>90%</w:t>
            </w:r>
          </w:p>
        </w:tc>
        <w:tc>
          <w:tcPr>
            <w:tcW w:w="1718" w:type="dxa"/>
          </w:tcPr>
          <w:p w14:paraId="266ED788" w14:textId="77777777" w:rsidR="00257CAC" w:rsidRPr="003E0B98" w:rsidRDefault="00257CAC" w:rsidP="004361AC">
            <w:pPr>
              <w:keepNext/>
              <w:tabs>
                <w:tab w:val="clear" w:pos="567"/>
              </w:tabs>
              <w:spacing w:line="240" w:lineRule="auto"/>
              <w:jc w:val="center"/>
              <w:rPr>
                <w:color w:val="000000"/>
                <w:szCs w:val="22"/>
              </w:rPr>
            </w:pPr>
            <w:r w:rsidRPr="003E0B98">
              <w:rPr>
                <w:color w:val="000000"/>
                <w:szCs w:val="22"/>
              </w:rPr>
              <w:t>66%</w:t>
            </w:r>
          </w:p>
        </w:tc>
        <w:tc>
          <w:tcPr>
            <w:tcW w:w="1559" w:type="dxa"/>
          </w:tcPr>
          <w:p w14:paraId="054F4803" w14:textId="77777777" w:rsidR="00257CAC" w:rsidRPr="003E0B98" w:rsidRDefault="00257CAC" w:rsidP="004361AC">
            <w:pPr>
              <w:keepNext/>
              <w:tabs>
                <w:tab w:val="clear" w:pos="567"/>
              </w:tabs>
              <w:spacing w:line="240" w:lineRule="auto"/>
              <w:jc w:val="center"/>
              <w:rPr>
                <w:color w:val="000000"/>
                <w:szCs w:val="22"/>
              </w:rPr>
            </w:pPr>
            <w:r w:rsidRPr="003E0B98">
              <w:rPr>
                <w:color w:val="000000"/>
                <w:szCs w:val="22"/>
              </w:rPr>
              <w:t>90%</w:t>
            </w:r>
          </w:p>
        </w:tc>
      </w:tr>
      <w:tr w:rsidR="00257CAC" w:rsidRPr="003E0B98" w14:paraId="3DAC7C54" w14:textId="77777777" w:rsidTr="000B316C">
        <w:tc>
          <w:tcPr>
            <w:tcW w:w="2143" w:type="dxa"/>
            <w:vMerge w:val="restart"/>
          </w:tcPr>
          <w:p w14:paraId="4F8A301D" w14:textId="77777777" w:rsidR="00257CAC" w:rsidRPr="003E0B98" w:rsidRDefault="00257CAC" w:rsidP="004361AC">
            <w:pPr>
              <w:keepNext/>
              <w:tabs>
                <w:tab w:val="clear" w:pos="567"/>
              </w:tabs>
              <w:spacing w:line="240" w:lineRule="auto"/>
              <w:rPr>
                <w:color w:val="000000"/>
                <w:szCs w:val="22"/>
                <w:lang w:val="es-ES_tradnl"/>
              </w:rPr>
            </w:pPr>
            <w:r w:rsidRPr="003E0B98">
              <w:rPr>
                <w:color w:val="000000"/>
                <w:szCs w:val="22"/>
                <w:lang w:val="es-ES_tradnl"/>
              </w:rPr>
              <w:t>Ganancia de ≥15 letras de agudeza visual (</w:t>
            </w:r>
            <w:proofErr w:type="gramStart"/>
            <w:r w:rsidRPr="003E0B98">
              <w:rPr>
                <w:color w:val="000000"/>
                <w:szCs w:val="22"/>
                <w:lang w:val="es-ES_tradnl"/>
              </w:rPr>
              <w:t>%)</w:t>
            </w:r>
            <w:r w:rsidRPr="003E0B98">
              <w:rPr>
                <w:color w:val="000000"/>
                <w:szCs w:val="22"/>
                <w:vertAlign w:val="superscript"/>
                <w:lang w:val="es-ES_tradnl"/>
              </w:rPr>
              <w:t>a</w:t>
            </w:r>
            <w:proofErr w:type="gramEnd"/>
          </w:p>
        </w:tc>
        <w:tc>
          <w:tcPr>
            <w:tcW w:w="1362" w:type="dxa"/>
          </w:tcPr>
          <w:p w14:paraId="03649C4F" w14:textId="77777777" w:rsidR="00257CAC" w:rsidRPr="003E0B98" w:rsidRDefault="00257CAC" w:rsidP="004361AC">
            <w:pPr>
              <w:keepNext/>
              <w:tabs>
                <w:tab w:val="clear" w:pos="567"/>
              </w:tabs>
              <w:spacing w:line="240" w:lineRule="auto"/>
              <w:jc w:val="center"/>
              <w:rPr>
                <w:color w:val="000000"/>
                <w:szCs w:val="22"/>
              </w:rPr>
            </w:pPr>
            <w:r w:rsidRPr="003E0B98">
              <w:rPr>
                <w:color w:val="000000"/>
                <w:szCs w:val="22"/>
              </w:rPr>
              <w:t>Mes 12</w:t>
            </w:r>
          </w:p>
        </w:tc>
        <w:tc>
          <w:tcPr>
            <w:tcW w:w="1128" w:type="dxa"/>
          </w:tcPr>
          <w:p w14:paraId="45CD3906" w14:textId="77777777" w:rsidR="00257CAC" w:rsidRPr="003E0B98" w:rsidRDefault="00257CAC" w:rsidP="004361AC">
            <w:pPr>
              <w:keepNext/>
              <w:tabs>
                <w:tab w:val="clear" w:pos="567"/>
              </w:tabs>
              <w:spacing w:line="240" w:lineRule="auto"/>
              <w:jc w:val="center"/>
              <w:rPr>
                <w:color w:val="000000"/>
                <w:szCs w:val="22"/>
              </w:rPr>
            </w:pPr>
            <w:r w:rsidRPr="003E0B98">
              <w:rPr>
                <w:color w:val="000000"/>
                <w:szCs w:val="22"/>
              </w:rPr>
              <w:t>5%</w:t>
            </w:r>
          </w:p>
        </w:tc>
        <w:tc>
          <w:tcPr>
            <w:tcW w:w="1377" w:type="dxa"/>
          </w:tcPr>
          <w:p w14:paraId="6D11691A" w14:textId="77777777" w:rsidR="00257CAC" w:rsidRPr="003E0B98" w:rsidRDefault="002838B3" w:rsidP="004361AC">
            <w:pPr>
              <w:keepNext/>
              <w:tabs>
                <w:tab w:val="clear" w:pos="567"/>
              </w:tabs>
              <w:spacing w:line="240" w:lineRule="auto"/>
              <w:jc w:val="center"/>
              <w:rPr>
                <w:color w:val="000000"/>
                <w:szCs w:val="22"/>
              </w:rPr>
            </w:pPr>
            <w:r w:rsidRPr="003E0B98">
              <w:rPr>
                <w:color w:val="000000"/>
                <w:szCs w:val="22"/>
              </w:rPr>
              <w:t>34%</w:t>
            </w:r>
          </w:p>
        </w:tc>
        <w:tc>
          <w:tcPr>
            <w:tcW w:w="1718" w:type="dxa"/>
          </w:tcPr>
          <w:p w14:paraId="4FFA070D" w14:textId="77777777" w:rsidR="00257CAC" w:rsidRPr="003E0B98" w:rsidRDefault="00257CAC" w:rsidP="004361AC">
            <w:pPr>
              <w:keepNext/>
              <w:tabs>
                <w:tab w:val="clear" w:pos="567"/>
              </w:tabs>
              <w:spacing w:line="240" w:lineRule="auto"/>
              <w:jc w:val="center"/>
              <w:rPr>
                <w:color w:val="000000"/>
                <w:szCs w:val="22"/>
              </w:rPr>
            </w:pPr>
            <w:r w:rsidRPr="003E0B98">
              <w:rPr>
                <w:color w:val="000000"/>
                <w:szCs w:val="22"/>
              </w:rPr>
              <w:t>6%</w:t>
            </w:r>
          </w:p>
        </w:tc>
        <w:tc>
          <w:tcPr>
            <w:tcW w:w="1559" w:type="dxa"/>
          </w:tcPr>
          <w:p w14:paraId="45ED5A42" w14:textId="77777777" w:rsidR="00257CAC" w:rsidRPr="003E0B98" w:rsidRDefault="00257CAC" w:rsidP="004361AC">
            <w:pPr>
              <w:keepNext/>
              <w:tabs>
                <w:tab w:val="clear" w:pos="567"/>
              </w:tabs>
              <w:spacing w:line="240" w:lineRule="auto"/>
              <w:jc w:val="center"/>
              <w:rPr>
                <w:color w:val="000000"/>
                <w:szCs w:val="22"/>
              </w:rPr>
            </w:pPr>
            <w:r w:rsidRPr="003E0B98">
              <w:rPr>
                <w:color w:val="000000"/>
                <w:szCs w:val="22"/>
              </w:rPr>
              <w:t>40%</w:t>
            </w:r>
          </w:p>
        </w:tc>
      </w:tr>
      <w:tr w:rsidR="00257CAC" w:rsidRPr="003E0B98" w14:paraId="36C1A325" w14:textId="77777777" w:rsidTr="000B316C">
        <w:tc>
          <w:tcPr>
            <w:tcW w:w="2143" w:type="dxa"/>
            <w:vMerge/>
          </w:tcPr>
          <w:p w14:paraId="1D2A8101" w14:textId="77777777" w:rsidR="00257CAC" w:rsidRPr="003E0B98" w:rsidRDefault="00257CAC" w:rsidP="004361AC">
            <w:pPr>
              <w:keepNext/>
              <w:tabs>
                <w:tab w:val="clear" w:pos="567"/>
              </w:tabs>
              <w:spacing w:line="240" w:lineRule="auto"/>
              <w:rPr>
                <w:color w:val="000000"/>
                <w:szCs w:val="22"/>
                <w:lang w:val="es-ES_tradnl"/>
              </w:rPr>
            </w:pPr>
          </w:p>
        </w:tc>
        <w:tc>
          <w:tcPr>
            <w:tcW w:w="1362" w:type="dxa"/>
          </w:tcPr>
          <w:p w14:paraId="02A3B8B7" w14:textId="77777777" w:rsidR="00257CAC" w:rsidRPr="003E0B98" w:rsidRDefault="00257CAC" w:rsidP="004361AC">
            <w:pPr>
              <w:keepNext/>
              <w:tabs>
                <w:tab w:val="clear" w:pos="567"/>
              </w:tabs>
              <w:spacing w:line="240" w:lineRule="auto"/>
              <w:jc w:val="center"/>
              <w:rPr>
                <w:color w:val="000000"/>
                <w:szCs w:val="22"/>
              </w:rPr>
            </w:pPr>
            <w:r w:rsidRPr="003E0B98">
              <w:rPr>
                <w:color w:val="000000"/>
                <w:szCs w:val="22"/>
              </w:rPr>
              <w:t>Mes 24</w:t>
            </w:r>
          </w:p>
        </w:tc>
        <w:tc>
          <w:tcPr>
            <w:tcW w:w="1128" w:type="dxa"/>
          </w:tcPr>
          <w:p w14:paraId="5DF2048B" w14:textId="77777777" w:rsidR="00257CAC" w:rsidRPr="003E0B98" w:rsidRDefault="00257CAC" w:rsidP="004361AC">
            <w:pPr>
              <w:keepNext/>
              <w:tabs>
                <w:tab w:val="clear" w:pos="567"/>
              </w:tabs>
              <w:spacing w:line="240" w:lineRule="auto"/>
              <w:jc w:val="center"/>
              <w:rPr>
                <w:color w:val="000000"/>
                <w:szCs w:val="22"/>
              </w:rPr>
            </w:pPr>
            <w:r w:rsidRPr="003E0B98">
              <w:rPr>
                <w:color w:val="000000"/>
                <w:szCs w:val="22"/>
              </w:rPr>
              <w:t>4%</w:t>
            </w:r>
          </w:p>
        </w:tc>
        <w:tc>
          <w:tcPr>
            <w:tcW w:w="1377" w:type="dxa"/>
          </w:tcPr>
          <w:p w14:paraId="28A52DF4" w14:textId="77777777" w:rsidR="00257CAC" w:rsidRPr="003E0B98" w:rsidRDefault="002838B3" w:rsidP="004361AC">
            <w:pPr>
              <w:keepNext/>
              <w:tabs>
                <w:tab w:val="clear" w:pos="567"/>
              </w:tabs>
              <w:spacing w:line="240" w:lineRule="auto"/>
              <w:jc w:val="center"/>
              <w:rPr>
                <w:color w:val="000000"/>
                <w:szCs w:val="22"/>
              </w:rPr>
            </w:pPr>
            <w:r w:rsidRPr="003E0B98">
              <w:rPr>
                <w:color w:val="000000"/>
                <w:szCs w:val="22"/>
              </w:rPr>
              <w:t>33%</w:t>
            </w:r>
          </w:p>
        </w:tc>
        <w:tc>
          <w:tcPr>
            <w:tcW w:w="1718" w:type="dxa"/>
          </w:tcPr>
          <w:p w14:paraId="63E0B1DF" w14:textId="77777777" w:rsidR="00257CAC" w:rsidRPr="003E0B98" w:rsidRDefault="00257CAC" w:rsidP="004361AC">
            <w:pPr>
              <w:keepNext/>
              <w:tabs>
                <w:tab w:val="clear" w:pos="567"/>
              </w:tabs>
              <w:spacing w:line="240" w:lineRule="auto"/>
              <w:jc w:val="center"/>
              <w:rPr>
                <w:color w:val="000000"/>
                <w:szCs w:val="22"/>
              </w:rPr>
            </w:pPr>
            <w:r w:rsidRPr="003E0B98">
              <w:rPr>
                <w:color w:val="000000"/>
                <w:szCs w:val="22"/>
              </w:rPr>
              <w:t>6%</w:t>
            </w:r>
          </w:p>
        </w:tc>
        <w:tc>
          <w:tcPr>
            <w:tcW w:w="1559" w:type="dxa"/>
          </w:tcPr>
          <w:p w14:paraId="3E1495BF" w14:textId="77777777" w:rsidR="00257CAC" w:rsidRPr="003E0B98" w:rsidRDefault="00257CAC" w:rsidP="004361AC">
            <w:pPr>
              <w:keepNext/>
              <w:tabs>
                <w:tab w:val="clear" w:pos="567"/>
              </w:tabs>
              <w:spacing w:line="240" w:lineRule="auto"/>
              <w:jc w:val="center"/>
              <w:rPr>
                <w:color w:val="000000"/>
                <w:szCs w:val="22"/>
              </w:rPr>
            </w:pPr>
            <w:r w:rsidRPr="003E0B98">
              <w:rPr>
                <w:color w:val="000000"/>
                <w:szCs w:val="22"/>
              </w:rPr>
              <w:t>41%</w:t>
            </w:r>
          </w:p>
        </w:tc>
      </w:tr>
      <w:tr w:rsidR="00257CAC" w:rsidRPr="003E0B98" w14:paraId="61B31C03" w14:textId="77777777" w:rsidTr="000B316C">
        <w:tc>
          <w:tcPr>
            <w:tcW w:w="2143" w:type="dxa"/>
            <w:vMerge w:val="restart"/>
          </w:tcPr>
          <w:p w14:paraId="3D9C855A" w14:textId="77777777" w:rsidR="00257CAC" w:rsidRPr="003E0B98" w:rsidRDefault="00257CAC" w:rsidP="004361AC">
            <w:pPr>
              <w:keepNext/>
              <w:keepLines/>
              <w:tabs>
                <w:tab w:val="clear" w:pos="567"/>
              </w:tabs>
              <w:spacing w:line="240" w:lineRule="auto"/>
              <w:rPr>
                <w:color w:val="000000"/>
                <w:szCs w:val="22"/>
                <w:lang w:val="es-ES_tradnl"/>
              </w:rPr>
            </w:pPr>
            <w:r w:rsidRPr="003E0B98">
              <w:rPr>
                <w:color w:val="000000"/>
                <w:szCs w:val="22"/>
                <w:lang w:val="es-ES_tradnl"/>
              </w:rPr>
              <w:t xml:space="preserve">Cambio </w:t>
            </w:r>
            <w:r w:rsidR="00717C2E" w:rsidRPr="003E0B98">
              <w:rPr>
                <w:color w:val="000000"/>
                <w:szCs w:val="22"/>
                <w:lang w:val="es-ES_tradnl"/>
              </w:rPr>
              <w:t>pro</w:t>
            </w:r>
            <w:r w:rsidRPr="003E0B98">
              <w:rPr>
                <w:color w:val="000000"/>
                <w:szCs w:val="22"/>
                <w:lang w:val="es-ES_tradnl"/>
              </w:rPr>
              <w:t xml:space="preserve">medio </w:t>
            </w:r>
            <w:r w:rsidR="0033178E" w:rsidRPr="003E0B98">
              <w:rPr>
                <w:color w:val="000000"/>
                <w:szCs w:val="22"/>
                <w:lang w:val="es-ES_tradnl"/>
              </w:rPr>
              <w:t>de</w:t>
            </w:r>
            <w:r w:rsidRPr="003E0B98">
              <w:rPr>
                <w:color w:val="000000"/>
                <w:szCs w:val="22"/>
                <w:lang w:val="es-ES_tradnl"/>
              </w:rPr>
              <w:t xml:space="preserve"> la agudeza visual (letras) (desviación </w:t>
            </w:r>
            <w:proofErr w:type="gramStart"/>
            <w:r w:rsidRPr="003E0B98">
              <w:rPr>
                <w:color w:val="000000"/>
                <w:szCs w:val="22"/>
                <w:lang w:val="es-ES_tradnl"/>
              </w:rPr>
              <w:t>estándar)</w:t>
            </w:r>
            <w:r w:rsidRPr="003E0B98">
              <w:rPr>
                <w:color w:val="000000"/>
                <w:szCs w:val="22"/>
                <w:vertAlign w:val="superscript"/>
                <w:lang w:val="es-ES_tradnl"/>
              </w:rPr>
              <w:t>a</w:t>
            </w:r>
            <w:proofErr w:type="gramEnd"/>
          </w:p>
        </w:tc>
        <w:tc>
          <w:tcPr>
            <w:tcW w:w="1362" w:type="dxa"/>
            <w:tcBorders>
              <w:bottom w:val="single" w:sz="4" w:space="0" w:color="auto"/>
            </w:tcBorders>
          </w:tcPr>
          <w:p w14:paraId="38B4AF67" w14:textId="77777777" w:rsidR="00257CAC" w:rsidRPr="003E0B98" w:rsidRDefault="00257CAC" w:rsidP="004361AC">
            <w:pPr>
              <w:keepNext/>
              <w:keepLines/>
              <w:tabs>
                <w:tab w:val="clear" w:pos="567"/>
              </w:tabs>
              <w:spacing w:line="240" w:lineRule="auto"/>
              <w:jc w:val="center"/>
              <w:rPr>
                <w:color w:val="000000"/>
                <w:szCs w:val="22"/>
              </w:rPr>
            </w:pPr>
            <w:r w:rsidRPr="003E0B98">
              <w:rPr>
                <w:color w:val="000000"/>
                <w:szCs w:val="22"/>
              </w:rPr>
              <w:t>Mes 12</w:t>
            </w:r>
          </w:p>
        </w:tc>
        <w:tc>
          <w:tcPr>
            <w:tcW w:w="1128" w:type="dxa"/>
            <w:tcBorders>
              <w:bottom w:val="single" w:sz="4" w:space="0" w:color="auto"/>
            </w:tcBorders>
          </w:tcPr>
          <w:p w14:paraId="06B9D6DE" w14:textId="77777777" w:rsidR="00257CAC" w:rsidRPr="003E0B98" w:rsidRDefault="002838B3" w:rsidP="004361AC">
            <w:pPr>
              <w:keepNext/>
              <w:keepLines/>
              <w:tabs>
                <w:tab w:val="clear" w:pos="567"/>
              </w:tabs>
              <w:spacing w:line="240" w:lineRule="auto"/>
              <w:jc w:val="center"/>
              <w:rPr>
                <w:color w:val="000000"/>
                <w:szCs w:val="22"/>
              </w:rPr>
            </w:pPr>
            <w:r w:rsidRPr="003E0B98">
              <w:rPr>
                <w:color w:val="000000"/>
                <w:szCs w:val="22"/>
              </w:rPr>
              <w:noBreakHyphen/>
              <w:t>10,5 (16,6)</w:t>
            </w:r>
          </w:p>
        </w:tc>
        <w:tc>
          <w:tcPr>
            <w:tcW w:w="1377" w:type="dxa"/>
            <w:tcBorders>
              <w:bottom w:val="single" w:sz="4" w:space="0" w:color="auto"/>
            </w:tcBorders>
          </w:tcPr>
          <w:p w14:paraId="2274AAF6" w14:textId="77777777" w:rsidR="00257CAC" w:rsidRPr="003E0B98" w:rsidRDefault="002838B3" w:rsidP="004361AC">
            <w:pPr>
              <w:keepNext/>
              <w:keepLines/>
              <w:tabs>
                <w:tab w:val="clear" w:pos="567"/>
              </w:tabs>
              <w:spacing w:line="240" w:lineRule="auto"/>
              <w:jc w:val="center"/>
              <w:rPr>
                <w:color w:val="000000"/>
                <w:szCs w:val="22"/>
              </w:rPr>
            </w:pPr>
            <w:r w:rsidRPr="003E0B98">
              <w:rPr>
                <w:color w:val="000000"/>
                <w:szCs w:val="22"/>
              </w:rPr>
              <w:t>+7,2 (14,4)</w:t>
            </w:r>
          </w:p>
        </w:tc>
        <w:tc>
          <w:tcPr>
            <w:tcW w:w="1718" w:type="dxa"/>
            <w:tcBorders>
              <w:bottom w:val="single" w:sz="4" w:space="0" w:color="auto"/>
            </w:tcBorders>
          </w:tcPr>
          <w:p w14:paraId="70CF6E90" w14:textId="77777777" w:rsidR="00257CAC" w:rsidRPr="003E0B98" w:rsidRDefault="00257CAC" w:rsidP="004361AC">
            <w:pPr>
              <w:keepNext/>
              <w:keepLines/>
              <w:tabs>
                <w:tab w:val="clear" w:pos="567"/>
              </w:tabs>
              <w:spacing w:line="240" w:lineRule="auto"/>
              <w:jc w:val="center"/>
              <w:rPr>
                <w:color w:val="000000"/>
                <w:szCs w:val="22"/>
              </w:rPr>
            </w:pPr>
            <w:r w:rsidRPr="003E0B98">
              <w:rPr>
                <w:color w:val="000000"/>
                <w:szCs w:val="22"/>
              </w:rPr>
              <w:noBreakHyphen/>
              <w:t>9,5 (16,4)</w:t>
            </w:r>
          </w:p>
        </w:tc>
        <w:tc>
          <w:tcPr>
            <w:tcW w:w="1559" w:type="dxa"/>
            <w:tcBorders>
              <w:bottom w:val="single" w:sz="4" w:space="0" w:color="auto"/>
            </w:tcBorders>
          </w:tcPr>
          <w:p w14:paraId="60D18A4A" w14:textId="77777777" w:rsidR="00257CAC" w:rsidRPr="003E0B98" w:rsidRDefault="00257CAC" w:rsidP="004361AC">
            <w:pPr>
              <w:keepNext/>
              <w:keepLines/>
              <w:tabs>
                <w:tab w:val="clear" w:pos="567"/>
              </w:tabs>
              <w:spacing w:line="240" w:lineRule="auto"/>
              <w:jc w:val="center"/>
              <w:rPr>
                <w:color w:val="000000"/>
                <w:szCs w:val="22"/>
              </w:rPr>
            </w:pPr>
            <w:r w:rsidRPr="003E0B98">
              <w:rPr>
                <w:color w:val="000000"/>
                <w:szCs w:val="22"/>
              </w:rPr>
              <w:t>+11,3 (14,6)</w:t>
            </w:r>
          </w:p>
        </w:tc>
      </w:tr>
      <w:tr w:rsidR="00257CAC" w:rsidRPr="003E0B98" w14:paraId="797F900B" w14:textId="77777777" w:rsidTr="000B316C">
        <w:tc>
          <w:tcPr>
            <w:tcW w:w="2143" w:type="dxa"/>
            <w:vMerge/>
            <w:tcBorders>
              <w:bottom w:val="single" w:sz="4" w:space="0" w:color="auto"/>
            </w:tcBorders>
          </w:tcPr>
          <w:p w14:paraId="2F4684D8" w14:textId="77777777" w:rsidR="00257CAC" w:rsidRPr="003E0B98" w:rsidRDefault="00257CAC" w:rsidP="004361AC">
            <w:pPr>
              <w:keepNext/>
              <w:keepLines/>
              <w:tabs>
                <w:tab w:val="clear" w:pos="567"/>
              </w:tabs>
              <w:spacing w:line="240" w:lineRule="auto"/>
              <w:rPr>
                <w:color w:val="000000"/>
                <w:szCs w:val="22"/>
                <w:lang w:val="es-ES_tradnl"/>
              </w:rPr>
            </w:pPr>
          </w:p>
        </w:tc>
        <w:tc>
          <w:tcPr>
            <w:tcW w:w="1362" w:type="dxa"/>
            <w:tcBorders>
              <w:bottom w:val="single" w:sz="4" w:space="0" w:color="auto"/>
            </w:tcBorders>
          </w:tcPr>
          <w:p w14:paraId="3F631F92" w14:textId="77777777" w:rsidR="00257CAC" w:rsidRPr="003E0B98" w:rsidRDefault="00257CAC" w:rsidP="004361AC">
            <w:pPr>
              <w:keepNext/>
              <w:keepLines/>
              <w:tabs>
                <w:tab w:val="clear" w:pos="567"/>
              </w:tabs>
              <w:spacing w:line="240" w:lineRule="auto"/>
              <w:jc w:val="center"/>
              <w:rPr>
                <w:color w:val="000000"/>
                <w:szCs w:val="22"/>
              </w:rPr>
            </w:pPr>
            <w:r w:rsidRPr="003E0B98">
              <w:rPr>
                <w:color w:val="000000"/>
                <w:szCs w:val="22"/>
              </w:rPr>
              <w:t>Mes 24</w:t>
            </w:r>
          </w:p>
        </w:tc>
        <w:tc>
          <w:tcPr>
            <w:tcW w:w="1128" w:type="dxa"/>
            <w:tcBorders>
              <w:bottom w:val="single" w:sz="4" w:space="0" w:color="auto"/>
            </w:tcBorders>
          </w:tcPr>
          <w:p w14:paraId="58BEFA5B" w14:textId="77777777" w:rsidR="00257CAC" w:rsidRPr="003E0B98" w:rsidRDefault="002838B3" w:rsidP="004361AC">
            <w:pPr>
              <w:keepNext/>
              <w:keepLines/>
              <w:tabs>
                <w:tab w:val="clear" w:pos="567"/>
              </w:tabs>
              <w:spacing w:line="240" w:lineRule="auto"/>
              <w:jc w:val="center"/>
              <w:rPr>
                <w:color w:val="000000"/>
                <w:szCs w:val="22"/>
              </w:rPr>
            </w:pPr>
            <w:r w:rsidRPr="003E0B98">
              <w:rPr>
                <w:color w:val="000000"/>
                <w:szCs w:val="22"/>
              </w:rPr>
              <w:noBreakHyphen/>
              <w:t>14,9 (18,7)</w:t>
            </w:r>
          </w:p>
        </w:tc>
        <w:tc>
          <w:tcPr>
            <w:tcW w:w="1377" w:type="dxa"/>
            <w:tcBorders>
              <w:bottom w:val="single" w:sz="4" w:space="0" w:color="auto"/>
            </w:tcBorders>
          </w:tcPr>
          <w:p w14:paraId="3197587D" w14:textId="77777777" w:rsidR="00257CAC" w:rsidRPr="003E0B98" w:rsidRDefault="002838B3" w:rsidP="004361AC">
            <w:pPr>
              <w:keepNext/>
              <w:keepLines/>
              <w:tabs>
                <w:tab w:val="clear" w:pos="567"/>
              </w:tabs>
              <w:spacing w:line="240" w:lineRule="auto"/>
              <w:jc w:val="center"/>
              <w:rPr>
                <w:color w:val="000000"/>
                <w:szCs w:val="22"/>
              </w:rPr>
            </w:pPr>
            <w:r w:rsidRPr="003E0B98">
              <w:rPr>
                <w:color w:val="000000"/>
                <w:szCs w:val="22"/>
              </w:rPr>
              <w:t>+6,6 (16,5)</w:t>
            </w:r>
          </w:p>
        </w:tc>
        <w:tc>
          <w:tcPr>
            <w:tcW w:w="1718" w:type="dxa"/>
            <w:tcBorders>
              <w:bottom w:val="single" w:sz="4" w:space="0" w:color="auto"/>
            </w:tcBorders>
          </w:tcPr>
          <w:p w14:paraId="162A8EAD" w14:textId="77777777" w:rsidR="00257CAC" w:rsidRPr="003E0B98" w:rsidRDefault="00257CAC" w:rsidP="004361AC">
            <w:pPr>
              <w:keepNext/>
              <w:keepLines/>
              <w:tabs>
                <w:tab w:val="clear" w:pos="567"/>
              </w:tabs>
              <w:spacing w:line="240" w:lineRule="auto"/>
              <w:jc w:val="center"/>
              <w:rPr>
                <w:color w:val="000000"/>
                <w:szCs w:val="22"/>
              </w:rPr>
            </w:pPr>
            <w:r w:rsidRPr="003E0B98">
              <w:rPr>
                <w:color w:val="000000"/>
                <w:szCs w:val="22"/>
              </w:rPr>
              <w:noBreakHyphen/>
              <w:t>9,8 (17,6)</w:t>
            </w:r>
          </w:p>
        </w:tc>
        <w:tc>
          <w:tcPr>
            <w:tcW w:w="1559" w:type="dxa"/>
            <w:tcBorders>
              <w:bottom w:val="single" w:sz="4" w:space="0" w:color="auto"/>
            </w:tcBorders>
          </w:tcPr>
          <w:p w14:paraId="79B03F76" w14:textId="77777777" w:rsidR="00257CAC" w:rsidRPr="003E0B98" w:rsidRDefault="00257CAC" w:rsidP="004361AC">
            <w:pPr>
              <w:keepNext/>
              <w:keepLines/>
              <w:tabs>
                <w:tab w:val="clear" w:pos="567"/>
              </w:tabs>
              <w:spacing w:line="240" w:lineRule="auto"/>
              <w:jc w:val="center"/>
              <w:rPr>
                <w:color w:val="000000"/>
                <w:szCs w:val="22"/>
              </w:rPr>
            </w:pPr>
            <w:r w:rsidRPr="003E0B98">
              <w:rPr>
                <w:color w:val="000000"/>
                <w:szCs w:val="22"/>
              </w:rPr>
              <w:t>+10,7 (16,5)</w:t>
            </w:r>
          </w:p>
        </w:tc>
      </w:tr>
      <w:tr w:rsidR="00257CAC" w:rsidRPr="003E0B98" w14:paraId="7839BCDD" w14:textId="77777777" w:rsidTr="000B316C">
        <w:tc>
          <w:tcPr>
            <w:tcW w:w="2143" w:type="dxa"/>
            <w:tcBorders>
              <w:top w:val="single" w:sz="4" w:space="0" w:color="auto"/>
              <w:left w:val="nil"/>
              <w:bottom w:val="nil"/>
              <w:right w:val="nil"/>
            </w:tcBorders>
          </w:tcPr>
          <w:p w14:paraId="2DC5F1B4" w14:textId="77777777" w:rsidR="00257CAC" w:rsidRPr="003E0B98" w:rsidRDefault="00257CAC" w:rsidP="004361AC">
            <w:pPr>
              <w:keepNext/>
              <w:keepLines/>
              <w:tabs>
                <w:tab w:val="clear" w:pos="567"/>
              </w:tabs>
              <w:spacing w:line="240" w:lineRule="auto"/>
              <w:rPr>
                <w:color w:val="000000"/>
                <w:szCs w:val="22"/>
              </w:rPr>
            </w:pPr>
            <w:r w:rsidRPr="003E0B98">
              <w:rPr>
                <w:color w:val="000000"/>
                <w:szCs w:val="22"/>
                <w:vertAlign w:val="superscript"/>
              </w:rPr>
              <w:t xml:space="preserve">a </w:t>
            </w:r>
            <w:r w:rsidRPr="003E0B98">
              <w:rPr>
                <w:color w:val="000000"/>
                <w:szCs w:val="22"/>
              </w:rPr>
              <w:t>p&lt;0,01</w:t>
            </w:r>
          </w:p>
        </w:tc>
        <w:tc>
          <w:tcPr>
            <w:tcW w:w="1362" w:type="dxa"/>
            <w:tcBorders>
              <w:top w:val="single" w:sz="4" w:space="0" w:color="auto"/>
              <w:left w:val="nil"/>
              <w:bottom w:val="nil"/>
              <w:right w:val="nil"/>
            </w:tcBorders>
          </w:tcPr>
          <w:p w14:paraId="1DD65C09" w14:textId="77777777" w:rsidR="00257CAC" w:rsidRPr="003E0B98" w:rsidRDefault="00257CAC" w:rsidP="004361AC">
            <w:pPr>
              <w:keepNext/>
              <w:keepLines/>
              <w:tabs>
                <w:tab w:val="clear" w:pos="567"/>
              </w:tabs>
              <w:spacing w:line="240" w:lineRule="auto"/>
              <w:rPr>
                <w:color w:val="000000"/>
                <w:szCs w:val="22"/>
              </w:rPr>
            </w:pPr>
          </w:p>
        </w:tc>
        <w:tc>
          <w:tcPr>
            <w:tcW w:w="1128" w:type="dxa"/>
            <w:tcBorders>
              <w:top w:val="single" w:sz="4" w:space="0" w:color="auto"/>
              <w:left w:val="nil"/>
              <w:bottom w:val="nil"/>
              <w:right w:val="nil"/>
            </w:tcBorders>
          </w:tcPr>
          <w:p w14:paraId="43959059" w14:textId="77777777" w:rsidR="00257CAC" w:rsidRPr="003E0B98" w:rsidRDefault="00257CAC" w:rsidP="004361AC">
            <w:pPr>
              <w:keepNext/>
              <w:keepLines/>
              <w:tabs>
                <w:tab w:val="clear" w:pos="567"/>
              </w:tabs>
              <w:spacing w:line="240" w:lineRule="auto"/>
              <w:rPr>
                <w:color w:val="000000"/>
                <w:szCs w:val="22"/>
              </w:rPr>
            </w:pPr>
          </w:p>
        </w:tc>
        <w:tc>
          <w:tcPr>
            <w:tcW w:w="1377" w:type="dxa"/>
            <w:tcBorders>
              <w:top w:val="single" w:sz="4" w:space="0" w:color="auto"/>
              <w:left w:val="nil"/>
              <w:bottom w:val="nil"/>
              <w:right w:val="nil"/>
            </w:tcBorders>
          </w:tcPr>
          <w:p w14:paraId="5BCF8052" w14:textId="77777777" w:rsidR="00257CAC" w:rsidRPr="003E0B98" w:rsidRDefault="00257CAC" w:rsidP="004361AC">
            <w:pPr>
              <w:keepNext/>
              <w:keepLines/>
              <w:tabs>
                <w:tab w:val="clear" w:pos="567"/>
              </w:tabs>
              <w:spacing w:line="240" w:lineRule="auto"/>
              <w:rPr>
                <w:color w:val="000000"/>
                <w:szCs w:val="22"/>
              </w:rPr>
            </w:pPr>
          </w:p>
        </w:tc>
        <w:tc>
          <w:tcPr>
            <w:tcW w:w="1718" w:type="dxa"/>
            <w:tcBorders>
              <w:top w:val="single" w:sz="4" w:space="0" w:color="auto"/>
              <w:left w:val="nil"/>
              <w:bottom w:val="nil"/>
              <w:right w:val="nil"/>
            </w:tcBorders>
          </w:tcPr>
          <w:p w14:paraId="427AA966" w14:textId="77777777" w:rsidR="00257CAC" w:rsidRPr="003E0B98" w:rsidRDefault="00257CAC" w:rsidP="004361AC">
            <w:pPr>
              <w:keepNext/>
              <w:keepLines/>
              <w:tabs>
                <w:tab w:val="clear" w:pos="567"/>
              </w:tabs>
              <w:spacing w:line="240" w:lineRule="auto"/>
              <w:rPr>
                <w:color w:val="000000"/>
                <w:szCs w:val="22"/>
              </w:rPr>
            </w:pPr>
          </w:p>
        </w:tc>
        <w:tc>
          <w:tcPr>
            <w:tcW w:w="1559" w:type="dxa"/>
            <w:tcBorders>
              <w:top w:val="single" w:sz="4" w:space="0" w:color="auto"/>
              <w:left w:val="nil"/>
              <w:bottom w:val="nil"/>
              <w:right w:val="nil"/>
            </w:tcBorders>
          </w:tcPr>
          <w:p w14:paraId="76C17F33" w14:textId="77777777" w:rsidR="00257CAC" w:rsidRPr="003E0B98" w:rsidRDefault="00257CAC" w:rsidP="004361AC">
            <w:pPr>
              <w:keepNext/>
              <w:keepLines/>
              <w:tabs>
                <w:tab w:val="clear" w:pos="567"/>
              </w:tabs>
              <w:spacing w:line="240" w:lineRule="auto"/>
              <w:rPr>
                <w:color w:val="000000"/>
                <w:szCs w:val="22"/>
              </w:rPr>
            </w:pPr>
          </w:p>
        </w:tc>
      </w:tr>
    </w:tbl>
    <w:p w14:paraId="5A0F5582" w14:textId="77777777" w:rsidR="002E5034" w:rsidRPr="003E0B98" w:rsidRDefault="002E5034" w:rsidP="004361AC">
      <w:pPr>
        <w:tabs>
          <w:tab w:val="clear" w:pos="567"/>
        </w:tabs>
        <w:spacing w:line="240" w:lineRule="auto"/>
        <w:rPr>
          <w:color w:val="000000"/>
          <w:szCs w:val="22"/>
        </w:rPr>
      </w:pPr>
    </w:p>
    <w:p w14:paraId="1950335F" w14:textId="77777777" w:rsidR="002E5034" w:rsidRPr="003E0B98" w:rsidRDefault="002E5034" w:rsidP="004361AC">
      <w:pPr>
        <w:keepNext/>
        <w:keepLines/>
        <w:tabs>
          <w:tab w:val="clear" w:pos="567"/>
        </w:tabs>
        <w:spacing w:line="240" w:lineRule="auto"/>
        <w:ind w:left="1138" w:hanging="1138"/>
        <w:rPr>
          <w:color w:val="000000"/>
          <w:szCs w:val="22"/>
          <w:lang w:val="es-ES_tradnl"/>
        </w:rPr>
      </w:pPr>
      <w:r w:rsidRPr="003E0B98">
        <w:rPr>
          <w:b/>
          <w:color w:val="000000"/>
          <w:szCs w:val="22"/>
          <w:lang w:val="es-ES_tradnl"/>
        </w:rPr>
        <w:t>Figura 1</w:t>
      </w:r>
      <w:r w:rsidRPr="003E0B98">
        <w:rPr>
          <w:b/>
          <w:color w:val="000000"/>
          <w:szCs w:val="22"/>
          <w:lang w:val="es-ES_tradnl"/>
        </w:rPr>
        <w:tab/>
        <w:t xml:space="preserve">Cambio </w:t>
      </w:r>
      <w:r w:rsidR="00717C2E" w:rsidRPr="003E0B98">
        <w:rPr>
          <w:b/>
          <w:color w:val="000000"/>
          <w:szCs w:val="22"/>
          <w:lang w:val="es-ES_tradnl"/>
        </w:rPr>
        <w:t>pro</w:t>
      </w:r>
      <w:r w:rsidRPr="003E0B98">
        <w:rPr>
          <w:b/>
          <w:color w:val="000000"/>
          <w:szCs w:val="22"/>
          <w:lang w:val="es-ES_tradnl"/>
        </w:rPr>
        <w:t xml:space="preserve">medio </w:t>
      </w:r>
      <w:r w:rsidR="008222CB" w:rsidRPr="003E0B98">
        <w:rPr>
          <w:b/>
          <w:color w:val="000000"/>
          <w:szCs w:val="22"/>
          <w:lang w:val="es-ES_tradnl"/>
        </w:rPr>
        <w:t>de</w:t>
      </w:r>
      <w:r w:rsidRPr="003E0B98">
        <w:rPr>
          <w:b/>
          <w:color w:val="000000"/>
          <w:szCs w:val="22"/>
          <w:lang w:val="es-ES_tradnl"/>
        </w:rPr>
        <w:t xml:space="preserve"> la agudeza visual desde el inicio hasta el Mes 24 en el ensayo FVF2598g (MARINA) y el ensayo FVF2587g (ANCHOR)</w:t>
      </w:r>
    </w:p>
    <w:p w14:paraId="34CF8081" w14:textId="77777777" w:rsidR="002E5034" w:rsidRPr="003E0B98" w:rsidRDefault="002E5034" w:rsidP="004361AC">
      <w:pPr>
        <w:keepNext/>
        <w:keepLines/>
        <w:tabs>
          <w:tab w:val="clear" w:pos="567"/>
        </w:tabs>
        <w:spacing w:line="240" w:lineRule="auto"/>
        <w:ind w:left="1138" w:hanging="1138"/>
        <w:rPr>
          <w:color w:val="000000"/>
          <w:szCs w:val="22"/>
          <w:lang w:val="es-ES_tradnl"/>
        </w:rPr>
      </w:pPr>
    </w:p>
    <w:p w14:paraId="1781A929" w14:textId="014EE51C" w:rsidR="00524E52" w:rsidRPr="003E0B98" w:rsidRDefault="00B135E5" w:rsidP="004361AC">
      <w:pPr>
        <w:tabs>
          <w:tab w:val="clear" w:pos="567"/>
        </w:tabs>
        <w:spacing w:line="240" w:lineRule="auto"/>
        <w:rPr>
          <w:color w:val="000000"/>
          <w:szCs w:val="22"/>
          <w:lang w:val="es-ES_tradnl"/>
        </w:rPr>
      </w:pPr>
      <w:r w:rsidRPr="003E0B98">
        <w:rPr>
          <w:noProof/>
          <w:lang w:val="es-ES" w:eastAsia="es-ES"/>
        </w:rPr>
        <w:drawing>
          <wp:inline distT="0" distB="0" distL="0" distR="0" wp14:anchorId="4AB8130D" wp14:editId="12BFB630">
            <wp:extent cx="5686425" cy="60483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86425" cy="6048375"/>
                    </a:xfrm>
                    <a:prstGeom prst="rect">
                      <a:avLst/>
                    </a:prstGeom>
                  </pic:spPr>
                </pic:pic>
              </a:graphicData>
            </a:graphic>
          </wp:inline>
        </w:drawing>
      </w:r>
    </w:p>
    <w:p w14:paraId="64434AA1" w14:textId="77777777" w:rsidR="00524E52" w:rsidRPr="003E0B98" w:rsidRDefault="00524E52" w:rsidP="004361AC">
      <w:pPr>
        <w:tabs>
          <w:tab w:val="clear" w:pos="567"/>
        </w:tabs>
        <w:spacing w:line="240" w:lineRule="auto"/>
        <w:rPr>
          <w:color w:val="000000"/>
          <w:szCs w:val="22"/>
          <w:lang w:val="es-ES_tradnl"/>
        </w:rPr>
      </w:pPr>
    </w:p>
    <w:p w14:paraId="0493004C" w14:textId="32B36F6B" w:rsidR="002E5034" w:rsidRPr="003E0B98" w:rsidRDefault="002E5034" w:rsidP="004361AC">
      <w:pPr>
        <w:tabs>
          <w:tab w:val="clear" w:pos="567"/>
        </w:tabs>
        <w:spacing w:line="240" w:lineRule="auto"/>
        <w:rPr>
          <w:color w:val="000000"/>
          <w:szCs w:val="22"/>
          <w:lang w:val="es-ES"/>
        </w:rPr>
      </w:pPr>
      <w:r w:rsidRPr="003E0B98">
        <w:rPr>
          <w:color w:val="000000"/>
          <w:szCs w:val="22"/>
          <w:lang w:val="es-ES_tradnl"/>
        </w:rPr>
        <w:t xml:space="preserve">Los resultados de ambos </w:t>
      </w:r>
      <w:r w:rsidR="001B5726">
        <w:rPr>
          <w:color w:val="000000"/>
          <w:szCs w:val="22"/>
          <w:lang w:val="es-ES_tradnl"/>
        </w:rPr>
        <w:t>estudios</w:t>
      </w:r>
      <w:r w:rsidR="001B5726" w:rsidRPr="003E0B98">
        <w:rPr>
          <w:color w:val="000000"/>
          <w:szCs w:val="22"/>
          <w:lang w:val="es-ES_tradnl"/>
        </w:rPr>
        <w:t xml:space="preserve"> </w:t>
      </w:r>
      <w:r w:rsidRPr="003E0B98">
        <w:rPr>
          <w:color w:val="000000"/>
          <w:szCs w:val="22"/>
          <w:lang w:val="es-ES_tradnl"/>
        </w:rPr>
        <w:t xml:space="preserve">indicaron que el tratamiento continuado con </w:t>
      </w:r>
      <w:proofErr w:type="spellStart"/>
      <w:r w:rsidRPr="003E0B98">
        <w:rPr>
          <w:color w:val="000000"/>
          <w:szCs w:val="22"/>
          <w:lang w:val="es-ES_tradnl"/>
        </w:rPr>
        <w:t>ranibizumab</w:t>
      </w:r>
      <w:proofErr w:type="spellEnd"/>
      <w:r w:rsidRPr="003E0B98">
        <w:rPr>
          <w:color w:val="000000"/>
          <w:szCs w:val="22"/>
          <w:lang w:val="es-ES_tradnl"/>
        </w:rPr>
        <w:t xml:space="preserve"> también puede ser beneficioso en pacientes que perdieron </w:t>
      </w:r>
      <w:r w:rsidRPr="003E0B98">
        <w:rPr>
          <w:color w:val="000000"/>
          <w:szCs w:val="22"/>
          <w:lang w:val="es-ES"/>
        </w:rPr>
        <w:t>≥15 letras de agudeza visual mejor corregida (AVMC) en el primer año de tratamiento.</w:t>
      </w:r>
    </w:p>
    <w:p w14:paraId="167F161D" w14:textId="77777777" w:rsidR="002E5034" w:rsidRPr="003E0B98" w:rsidRDefault="002E5034" w:rsidP="004361AC">
      <w:pPr>
        <w:tabs>
          <w:tab w:val="clear" w:pos="567"/>
        </w:tabs>
        <w:spacing w:line="240" w:lineRule="auto"/>
        <w:rPr>
          <w:color w:val="000000"/>
          <w:szCs w:val="22"/>
          <w:lang w:val="es-ES_tradnl"/>
        </w:rPr>
      </w:pPr>
    </w:p>
    <w:p w14:paraId="24801A59" w14:textId="77777777" w:rsidR="00E8284B" w:rsidRPr="003E0B98" w:rsidRDefault="00E04BB2" w:rsidP="004361AC">
      <w:pPr>
        <w:tabs>
          <w:tab w:val="clear" w:pos="567"/>
        </w:tabs>
        <w:spacing w:line="240" w:lineRule="auto"/>
        <w:rPr>
          <w:color w:val="000000"/>
          <w:szCs w:val="22"/>
          <w:lang w:val="es-ES_tradnl"/>
        </w:rPr>
      </w:pPr>
      <w:r w:rsidRPr="003E0B98">
        <w:rPr>
          <w:color w:val="000000"/>
          <w:lang w:val="es-ES"/>
        </w:rPr>
        <w:t>En ambos ensayos MARINA y ANCHOR</w:t>
      </w:r>
      <w:r w:rsidRPr="003E0B98">
        <w:rPr>
          <w:szCs w:val="22"/>
          <w:lang w:val="es-ES"/>
        </w:rPr>
        <w:t xml:space="preserve"> </w:t>
      </w:r>
      <w:r w:rsidR="00E8284B" w:rsidRPr="003E0B98">
        <w:rPr>
          <w:szCs w:val="22"/>
          <w:lang w:val="es-ES"/>
        </w:rPr>
        <w:t xml:space="preserve">se observaron beneficios en la función visual </w:t>
      </w:r>
      <w:r w:rsidR="00E43529" w:rsidRPr="003E0B98">
        <w:rPr>
          <w:szCs w:val="22"/>
          <w:lang w:val="es-ES"/>
        </w:rPr>
        <w:t xml:space="preserve">notificados por el mismo paciente </w:t>
      </w:r>
      <w:r w:rsidR="00E8284B" w:rsidRPr="003E0B98">
        <w:rPr>
          <w:szCs w:val="22"/>
          <w:lang w:val="es-ES"/>
        </w:rPr>
        <w:t xml:space="preserve">estadísticamente significativos </w:t>
      </w:r>
      <w:r w:rsidR="0070155F" w:rsidRPr="003E0B98">
        <w:rPr>
          <w:szCs w:val="22"/>
          <w:lang w:val="es-ES"/>
        </w:rPr>
        <w:t xml:space="preserve">en el tratamiento con </w:t>
      </w:r>
      <w:proofErr w:type="spellStart"/>
      <w:r w:rsidR="0070155F" w:rsidRPr="003E0B98">
        <w:rPr>
          <w:szCs w:val="22"/>
          <w:lang w:val="es-ES"/>
        </w:rPr>
        <w:t>ranibizumab</w:t>
      </w:r>
      <w:proofErr w:type="spellEnd"/>
      <w:r w:rsidR="0070155F" w:rsidRPr="003E0B98">
        <w:rPr>
          <w:szCs w:val="22"/>
          <w:lang w:val="es-ES"/>
        </w:rPr>
        <w:t xml:space="preserve"> </w:t>
      </w:r>
      <w:r w:rsidR="0084796D" w:rsidRPr="003E0B98">
        <w:rPr>
          <w:szCs w:val="22"/>
          <w:lang w:val="es-ES"/>
        </w:rPr>
        <w:t xml:space="preserve">respecto </w:t>
      </w:r>
      <w:r w:rsidR="0070155F" w:rsidRPr="003E0B98">
        <w:rPr>
          <w:szCs w:val="22"/>
          <w:lang w:val="es-ES"/>
        </w:rPr>
        <w:t>al grupo control,</w:t>
      </w:r>
      <w:r w:rsidR="00E8284B" w:rsidRPr="003E0B98">
        <w:rPr>
          <w:szCs w:val="22"/>
          <w:lang w:val="es-ES"/>
        </w:rPr>
        <w:t xml:space="preserve"> medidos según </w:t>
      </w:r>
      <w:r w:rsidR="0070155F" w:rsidRPr="003E0B98">
        <w:rPr>
          <w:szCs w:val="22"/>
          <w:lang w:val="es-ES"/>
        </w:rPr>
        <w:t xml:space="preserve">el </w:t>
      </w:r>
      <w:r w:rsidR="00E8284B" w:rsidRPr="003E0B98">
        <w:rPr>
          <w:szCs w:val="22"/>
          <w:lang w:val="es-ES_tradnl"/>
        </w:rPr>
        <w:t>NEI VFQ-25</w:t>
      </w:r>
      <w:r w:rsidR="0070155F" w:rsidRPr="003E0B98">
        <w:rPr>
          <w:szCs w:val="22"/>
          <w:lang w:val="es-ES_tradnl"/>
        </w:rPr>
        <w:t>.</w:t>
      </w:r>
    </w:p>
    <w:p w14:paraId="617F8A91" w14:textId="77777777" w:rsidR="00E8284B" w:rsidRPr="003E0B98" w:rsidRDefault="00E8284B" w:rsidP="004361AC">
      <w:pPr>
        <w:tabs>
          <w:tab w:val="clear" w:pos="567"/>
        </w:tabs>
        <w:spacing w:line="240" w:lineRule="auto"/>
        <w:rPr>
          <w:color w:val="000000"/>
          <w:szCs w:val="22"/>
          <w:lang w:val="es-ES_tradnl"/>
        </w:rPr>
      </w:pPr>
    </w:p>
    <w:p w14:paraId="74F3CC64" w14:textId="77777777" w:rsidR="002E5034" w:rsidRPr="003E0B98" w:rsidRDefault="0048239A" w:rsidP="004361AC">
      <w:pPr>
        <w:tabs>
          <w:tab w:val="clear" w:pos="567"/>
        </w:tabs>
        <w:spacing w:line="240" w:lineRule="auto"/>
        <w:rPr>
          <w:color w:val="000000"/>
          <w:szCs w:val="22"/>
          <w:lang w:val="es-ES_tradnl"/>
        </w:rPr>
      </w:pPr>
      <w:r w:rsidRPr="003E0B98">
        <w:rPr>
          <w:color w:val="000000"/>
          <w:szCs w:val="22"/>
          <w:lang w:val="es-ES_tradnl"/>
        </w:rPr>
        <w:t>En e</w:t>
      </w:r>
      <w:r w:rsidR="002E5034" w:rsidRPr="003E0B98">
        <w:rPr>
          <w:color w:val="000000"/>
          <w:szCs w:val="22"/>
          <w:lang w:val="es-ES_tradnl"/>
        </w:rPr>
        <w:t>l ensayo FVF3192g (PIER)</w:t>
      </w:r>
      <w:r w:rsidRPr="003E0B98">
        <w:rPr>
          <w:color w:val="000000"/>
          <w:szCs w:val="22"/>
          <w:lang w:val="es-ES_tradnl"/>
        </w:rPr>
        <w:t xml:space="preserve">, </w:t>
      </w:r>
      <w:r w:rsidR="00E43529" w:rsidRPr="003E0B98">
        <w:rPr>
          <w:color w:val="000000"/>
          <w:szCs w:val="22"/>
          <w:lang w:val="es-ES_tradnl"/>
        </w:rPr>
        <w:t xml:space="preserve">se aleatorizaron </w:t>
      </w:r>
      <w:r w:rsidRPr="003E0B98">
        <w:rPr>
          <w:color w:val="000000"/>
          <w:szCs w:val="22"/>
          <w:lang w:val="es-ES_tradnl"/>
        </w:rPr>
        <w:t xml:space="preserve">184 pacientes </w:t>
      </w:r>
      <w:r w:rsidR="00E43529" w:rsidRPr="003E0B98">
        <w:rPr>
          <w:color w:val="000000"/>
          <w:szCs w:val="22"/>
          <w:lang w:val="es-ES_tradnl"/>
        </w:rPr>
        <w:t>que presentaban</w:t>
      </w:r>
      <w:r w:rsidRPr="003E0B98">
        <w:rPr>
          <w:color w:val="000000"/>
          <w:szCs w:val="22"/>
          <w:lang w:val="es-ES_tradnl"/>
        </w:rPr>
        <w:t xml:space="preserve"> todas las formas de DMAE </w:t>
      </w:r>
      <w:proofErr w:type="spellStart"/>
      <w:r w:rsidRPr="003E0B98">
        <w:rPr>
          <w:color w:val="000000"/>
          <w:szCs w:val="22"/>
          <w:lang w:val="es-ES_tradnl"/>
        </w:rPr>
        <w:t>neovascular</w:t>
      </w:r>
      <w:proofErr w:type="spellEnd"/>
      <w:r w:rsidR="00CA7C64" w:rsidRPr="003E0B98">
        <w:rPr>
          <w:color w:val="000000"/>
          <w:szCs w:val="22"/>
          <w:lang w:val="es-ES_tradnl"/>
        </w:rPr>
        <w:t xml:space="preserve"> en </w:t>
      </w:r>
      <w:proofErr w:type="gramStart"/>
      <w:r w:rsidR="00CA7C64" w:rsidRPr="003E0B98">
        <w:rPr>
          <w:color w:val="000000"/>
          <w:szCs w:val="22"/>
          <w:lang w:val="es-ES_tradnl"/>
        </w:rPr>
        <w:t>un ratio</w:t>
      </w:r>
      <w:proofErr w:type="gramEnd"/>
      <w:r w:rsidR="00CA7C64" w:rsidRPr="003E0B98">
        <w:rPr>
          <w:color w:val="000000"/>
          <w:szCs w:val="22"/>
          <w:lang w:val="es-ES_tradnl"/>
        </w:rPr>
        <w:t> </w:t>
      </w:r>
      <w:r w:rsidR="00E43529" w:rsidRPr="003E0B98">
        <w:rPr>
          <w:color w:val="000000"/>
          <w:szCs w:val="22"/>
          <w:lang w:val="es-ES_tradnl"/>
        </w:rPr>
        <w:t>1:1:1 para recibir</w:t>
      </w:r>
      <w:r w:rsidR="00ED0864" w:rsidRPr="003E0B98">
        <w:rPr>
          <w:color w:val="000000"/>
          <w:szCs w:val="22"/>
          <w:lang w:val="es-ES_tradnl"/>
        </w:rPr>
        <w:t xml:space="preserve"> </w:t>
      </w:r>
      <w:proofErr w:type="spellStart"/>
      <w:r w:rsidR="00E43529" w:rsidRPr="003E0B98">
        <w:rPr>
          <w:color w:val="000000"/>
          <w:szCs w:val="22"/>
          <w:lang w:val="es-ES_tradnl"/>
        </w:rPr>
        <w:t>Lucentis</w:t>
      </w:r>
      <w:proofErr w:type="spellEnd"/>
      <w:r w:rsidR="002E5034" w:rsidRPr="003E0B98">
        <w:rPr>
          <w:color w:val="000000"/>
          <w:szCs w:val="22"/>
          <w:lang w:val="es-ES_tradnl"/>
        </w:rPr>
        <w:t xml:space="preserve"> 0,3 mg</w:t>
      </w:r>
      <w:r w:rsidR="00E43529" w:rsidRPr="003E0B98">
        <w:rPr>
          <w:color w:val="000000"/>
          <w:szCs w:val="22"/>
          <w:lang w:val="es-ES_tradnl"/>
        </w:rPr>
        <w:t>,</w:t>
      </w:r>
      <w:r w:rsidR="002E5034" w:rsidRPr="003E0B98">
        <w:rPr>
          <w:color w:val="000000"/>
          <w:szCs w:val="22"/>
          <w:lang w:val="es-ES_tradnl"/>
        </w:rPr>
        <w:t xml:space="preserve"> </w:t>
      </w:r>
      <w:proofErr w:type="spellStart"/>
      <w:r w:rsidR="005C05BB" w:rsidRPr="003E0B98">
        <w:rPr>
          <w:color w:val="000000"/>
          <w:szCs w:val="22"/>
          <w:lang w:val="es-ES_tradnl"/>
        </w:rPr>
        <w:t>Lucentis</w:t>
      </w:r>
      <w:proofErr w:type="spellEnd"/>
      <w:r w:rsidR="002E5034" w:rsidRPr="003E0B98">
        <w:rPr>
          <w:color w:val="000000"/>
          <w:szCs w:val="22"/>
          <w:lang w:val="es-ES_tradnl"/>
        </w:rPr>
        <w:t xml:space="preserve"> 0,5 mg o inyecciones simuladas (</w:t>
      </w:r>
      <w:proofErr w:type="spellStart"/>
      <w:r w:rsidR="002E5034" w:rsidRPr="003E0B98">
        <w:rPr>
          <w:color w:val="000000"/>
          <w:szCs w:val="22"/>
          <w:lang w:val="es-ES_tradnl"/>
        </w:rPr>
        <w:t>sham</w:t>
      </w:r>
      <w:proofErr w:type="spellEnd"/>
      <w:r w:rsidR="002E5034" w:rsidRPr="003E0B98">
        <w:rPr>
          <w:color w:val="000000"/>
          <w:szCs w:val="22"/>
          <w:lang w:val="es-ES_tradnl"/>
        </w:rPr>
        <w:t>) una vez al mes en 3 dosis consecutivas, seguido de la administración de una dosis una vez cada 3 meses. A partir del Mes 14 del ensayo, se permitió a los pacientes tratados con inyecciones simuladas (</w:t>
      </w:r>
      <w:proofErr w:type="spellStart"/>
      <w:r w:rsidR="002E5034" w:rsidRPr="003E0B98">
        <w:rPr>
          <w:color w:val="000000"/>
          <w:szCs w:val="22"/>
          <w:lang w:val="es-ES_tradnl"/>
        </w:rPr>
        <w:t>sham</w:t>
      </w:r>
      <w:proofErr w:type="spellEnd"/>
      <w:r w:rsidR="002E5034" w:rsidRPr="003E0B98">
        <w:rPr>
          <w:color w:val="000000"/>
          <w:szCs w:val="22"/>
          <w:lang w:val="es-ES_tradnl"/>
        </w:rPr>
        <w:t xml:space="preserve">) recibir </w:t>
      </w:r>
      <w:proofErr w:type="spellStart"/>
      <w:r w:rsidR="002E5034" w:rsidRPr="003E0B98">
        <w:rPr>
          <w:color w:val="000000"/>
          <w:szCs w:val="22"/>
          <w:lang w:val="es-ES_tradnl"/>
        </w:rPr>
        <w:t>ranibizumab</w:t>
      </w:r>
      <w:proofErr w:type="spellEnd"/>
      <w:r w:rsidR="002E5034" w:rsidRPr="003E0B98">
        <w:rPr>
          <w:color w:val="000000"/>
          <w:szCs w:val="22"/>
          <w:lang w:val="es-ES_tradnl"/>
        </w:rPr>
        <w:t xml:space="preserve">, y a partir del Mes 19 fueron posibles tratamientos más frecuentes. Los pacientes tratados con </w:t>
      </w:r>
      <w:proofErr w:type="spellStart"/>
      <w:r w:rsidR="002E5034" w:rsidRPr="003E0B98">
        <w:rPr>
          <w:color w:val="000000"/>
          <w:szCs w:val="22"/>
          <w:lang w:val="es-ES_tradnl"/>
        </w:rPr>
        <w:t>Lucentis</w:t>
      </w:r>
      <w:proofErr w:type="spellEnd"/>
      <w:r w:rsidR="002E5034" w:rsidRPr="003E0B98">
        <w:rPr>
          <w:color w:val="000000"/>
          <w:szCs w:val="22"/>
          <w:lang w:val="es-ES_tradnl"/>
        </w:rPr>
        <w:t xml:space="preserve"> en el ensayo PIER recibieron un promedio de 10 tratamientos.</w:t>
      </w:r>
    </w:p>
    <w:p w14:paraId="47F511DD" w14:textId="77777777" w:rsidR="002E5034" w:rsidRPr="003E0B98" w:rsidRDefault="002E5034" w:rsidP="004361AC">
      <w:pPr>
        <w:tabs>
          <w:tab w:val="clear" w:pos="567"/>
        </w:tabs>
        <w:spacing w:line="240" w:lineRule="auto"/>
        <w:rPr>
          <w:color w:val="000000"/>
          <w:szCs w:val="22"/>
          <w:lang w:val="es-ES_tradnl"/>
        </w:rPr>
      </w:pPr>
    </w:p>
    <w:p w14:paraId="1FBB16BE" w14:textId="77777777" w:rsidR="002E5034" w:rsidRPr="003E0B98" w:rsidRDefault="002E5034" w:rsidP="004361AC">
      <w:pPr>
        <w:tabs>
          <w:tab w:val="clear" w:pos="567"/>
        </w:tabs>
        <w:spacing w:line="240" w:lineRule="auto"/>
        <w:rPr>
          <w:color w:val="000000"/>
          <w:szCs w:val="22"/>
          <w:lang w:val="es-ES"/>
        </w:rPr>
      </w:pPr>
      <w:r w:rsidRPr="003E0B98">
        <w:rPr>
          <w:color w:val="000000"/>
          <w:szCs w:val="22"/>
          <w:lang w:val="es-ES_tradnl"/>
        </w:rPr>
        <w:t xml:space="preserve">En general, tras un incremento inicial en la agudeza visual (después de la dosificación mensual), la agudeza visual de los pacientes disminuyó con la dosis trimestral, volviendo al valor basal en el Mes 12 y este efecto se mantuvo al Mes 24 en la mayoría de los pacientes tratados con </w:t>
      </w:r>
      <w:proofErr w:type="spellStart"/>
      <w:r w:rsidRPr="003E0B98">
        <w:rPr>
          <w:color w:val="000000"/>
          <w:szCs w:val="22"/>
          <w:lang w:val="es-ES_tradnl"/>
        </w:rPr>
        <w:t>ranibizumab</w:t>
      </w:r>
      <w:proofErr w:type="spellEnd"/>
      <w:r w:rsidRPr="003E0B98">
        <w:rPr>
          <w:color w:val="000000"/>
          <w:szCs w:val="22"/>
          <w:lang w:val="es-ES_tradnl"/>
        </w:rPr>
        <w:t xml:space="preserve"> (82%). </w:t>
      </w:r>
      <w:r w:rsidR="003B7678" w:rsidRPr="003E0B98">
        <w:rPr>
          <w:color w:val="000000"/>
          <w:szCs w:val="22"/>
          <w:lang w:val="es-ES_tradnl"/>
        </w:rPr>
        <w:t>D</w:t>
      </w:r>
      <w:r w:rsidRPr="003E0B98">
        <w:rPr>
          <w:color w:val="000000"/>
          <w:szCs w:val="22"/>
          <w:lang w:val="es-ES_tradnl"/>
        </w:rPr>
        <w:t>atos</w:t>
      </w:r>
      <w:r w:rsidR="003B7678" w:rsidRPr="003E0B98">
        <w:rPr>
          <w:color w:val="000000"/>
          <w:szCs w:val="22"/>
          <w:lang w:val="es-ES_tradnl"/>
        </w:rPr>
        <w:t xml:space="preserve"> limitados procedentes</w:t>
      </w:r>
      <w:r w:rsidRPr="003E0B98">
        <w:rPr>
          <w:color w:val="000000"/>
          <w:szCs w:val="22"/>
          <w:lang w:val="es-ES_tradnl"/>
        </w:rPr>
        <w:t xml:space="preserve"> de sujetos que </w:t>
      </w:r>
      <w:r w:rsidR="00F879EE" w:rsidRPr="003E0B98">
        <w:rPr>
          <w:color w:val="000000"/>
          <w:szCs w:val="22"/>
          <w:lang w:val="es-ES_tradnl"/>
        </w:rPr>
        <w:t>recibieron</w:t>
      </w:r>
      <w:r w:rsidRPr="003E0B98">
        <w:rPr>
          <w:color w:val="000000"/>
          <w:szCs w:val="22"/>
          <w:lang w:val="es-ES_tradnl"/>
        </w:rPr>
        <w:t xml:space="preserve"> tratamiento simulado </w:t>
      </w:r>
      <w:r w:rsidR="00F879EE" w:rsidRPr="003E0B98">
        <w:rPr>
          <w:color w:val="000000"/>
          <w:szCs w:val="22"/>
          <w:lang w:val="es-ES_tradnl"/>
        </w:rPr>
        <w:t>y que posteriormente fueron tratados con</w:t>
      </w:r>
      <w:r w:rsidRPr="003E0B98">
        <w:rPr>
          <w:color w:val="000000"/>
          <w:szCs w:val="22"/>
          <w:lang w:val="es-ES_tradnl"/>
        </w:rPr>
        <w:t xml:space="preserve"> </w:t>
      </w:r>
      <w:proofErr w:type="spellStart"/>
      <w:r w:rsidRPr="003E0B98">
        <w:rPr>
          <w:color w:val="000000"/>
          <w:szCs w:val="22"/>
          <w:lang w:val="es-ES_tradnl"/>
        </w:rPr>
        <w:t>ranibizumab</w:t>
      </w:r>
      <w:proofErr w:type="spellEnd"/>
      <w:r w:rsidRPr="003E0B98">
        <w:rPr>
          <w:color w:val="000000"/>
          <w:szCs w:val="22"/>
          <w:lang w:val="es-ES_tradnl"/>
        </w:rPr>
        <w:t>, sugirieron que el inicio temprano del tratamiento puede asociarse a una mejor conservación de la agudeza visual.</w:t>
      </w:r>
    </w:p>
    <w:p w14:paraId="67642720" w14:textId="77777777" w:rsidR="002E5034" w:rsidRPr="003E0B98" w:rsidRDefault="002E5034" w:rsidP="004361AC">
      <w:pPr>
        <w:tabs>
          <w:tab w:val="clear" w:pos="567"/>
        </w:tabs>
        <w:spacing w:line="240" w:lineRule="auto"/>
        <w:rPr>
          <w:color w:val="000000"/>
          <w:lang w:val="es-ES_tradnl"/>
        </w:rPr>
      </w:pPr>
    </w:p>
    <w:p w14:paraId="083DE7FF" w14:textId="77777777" w:rsidR="002E5034" w:rsidRPr="003E0B98" w:rsidRDefault="002E5034" w:rsidP="004361AC">
      <w:pPr>
        <w:tabs>
          <w:tab w:val="clear" w:pos="567"/>
        </w:tabs>
        <w:spacing w:line="240" w:lineRule="auto"/>
        <w:rPr>
          <w:color w:val="000000"/>
          <w:szCs w:val="22"/>
          <w:lang w:val="es-ES_tradnl"/>
        </w:rPr>
      </w:pPr>
      <w:r w:rsidRPr="003E0B98">
        <w:rPr>
          <w:color w:val="000000"/>
          <w:szCs w:val="22"/>
          <w:lang w:val="es-ES_tradnl"/>
        </w:rPr>
        <w:t>Los datos de dos ensayos (MONT BLANC, BPD952A2308 y DENALI, BPD952A2309)</w:t>
      </w:r>
      <w:r w:rsidR="00722DC0" w:rsidRPr="003E0B98">
        <w:rPr>
          <w:color w:val="000000"/>
          <w:szCs w:val="22"/>
          <w:lang w:val="es-ES_tradnl"/>
        </w:rPr>
        <w:t xml:space="preserve"> </w:t>
      </w:r>
      <w:r w:rsidR="00F879EE" w:rsidRPr="003E0B98">
        <w:rPr>
          <w:color w:val="000000"/>
          <w:szCs w:val="22"/>
          <w:lang w:val="es-ES_tradnl"/>
        </w:rPr>
        <w:t>realizados tras la autorización de comercialización,</w:t>
      </w:r>
      <w:r w:rsidRPr="003E0B98">
        <w:rPr>
          <w:color w:val="000000"/>
          <w:szCs w:val="22"/>
          <w:lang w:val="es-ES_tradnl"/>
        </w:rPr>
        <w:t xml:space="preserve"> </w:t>
      </w:r>
      <w:r w:rsidR="00F879EE" w:rsidRPr="003E0B98">
        <w:rPr>
          <w:color w:val="000000"/>
          <w:szCs w:val="22"/>
          <w:lang w:val="es-ES_tradnl"/>
        </w:rPr>
        <w:t xml:space="preserve">confirmaron la eficacia de </w:t>
      </w:r>
      <w:proofErr w:type="spellStart"/>
      <w:proofErr w:type="gramStart"/>
      <w:r w:rsidR="00F879EE" w:rsidRPr="003E0B98">
        <w:rPr>
          <w:color w:val="000000"/>
          <w:szCs w:val="22"/>
          <w:lang w:val="es-ES_tradnl"/>
        </w:rPr>
        <w:t>Lucentis</w:t>
      </w:r>
      <w:proofErr w:type="spellEnd"/>
      <w:proofErr w:type="gramEnd"/>
      <w:r w:rsidR="00722DC0" w:rsidRPr="003E0B98">
        <w:rPr>
          <w:color w:val="000000"/>
          <w:szCs w:val="22"/>
          <w:lang w:val="es-ES_tradnl"/>
        </w:rPr>
        <w:t xml:space="preserve"> pero </w:t>
      </w:r>
      <w:r w:rsidRPr="003E0B98">
        <w:rPr>
          <w:color w:val="000000"/>
          <w:szCs w:val="22"/>
          <w:lang w:val="es-ES_tradnl"/>
        </w:rPr>
        <w:t xml:space="preserve">no demostraron un efecto adicional en la administración combinada de </w:t>
      </w:r>
      <w:proofErr w:type="spellStart"/>
      <w:r w:rsidRPr="003E0B98">
        <w:rPr>
          <w:color w:val="000000"/>
          <w:szCs w:val="22"/>
          <w:lang w:val="es-ES_tradnl"/>
        </w:rPr>
        <w:t>verteporfina</w:t>
      </w:r>
      <w:proofErr w:type="spellEnd"/>
      <w:r w:rsidRPr="003E0B98">
        <w:rPr>
          <w:color w:val="000000"/>
          <w:szCs w:val="22"/>
          <w:lang w:val="es-ES_tradnl"/>
        </w:rPr>
        <w:t xml:space="preserve"> (</w:t>
      </w:r>
      <w:proofErr w:type="spellStart"/>
      <w:r w:rsidRPr="003E0B98">
        <w:rPr>
          <w:color w:val="000000"/>
          <w:szCs w:val="22"/>
          <w:lang w:val="es-ES_tradnl"/>
        </w:rPr>
        <w:t>Visudyne</w:t>
      </w:r>
      <w:proofErr w:type="spellEnd"/>
      <w:r w:rsidRPr="003E0B98">
        <w:rPr>
          <w:color w:val="000000"/>
          <w:szCs w:val="22"/>
          <w:lang w:val="es-ES_tradnl"/>
        </w:rPr>
        <w:t xml:space="preserve"> TFD) y </w:t>
      </w:r>
      <w:proofErr w:type="spellStart"/>
      <w:r w:rsidRPr="003E0B98">
        <w:rPr>
          <w:color w:val="000000"/>
          <w:szCs w:val="22"/>
          <w:lang w:val="es-ES_tradnl"/>
        </w:rPr>
        <w:t>Lucentis</w:t>
      </w:r>
      <w:proofErr w:type="spellEnd"/>
      <w:r w:rsidRPr="003E0B98">
        <w:rPr>
          <w:color w:val="000000"/>
          <w:szCs w:val="22"/>
          <w:lang w:val="es-ES_tradnl"/>
        </w:rPr>
        <w:t xml:space="preserve"> comparado con </w:t>
      </w:r>
      <w:proofErr w:type="spellStart"/>
      <w:r w:rsidRPr="003E0B98">
        <w:rPr>
          <w:color w:val="000000"/>
          <w:szCs w:val="22"/>
          <w:lang w:val="es-ES_tradnl"/>
        </w:rPr>
        <w:t>Lucentis</w:t>
      </w:r>
      <w:proofErr w:type="spellEnd"/>
      <w:r w:rsidRPr="003E0B98">
        <w:rPr>
          <w:color w:val="000000"/>
          <w:szCs w:val="22"/>
          <w:lang w:val="es-ES_tradnl"/>
        </w:rPr>
        <w:t xml:space="preserve"> en monoterapia.</w:t>
      </w:r>
    </w:p>
    <w:p w14:paraId="49F9CE4B" w14:textId="77777777" w:rsidR="0016663F" w:rsidRPr="003E0B98" w:rsidRDefault="0016663F" w:rsidP="004361AC">
      <w:pPr>
        <w:tabs>
          <w:tab w:val="clear" w:pos="567"/>
        </w:tabs>
        <w:spacing w:line="240" w:lineRule="auto"/>
        <w:rPr>
          <w:bCs/>
          <w:szCs w:val="22"/>
          <w:lang w:val="es-ES_tradnl"/>
        </w:rPr>
      </w:pPr>
    </w:p>
    <w:p w14:paraId="0F6BF6FB" w14:textId="77777777" w:rsidR="0016663F" w:rsidRPr="003E0B98" w:rsidRDefault="0016663F" w:rsidP="004361AC">
      <w:pPr>
        <w:keepNext/>
        <w:tabs>
          <w:tab w:val="clear" w:pos="567"/>
        </w:tabs>
        <w:spacing w:line="240" w:lineRule="auto"/>
        <w:rPr>
          <w:i/>
          <w:color w:val="000000"/>
          <w:szCs w:val="22"/>
          <w:u w:val="single"/>
          <w:lang w:val="es-ES_tradnl"/>
        </w:rPr>
      </w:pPr>
      <w:r w:rsidRPr="003E0B98">
        <w:rPr>
          <w:i/>
          <w:color w:val="000000"/>
          <w:szCs w:val="22"/>
          <w:u w:val="single"/>
          <w:lang w:val="es-ES_tradnl"/>
        </w:rPr>
        <w:t xml:space="preserve">Tratamiento de la </w:t>
      </w:r>
      <w:r w:rsidRPr="003E0B98">
        <w:rPr>
          <w:i/>
          <w:color w:val="000000"/>
          <w:szCs w:val="22"/>
          <w:u w:val="single"/>
          <w:lang w:val="es-ES"/>
        </w:rPr>
        <w:t>alteración</w:t>
      </w:r>
      <w:r w:rsidRPr="003E0B98">
        <w:rPr>
          <w:i/>
          <w:color w:val="000000"/>
          <w:szCs w:val="22"/>
          <w:u w:val="single"/>
          <w:lang w:val="es-ES_tradnl"/>
        </w:rPr>
        <w:t xml:space="preserve"> visual debida a la NVC secundaria a MP</w:t>
      </w:r>
    </w:p>
    <w:p w14:paraId="3BEEA598" w14:textId="77777777" w:rsidR="0016663F" w:rsidRPr="003E0B98" w:rsidRDefault="0016663F" w:rsidP="004361AC">
      <w:pPr>
        <w:keepNext/>
        <w:tabs>
          <w:tab w:val="clear" w:pos="567"/>
        </w:tabs>
        <w:spacing w:line="240" w:lineRule="auto"/>
        <w:rPr>
          <w:color w:val="000000"/>
          <w:szCs w:val="22"/>
          <w:lang w:val="es-ES_tradnl"/>
        </w:rPr>
      </w:pPr>
      <w:r w:rsidRPr="003E0B98">
        <w:rPr>
          <w:color w:val="000000"/>
          <w:szCs w:val="22"/>
          <w:lang w:val="es-ES_tradnl"/>
        </w:rPr>
        <w:t xml:space="preserve">La seguridad y eficacia clínicas de </w:t>
      </w:r>
      <w:proofErr w:type="spellStart"/>
      <w:r w:rsidRPr="003E0B98">
        <w:rPr>
          <w:color w:val="000000"/>
          <w:szCs w:val="22"/>
          <w:lang w:val="es-ES_tradnl"/>
        </w:rPr>
        <w:t>Lucentis</w:t>
      </w:r>
      <w:proofErr w:type="spellEnd"/>
      <w:r w:rsidRPr="003E0B98">
        <w:rPr>
          <w:color w:val="000000"/>
          <w:szCs w:val="22"/>
          <w:lang w:val="es-ES_tradnl"/>
        </w:rPr>
        <w:t xml:space="preserve"> en pacientes con </w:t>
      </w:r>
      <w:r w:rsidRPr="003E0B98">
        <w:rPr>
          <w:color w:val="000000"/>
          <w:szCs w:val="22"/>
          <w:lang w:val="es-ES"/>
        </w:rPr>
        <w:t>alteración</w:t>
      </w:r>
      <w:r w:rsidRPr="003E0B98">
        <w:rPr>
          <w:color w:val="000000"/>
          <w:szCs w:val="22"/>
          <w:lang w:val="es-ES_tradnl"/>
        </w:rPr>
        <w:t xml:space="preserve"> visual debida a la NVC secundaria a MP se han evaluado </w:t>
      </w:r>
      <w:r w:rsidR="001F1B39" w:rsidRPr="003E0B98">
        <w:rPr>
          <w:color w:val="000000"/>
          <w:szCs w:val="22"/>
          <w:lang w:val="es-ES_tradnl"/>
        </w:rPr>
        <w:t>teniendo en cuenta</w:t>
      </w:r>
      <w:r w:rsidRPr="003E0B98">
        <w:rPr>
          <w:color w:val="000000"/>
          <w:szCs w:val="22"/>
          <w:lang w:val="es-ES_tradnl"/>
        </w:rPr>
        <w:t xml:space="preserve"> los datos de 12 meses del ensayo </w:t>
      </w:r>
      <w:proofErr w:type="spellStart"/>
      <w:r w:rsidRPr="003E0B98">
        <w:rPr>
          <w:color w:val="000000"/>
          <w:szCs w:val="22"/>
          <w:lang w:val="es-ES_tradnl"/>
        </w:rPr>
        <w:t>pivotal</w:t>
      </w:r>
      <w:proofErr w:type="spellEnd"/>
      <w:r w:rsidRPr="003E0B98">
        <w:rPr>
          <w:color w:val="000000"/>
          <w:szCs w:val="22"/>
          <w:lang w:val="es-ES_tradnl"/>
        </w:rPr>
        <w:t xml:space="preserve"> F2301 (RADIANCE) controlado, doble ciego. En este ensayo 277 pacientes fueron aleatorizados en </w:t>
      </w:r>
      <w:proofErr w:type="gramStart"/>
      <w:r w:rsidRPr="003E0B98">
        <w:rPr>
          <w:color w:val="000000"/>
          <w:szCs w:val="22"/>
          <w:lang w:val="es-ES_tradnl"/>
        </w:rPr>
        <w:t>un ratio</w:t>
      </w:r>
      <w:proofErr w:type="gramEnd"/>
      <w:r w:rsidRPr="003E0B98">
        <w:rPr>
          <w:color w:val="000000"/>
          <w:szCs w:val="22"/>
          <w:lang w:val="es-ES_tradnl"/>
        </w:rPr>
        <w:t> 2:2:1 para los siguientes grupos:</w:t>
      </w:r>
    </w:p>
    <w:p w14:paraId="4D538AB7" w14:textId="77777777" w:rsidR="0016663F" w:rsidRPr="003E0B98" w:rsidRDefault="0016663F" w:rsidP="004361AC">
      <w:pPr>
        <w:pStyle w:val="Text"/>
        <w:numPr>
          <w:ilvl w:val="0"/>
          <w:numId w:val="9"/>
        </w:numPr>
        <w:spacing w:before="0"/>
        <w:ind w:left="567" w:hanging="567"/>
        <w:jc w:val="left"/>
        <w:rPr>
          <w:color w:val="000000"/>
          <w:sz w:val="22"/>
          <w:szCs w:val="22"/>
          <w:lang w:val="es-ES_tradnl"/>
        </w:rPr>
      </w:pPr>
      <w:r w:rsidRPr="003E0B98">
        <w:rPr>
          <w:color w:val="000000"/>
          <w:sz w:val="22"/>
          <w:szCs w:val="22"/>
          <w:lang w:val="es-ES_tradnl"/>
        </w:rPr>
        <w:t>Grupo I (</w:t>
      </w:r>
      <w:proofErr w:type="spellStart"/>
      <w:r w:rsidRPr="003E0B98">
        <w:rPr>
          <w:color w:val="000000"/>
          <w:sz w:val="22"/>
          <w:szCs w:val="22"/>
          <w:lang w:val="es-ES_tradnl"/>
        </w:rPr>
        <w:t>ranibizumab</w:t>
      </w:r>
      <w:proofErr w:type="spellEnd"/>
      <w:r w:rsidRPr="003E0B98">
        <w:rPr>
          <w:color w:val="000000"/>
          <w:sz w:val="22"/>
          <w:szCs w:val="22"/>
          <w:lang w:val="es-ES_tradnl"/>
        </w:rPr>
        <w:t xml:space="preserve"> 0,5 mg, </w:t>
      </w:r>
      <w:r w:rsidR="001F1B39" w:rsidRPr="003E0B98">
        <w:rPr>
          <w:color w:val="000000"/>
          <w:sz w:val="22"/>
          <w:szCs w:val="22"/>
          <w:lang w:val="es-ES_tradnl"/>
        </w:rPr>
        <w:t>pauta posológica</w:t>
      </w:r>
      <w:r w:rsidRPr="003E0B98">
        <w:rPr>
          <w:color w:val="000000"/>
          <w:sz w:val="22"/>
          <w:szCs w:val="22"/>
          <w:lang w:val="es-ES_tradnl"/>
        </w:rPr>
        <w:t xml:space="preserve"> basad</w:t>
      </w:r>
      <w:r w:rsidR="001F1B39" w:rsidRPr="003E0B98">
        <w:rPr>
          <w:color w:val="000000"/>
          <w:sz w:val="22"/>
          <w:szCs w:val="22"/>
          <w:lang w:val="es-ES_tradnl"/>
        </w:rPr>
        <w:t>a</w:t>
      </w:r>
      <w:r w:rsidRPr="003E0B98">
        <w:rPr>
          <w:color w:val="000000"/>
          <w:sz w:val="22"/>
          <w:szCs w:val="22"/>
          <w:lang w:val="es-ES_tradnl"/>
        </w:rPr>
        <w:t xml:space="preserve"> en criterios de “estabilidad” definida como ningún cambio en la AVMC en comparación con las dos evaluaciones mensuales previas).</w:t>
      </w:r>
    </w:p>
    <w:p w14:paraId="18FD67CC" w14:textId="77777777" w:rsidR="0016663F" w:rsidRPr="003E0B98" w:rsidRDefault="0016663F" w:rsidP="004361AC">
      <w:pPr>
        <w:pStyle w:val="Text"/>
        <w:numPr>
          <w:ilvl w:val="0"/>
          <w:numId w:val="9"/>
        </w:numPr>
        <w:spacing w:before="0"/>
        <w:ind w:left="567" w:hanging="567"/>
        <w:jc w:val="left"/>
        <w:rPr>
          <w:color w:val="000000"/>
          <w:sz w:val="22"/>
          <w:szCs w:val="22"/>
          <w:lang w:val="es-ES_tradnl"/>
        </w:rPr>
      </w:pPr>
      <w:r w:rsidRPr="003E0B98">
        <w:rPr>
          <w:color w:val="000000"/>
          <w:sz w:val="22"/>
          <w:szCs w:val="22"/>
          <w:lang w:val="es-ES_tradnl"/>
        </w:rPr>
        <w:t>Grupo II (</w:t>
      </w:r>
      <w:proofErr w:type="spellStart"/>
      <w:r w:rsidRPr="003E0B98">
        <w:rPr>
          <w:color w:val="000000"/>
          <w:sz w:val="22"/>
          <w:szCs w:val="22"/>
          <w:lang w:val="es-ES_tradnl"/>
        </w:rPr>
        <w:t>ranibizumab</w:t>
      </w:r>
      <w:proofErr w:type="spellEnd"/>
      <w:r w:rsidRPr="003E0B98">
        <w:rPr>
          <w:color w:val="000000"/>
          <w:sz w:val="22"/>
          <w:szCs w:val="22"/>
          <w:lang w:val="es-ES_tradnl"/>
        </w:rPr>
        <w:t xml:space="preserve"> 0,5 mg, </w:t>
      </w:r>
      <w:r w:rsidR="001F1B39" w:rsidRPr="003E0B98">
        <w:rPr>
          <w:color w:val="000000"/>
          <w:sz w:val="22"/>
          <w:szCs w:val="22"/>
          <w:lang w:val="es-ES_tradnl"/>
        </w:rPr>
        <w:t>pauta posológica</w:t>
      </w:r>
      <w:r w:rsidRPr="003E0B98">
        <w:rPr>
          <w:color w:val="000000"/>
          <w:sz w:val="22"/>
          <w:szCs w:val="22"/>
          <w:lang w:val="es-ES_tradnl"/>
        </w:rPr>
        <w:t xml:space="preserve"> basad</w:t>
      </w:r>
      <w:r w:rsidR="001F1B39" w:rsidRPr="003E0B98">
        <w:rPr>
          <w:color w:val="000000"/>
          <w:sz w:val="22"/>
          <w:szCs w:val="22"/>
          <w:lang w:val="es-ES_tradnl"/>
        </w:rPr>
        <w:t>a</w:t>
      </w:r>
      <w:r w:rsidRPr="003E0B98">
        <w:rPr>
          <w:color w:val="000000"/>
          <w:sz w:val="22"/>
          <w:szCs w:val="22"/>
          <w:lang w:val="es-ES_tradnl"/>
        </w:rPr>
        <w:t xml:space="preserve"> en criterios de “actividad de la enfermedad” definida como </w:t>
      </w:r>
      <w:r w:rsidRPr="003E0B98">
        <w:rPr>
          <w:color w:val="000000"/>
          <w:sz w:val="22"/>
          <w:szCs w:val="22"/>
          <w:lang w:val="es-ES"/>
        </w:rPr>
        <w:t>alteración</w:t>
      </w:r>
      <w:r w:rsidRPr="003E0B98">
        <w:rPr>
          <w:color w:val="000000"/>
          <w:sz w:val="22"/>
          <w:szCs w:val="22"/>
          <w:lang w:val="es-ES_tradnl"/>
        </w:rPr>
        <w:t xml:space="preserve"> de la visión atribuible a</w:t>
      </w:r>
      <w:r w:rsidR="00C53837" w:rsidRPr="003E0B98">
        <w:rPr>
          <w:color w:val="000000"/>
          <w:sz w:val="22"/>
          <w:szCs w:val="22"/>
          <w:lang w:val="es-ES_tradnl"/>
        </w:rPr>
        <w:t>l</w:t>
      </w:r>
      <w:r w:rsidRPr="003E0B98">
        <w:rPr>
          <w:color w:val="000000"/>
          <w:sz w:val="22"/>
          <w:szCs w:val="22"/>
          <w:lang w:val="es-ES_tradnl"/>
        </w:rPr>
        <w:t xml:space="preserve"> </w:t>
      </w:r>
      <w:r w:rsidR="00C53837" w:rsidRPr="003E0B98">
        <w:rPr>
          <w:color w:val="000000"/>
          <w:sz w:val="22"/>
          <w:szCs w:val="22"/>
          <w:lang w:val="es-ES_tradnl"/>
        </w:rPr>
        <w:t>l</w:t>
      </w:r>
      <w:r w:rsidR="00124830" w:rsidRPr="003E0B98">
        <w:rPr>
          <w:color w:val="000000"/>
          <w:sz w:val="22"/>
          <w:szCs w:val="22"/>
          <w:lang w:val="es-ES_tradnl"/>
        </w:rPr>
        <w:t>í</w:t>
      </w:r>
      <w:r w:rsidR="00C53837" w:rsidRPr="003E0B98">
        <w:rPr>
          <w:color w:val="000000"/>
          <w:sz w:val="22"/>
          <w:szCs w:val="22"/>
          <w:lang w:val="es-ES_tradnl"/>
        </w:rPr>
        <w:t>quido</w:t>
      </w:r>
      <w:r w:rsidRPr="003E0B98">
        <w:rPr>
          <w:color w:val="000000"/>
          <w:sz w:val="22"/>
          <w:szCs w:val="22"/>
          <w:lang w:val="es-ES_tradnl"/>
        </w:rPr>
        <w:t xml:space="preserve"> intra o </w:t>
      </w:r>
      <w:proofErr w:type="spellStart"/>
      <w:r w:rsidRPr="003E0B98">
        <w:rPr>
          <w:color w:val="000000"/>
          <w:sz w:val="22"/>
          <w:szCs w:val="22"/>
          <w:lang w:val="es-ES_tradnl"/>
        </w:rPr>
        <w:t>subretiniano</w:t>
      </w:r>
      <w:proofErr w:type="spellEnd"/>
      <w:r w:rsidRPr="003E0B98">
        <w:rPr>
          <w:color w:val="000000"/>
          <w:sz w:val="22"/>
          <w:szCs w:val="22"/>
          <w:lang w:val="es-ES_tradnl"/>
        </w:rPr>
        <w:t xml:space="preserve"> o exudación activa debido a la lesión de NVC y evaluada mediante </w:t>
      </w:r>
      <w:r w:rsidR="005C4582" w:rsidRPr="003E0B98">
        <w:rPr>
          <w:color w:val="000000"/>
          <w:sz w:val="22"/>
          <w:szCs w:val="22"/>
          <w:lang w:val="es-ES_tradnl"/>
        </w:rPr>
        <w:t>tomografía de coherencia óptica y/o angiografía</w:t>
      </w:r>
      <w:r w:rsidR="00473B37" w:rsidRPr="003E0B98">
        <w:rPr>
          <w:color w:val="000000"/>
          <w:sz w:val="22"/>
          <w:szCs w:val="22"/>
          <w:lang w:val="es-ES_tradnl"/>
        </w:rPr>
        <w:t xml:space="preserve"> con fluoresceína</w:t>
      </w:r>
      <w:r w:rsidRPr="003E0B98">
        <w:rPr>
          <w:color w:val="000000"/>
          <w:sz w:val="22"/>
          <w:szCs w:val="22"/>
          <w:lang w:val="es-ES_tradnl"/>
        </w:rPr>
        <w:t>).</w:t>
      </w:r>
    </w:p>
    <w:p w14:paraId="4C83C45E" w14:textId="77777777" w:rsidR="0016663F" w:rsidRPr="003E0B98" w:rsidRDefault="0016663F" w:rsidP="004361AC">
      <w:pPr>
        <w:pStyle w:val="Text"/>
        <w:keepNext/>
        <w:numPr>
          <w:ilvl w:val="0"/>
          <w:numId w:val="9"/>
        </w:numPr>
        <w:spacing w:before="0"/>
        <w:ind w:left="567" w:hanging="567"/>
        <w:jc w:val="left"/>
        <w:rPr>
          <w:color w:val="000000"/>
          <w:sz w:val="22"/>
          <w:szCs w:val="22"/>
          <w:lang w:val="es-ES"/>
        </w:rPr>
      </w:pPr>
      <w:r w:rsidRPr="003E0B98">
        <w:rPr>
          <w:color w:val="000000"/>
          <w:sz w:val="22"/>
          <w:szCs w:val="22"/>
          <w:lang w:val="es-ES"/>
        </w:rPr>
        <w:t>Grupo III (</w:t>
      </w:r>
      <w:proofErr w:type="spellStart"/>
      <w:r w:rsidRPr="003E0B98">
        <w:rPr>
          <w:color w:val="000000"/>
          <w:sz w:val="22"/>
          <w:szCs w:val="22"/>
          <w:lang w:val="es-ES"/>
        </w:rPr>
        <w:t>TFDv</w:t>
      </w:r>
      <w:proofErr w:type="spellEnd"/>
      <w:r w:rsidRPr="003E0B98">
        <w:rPr>
          <w:color w:val="000000"/>
          <w:sz w:val="22"/>
          <w:szCs w:val="22"/>
          <w:lang w:val="es-ES"/>
        </w:rPr>
        <w:t xml:space="preserve"> – se permitió a los pacientes recibir tratamiento con </w:t>
      </w:r>
      <w:proofErr w:type="spellStart"/>
      <w:r w:rsidRPr="003E0B98">
        <w:rPr>
          <w:color w:val="000000"/>
          <w:sz w:val="22"/>
          <w:szCs w:val="22"/>
          <w:lang w:val="es-ES"/>
        </w:rPr>
        <w:t>ranibizumab</w:t>
      </w:r>
      <w:proofErr w:type="spellEnd"/>
      <w:r w:rsidRPr="003E0B98">
        <w:rPr>
          <w:color w:val="000000"/>
          <w:sz w:val="22"/>
          <w:szCs w:val="22"/>
          <w:lang w:val="es-ES"/>
        </w:rPr>
        <w:t xml:space="preserve"> a partir del Mes 3).</w:t>
      </w:r>
    </w:p>
    <w:p w14:paraId="76111A05" w14:textId="77777777" w:rsidR="0016663F" w:rsidRPr="003E0B98" w:rsidRDefault="0016663F" w:rsidP="004361AC">
      <w:pPr>
        <w:tabs>
          <w:tab w:val="clear" w:pos="567"/>
        </w:tabs>
        <w:spacing w:line="240" w:lineRule="auto"/>
        <w:rPr>
          <w:szCs w:val="22"/>
          <w:lang w:val="es-ES"/>
        </w:rPr>
      </w:pPr>
      <w:r w:rsidRPr="003E0B98">
        <w:rPr>
          <w:szCs w:val="22"/>
          <w:lang w:val="es-ES"/>
        </w:rPr>
        <w:t xml:space="preserve">En el Grupo II, que se corresponde con la posología recomendada (ver sección 4.2), el 50,9% de los pacientes requirió 1 </w:t>
      </w:r>
      <w:proofErr w:type="spellStart"/>
      <w:r w:rsidRPr="003E0B98">
        <w:rPr>
          <w:szCs w:val="22"/>
          <w:lang w:val="es-ES"/>
        </w:rPr>
        <w:t>ó</w:t>
      </w:r>
      <w:proofErr w:type="spellEnd"/>
      <w:r w:rsidRPr="003E0B98">
        <w:rPr>
          <w:szCs w:val="22"/>
          <w:lang w:val="es-ES"/>
        </w:rPr>
        <w:t xml:space="preserve"> 2 inyecciones, el 34,5% requirió de 3 a 5 inyecciones y el 14,7% requirió de 6 a 12 inyecciones durante el periodo de 12 meses del ensayo. El 62,9% de los pacientes del Grupo II no requirió inyecciones en el segundo semestre del ensayo.</w:t>
      </w:r>
    </w:p>
    <w:p w14:paraId="092023C9" w14:textId="77777777" w:rsidR="0016663F" w:rsidRPr="003E0B98" w:rsidRDefault="0016663F" w:rsidP="004361AC">
      <w:pPr>
        <w:tabs>
          <w:tab w:val="clear" w:pos="567"/>
        </w:tabs>
        <w:spacing w:line="240" w:lineRule="auto"/>
        <w:rPr>
          <w:szCs w:val="22"/>
          <w:lang w:val="es-ES"/>
        </w:rPr>
      </w:pPr>
    </w:p>
    <w:p w14:paraId="31099423" w14:textId="77777777" w:rsidR="0016663F" w:rsidRPr="003E0B98" w:rsidRDefault="0016663F" w:rsidP="004361AC">
      <w:pPr>
        <w:tabs>
          <w:tab w:val="clear" w:pos="567"/>
        </w:tabs>
        <w:spacing w:line="240" w:lineRule="auto"/>
        <w:rPr>
          <w:sz w:val="24"/>
          <w:lang w:val="es-ES"/>
        </w:rPr>
      </w:pPr>
      <w:r w:rsidRPr="003E0B98">
        <w:rPr>
          <w:szCs w:val="22"/>
          <w:lang w:val="es-ES"/>
        </w:rPr>
        <w:t>En la Tabla 2 y en la Figura 2 se resumen l</w:t>
      </w:r>
      <w:r w:rsidR="00036034" w:rsidRPr="003E0B98">
        <w:rPr>
          <w:szCs w:val="22"/>
          <w:lang w:val="es-ES"/>
        </w:rPr>
        <w:t>a</w:t>
      </w:r>
      <w:r w:rsidRPr="003E0B98">
        <w:rPr>
          <w:szCs w:val="22"/>
          <w:lang w:val="es-ES"/>
        </w:rPr>
        <w:t xml:space="preserve">s </w:t>
      </w:r>
      <w:r w:rsidR="00036034" w:rsidRPr="003E0B98">
        <w:rPr>
          <w:szCs w:val="22"/>
          <w:lang w:val="es-ES"/>
        </w:rPr>
        <w:t>variables</w:t>
      </w:r>
      <w:r w:rsidRPr="003E0B98">
        <w:rPr>
          <w:szCs w:val="22"/>
          <w:lang w:val="es-ES"/>
        </w:rPr>
        <w:t xml:space="preserve"> </w:t>
      </w:r>
      <w:r w:rsidR="004E4C74" w:rsidRPr="003E0B98">
        <w:rPr>
          <w:szCs w:val="22"/>
          <w:lang w:val="es-ES"/>
        </w:rPr>
        <w:t>principales</w:t>
      </w:r>
      <w:r w:rsidRPr="003E0B98">
        <w:rPr>
          <w:szCs w:val="22"/>
          <w:lang w:val="es-ES"/>
        </w:rPr>
        <w:t xml:space="preserve"> del ensayo </w:t>
      </w:r>
      <w:r w:rsidRPr="003E0B98">
        <w:rPr>
          <w:color w:val="000000"/>
          <w:szCs w:val="22"/>
          <w:lang w:val="es-ES_tradnl"/>
        </w:rPr>
        <w:t>RADIANCE</w:t>
      </w:r>
      <w:r w:rsidRPr="003E0B98">
        <w:rPr>
          <w:szCs w:val="22"/>
          <w:lang w:val="es-ES"/>
        </w:rPr>
        <w:t>.</w:t>
      </w:r>
    </w:p>
    <w:p w14:paraId="5784CC71" w14:textId="77777777" w:rsidR="0016663F" w:rsidRPr="003E0B98" w:rsidRDefault="0016663F" w:rsidP="004361AC">
      <w:pPr>
        <w:tabs>
          <w:tab w:val="clear" w:pos="567"/>
        </w:tabs>
        <w:spacing w:line="240" w:lineRule="auto"/>
        <w:rPr>
          <w:sz w:val="24"/>
          <w:lang w:val="es-ES"/>
        </w:rPr>
      </w:pPr>
    </w:p>
    <w:p w14:paraId="1CA40111" w14:textId="77777777" w:rsidR="0016663F" w:rsidRPr="003E0B98" w:rsidRDefault="0016663F" w:rsidP="004361AC">
      <w:pPr>
        <w:keepNext/>
        <w:tabs>
          <w:tab w:val="clear" w:pos="567"/>
        </w:tabs>
        <w:spacing w:line="240" w:lineRule="auto"/>
        <w:ind w:left="1134" w:hanging="1134"/>
        <w:rPr>
          <w:b/>
          <w:color w:val="000000"/>
          <w:lang w:val="es-ES"/>
        </w:rPr>
      </w:pPr>
      <w:r w:rsidRPr="003E0B98">
        <w:rPr>
          <w:b/>
          <w:color w:val="000000"/>
          <w:lang w:val="es-ES"/>
        </w:rPr>
        <w:t>Tabla 2</w:t>
      </w:r>
      <w:r w:rsidRPr="003E0B98">
        <w:rPr>
          <w:b/>
          <w:color w:val="000000"/>
          <w:lang w:val="es-ES"/>
        </w:rPr>
        <w:tab/>
      </w:r>
      <w:r w:rsidRPr="003E0B98">
        <w:rPr>
          <w:b/>
          <w:color w:val="000000"/>
          <w:lang w:val="es-ES_tradnl"/>
        </w:rPr>
        <w:t xml:space="preserve">Resultados a los Meses 3 y 12 </w:t>
      </w:r>
      <w:r w:rsidRPr="003E0B98">
        <w:rPr>
          <w:b/>
          <w:color w:val="000000"/>
          <w:lang w:val="es-ES"/>
        </w:rPr>
        <w:t>(RADIANCE)</w:t>
      </w:r>
    </w:p>
    <w:p w14:paraId="5AC99FDF" w14:textId="77777777" w:rsidR="0016663F" w:rsidRPr="003E0B98" w:rsidRDefault="0016663F" w:rsidP="004361AC">
      <w:pPr>
        <w:keepNext/>
        <w:spacing w:line="240" w:lineRule="auto"/>
        <w:rPr>
          <w:lang w:val="es-ES"/>
        </w:rPr>
      </w:pPr>
    </w:p>
    <w:tbl>
      <w:tblPr>
        <w:tblW w:w="9293" w:type="dxa"/>
        <w:tblBorders>
          <w:top w:val="single" w:sz="4" w:space="0" w:color="auto"/>
          <w:bottom w:val="single" w:sz="4" w:space="0" w:color="auto"/>
        </w:tblBorders>
        <w:tblLayout w:type="fixed"/>
        <w:tblLook w:val="0000" w:firstRow="0" w:lastRow="0" w:firstColumn="0" w:lastColumn="0" w:noHBand="0" w:noVBand="0"/>
      </w:tblPr>
      <w:tblGrid>
        <w:gridCol w:w="4219"/>
        <w:gridCol w:w="1843"/>
        <w:gridCol w:w="1984"/>
        <w:gridCol w:w="1247"/>
      </w:tblGrid>
      <w:tr w:rsidR="0016663F" w:rsidRPr="003E0B98" w14:paraId="0025D4F7" w14:textId="77777777" w:rsidTr="00F1468E">
        <w:tc>
          <w:tcPr>
            <w:tcW w:w="4219" w:type="dxa"/>
            <w:tcBorders>
              <w:top w:val="single" w:sz="4" w:space="0" w:color="auto"/>
              <w:bottom w:val="single" w:sz="4" w:space="0" w:color="auto"/>
            </w:tcBorders>
          </w:tcPr>
          <w:p w14:paraId="04071EC8" w14:textId="77777777" w:rsidR="0016663F" w:rsidRPr="003E0B98" w:rsidRDefault="0016663F" w:rsidP="004361AC">
            <w:pPr>
              <w:pStyle w:val="Table"/>
              <w:keepNext/>
              <w:spacing w:before="0" w:after="0"/>
              <w:rPr>
                <w:rFonts w:ascii="Times New Roman" w:hAnsi="Times New Roman"/>
                <w:sz w:val="22"/>
                <w:szCs w:val="22"/>
                <w:lang w:val="es-ES" w:eastAsia="en-US"/>
              </w:rPr>
            </w:pPr>
          </w:p>
        </w:tc>
        <w:tc>
          <w:tcPr>
            <w:tcW w:w="1843" w:type="dxa"/>
            <w:tcBorders>
              <w:top w:val="single" w:sz="4" w:space="0" w:color="auto"/>
              <w:bottom w:val="single" w:sz="4" w:space="0" w:color="auto"/>
            </w:tcBorders>
          </w:tcPr>
          <w:p w14:paraId="2034A04C" w14:textId="77777777" w:rsidR="0016663F" w:rsidRPr="003E0B98" w:rsidRDefault="0016663F" w:rsidP="004361AC">
            <w:pPr>
              <w:pStyle w:val="Text"/>
              <w:keepNext/>
              <w:spacing w:before="0"/>
              <w:jc w:val="center"/>
              <w:rPr>
                <w:rFonts w:eastAsia="MS Mincho"/>
                <w:b/>
                <w:bCs/>
                <w:sz w:val="22"/>
                <w:szCs w:val="22"/>
              </w:rPr>
            </w:pPr>
            <w:r w:rsidRPr="003E0B98">
              <w:rPr>
                <w:rFonts w:eastAsia="MS Mincho"/>
                <w:b/>
                <w:bCs/>
                <w:sz w:val="22"/>
                <w:szCs w:val="22"/>
              </w:rPr>
              <w:t>Grup</w:t>
            </w:r>
            <w:r w:rsidRPr="003E0B98">
              <w:rPr>
                <w:rFonts w:eastAsia="MS Mincho"/>
                <w:b/>
                <w:bCs/>
                <w:sz w:val="22"/>
                <w:szCs w:val="22"/>
                <w:lang w:val="es-ES"/>
              </w:rPr>
              <w:t>o</w:t>
            </w:r>
            <w:r w:rsidRPr="003E0B98">
              <w:rPr>
                <w:rFonts w:eastAsia="MS Mincho"/>
                <w:b/>
                <w:bCs/>
                <w:sz w:val="22"/>
                <w:szCs w:val="22"/>
              </w:rPr>
              <w:t xml:space="preserve"> I</w:t>
            </w:r>
          </w:p>
          <w:p w14:paraId="1DF63B95" w14:textId="77777777" w:rsidR="0016663F" w:rsidRPr="003E0B98" w:rsidRDefault="0016663F" w:rsidP="004361AC">
            <w:pPr>
              <w:pStyle w:val="Text"/>
              <w:keepNext/>
              <w:spacing w:before="0"/>
              <w:jc w:val="center"/>
              <w:rPr>
                <w:rFonts w:eastAsia="MS Mincho"/>
                <w:b/>
                <w:bCs/>
                <w:sz w:val="22"/>
                <w:szCs w:val="22"/>
              </w:rPr>
            </w:pPr>
            <w:r w:rsidRPr="003E0B98">
              <w:rPr>
                <w:rFonts w:eastAsia="MS Mincho"/>
                <w:b/>
                <w:bCs/>
                <w:sz w:val="22"/>
                <w:szCs w:val="22"/>
              </w:rPr>
              <w:t>Ranibizumab</w:t>
            </w:r>
          </w:p>
          <w:p w14:paraId="0A5890E8" w14:textId="77777777" w:rsidR="0016663F" w:rsidRPr="003E0B98" w:rsidRDefault="0016663F" w:rsidP="004361AC">
            <w:pPr>
              <w:pStyle w:val="Text"/>
              <w:keepNext/>
              <w:spacing w:before="0"/>
              <w:jc w:val="center"/>
              <w:rPr>
                <w:rFonts w:eastAsia="MS Mincho"/>
                <w:b/>
                <w:bCs/>
                <w:sz w:val="22"/>
                <w:szCs w:val="22"/>
              </w:rPr>
            </w:pPr>
            <w:r w:rsidRPr="003E0B98">
              <w:rPr>
                <w:rFonts w:eastAsia="MS Mincho"/>
                <w:b/>
                <w:bCs/>
                <w:sz w:val="22"/>
                <w:szCs w:val="22"/>
              </w:rPr>
              <w:t>0</w:t>
            </w:r>
            <w:r w:rsidRPr="003E0B98">
              <w:rPr>
                <w:rFonts w:eastAsia="MS Mincho"/>
                <w:b/>
                <w:bCs/>
                <w:sz w:val="22"/>
                <w:szCs w:val="22"/>
                <w:lang w:val="es-ES"/>
              </w:rPr>
              <w:t>,</w:t>
            </w:r>
            <w:r w:rsidRPr="003E0B98">
              <w:rPr>
                <w:rFonts w:eastAsia="MS Mincho"/>
                <w:b/>
                <w:bCs/>
                <w:sz w:val="22"/>
                <w:szCs w:val="22"/>
              </w:rPr>
              <w:t>5 mg</w:t>
            </w:r>
          </w:p>
          <w:p w14:paraId="02BBDC97" w14:textId="77777777" w:rsidR="0016663F" w:rsidRPr="003E0B98" w:rsidRDefault="0016663F" w:rsidP="004361AC">
            <w:pPr>
              <w:pStyle w:val="Text"/>
              <w:keepNext/>
              <w:spacing w:before="0"/>
              <w:jc w:val="center"/>
              <w:rPr>
                <w:rFonts w:eastAsia="MS Mincho"/>
                <w:b/>
                <w:bCs/>
                <w:sz w:val="22"/>
                <w:szCs w:val="22"/>
              </w:rPr>
            </w:pPr>
            <w:r w:rsidRPr="003E0B98">
              <w:rPr>
                <w:rFonts w:eastAsia="MS Mincho"/>
                <w:b/>
                <w:bCs/>
                <w:sz w:val="22"/>
                <w:szCs w:val="22"/>
              </w:rPr>
              <w:t>“</w:t>
            </w:r>
            <w:proofErr w:type="spellStart"/>
            <w:r w:rsidRPr="003E0B98">
              <w:rPr>
                <w:rFonts w:eastAsia="MS Mincho"/>
                <w:b/>
                <w:bCs/>
                <w:sz w:val="22"/>
                <w:szCs w:val="22"/>
                <w:lang w:val="es-ES"/>
              </w:rPr>
              <w:t>estabilidad</w:t>
            </w:r>
            <w:proofErr w:type="spellEnd"/>
            <w:r w:rsidRPr="003E0B98">
              <w:rPr>
                <w:rFonts w:eastAsia="MS Mincho"/>
                <w:b/>
                <w:bCs/>
                <w:sz w:val="22"/>
                <w:szCs w:val="22"/>
                <w:lang w:val="es-ES"/>
              </w:rPr>
              <w:t xml:space="preserve"> de la </w:t>
            </w:r>
            <w:proofErr w:type="spellStart"/>
            <w:r w:rsidRPr="003E0B98">
              <w:rPr>
                <w:rFonts w:eastAsia="MS Mincho"/>
                <w:b/>
                <w:bCs/>
                <w:sz w:val="22"/>
                <w:szCs w:val="22"/>
              </w:rPr>
              <w:t>visi</w:t>
            </w:r>
            <w:r w:rsidRPr="003E0B98">
              <w:rPr>
                <w:rFonts w:eastAsia="MS Mincho"/>
                <w:b/>
                <w:bCs/>
                <w:sz w:val="22"/>
                <w:szCs w:val="22"/>
                <w:lang w:val="es-ES"/>
              </w:rPr>
              <w:t>ó</w:t>
            </w:r>
            <w:proofErr w:type="spellEnd"/>
            <w:r w:rsidRPr="003E0B98">
              <w:rPr>
                <w:rFonts w:eastAsia="MS Mincho"/>
                <w:b/>
                <w:bCs/>
                <w:sz w:val="22"/>
                <w:szCs w:val="22"/>
              </w:rPr>
              <w:t>n”</w:t>
            </w:r>
          </w:p>
          <w:p w14:paraId="7C0A4B31" w14:textId="77777777" w:rsidR="0016663F" w:rsidRPr="003E0B98" w:rsidRDefault="0016663F" w:rsidP="004361AC">
            <w:pPr>
              <w:pStyle w:val="Table"/>
              <w:keepNext/>
              <w:spacing w:before="0" w:after="0"/>
              <w:jc w:val="center"/>
              <w:rPr>
                <w:rFonts w:ascii="Times New Roman" w:hAnsi="Times New Roman"/>
                <w:sz w:val="22"/>
                <w:szCs w:val="22"/>
                <w:lang w:val="es-ES" w:eastAsia="en-US"/>
              </w:rPr>
            </w:pPr>
            <w:r w:rsidRPr="003E0B98">
              <w:rPr>
                <w:rFonts w:ascii="Times New Roman" w:hAnsi="Times New Roman"/>
                <w:b/>
                <w:bCs/>
                <w:sz w:val="22"/>
                <w:szCs w:val="22"/>
                <w:lang w:val="es-ES" w:eastAsia="en-US"/>
              </w:rPr>
              <w:t>(n=105)</w:t>
            </w:r>
          </w:p>
        </w:tc>
        <w:tc>
          <w:tcPr>
            <w:tcW w:w="1984" w:type="dxa"/>
            <w:tcBorders>
              <w:top w:val="single" w:sz="4" w:space="0" w:color="auto"/>
              <w:bottom w:val="single" w:sz="4" w:space="0" w:color="auto"/>
            </w:tcBorders>
          </w:tcPr>
          <w:p w14:paraId="31F39BCD" w14:textId="77777777" w:rsidR="0016663F" w:rsidRPr="003E0B98" w:rsidRDefault="0016663F" w:rsidP="004361AC">
            <w:pPr>
              <w:pStyle w:val="Text"/>
              <w:keepNext/>
              <w:spacing w:before="0"/>
              <w:jc w:val="center"/>
              <w:rPr>
                <w:rFonts w:eastAsia="MS Mincho"/>
                <w:b/>
                <w:bCs/>
                <w:sz w:val="22"/>
                <w:szCs w:val="22"/>
              </w:rPr>
            </w:pPr>
            <w:r w:rsidRPr="003E0B98">
              <w:rPr>
                <w:rFonts w:eastAsia="MS Mincho"/>
                <w:b/>
                <w:bCs/>
                <w:sz w:val="22"/>
                <w:szCs w:val="22"/>
              </w:rPr>
              <w:t>Grup</w:t>
            </w:r>
            <w:r w:rsidRPr="003E0B98">
              <w:rPr>
                <w:rFonts w:eastAsia="MS Mincho"/>
                <w:b/>
                <w:bCs/>
                <w:sz w:val="22"/>
                <w:szCs w:val="22"/>
                <w:lang w:val="es-ES"/>
              </w:rPr>
              <w:t>o</w:t>
            </w:r>
            <w:r w:rsidRPr="003E0B98">
              <w:rPr>
                <w:rFonts w:eastAsia="MS Mincho"/>
                <w:b/>
                <w:bCs/>
                <w:sz w:val="22"/>
                <w:szCs w:val="22"/>
              </w:rPr>
              <w:t xml:space="preserve"> II</w:t>
            </w:r>
          </w:p>
          <w:p w14:paraId="69ACE1C2" w14:textId="77777777" w:rsidR="0016663F" w:rsidRPr="003E0B98" w:rsidRDefault="0016663F" w:rsidP="004361AC">
            <w:pPr>
              <w:pStyle w:val="Text"/>
              <w:keepNext/>
              <w:spacing w:before="0"/>
              <w:jc w:val="center"/>
              <w:rPr>
                <w:rFonts w:eastAsia="MS Mincho"/>
                <w:b/>
                <w:bCs/>
                <w:sz w:val="22"/>
                <w:szCs w:val="22"/>
              </w:rPr>
            </w:pPr>
            <w:r w:rsidRPr="003E0B98">
              <w:rPr>
                <w:rFonts w:eastAsia="MS Mincho"/>
                <w:b/>
                <w:bCs/>
                <w:sz w:val="22"/>
                <w:szCs w:val="22"/>
              </w:rPr>
              <w:t>Ranibizumab</w:t>
            </w:r>
          </w:p>
          <w:p w14:paraId="285DCAF6" w14:textId="77777777" w:rsidR="0016663F" w:rsidRPr="003E0B98" w:rsidRDefault="0016663F" w:rsidP="004361AC">
            <w:pPr>
              <w:pStyle w:val="Text"/>
              <w:keepNext/>
              <w:spacing w:before="0"/>
              <w:jc w:val="center"/>
              <w:rPr>
                <w:rFonts w:eastAsia="MS Mincho"/>
                <w:b/>
                <w:bCs/>
                <w:sz w:val="22"/>
                <w:szCs w:val="22"/>
              </w:rPr>
            </w:pPr>
            <w:r w:rsidRPr="003E0B98">
              <w:rPr>
                <w:rFonts w:eastAsia="MS Mincho"/>
                <w:b/>
                <w:bCs/>
                <w:sz w:val="22"/>
                <w:szCs w:val="22"/>
              </w:rPr>
              <w:t>0</w:t>
            </w:r>
            <w:r w:rsidRPr="003E0B98">
              <w:rPr>
                <w:rFonts w:eastAsia="MS Mincho"/>
                <w:b/>
                <w:bCs/>
                <w:sz w:val="22"/>
                <w:szCs w:val="22"/>
                <w:lang w:val="es-ES"/>
              </w:rPr>
              <w:t>,</w:t>
            </w:r>
            <w:r w:rsidRPr="003E0B98">
              <w:rPr>
                <w:rFonts w:eastAsia="MS Mincho"/>
                <w:b/>
                <w:bCs/>
                <w:sz w:val="22"/>
                <w:szCs w:val="22"/>
              </w:rPr>
              <w:t>5 mg</w:t>
            </w:r>
          </w:p>
          <w:p w14:paraId="31400008" w14:textId="77777777" w:rsidR="0016663F" w:rsidRPr="003E0B98" w:rsidRDefault="0016663F" w:rsidP="004361AC">
            <w:pPr>
              <w:pStyle w:val="Text"/>
              <w:keepNext/>
              <w:spacing w:before="0"/>
              <w:jc w:val="center"/>
              <w:rPr>
                <w:rFonts w:eastAsia="MS Mincho"/>
                <w:b/>
                <w:bCs/>
                <w:sz w:val="22"/>
                <w:szCs w:val="22"/>
              </w:rPr>
            </w:pPr>
            <w:r w:rsidRPr="003E0B98">
              <w:rPr>
                <w:rFonts w:eastAsia="MS Mincho"/>
                <w:b/>
                <w:bCs/>
                <w:sz w:val="22"/>
                <w:szCs w:val="22"/>
              </w:rPr>
              <w:t>“</w:t>
            </w:r>
            <w:proofErr w:type="spellStart"/>
            <w:r w:rsidRPr="003E0B98">
              <w:rPr>
                <w:rFonts w:eastAsia="MS Mincho"/>
                <w:b/>
                <w:bCs/>
                <w:sz w:val="22"/>
                <w:szCs w:val="22"/>
                <w:lang w:val="es-ES"/>
              </w:rPr>
              <w:t>actividad</w:t>
            </w:r>
            <w:proofErr w:type="spellEnd"/>
            <w:r w:rsidRPr="003E0B98">
              <w:rPr>
                <w:rFonts w:eastAsia="MS Mincho"/>
                <w:b/>
                <w:bCs/>
                <w:sz w:val="22"/>
                <w:szCs w:val="22"/>
                <w:lang w:val="es-ES"/>
              </w:rPr>
              <w:t xml:space="preserve"> de la enfermedad</w:t>
            </w:r>
            <w:r w:rsidRPr="003E0B98">
              <w:rPr>
                <w:rFonts w:eastAsia="MS Mincho"/>
                <w:b/>
                <w:bCs/>
                <w:sz w:val="22"/>
                <w:szCs w:val="22"/>
              </w:rPr>
              <w:t>”</w:t>
            </w:r>
          </w:p>
          <w:p w14:paraId="7F4E0360" w14:textId="77777777" w:rsidR="0016663F" w:rsidRPr="003E0B98" w:rsidRDefault="0016663F" w:rsidP="004361AC">
            <w:pPr>
              <w:pStyle w:val="Table"/>
              <w:keepNext/>
              <w:spacing w:before="0" w:after="0"/>
              <w:jc w:val="center"/>
              <w:rPr>
                <w:rFonts w:ascii="Times New Roman" w:hAnsi="Times New Roman"/>
                <w:sz w:val="22"/>
                <w:szCs w:val="22"/>
                <w:lang w:val="es-ES" w:eastAsia="en-US"/>
              </w:rPr>
            </w:pPr>
            <w:r w:rsidRPr="003E0B98">
              <w:rPr>
                <w:rFonts w:ascii="Times New Roman" w:hAnsi="Times New Roman"/>
                <w:b/>
                <w:bCs/>
                <w:sz w:val="22"/>
                <w:szCs w:val="22"/>
                <w:lang w:val="es-ES" w:eastAsia="en-US"/>
              </w:rPr>
              <w:t>(n=116)</w:t>
            </w:r>
          </w:p>
        </w:tc>
        <w:tc>
          <w:tcPr>
            <w:tcW w:w="1247" w:type="dxa"/>
            <w:tcBorders>
              <w:top w:val="single" w:sz="4" w:space="0" w:color="auto"/>
              <w:bottom w:val="single" w:sz="4" w:space="0" w:color="auto"/>
            </w:tcBorders>
          </w:tcPr>
          <w:p w14:paraId="6EE47D39" w14:textId="77777777" w:rsidR="0016663F" w:rsidRPr="003E0B98" w:rsidRDefault="0016663F" w:rsidP="004361AC">
            <w:pPr>
              <w:pStyle w:val="Text"/>
              <w:keepNext/>
              <w:spacing w:before="0"/>
              <w:jc w:val="center"/>
              <w:rPr>
                <w:rFonts w:eastAsia="MS Mincho"/>
                <w:b/>
                <w:bCs/>
                <w:sz w:val="22"/>
                <w:szCs w:val="22"/>
              </w:rPr>
            </w:pPr>
            <w:r w:rsidRPr="003E0B98">
              <w:rPr>
                <w:rFonts w:eastAsia="MS Mincho"/>
                <w:b/>
                <w:bCs/>
                <w:sz w:val="22"/>
                <w:szCs w:val="22"/>
              </w:rPr>
              <w:t>Grup</w:t>
            </w:r>
            <w:r w:rsidRPr="003E0B98">
              <w:rPr>
                <w:rFonts w:eastAsia="MS Mincho"/>
                <w:b/>
                <w:bCs/>
                <w:sz w:val="22"/>
                <w:szCs w:val="22"/>
                <w:lang w:val="es-ES"/>
              </w:rPr>
              <w:t>o</w:t>
            </w:r>
            <w:r w:rsidRPr="003E0B98">
              <w:rPr>
                <w:rFonts w:eastAsia="MS Mincho"/>
                <w:b/>
                <w:bCs/>
                <w:sz w:val="22"/>
                <w:szCs w:val="22"/>
              </w:rPr>
              <w:t xml:space="preserve"> III</w:t>
            </w:r>
          </w:p>
          <w:p w14:paraId="4EA4DD95" w14:textId="77777777" w:rsidR="0016663F" w:rsidRPr="003E0B98" w:rsidRDefault="0016663F" w:rsidP="004361AC">
            <w:pPr>
              <w:pStyle w:val="Text"/>
              <w:keepNext/>
              <w:spacing w:before="0"/>
              <w:jc w:val="center"/>
              <w:rPr>
                <w:rFonts w:eastAsia="MS Mincho"/>
                <w:b/>
                <w:bCs/>
                <w:sz w:val="22"/>
                <w:szCs w:val="22"/>
                <w:lang w:val="de-CH"/>
              </w:rPr>
            </w:pPr>
            <w:r w:rsidRPr="003E0B98">
              <w:rPr>
                <w:rFonts w:eastAsia="MS Mincho"/>
                <w:b/>
                <w:bCs/>
                <w:sz w:val="22"/>
                <w:szCs w:val="22"/>
                <w:lang w:val="es-ES"/>
              </w:rPr>
              <w:t>TF</w:t>
            </w:r>
            <w:proofErr w:type="spellStart"/>
            <w:r w:rsidRPr="003E0B98">
              <w:rPr>
                <w:rFonts w:eastAsia="MS Mincho"/>
                <w:b/>
                <w:bCs/>
                <w:sz w:val="22"/>
                <w:szCs w:val="22"/>
              </w:rPr>
              <w:t>D</w:t>
            </w:r>
            <w:r w:rsidRPr="003E0B98">
              <w:rPr>
                <w:rFonts w:eastAsia="MS Mincho"/>
                <w:b/>
                <w:bCs/>
                <w:sz w:val="22"/>
                <w:szCs w:val="22"/>
                <w:lang w:val="es-ES"/>
              </w:rPr>
              <w:t>v</w:t>
            </w:r>
            <w:proofErr w:type="spellEnd"/>
            <w:r w:rsidRPr="003E0B98">
              <w:rPr>
                <w:rFonts w:eastAsia="MS Mincho"/>
                <w:b/>
                <w:bCs/>
                <w:sz w:val="22"/>
                <w:szCs w:val="22"/>
                <w:vertAlign w:val="superscript"/>
                <w:lang w:val="de-CH"/>
              </w:rPr>
              <w:t>b</w:t>
            </w:r>
          </w:p>
          <w:p w14:paraId="25D569EF" w14:textId="77777777" w:rsidR="0016663F" w:rsidRPr="003E0B98" w:rsidRDefault="0016663F" w:rsidP="004361AC">
            <w:pPr>
              <w:pStyle w:val="Text"/>
              <w:keepNext/>
              <w:spacing w:before="0"/>
              <w:jc w:val="center"/>
              <w:rPr>
                <w:rFonts w:eastAsia="MS Mincho"/>
                <w:bCs/>
                <w:sz w:val="22"/>
                <w:szCs w:val="22"/>
              </w:rPr>
            </w:pPr>
          </w:p>
          <w:p w14:paraId="074DB046" w14:textId="77777777" w:rsidR="0016663F" w:rsidRPr="003E0B98" w:rsidRDefault="0016663F" w:rsidP="004361AC">
            <w:pPr>
              <w:pStyle w:val="Text"/>
              <w:keepNext/>
              <w:spacing w:before="0"/>
              <w:jc w:val="center"/>
              <w:rPr>
                <w:rFonts w:eastAsia="MS Mincho"/>
                <w:bCs/>
                <w:sz w:val="22"/>
                <w:szCs w:val="22"/>
                <w:lang w:val="es-ES"/>
              </w:rPr>
            </w:pPr>
          </w:p>
          <w:p w14:paraId="4A70149E" w14:textId="77777777" w:rsidR="0016663F" w:rsidRPr="003E0B98" w:rsidRDefault="0016663F" w:rsidP="004361AC">
            <w:pPr>
              <w:pStyle w:val="Text"/>
              <w:keepNext/>
              <w:spacing w:before="0"/>
              <w:jc w:val="center"/>
              <w:rPr>
                <w:rFonts w:eastAsia="MS Mincho"/>
                <w:bCs/>
                <w:sz w:val="22"/>
                <w:szCs w:val="22"/>
                <w:lang w:val="es-ES"/>
              </w:rPr>
            </w:pPr>
          </w:p>
          <w:p w14:paraId="48D3CB2A" w14:textId="77777777" w:rsidR="0016663F" w:rsidRPr="003E0B98" w:rsidRDefault="0016663F" w:rsidP="004361AC">
            <w:pPr>
              <w:pStyle w:val="Table"/>
              <w:keepNext/>
              <w:spacing w:before="0" w:after="0"/>
              <w:jc w:val="center"/>
              <w:rPr>
                <w:rFonts w:ascii="Times New Roman" w:hAnsi="Times New Roman"/>
                <w:sz w:val="22"/>
                <w:szCs w:val="22"/>
                <w:lang w:val="en-US" w:eastAsia="en-US"/>
              </w:rPr>
            </w:pPr>
            <w:r w:rsidRPr="003E0B98">
              <w:rPr>
                <w:rFonts w:ascii="Times New Roman" w:hAnsi="Times New Roman"/>
                <w:b/>
                <w:bCs/>
                <w:sz w:val="22"/>
                <w:szCs w:val="22"/>
                <w:lang w:val="en-US" w:eastAsia="en-US"/>
              </w:rPr>
              <w:t>(n=55)</w:t>
            </w:r>
          </w:p>
        </w:tc>
      </w:tr>
      <w:tr w:rsidR="0016663F" w:rsidRPr="003E0B98" w14:paraId="4A0F1C0E" w14:textId="77777777" w:rsidTr="00F1468E">
        <w:tc>
          <w:tcPr>
            <w:tcW w:w="4219" w:type="dxa"/>
            <w:tcBorders>
              <w:top w:val="single" w:sz="4" w:space="0" w:color="auto"/>
            </w:tcBorders>
          </w:tcPr>
          <w:p w14:paraId="4667BEE1" w14:textId="77777777" w:rsidR="0016663F" w:rsidRPr="003E0B98" w:rsidRDefault="0016663F" w:rsidP="004361AC">
            <w:pPr>
              <w:pStyle w:val="Table"/>
              <w:keepNext/>
              <w:spacing w:before="0" w:after="0"/>
              <w:rPr>
                <w:rFonts w:ascii="Times New Roman" w:hAnsi="Times New Roman"/>
                <w:b/>
                <w:sz w:val="22"/>
                <w:szCs w:val="22"/>
                <w:lang w:val="en-US" w:eastAsia="en-US"/>
              </w:rPr>
            </w:pPr>
            <w:r w:rsidRPr="003E0B98">
              <w:rPr>
                <w:rFonts w:ascii="Times New Roman" w:hAnsi="Times New Roman"/>
                <w:b/>
                <w:sz w:val="22"/>
                <w:szCs w:val="22"/>
                <w:lang w:val="en-US" w:eastAsia="en-US"/>
              </w:rPr>
              <w:t>Mes 3</w:t>
            </w:r>
          </w:p>
        </w:tc>
        <w:tc>
          <w:tcPr>
            <w:tcW w:w="1843" w:type="dxa"/>
            <w:tcBorders>
              <w:top w:val="single" w:sz="4" w:space="0" w:color="auto"/>
            </w:tcBorders>
          </w:tcPr>
          <w:p w14:paraId="15128B98" w14:textId="77777777" w:rsidR="0016663F" w:rsidRPr="003E0B98" w:rsidRDefault="0016663F" w:rsidP="004361AC">
            <w:pPr>
              <w:pStyle w:val="Table"/>
              <w:keepNext/>
              <w:spacing w:before="0" w:after="0"/>
              <w:rPr>
                <w:rFonts w:ascii="Times New Roman" w:hAnsi="Times New Roman"/>
                <w:sz w:val="22"/>
                <w:szCs w:val="22"/>
                <w:lang w:val="en-US" w:eastAsia="en-US"/>
              </w:rPr>
            </w:pPr>
          </w:p>
        </w:tc>
        <w:tc>
          <w:tcPr>
            <w:tcW w:w="1984" w:type="dxa"/>
            <w:tcBorders>
              <w:top w:val="single" w:sz="4" w:space="0" w:color="auto"/>
            </w:tcBorders>
          </w:tcPr>
          <w:p w14:paraId="0381FD85" w14:textId="77777777" w:rsidR="0016663F" w:rsidRPr="003E0B98" w:rsidRDefault="0016663F" w:rsidP="004361AC">
            <w:pPr>
              <w:pStyle w:val="Table"/>
              <w:keepNext/>
              <w:spacing w:before="0" w:after="0"/>
              <w:rPr>
                <w:rFonts w:ascii="Times New Roman" w:hAnsi="Times New Roman"/>
                <w:sz w:val="22"/>
                <w:szCs w:val="22"/>
                <w:lang w:val="en-US" w:eastAsia="en-US"/>
              </w:rPr>
            </w:pPr>
          </w:p>
        </w:tc>
        <w:tc>
          <w:tcPr>
            <w:tcW w:w="1247" w:type="dxa"/>
            <w:tcBorders>
              <w:top w:val="single" w:sz="4" w:space="0" w:color="auto"/>
            </w:tcBorders>
          </w:tcPr>
          <w:p w14:paraId="2CE78CBE" w14:textId="77777777" w:rsidR="0016663F" w:rsidRPr="003E0B98" w:rsidRDefault="0016663F" w:rsidP="004361AC">
            <w:pPr>
              <w:pStyle w:val="Table"/>
              <w:keepNext/>
              <w:spacing w:before="0" w:after="0"/>
              <w:rPr>
                <w:rFonts w:ascii="Times New Roman" w:hAnsi="Times New Roman"/>
                <w:sz w:val="22"/>
                <w:szCs w:val="22"/>
                <w:lang w:val="en-US" w:eastAsia="en-US"/>
              </w:rPr>
            </w:pPr>
          </w:p>
        </w:tc>
      </w:tr>
      <w:tr w:rsidR="0016663F" w:rsidRPr="003E0B98" w14:paraId="0EC70A17" w14:textId="77777777" w:rsidTr="00F1468E">
        <w:tc>
          <w:tcPr>
            <w:tcW w:w="4219" w:type="dxa"/>
          </w:tcPr>
          <w:p w14:paraId="40B4266B" w14:textId="77777777" w:rsidR="0016663F" w:rsidRPr="003E0B98" w:rsidRDefault="0016663F" w:rsidP="004361AC">
            <w:pPr>
              <w:pStyle w:val="Table"/>
              <w:keepNext/>
              <w:spacing w:before="0" w:after="0"/>
              <w:rPr>
                <w:rFonts w:ascii="Times New Roman" w:hAnsi="Times New Roman"/>
                <w:sz w:val="22"/>
                <w:szCs w:val="22"/>
                <w:lang w:val="es-ES" w:eastAsia="en-US"/>
              </w:rPr>
            </w:pPr>
            <w:r w:rsidRPr="003E0B98">
              <w:rPr>
                <w:rFonts w:ascii="Times New Roman" w:eastAsia="Times New Roman" w:hAnsi="Times New Roman"/>
                <w:color w:val="000000"/>
                <w:sz w:val="22"/>
                <w:szCs w:val="22"/>
                <w:lang w:val="es-ES_tradnl" w:eastAsia="en-US"/>
              </w:rPr>
              <w:t xml:space="preserve">Cambio </w:t>
            </w:r>
            <w:r w:rsidR="00036034" w:rsidRPr="003E0B98">
              <w:rPr>
                <w:rFonts w:ascii="Times New Roman" w:eastAsia="Times New Roman" w:hAnsi="Times New Roman"/>
                <w:color w:val="000000"/>
                <w:sz w:val="22"/>
                <w:szCs w:val="22"/>
                <w:lang w:val="es-ES_tradnl" w:eastAsia="en-US"/>
              </w:rPr>
              <w:t>pro</w:t>
            </w:r>
            <w:r w:rsidRPr="003E0B98">
              <w:rPr>
                <w:rFonts w:ascii="Times New Roman" w:eastAsia="Times New Roman" w:hAnsi="Times New Roman"/>
                <w:color w:val="000000"/>
                <w:sz w:val="22"/>
                <w:szCs w:val="22"/>
                <w:lang w:val="es-ES_tradnl" w:eastAsia="en-US"/>
              </w:rPr>
              <w:t xml:space="preserve">medio </w:t>
            </w:r>
            <w:r w:rsidR="00036034" w:rsidRPr="003E0B98">
              <w:rPr>
                <w:rFonts w:ascii="Times New Roman" w:eastAsia="Times New Roman" w:hAnsi="Times New Roman"/>
                <w:color w:val="000000"/>
                <w:sz w:val="22"/>
                <w:szCs w:val="22"/>
                <w:lang w:val="es-ES_tradnl" w:eastAsia="en-US"/>
              </w:rPr>
              <w:t>de</w:t>
            </w:r>
            <w:r w:rsidRPr="003E0B98">
              <w:rPr>
                <w:rFonts w:ascii="Times New Roman" w:eastAsia="Times New Roman" w:hAnsi="Times New Roman"/>
                <w:color w:val="000000"/>
                <w:sz w:val="22"/>
                <w:szCs w:val="22"/>
                <w:lang w:val="es-ES_tradnl" w:eastAsia="en-US"/>
              </w:rPr>
              <w:t xml:space="preserve"> la AVMC desde el Mes</w:t>
            </w:r>
            <w:r w:rsidRPr="003E0B98">
              <w:rPr>
                <w:rFonts w:ascii="Times New Roman" w:hAnsi="Times New Roman"/>
                <w:color w:val="000000"/>
                <w:sz w:val="22"/>
                <w:szCs w:val="22"/>
                <w:lang w:val="es-ES_tradnl" w:eastAsia="en-US"/>
              </w:rPr>
              <w:t> </w:t>
            </w:r>
            <w:r w:rsidRPr="003E0B98">
              <w:rPr>
                <w:rFonts w:ascii="Times New Roman" w:eastAsia="Times New Roman" w:hAnsi="Times New Roman"/>
                <w:color w:val="000000"/>
                <w:sz w:val="22"/>
                <w:szCs w:val="22"/>
                <w:lang w:val="es-ES_tradnl" w:eastAsia="en-US"/>
              </w:rPr>
              <w:t>1 al Mes</w:t>
            </w:r>
            <w:r w:rsidRPr="003E0B98">
              <w:rPr>
                <w:rFonts w:ascii="Times New Roman" w:hAnsi="Times New Roman"/>
                <w:color w:val="000000"/>
                <w:sz w:val="22"/>
                <w:szCs w:val="22"/>
                <w:lang w:val="es-ES_tradnl" w:eastAsia="en-US"/>
              </w:rPr>
              <w:t> </w:t>
            </w:r>
            <w:r w:rsidRPr="003E0B98">
              <w:rPr>
                <w:rFonts w:ascii="Times New Roman" w:eastAsia="Times New Roman" w:hAnsi="Times New Roman"/>
                <w:color w:val="000000"/>
                <w:sz w:val="22"/>
                <w:szCs w:val="22"/>
                <w:lang w:val="es-ES_tradnl" w:eastAsia="en-US"/>
              </w:rPr>
              <w:t xml:space="preserve">3 comparado con el </w:t>
            </w:r>
            <w:proofErr w:type="spellStart"/>
            <w:r w:rsidRPr="003E0B98">
              <w:rPr>
                <w:rFonts w:ascii="Times New Roman" w:eastAsia="Times New Roman" w:hAnsi="Times New Roman"/>
                <w:color w:val="000000"/>
                <w:sz w:val="22"/>
                <w:szCs w:val="22"/>
                <w:lang w:val="es-ES_tradnl" w:eastAsia="en-US"/>
              </w:rPr>
              <w:t>inicio</w:t>
            </w:r>
            <w:r w:rsidRPr="003E0B98">
              <w:rPr>
                <w:rFonts w:ascii="Times New Roman" w:eastAsia="Times New Roman" w:hAnsi="Times New Roman"/>
                <w:color w:val="000000"/>
                <w:sz w:val="22"/>
                <w:szCs w:val="22"/>
                <w:vertAlign w:val="superscript"/>
                <w:lang w:val="es-ES_tradnl" w:eastAsia="en-US"/>
              </w:rPr>
              <w:t>a</w:t>
            </w:r>
            <w:proofErr w:type="spellEnd"/>
            <w:r w:rsidRPr="003E0B98">
              <w:rPr>
                <w:rFonts w:ascii="Times New Roman" w:eastAsia="Times New Roman" w:hAnsi="Times New Roman"/>
                <w:color w:val="000000"/>
                <w:sz w:val="22"/>
                <w:szCs w:val="22"/>
                <w:lang w:val="es-ES_tradnl" w:eastAsia="en-US"/>
              </w:rPr>
              <w:t xml:space="preserve"> (letras)</w:t>
            </w:r>
          </w:p>
        </w:tc>
        <w:tc>
          <w:tcPr>
            <w:tcW w:w="1843" w:type="dxa"/>
          </w:tcPr>
          <w:p w14:paraId="5A32AED6" w14:textId="77777777" w:rsidR="0016663F" w:rsidRPr="003E0B98" w:rsidRDefault="0016663F" w:rsidP="004361AC">
            <w:pPr>
              <w:pStyle w:val="Table"/>
              <w:keepNext/>
              <w:spacing w:before="0" w:after="0"/>
              <w:jc w:val="center"/>
              <w:rPr>
                <w:rFonts w:ascii="Times New Roman" w:hAnsi="Times New Roman"/>
                <w:sz w:val="22"/>
                <w:szCs w:val="22"/>
                <w:lang w:val="en-US" w:eastAsia="en-US"/>
              </w:rPr>
            </w:pPr>
            <w:r w:rsidRPr="003E0B98">
              <w:rPr>
                <w:rFonts w:ascii="Times New Roman" w:hAnsi="Times New Roman"/>
                <w:sz w:val="22"/>
                <w:szCs w:val="22"/>
                <w:lang w:val="en-US" w:eastAsia="en-US"/>
              </w:rPr>
              <w:t>+10,5</w:t>
            </w:r>
          </w:p>
        </w:tc>
        <w:tc>
          <w:tcPr>
            <w:tcW w:w="1984" w:type="dxa"/>
          </w:tcPr>
          <w:p w14:paraId="656A2B05" w14:textId="77777777" w:rsidR="0016663F" w:rsidRPr="003E0B98" w:rsidRDefault="0016663F" w:rsidP="004361AC">
            <w:pPr>
              <w:pStyle w:val="Table"/>
              <w:keepNext/>
              <w:spacing w:before="0" w:after="0"/>
              <w:jc w:val="center"/>
              <w:rPr>
                <w:rFonts w:ascii="Times New Roman" w:hAnsi="Times New Roman"/>
                <w:sz w:val="22"/>
                <w:szCs w:val="22"/>
                <w:lang w:val="en-US" w:eastAsia="en-US"/>
              </w:rPr>
            </w:pPr>
            <w:r w:rsidRPr="003E0B98">
              <w:rPr>
                <w:rFonts w:ascii="Times New Roman" w:hAnsi="Times New Roman"/>
                <w:sz w:val="22"/>
                <w:szCs w:val="22"/>
                <w:lang w:val="en-US" w:eastAsia="en-US"/>
              </w:rPr>
              <w:t>+10,6</w:t>
            </w:r>
          </w:p>
        </w:tc>
        <w:tc>
          <w:tcPr>
            <w:tcW w:w="1247" w:type="dxa"/>
          </w:tcPr>
          <w:p w14:paraId="35015282" w14:textId="77777777" w:rsidR="0016663F" w:rsidRPr="003E0B98" w:rsidRDefault="0016663F" w:rsidP="004361AC">
            <w:pPr>
              <w:pStyle w:val="Table"/>
              <w:keepNext/>
              <w:spacing w:before="0" w:after="0"/>
              <w:jc w:val="center"/>
              <w:rPr>
                <w:rFonts w:ascii="Times New Roman" w:hAnsi="Times New Roman"/>
                <w:sz w:val="22"/>
                <w:szCs w:val="22"/>
                <w:lang w:val="en-US" w:eastAsia="en-US"/>
              </w:rPr>
            </w:pPr>
            <w:r w:rsidRPr="003E0B98">
              <w:rPr>
                <w:rFonts w:ascii="Times New Roman" w:hAnsi="Times New Roman"/>
                <w:sz w:val="22"/>
                <w:szCs w:val="22"/>
                <w:lang w:val="en-US" w:eastAsia="en-US"/>
              </w:rPr>
              <w:t>+2,2</w:t>
            </w:r>
          </w:p>
        </w:tc>
      </w:tr>
      <w:tr w:rsidR="0016663F" w:rsidRPr="003E0B98" w14:paraId="5981AA1A" w14:textId="77777777" w:rsidTr="00F1468E">
        <w:tc>
          <w:tcPr>
            <w:tcW w:w="4219" w:type="dxa"/>
          </w:tcPr>
          <w:p w14:paraId="04DAC510" w14:textId="77777777" w:rsidR="0016663F" w:rsidRPr="003E0B98" w:rsidRDefault="0016663F" w:rsidP="004361AC">
            <w:pPr>
              <w:pStyle w:val="Text"/>
              <w:keepNext/>
              <w:spacing w:before="0"/>
              <w:jc w:val="left"/>
              <w:rPr>
                <w:rFonts w:eastAsia="MS Mincho"/>
                <w:sz w:val="22"/>
                <w:szCs w:val="22"/>
              </w:rPr>
            </w:pPr>
            <w:proofErr w:type="spellStart"/>
            <w:r w:rsidRPr="003E0B98">
              <w:rPr>
                <w:rFonts w:eastAsia="MS Mincho"/>
                <w:sz w:val="22"/>
                <w:szCs w:val="22"/>
              </w:rPr>
              <w:t>Propor</w:t>
            </w:r>
            <w:r w:rsidRPr="003E0B98">
              <w:rPr>
                <w:rFonts w:eastAsia="MS Mincho"/>
                <w:sz w:val="22"/>
                <w:szCs w:val="22"/>
                <w:lang w:val="es-ES"/>
              </w:rPr>
              <w:t>c</w:t>
            </w:r>
            <w:r w:rsidRPr="003E0B98">
              <w:rPr>
                <w:rFonts w:eastAsia="MS Mincho"/>
                <w:sz w:val="22"/>
                <w:szCs w:val="22"/>
              </w:rPr>
              <w:t>i</w:t>
            </w:r>
            <w:r w:rsidRPr="003E0B98">
              <w:rPr>
                <w:rFonts w:eastAsia="MS Mincho"/>
                <w:sz w:val="22"/>
                <w:szCs w:val="22"/>
                <w:lang w:val="es-ES"/>
              </w:rPr>
              <w:t>ó</w:t>
            </w:r>
            <w:proofErr w:type="spellEnd"/>
            <w:r w:rsidRPr="003E0B98">
              <w:rPr>
                <w:rFonts w:eastAsia="MS Mincho"/>
                <w:sz w:val="22"/>
                <w:szCs w:val="22"/>
              </w:rPr>
              <w:t xml:space="preserve">n </w:t>
            </w:r>
            <w:r w:rsidRPr="003E0B98">
              <w:rPr>
                <w:rFonts w:eastAsia="MS Mincho"/>
                <w:sz w:val="22"/>
                <w:szCs w:val="22"/>
                <w:lang w:val="es-ES"/>
              </w:rPr>
              <w:t>de pacientes que ganaron</w:t>
            </w:r>
            <w:r w:rsidRPr="003E0B98">
              <w:rPr>
                <w:rFonts w:eastAsia="MS Mincho"/>
                <w:sz w:val="22"/>
                <w:szCs w:val="22"/>
              </w:rPr>
              <w:t>:</w:t>
            </w:r>
          </w:p>
          <w:p w14:paraId="57C6ACD6" w14:textId="77777777" w:rsidR="0016663F" w:rsidRPr="003E0B98" w:rsidRDefault="0016663F" w:rsidP="004361AC">
            <w:pPr>
              <w:pStyle w:val="Text"/>
              <w:keepNext/>
              <w:spacing w:before="0"/>
              <w:jc w:val="left"/>
              <w:rPr>
                <w:rFonts w:eastAsia="MS Mincho"/>
                <w:sz w:val="22"/>
                <w:szCs w:val="22"/>
              </w:rPr>
            </w:pPr>
            <w:r w:rsidRPr="003E0B98">
              <w:rPr>
                <w:rFonts w:eastAsia="MS Mincho"/>
                <w:sz w:val="22"/>
                <w:szCs w:val="22"/>
              </w:rPr>
              <w:t>≥15 </w:t>
            </w:r>
            <w:proofErr w:type="spellStart"/>
            <w:r w:rsidRPr="003E0B98">
              <w:rPr>
                <w:rFonts w:eastAsia="MS Mincho"/>
                <w:sz w:val="22"/>
                <w:szCs w:val="22"/>
              </w:rPr>
              <w:t>let</w:t>
            </w:r>
            <w:r w:rsidRPr="003E0B98">
              <w:rPr>
                <w:rFonts w:eastAsia="MS Mincho"/>
                <w:sz w:val="22"/>
                <w:szCs w:val="22"/>
                <w:lang w:val="es-ES"/>
              </w:rPr>
              <w:t>ra</w:t>
            </w:r>
            <w:proofErr w:type="spellEnd"/>
            <w:r w:rsidRPr="003E0B98">
              <w:rPr>
                <w:rFonts w:eastAsia="MS Mincho"/>
                <w:sz w:val="22"/>
                <w:szCs w:val="22"/>
              </w:rPr>
              <w:t xml:space="preserve">s, o </w:t>
            </w:r>
            <w:r w:rsidRPr="003E0B98">
              <w:rPr>
                <w:rFonts w:eastAsia="MS Mincho"/>
                <w:sz w:val="22"/>
                <w:szCs w:val="22"/>
                <w:lang w:val="es-ES"/>
              </w:rPr>
              <w:t>alcanzaron</w:t>
            </w:r>
            <w:r w:rsidRPr="003E0B98">
              <w:rPr>
                <w:rFonts w:eastAsia="MS Mincho"/>
                <w:sz w:val="22"/>
                <w:szCs w:val="22"/>
              </w:rPr>
              <w:t xml:space="preserve"> ≥84 </w:t>
            </w:r>
            <w:proofErr w:type="spellStart"/>
            <w:r w:rsidRPr="003E0B98">
              <w:rPr>
                <w:rFonts w:eastAsia="MS Mincho"/>
                <w:sz w:val="22"/>
                <w:szCs w:val="22"/>
              </w:rPr>
              <w:t>let</w:t>
            </w:r>
            <w:r w:rsidRPr="003E0B98">
              <w:rPr>
                <w:rFonts w:eastAsia="MS Mincho"/>
                <w:sz w:val="22"/>
                <w:szCs w:val="22"/>
                <w:lang w:val="es-ES"/>
              </w:rPr>
              <w:t>ras</w:t>
            </w:r>
            <w:proofErr w:type="spellEnd"/>
            <w:r w:rsidRPr="003E0B98">
              <w:rPr>
                <w:rFonts w:eastAsia="MS Mincho"/>
                <w:sz w:val="22"/>
                <w:szCs w:val="22"/>
              </w:rPr>
              <w:t xml:space="preserve"> </w:t>
            </w:r>
            <w:r w:rsidRPr="003E0B98">
              <w:rPr>
                <w:rFonts w:eastAsia="MS Mincho"/>
                <w:sz w:val="22"/>
                <w:szCs w:val="22"/>
                <w:lang w:val="es-ES"/>
              </w:rPr>
              <w:t>e</w:t>
            </w:r>
            <w:r w:rsidRPr="003E0B98">
              <w:rPr>
                <w:rFonts w:eastAsia="MS Mincho"/>
                <w:sz w:val="22"/>
                <w:szCs w:val="22"/>
              </w:rPr>
              <w:t>n</w:t>
            </w:r>
            <w:r w:rsidRPr="003E0B98">
              <w:rPr>
                <w:rFonts w:eastAsia="MS Mincho"/>
                <w:sz w:val="22"/>
                <w:szCs w:val="22"/>
                <w:lang w:val="es-ES"/>
              </w:rPr>
              <w:t xml:space="preserve"> la AVMC</w:t>
            </w:r>
          </w:p>
        </w:tc>
        <w:tc>
          <w:tcPr>
            <w:tcW w:w="1843" w:type="dxa"/>
          </w:tcPr>
          <w:p w14:paraId="7BE16627" w14:textId="77777777" w:rsidR="0016663F" w:rsidRPr="003E0B98" w:rsidRDefault="0016663F" w:rsidP="004361AC">
            <w:pPr>
              <w:pStyle w:val="Text"/>
              <w:keepNext/>
              <w:spacing w:before="0"/>
              <w:jc w:val="center"/>
              <w:rPr>
                <w:rFonts w:eastAsia="MS Mincho"/>
                <w:sz w:val="22"/>
                <w:szCs w:val="22"/>
                <w:lang w:val="es-ES"/>
              </w:rPr>
            </w:pPr>
          </w:p>
          <w:p w14:paraId="1118F343" w14:textId="77777777" w:rsidR="0016663F" w:rsidRPr="003E0B98" w:rsidRDefault="0016663F" w:rsidP="004361AC">
            <w:pPr>
              <w:pStyle w:val="Text"/>
              <w:keepNext/>
              <w:tabs>
                <w:tab w:val="center" w:pos="1053"/>
                <w:tab w:val="right" w:pos="2107"/>
              </w:tabs>
              <w:spacing w:before="0"/>
              <w:jc w:val="center"/>
              <w:rPr>
                <w:rFonts w:eastAsia="MS Mincho"/>
                <w:sz w:val="22"/>
                <w:szCs w:val="22"/>
              </w:rPr>
            </w:pPr>
            <w:r w:rsidRPr="003E0B98">
              <w:rPr>
                <w:rFonts w:eastAsia="MS Mincho"/>
                <w:sz w:val="22"/>
                <w:szCs w:val="22"/>
              </w:rPr>
              <w:t>38</w:t>
            </w:r>
            <w:r w:rsidRPr="003E0B98">
              <w:rPr>
                <w:rFonts w:eastAsia="MS Mincho"/>
                <w:sz w:val="22"/>
                <w:szCs w:val="22"/>
                <w:lang w:val="es-ES"/>
              </w:rPr>
              <w:t>,</w:t>
            </w:r>
            <w:r w:rsidRPr="003E0B98">
              <w:rPr>
                <w:rFonts w:eastAsia="MS Mincho"/>
                <w:sz w:val="22"/>
                <w:szCs w:val="22"/>
              </w:rPr>
              <w:t>1%</w:t>
            </w:r>
          </w:p>
        </w:tc>
        <w:tc>
          <w:tcPr>
            <w:tcW w:w="1984" w:type="dxa"/>
          </w:tcPr>
          <w:p w14:paraId="05390605" w14:textId="77777777" w:rsidR="0016663F" w:rsidRPr="003E0B98" w:rsidRDefault="0016663F" w:rsidP="004361AC">
            <w:pPr>
              <w:pStyle w:val="Text"/>
              <w:keepNext/>
              <w:spacing w:before="0"/>
              <w:jc w:val="center"/>
              <w:rPr>
                <w:rFonts w:eastAsia="MS Mincho"/>
                <w:sz w:val="22"/>
                <w:szCs w:val="22"/>
                <w:lang w:val="es-ES"/>
              </w:rPr>
            </w:pPr>
          </w:p>
          <w:p w14:paraId="77A89586" w14:textId="77777777" w:rsidR="0016663F" w:rsidRPr="003E0B98" w:rsidRDefault="0016663F" w:rsidP="004361AC">
            <w:pPr>
              <w:pStyle w:val="Text"/>
              <w:keepNext/>
              <w:spacing w:before="0"/>
              <w:jc w:val="center"/>
              <w:rPr>
                <w:rFonts w:eastAsia="MS Mincho"/>
                <w:sz w:val="22"/>
                <w:szCs w:val="22"/>
              </w:rPr>
            </w:pPr>
            <w:r w:rsidRPr="003E0B98">
              <w:rPr>
                <w:rFonts w:eastAsia="MS Mincho"/>
                <w:sz w:val="22"/>
                <w:szCs w:val="22"/>
              </w:rPr>
              <w:t>43</w:t>
            </w:r>
            <w:r w:rsidRPr="003E0B98">
              <w:rPr>
                <w:rFonts w:eastAsia="MS Mincho"/>
                <w:sz w:val="22"/>
                <w:szCs w:val="22"/>
                <w:lang w:val="es-ES"/>
              </w:rPr>
              <w:t>,</w:t>
            </w:r>
            <w:r w:rsidRPr="003E0B98">
              <w:rPr>
                <w:rFonts w:eastAsia="MS Mincho"/>
                <w:sz w:val="22"/>
                <w:szCs w:val="22"/>
              </w:rPr>
              <w:t>1%</w:t>
            </w:r>
          </w:p>
        </w:tc>
        <w:tc>
          <w:tcPr>
            <w:tcW w:w="1247" w:type="dxa"/>
          </w:tcPr>
          <w:p w14:paraId="197D403A" w14:textId="77777777" w:rsidR="0016663F" w:rsidRPr="003E0B98" w:rsidRDefault="0016663F" w:rsidP="004361AC">
            <w:pPr>
              <w:pStyle w:val="Text"/>
              <w:keepNext/>
              <w:spacing w:before="0"/>
              <w:jc w:val="center"/>
              <w:rPr>
                <w:rFonts w:eastAsia="MS Mincho"/>
                <w:sz w:val="22"/>
                <w:szCs w:val="22"/>
                <w:lang w:val="es-ES"/>
              </w:rPr>
            </w:pPr>
          </w:p>
          <w:p w14:paraId="75159F00" w14:textId="77777777" w:rsidR="0016663F" w:rsidRPr="003E0B98" w:rsidRDefault="0016663F" w:rsidP="004361AC">
            <w:pPr>
              <w:pStyle w:val="Text"/>
              <w:keepNext/>
              <w:spacing w:before="0"/>
              <w:jc w:val="center"/>
              <w:rPr>
                <w:rFonts w:eastAsia="MS Mincho"/>
                <w:sz w:val="22"/>
                <w:szCs w:val="22"/>
              </w:rPr>
            </w:pPr>
            <w:r w:rsidRPr="003E0B98">
              <w:rPr>
                <w:rFonts w:eastAsia="MS Mincho"/>
                <w:sz w:val="22"/>
                <w:szCs w:val="22"/>
              </w:rPr>
              <w:t>14</w:t>
            </w:r>
            <w:r w:rsidRPr="003E0B98">
              <w:rPr>
                <w:rFonts w:eastAsia="MS Mincho"/>
                <w:sz w:val="22"/>
                <w:szCs w:val="22"/>
                <w:lang w:val="es-ES"/>
              </w:rPr>
              <w:t>,</w:t>
            </w:r>
            <w:r w:rsidRPr="003E0B98">
              <w:rPr>
                <w:rFonts w:eastAsia="MS Mincho"/>
                <w:sz w:val="22"/>
                <w:szCs w:val="22"/>
              </w:rPr>
              <w:t>5%</w:t>
            </w:r>
          </w:p>
        </w:tc>
      </w:tr>
      <w:tr w:rsidR="0016663F" w:rsidRPr="003E0B98" w14:paraId="295E4E7D" w14:textId="77777777" w:rsidTr="00F1468E">
        <w:tc>
          <w:tcPr>
            <w:tcW w:w="4219" w:type="dxa"/>
          </w:tcPr>
          <w:p w14:paraId="5E677EE3" w14:textId="77777777" w:rsidR="0016663F" w:rsidRPr="003E0B98" w:rsidRDefault="0016663F" w:rsidP="004361AC">
            <w:pPr>
              <w:pStyle w:val="Table"/>
              <w:keepNext/>
              <w:spacing w:before="0" w:after="0"/>
              <w:rPr>
                <w:rFonts w:ascii="Times New Roman" w:hAnsi="Times New Roman"/>
                <w:b/>
                <w:sz w:val="22"/>
                <w:szCs w:val="22"/>
                <w:lang w:val="en-US" w:eastAsia="en-US"/>
              </w:rPr>
            </w:pPr>
            <w:r w:rsidRPr="003E0B98">
              <w:rPr>
                <w:rFonts w:ascii="Times New Roman" w:hAnsi="Times New Roman"/>
                <w:b/>
                <w:sz w:val="22"/>
                <w:szCs w:val="22"/>
                <w:lang w:val="en-US" w:eastAsia="en-US"/>
              </w:rPr>
              <w:t>Mes 12</w:t>
            </w:r>
          </w:p>
        </w:tc>
        <w:tc>
          <w:tcPr>
            <w:tcW w:w="1843" w:type="dxa"/>
          </w:tcPr>
          <w:p w14:paraId="437BA354" w14:textId="77777777" w:rsidR="0016663F" w:rsidRPr="003E0B98" w:rsidRDefault="0016663F" w:rsidP="004361AC">
            <w:pPr>
              <w:pStyle w:val="Table"/>
              <w:keepNext/>
              <w:spacing w:before="0" w:after="0"/>
              <w:jc w:val="center"/>
              <w:rPr>
                <w:rFonts w:ascii="Times New Roman" w:hAnsi="Times New Roman"/>
                <w:sz w:val="22"/>
                <w:szCs w:val="22"/>
                <w:lang w:val="en-US" w:eastAsia="en-US"/>
              </w:rPr>
            </w:pPr>
          </w:p>
        </w:tc>
        <w:tc>
          <w:tcPr>
            <w:tcW w:w="1984" w:type="dxa"/>
          </w:tcPr>
          <w:p w14:paraId="7935B7B0" w14:textId="77777777" w:rsidR="0016663F" w:rsidRPr="003E0B98" w:rsidRDefault="0016663F" w:rsidP="004361AC">
            <w:pPr>
              <w:pStyle w:val="Table"/>
              <w:keepNext/>
              <w:spacing w:before="0" w:after="0"/>
              <w:jc w:val="center"/>
              <w:rPr>
                <w:rFonts w:ascii="Times New Roman" w:hAnsi="Times New Roman"/>
                <w:sz w:val="22"/>
                <w:szCs w:val="22"/>
                <w:lang w:val="en-US" w:eastAsia="en-US"/>
              </w:rPr>
            </w:pPr>
          </w:p>
        </w:tc>
        <w:tc>
          <w:tcPr>
            <w:tcW w:w="1247" w:type="dxa"/>
          </w:tcPr>
          <w:p w14:paraId="1CD4C38A" w14:textId="77777777" w:rsidR="0016663F" w:rsidRPr="003E0B98" w:rsidRDefault="0016663F" w:rsidP="004361AC">
            <w:pPr>
              <w:pStyle w:val="Table"/>
              <w:keepNext/>
              <w:spacing w:before="0" w:after="0"/>
              <w:jc w:val="center"/>
              <w:rPr>
                <w:rFonts w:ascii="Times New Roman" w:hAnsi="Times New Roman"/>
                <w:sz w:val="22"/>
                <w:szCs w:val="22"/>
                <w:lang w:val="en-US" w:eastAsia="en-US"/>
              </w:rPr>
            </w:pPr>
          </w:p>
        </w:tc>
      </w:tr>
      <w:tr w:rsidR="0016663F" w:rsidRPr="003E0B98" w14:paraId="33D0CA72" w14:textId="77777777" w:rsidTr="00F1468E">
        <w:tc>
          <w:tcPr>
            <w:tcW w:w="4219" w:type="dxa"/>
          </w:tcPr>
          <w:p w14:paraId="21F5E495" w14:textId="77777777" w:rsidR="0016663F" w:rsidRPr="003E0B98" w:rsidRDefault="0016663F" w:rsidP="004361AC">
            <w:pPr>
              <w:pStyle w:val="Table"/>
              <w:keepNext/>
              <w:spacing w:before="0" w:after="0"/>
              <w:rPr>
                <w:rFonts w:ascii="Times New Roman" w:hAnsi="Times New Roman"/>
                <w:sz w:val="22"/>
                <w:szCs w:val="22"/>
                <w:lang w:val="es-ES" w:eastAsia="en-US"/>
              </w:rPr>
            </w:pPr>
            <w:r w:rsidRPr="003E0B98">
              <w:rPr>
                <w:rFonts w:ascii="Times New Roman" w:hAnsi="Times New Roman"/>
                <w:sz w:val="22"/>
                <w:szCs w:val="22"/>
                <w:lang w:val="es-ES" w:eastAsia="en-US"/>
              </w:rPr>
              <w:t>Número de inyecciones hasta el Mes 12:</w:t>
            </w:r>
          </w:p>
          <w:p w14:paraId="714EF36E" w14:textId="77777777" w:rsidR="0016663F" w:rsidRPr="003E0B98" w:rsidRDefault="0016663F" w:rsidP="004361AC">
            <w:pPr>
              <w:pStyle w:val="Table"/>
              <w:keepNext/>
              <w:spacing w:before="0" w:after="0"/>
              <w:rPr>
                <w:rFonts w:ascii="Times New Roman" w:hAnsi="Times New Roman"/>
                <w:sz w:val="22"/>
                <w:szCs w:val="22"/>
                <w:lang w:val="en-US" w:eastAsia="en-US"/>
              </w:rPr>
            </w:pPr>
            <w:r w:rsidRPr="003E0B98">
              <w:rPr>
                <w:rFonts w:ascii="Times New Roman" w:hAnsi="Times New Roman"/>
                <w:sz w:val="22"/>
                <w:szCs w:val="22"/>
                <w:lang w:val="en-US" w:eastAsia="en-US"/>
              </w:rPr>
              <w:t>Media</w:t>
            </w:r>
          </w:p>
          <w:p w14:paraId="7CDDB1DA" w14:textId="77777777" w:rsidR="0016663F" w:rsidRPr="003E0B98" w:rsidRDefault="0016663F" w:rsidP="004361AC">
            <w:pPr>
              <w:pStyle w:val="Table"/>
              <w:keepNext/>
              <w:spacing w:before="0" w:after="0"/>
              <w:rPr>
                <w:rFonts w:ascii="Times New Roman" w:hAnsi="Times New Roman"/>
                <w:sz w:val="22"/>
                <w:szCs w:val="22"/>
                <w:lang w:val="en-US" w:eastAsia="en-US"/>
              </w:rPr>
            </w:pPr>
            <w:r w:rsidRPr="003E0B98">
              <w:rPr>
                <w:rFonts w:ascii="Times New Roman" w:hAnsi="Times New Roman"/>
                <w:sz w:val="22"/>
                <w:szCs w:val="22"/>
                <w:lang w:val="en-US" w:eastAsia="en-US"/>
              </w:rPr>
              <w:t>Mediana</w:t>
            </w:r>
          </w:p>
        </w:tc>
        <w:tc>
          <w:tcPr>
            <w:tcW w:w="1843" w:type="dxa"/>
          </w:tcPr>
          <w:p w14:paraId="5FFCF1CD" w14:textId="77777777" w:rsidR="0016663F" w:rsidRPr="003E0B98" w:rsidRDefault="0016663F" w:rsidP="004361AC">
            <w:pPr>
              <w:pStyle w:val="Table"/>
              <w:keepNext/>
              <w:spacing w:before="0" w:after="0"/>
              <w:jc w:val="center"/>
              <w:rPr>
                <w:rFonts w:ascii="Times New Roman" w:hAnsi="Times New Roman"/>
                <w:sz w:val="22"/>
                <w:szCs w:val="22"/>
                <w:lang w:val="en-US" w:eastAsia="en-US"/>
              </w:rPr>
            </w:pPr>
          </w:p>
          <w:p w14:paraId="05D53E30" w14:textId="77777777" w:rsidR="0016663F" w:rsidRPr="003E0B98" w:rsidRDefault="0016663F" w:rsidP="004361AC">
            <w:pPr>
              <w:pStyle w:val="Table"/>
              <w:keepNext/>
              <w:spacing w:before="0" w:after="0"/>
              <w:jc w:val="center"/>
              <w:rPr>
                <w:rFonts w:ascii="Times New Roman" w:hAnsi="Times New Roman"/>
                <w:sz w:val="22"/>
                <w:szCs w:val="22"/>
                <w:lang w:val="en-US" w:eastAsia="en-US"/>
              </w:rPr>
            </w:pPr>
            <w:r w:rsidRPr="003E0B98">
              <w:rPr>
                <w:rFonts w:ascii="Times New Roman" w:hAnsi="Times New Roman"/>
                <w:sz w:val="22"/>
                <w:szCs w:val="22"/>
                <w:lang w:val="en-US" w:eastAsia="en-US"/>
              </w:rPr>
              <w:t>4,6</w:t>
            </w:r>
          </w:p>
          <w:p w14:paraId="60BF5C73" w14:textId="77777777" w:rsidR="0016663F" w:rsidRPr="003E0B98" w:rsidRDefault="0016663F" w:rsidP="004361AC">
            <w:pPr>
              <w:pStyle w:val="Table"/>
              <w:keepNext/>
              <w:spacing w:before="0" w:after="0"/>
              <w:jc w:val="center"/>
              <w:rPr>
                <w:rFonts w:ascii="Times New Roman" w:hAnsi="Times New Roman"/>
                <w:sz w:val="22"/>
                <w:szCs w:val="22"/>
                <w:lang w:val="en-US" w:eastAsia="en-US"/>
              </w:rPr>
            </w:pPr>
            <w:r w:rsidRPr="003E0B98">
              <w:rPr>
                <w:rFonts w:ascii="Times New Roman" w:hAnsi="Times New Roman"/>
                <w:sz w:val="22"/>
                <w:szCs w:val="22"/>
                <w:lang w:val="en-US" w:eastAsia="en-US"/>
              </w:rPr>
              <w:t>4,0</w:t>
            </w:r>
          </w:p>
        </w:tc>
        <w:tc>
          <w:tcPr>
            <w:tcW w:w="1984" w:type="dxa"/>
          </w:tcPr>
          <w:p w14:paraId="284A9DA4" w14:textId="77777777" w:rsidR="0016663F" w:rsidRPr="003E0B98" w:rsidRDefault="0016663F" w:rsidP="004361AC">
            <w:pPr>
              <w:pStyle w:val="Table"/>
              <w:keepNext/>
              <w:spacing w:before="0" w:after="0"/>
              <w:jc w:val="center"/>
              <w:rPr>
                <w:rFonts w:ascii="Times New Roman" w:hAnsi="Times New Roman"/>
                <w:sz w:val="22"/>
                <w:szCs w:val="22"/>
                <w:lang w:val="en-US" w:eastAsia="en-US"/>
              </w:rPr>
            </w:pPr>
          </w:p>
          <w:p w14:paraId="518E6BB4" w14:textId="77777777" w:rsidR="0016663F" w:rsidRPr="003E0B98" w:rsidRDefault="0016663F" w:rsidP="004361AC">
            <w:pPr>
              <w:pStyle w:val="Table"/>
              <w:keepNext/>
              <w:spacing w:before="0" w:after="0"/>
              <w:jc w:val="center"/>
              <w:rPr>
                <w:rFonts w:ascii="Times New Roman" w:hAnsi="Times New Roman"/>
                <w:sz w:val="22"/>
                <w:szCs w:val="22"/>
                <w:lang w:val="en-US" w:eastAsia="en-US"/>
              </w:rPr>
            </w:pPr>
            <w:r w:rsidRPr="003E0B98">
              <w:rPr>
                <w:rFonts w:ascii="Times New Roman" w:hAnsi="Times New Roman"/>
                <w:sz w:val="22"/>
                <w:szCs w:val="22"/>
                <w:lang w:val="en-US" w:eastAsia="en-US"/>
              </w:rPr>
              <w:t>3,5</w:t>
            </w:r>
          </w:p>
          <w:p w14:paraId="5FC6AB09" w14:textId="77777777" w:rsidR="0016663F" w:rsidRPr="003E0B98" w:rsidRDefault="0016663F" w:rsidP="004361AC">
            <w:pPr>
              <w:pStyle w:val="Table"/>
              <w:keepNext/>
              <w:spacing w:before="0" w:after="0"/>
              <w:jc w:val="center"/>
              <w:rPr>
                <w:rFonts w:ascii="Times New Roman" w:hAnsi="Times New Roman"/>
                <w:sz w:val="22"/>
                <w:szCs w:val="22"/>
                <w:lang w:val="en-US" w:eastAsia="en-US"/>
              </w:rPr>
            </w:pPr>
            <w:r w:rsidRPr="003E0B98">
              <w:rPr>
                <w:rFonts w:ascii="Times New Roman" w:hAnsi="Times New Roman"/>
                <w:sz w:val="22"/>
                <w:szCs w:val="22"/>
                <w:lang w:val="en-US" w:eastAsia="en-US"/>
              </w:rPr>
              <w:t>2,5</w:t>
            </w:r>
          </w:p>
        </w:tc>
        <w:tc>
          <w:tcPr>
            <w:tcW w:w="1247" w:type="dxa"/>
          </w:tcPr>
          <w:p w14:paraId="639C5F85" w14:textId="77777777" w:rsidR="0016663F" w:rsidRPr="003E0B98" w:rsidRDefault="0016663F" w:rsidP="004361AC">
            <w:pPr>
              <w:pStyle w:val="Table"/>
              <w:keepNext/>
              <w:spacing w:before="0" w:after="0"/>
              <w:jc w:val="center"/>
              <w:rPr>
                <w:rFonts w:ascii="Times New Roman" w:hAnsi="Times New Roman"/>
                <w:sz w:val="22"/>
                <w:szCs w:val="22"/>
                <w:lang w:val="en-US" w:eastAsia="en-US"/>
              </w:rPr>
            </w:pPr>
          </w:p>
          <w:p w14:paraId="010956B3" w14:textId="77777777" w:rsidR="0016663F" w:rsidRPr="003E0B98" w:rsidRDefault="0016663F" w:rsidP="004361AC">
            <w:pPr>
              <w:pStyle w:val="Table"/>
              <w:keepNext/>
              <w:spacing w:before="0" w:after="0"/>
              <w:jc w:val="center"/>
              <w:rPr>
                <w:rFonts w:ascii="Times New Roman" w:hAnsi="Times New Roman"/>
                <w:sz w:val="22"/>
                <w:szCs w:val="22"/>
                <w:lang w:val="en-US" w:eastAsia="en-US"/>
              </w:rPr>
            </w:pPr>
            <w:r w:rsidRPr="003E0B98">
              <w:rPr>
                <w:rFonts w:ascii="Times New Roman" w:hAnsi="Times New Roman"/>
                <w:sz w:val="22"/>
                <w:szCs w:val="22"/>
                <w:lang w:val="en-US" w:eastAsia="en-US"/>
              </w:rPr>
              <w:t>N/A</w:t>
            </w:r>
          </w:p>
          <w:p w14:paraId="5E4FBB49" w14:textId="77777777" w:rsidR="0016663F" w:rsidRPr="003E0B98" w:rsidRDefault="0016663F" w:rsidP="004361AC">
            <w:pPr>
              <w:pStyle w:val="Table"/>
              <w:keepNext/>
              <w:spacing w:before="0" w:after="0"/>
              <w:jc w:val="center"/>
              <w:rPr>
                <w:rFonts w:ascii="Times New Roman" w:hAnsi="Times New Roman"/>
                <w:sz w:val="22"/>
                <w:szCs w:val="22"/>
                <w:lang w:val="en-US" w:eastAsia="en-US"/>
              </w:rPr>
            </w:pPr>
            <w:r w:rsidRPr="003E0B98">
              <w:rPr>
                <w:rFonts w:ascii="Times New Roman" w:hAnsi="Times New Roman"/>
                <w:sz w:val="22"/>
                <w:szCs w:val="22"/>
                <w:lang w:val="en-US" w:eastAsia="en-US"/>
              </w:rPr>
              <w:t>N/A</w:t>
            </w:r>
          </w:p>
        </w:tc>
      </w:tr>
      <w:tr w:rsidR="0016663F" w:rsidRPr="003E0B98" w14:paraId="440320F4" w14:textId="77777777" w:rsidTr="00F1468E">
        <w:tc>
          <w:tcPr>
            <w:tcW w:w="4219" w:type="dxa"/>
          </w:tcPr>
          <w:p w14:paraId="6BF33E12" w14:textId="77777777" w:rsidR="0016663F" w:rsidRPr="003E0B98" w:rsidRDefault="0016663F" w:rsidP="004361AC">
            <w:pPr>
              <w:pStyle w:val="Table"/>
              <w:keepNext/>
              <w:spacing w:before="0" w:after="0"/>
              <w:rPr>
                <w:rFonts w:ascii="Times New Roman" w:hAnsi="Times New Roman"/>
                <w:sz w:val="22"/>
                <w:szCs w:val="22"/>
                <w:lang w:val="es-ES" w:eastAsia="en-US"/>
              </w:rPr>
            </w:pPr>
            <w:r w:rsidRPr="003E0B98">
              <w:rPr>
                <w:rFonts w:ascii="Times New Roman" w:eastAsia="Times New Roman" w:hAnsi="Times New Roman"/>
                <w:color w:val="000000"/>
                <w:sz w:val="22"/>
                <w:szCs w:val="22"/>
                <w:lang w:val="es-ES_tradnl" w:eastAsia="en-US"/>
              </w:rPr>
              <w:t xml:space="preserve">Cambio </w:t>
            </w:r>
            <w:r w:rsidR="00036034" w:rsidRPr="003E0B98">
              <w:rPr>
                <w:rFonts w:ascii="Times New Roman" w:eastAsia="Times New Roman" w:hAnsi="Times New Roman"/>
                <w:color w:val="000000"/>
                <w:sz w:val="22"/>
                <w:szCs w:val="22"/>
                <w:lang w:val="es-ES_tradnl" w:eastAsia="en-US"/>
              </w:rPr>
              <w:t>pro</w:t>
            </w:r>
            <w:r w:rsidRPr="003E0B98">
              <w:rPr>
                <w:rFonts w:ascii="Times New Roman" w:eastAsia="Times New Roman" w:hAnsi="Times New Roman"/>
                <w:color w:val="000000"/>
                <w:sz w:val="22"/>
                <w:szCs w:val="22"/>
                <w:lang w:val="es-ES_tradnl" w:eastAsia="en-US"/>
              </w:rPr>
              <w:t xml:space="preserve">medio </w:t>
            </w:r>
            <w:r w:rsidR="007F08BC" w:rsidRPr="003E0B98">
              <w:rPr>
                <w:rFonts w:ascii="Times New Roman" w:eastAsia="Times New Roman" w:hAnsi="Times New Roman"/>
                <w:color w:val="000000"/>
                <w:sz w:val="22"/>
                <w:szCs w:val="22"/>
                <w:lang w:val="es-ES_tradnl" w:eastAsia="en-US"/>
              </w:rPr>
              <w:t>de</w:t>
            </w:r>
            <w:r w:rsidR="00124830" w:rsidRPr="003E0B98">
              <w:rPr>
                <w:rFonts w:ascii="Times New Roman" w:eastAsia="Times New Roman" w:hAnsi="Times New Roman"/>
                <w:color w:val="000000"/>
                <w:sz w:val="22"/>
                <w:szCs w:val="22"/>
                <w:lang w:val="es-ES_tradnl" w:eastAsia="en-US"/>
              </w:rPr>
              <w:t xml:space="preserve"> </w:t>
            </w:r>
            <w:r w:rsidRPr="003E0B98">
              <w:rPr>
                <w:rFonts w:ascii="Times New Roman" w:eastAsia="Times New Roman" w:hAnsi="Times New Roman"/>
                <w:color w:val="000000"/>
                <w:sz w:val="22"/>
                <w:szCs w:val="22"/>
                <w:lang w:val="es-ES_tradnl" w:eastAsia="en-US"/>
              </w:rPr>
              <w:t>la AVMC desde el Mes</w:t>
            </w:r>
            <w:r w:rsidRPr="003E0B98">
              <w:rPr>
                <w:rFonts w:ascii="Times New Roman" w:hAnsi="Times New Roman"/>
                <w:color w:val="000000"/>
                <w:sz w:val="22"/>
                <w:szCs w:val="22"/>
                <w:lang w:val="es-ES_tradnl" w:eastAsia="en-US"/>
              </w:rPr>
              <w:t> </w:t>
            </w:r>
            <w:r w:rsidRPr="003E0B98">
              <w:rPr>
                <w:rFonts w:ascii="Times New Roman" w:eastAsia="Times New Roman" w:hAnsi="Times New Roman"/>
                <w:color w:val="000000"/>
                <w:sz w:val="22"/>
                <w:szCs w:val="22"/>
                <w:lang w:val="es-ES_tradnl" w:eastAsia="en-US"/>
              </w:rPr>
              <w:t>1 al Mes</w:t>
            </w:r>
            <w:r w:rsidRPr="003E0B98">
              <w:rPr>
                <w:rFonts w:ascii="Times New Roman" w:hAnsi="Times New Roman"/>
                <w:color w:val="000000"/>
                <w:sz w:val="22"/>
                <w:szCs w:val="22"/>
                <w:lang w:val="es-ES_tradnl" w:eastAsia="en-US"/>
              </w:rPr>
              <w:t> </w:t>
            </w:r>
            <w:r w:rsidRPr="003E0B98">
              <w:rPr>
                <w:rFonts w:ascii="Times New Roman" w:eastAsia="Times New Roman" w:hAnsi="Times New Roman"/>
                <w:color w:val="000000"/>
                <w:sz w:val="22"/>
                <w:szCs w:val="22"/>
                <w:lang w:val="es-ES_tradnl" w:eastAsia="en-US"/>
              </w:rPr>
              <w:t>12 comparado con el inicio (letras)</w:t>
            </w:r>
          </w:p>
        </w:tc>
        <w:tc>
          <w:tcPr>
            <w:tcW w:w="1843" w:type="dxa"/>
          </w:tcPr>
          <w:p w14:paraId="6DA11D64" w14:textId="77777777" w:rsidR="0016663F" w:rsidRPr="003E0B98" w:rsidRDefault="0016663F" w:rsidP="004361AC">
            <w:pPr>
              <w:pStyle w:val="Table"/>
              <w:keepNext/>
              <w:spacing w:before="0" w:after="0"/>
              <w:jc w:val="center"/>
              <w:rPr>
                <w:rFonts w:ascii="Times New Roman" w:hAnsi="Times New Roman"/>
                <w:sz w:val="22"/>
                <w:szCs w:val="22"/>
                <w:lang w:val="en-US" w:eastAsia="en-US"/>
              </w:rPr>
            </w:pPr>
            <w:r w:rsidRPr="003E0B98">
              <w:rPr>
                <w:rFonts w:ascii="Times New Roman" w:hAnsi="Times New Roman"/>
                <w:sz w:val="22"/>
                <w:szCs w:val="22"/>
                <w:lang w:val="en-US" w:eastAsia="en-US"/>
              </w:rPr>
              <w:t>+12,8</w:t>
            </w:r>
          </w:p>
        </w:tc>
        <w:tc>
          <w:tcPr>
            <w:tcW w:w="1984" w:type="dxa"/>
          </w:tcPr>
          <w:p w14:paraId="58F1720C" w14:textId="77777777" w:rsidR="0016663F" w:rsidRPr="003E0B98" w:rsidRDefault="0016663F" w:rsidP="004361AC">
            <w:pPr>
              <w:pStyle w:val="Table"/>
              <w:keepNext/>
              <w:spacing w:before="0" w:after="0"/>
              <w:jc w:val="center"/>
              <w:rPr>
                <w:rFonts w:ascii="Times New Roman" w:hAnsi="Times New Roman"/>
                <w:sz w:val="22"/>
                <w:szCs w:val="22"/>
                <w:lang w:val="en-US" w:eastAsia="en-US"/>
              </w:rPr>
            </w:pPr>
            <w:r w:rsidRPr="003E0B98">
              <w:rPr>
                <w:rFonts w:ascii="Times New Roman" w:hAnsi="Times New Roman"/>
                <w:sz w:val="22"/>
                <w:szCs w:val="22"/>
                <w:lang w:val="en-US" w:eastAsia="en-US"/>
              </w:rPr>
              <w:t>+12,5</w:t>
            </w:r>
          </w:p>
        </w:tc>
        <w:tc>
          <w:tcPr>
            <w:tcW w:w="1247" w:type="dxa"/>
          </w:tcPr>
          <w:p w14:paraId="41B125C7" w14:textId="77777777" w:rsidR="0016663F" w:rsidRPr="003E0B98" w:rsidRDefault="0016663F" w:rsidP="004361AC">
            <w:pPr>
              <w:pStyle w:val="Table"/>
              <w:keepNext/>
              <w:spacing w:before="0" w:after="0"/>
              <w:jc w:val="center"/>
              <w:rPr>
                <w:rFonts w:ascii="Times New Roman" w:hAnsi="Times New Roman"/>
                <w:sz w:val="22"/>
                <w:szCs w:val="22"/>
                <w:lang w:val="en-US" w:eastAsia="en-US"/>
              </w:rPr>
            </w:pPr>
            <w:r w:rsidRPr="003E0B98">
              <w:rPr>
                <w:rFonts w:ascii="Times New Roman" w:hAnsi="Times New Roman"/>
                <w:sz w:val="22"/>
                <w:szCs w:val="22"/>
                <w:lang w:val="en-US" w:eastAsia="en-US"/>
              </w:rPr>
              <w:t>N/A</w:t>
            </w:r>
          </w:p>
        </w:tc>
      </w:tr>
      <w:tr w:rsidR="0016663F" w:rsidRPr="003E0B98" w14:paraId="0DAF7A87" w14:textId="77777777" w:rsidTr="00F1468E">
        <w:tc>
          <w:tcPr>
            <w:tcW w:w="4219" w:type="dxa"/>
          </w:tcPr>
          <w:p w14:paraId="47140C6D" w14:textId="77777777" w:rsidR="0016663F" w:rsidRPr="003E0B98" w:rsidRDefault="0016663F" w:rsidP="004361AC">
            <w:pPr>
              <w:pStyle w:val="Text"/>
              <w:keepNext/>
              <w:spacing w:before="0"/>
              <w:jc w:val="left"/>
              <w:rPr>
                <w:rFonts w:eastAsia="MS Mincho"/>
                <w:sz w:val="22"/>
                <w:szCs w:val="22"/>
              </w:rPr>
            </w:pPr>
            <w:proofErr w:type="spellStart"/>
            <w:r w:rsidRPr="003E0B98">
              <w:rPr>
                <w:rFonts w:eastAsia="MS Mincho"/>
                <w:sz w:val="22"/>
                <w:szCs w:val="22"/>
              </w:rPr>
              <w:t>Propor</w:t>
            </w:r>
            <w:r w:rsidRPr="003E0B98">
              <w:rPr>
                <w:rFonts w:eastAsia="MS Mincho"/>
                <w:sz w:val="22"/>
                <w:szCs w:val="22"/>
                <w:lang w:val="es-ES"/>
              </w:rPr>
              <w:t>c</w:t>
            </w:r>
            <w:r w:rsidRPr="003E0B98">
              <w:rPr>
                <w:rFonts w:eastAsia="MS Mincho"/>
                <w:sz w:val="22"/>
                <w:szCs w:val="22"/>
              </w:rPr>
              <w:t>i</w:t>
            </w:r>
            <w:r w:rsidRPr="003E0B98">
              <w:rPr>
                <w:rFonts w:eastAsia="MS Mincho"/>
                <w:sz w:val="22"/>
                <w:szCs w:val="22"/>
                <w:lang w:val="es-ES"/>
              </w:rPr>
              <w:t>ó</w:t>
            </w:r>
            <w:proofErr w:type="spellEnd"/>
            <w:r w:rsidRPr="003E0B98">
              <w:rPr>
                <w:rFonts w:eastAsia="MS Mincho"/>
                <w:sz w:val="22"/>
                <w:szCs w:val="22"/>
              </w:rPr>
              <w:t xml:space="preserve">n </w:t>
            </w:r>
            <w:r w:rsidRPr="003E0B98">
              <w:rPr>
                <w:rFonts w:eastAsia="MS Mincho"/>
                <w:sz w:val="22"/>
                <w:szCs w:val="22"/>
                <w:lang w:val="es-ES"/>
              </w:rPr>
              <w:t>de pacientes que ganaron</w:t>
            </w:r>
            <w:r w:rsidRPr="003E0B98">
              <w:rPr>
                <w:rFonts w:eastAsia="MS Mincho"/>
                <w:sz w:val="22"/>
                <w:szCs w:val="22"/>
              </w:rPr>
              <w:t>:</w:t>
            </w:r>
          </w:p>
          <w:p w14:paraId="672D9EFE" w14:textId="77777777" w:rsidR="0016663F" w:rsidRPr="003E0B98" w:rsidRDefault="0016663F" w:rsidP="004361AC">
            <w:pPr>
              <w:pStyle w:val="Text"/>
              <w:keepNext/>
              <w:spacing w:before="0"/>
              <w:jc w:val="left"/>
              <w:rPr>
                <w:rFonts w:eastAsia="MS Mincho"/>
                <w:sz w:val="22"/>
                <w:szCs w:val="22"/>
              </w:rPr>
            </w:pPr>
            <w:r w:rsidRPr="003E0B98">
              <w:rPr>
                <w:rFonts w:eastAsia="MS Mincho"/>
                <w:sz w:val="22"/>
                <w:szCs w:val="22"/>
              </w:rPr>
              <w:t>≥15 </w:t>
            </w:r>
            <w:proofErr w:type="spellStart"/>
            <w:r w:rsidRPr="003E0B98">
              <w:rPr>
                <w:rFonts w:eastAsia="MS Mincho"/>
                <w:sz w:val="22"/>
                <w:szCs w:val="22"/>
              </w:rPr>
              <w:t>let</w:t>
            </w:r>
            <w:r w:rsidRPr="003E0B98">
              <w:rPr>
                <w:rFonts w:eastAsia="MS Mincho"/>
                <w:sz w:val="22"/>
                <w:szCs w:val="22"/>
                <w:lang w:val="es-ES"/>
              </w:rPr>
              <w:t>ra</w:t>
            </w:r>
            <w:proofErr w:type="spellEnd"/>
            <w:r w:rsidRPr="003E0B98">
              <w:rPr>
                <w:rFonts w:eastAsia="MS Mincho"/>
                <w:sz w:val="22"/>
                <w:szCs w:val="22"/>
              </w:rPr>
              <w:t xml:space="preserve">s, o </w:t>
            </w:r>
            <w:r w:rsidRPr="003E0B98">
              <w:rPr>
                <w:rFonts w:eastAsia="MS Mincho"/>
                <w:sz w:val="22"/>
                <w:szCs w:val="22"/>
                <w:lang w:val="es-ES"/>
              </w:rPr>
              <w:t>alcanzaron</w:t>
            </w:r>
            <w:r w:rsidRPr="003E0B98">
              <w:rPr>
                <w:rFonts w:eastAsia="MS Mincho"/>
                <w:sz w:val="22"/>
                <w:szCs w:val="22"/>
              </w:rPr>
              <w:t xml:space="preserve"> ≥84 </w:t>
            </w:r>
            <w:proofErr w:type="spellStart"/>
            <w:r w:rsidRPr="003E0B98">
              <w:rPr>
                <w:rFonts w:eastAsia="MS Mincho"/>
                <w:sz w:val="22"/>
                <w:szCs w:val="22"/>
              </w:rPr>
              <w:t>let</w:t>
            </w:r>
            <w:r w:rsidRPr="003E0B98">
              <w:rPr>
                <w:rFonts w:eastAsia="MS Mincho"/>
                <w:sz w:val="22"/>
                <w:szCs w:val="22"/>
                <w:lang w:val="es-ES"/>
              </w:rPr>
              <w:t>ra</w:t>
            </w:r>
            <w:proofErr w:type="spellEnd"/>
            <w:r w:rsidRPr="003E0B98">
              <w:rPr>
                <w:rFonts w:eastAsia="MS Mincho"/>
                <w:sz w:val="22"/>
                <w:szCs w:val="22"/>
              </w:rPr>
              <w:t xml:space="preserve">s </w:t>
            </w:r>
            <w:r w:rsidRPr="003E0B98">
              <w:rPr>
                <w:rFonts w:eastAsia="MS Mincho"/>
                <w:sz w:val="22"/>
                <w:szCs w:val="22"/>
                <w:lang w:val="es-ES"/>
              </w:rPr>
              <w:t>en la AVMC</w:t>
            </w:r>
          </w:p>
        </w:tc>
        <w:tc>
          <w:tcPr>
            <w:tcW w:w="1843" w:type="dxa"/>
          </w:tcPr>
          <w:p w14:paraId="5C39579B" w14:textId="77777777" w:rsidR="0016663F" w:rsidRPr="003E0B98" w:rsidRDefault="0016663F" w:rsidP="004361AC">
            <w:pPr>
              <w:pStyle w:val="Table"/>
              <w:keepNext/>
              <w:spacing w:before="0" w:after="0"/>
              <w:jc w:val="center"/>
              <w:rPr>
                <w:rFonts w:ascii="Times New Roman" w:hAnsi="Times New Roman"/>
                <w:sz w:val="22"/>
                <w:szCs w:val="22"/>
                <w:lang w:val="es-ES" w:eastAsia="en-US"/>
              </w:rPr>
            </w:pPr>
          </w:p>
          <w:p w14:paraId="1EE2AD47" w14:textId="77777777" w:rsidR="0016663F" w:rsidRPr="003E0B98" w:rsidRDefault="0016663F" w:rsidP="004361AC">
            <w:pPr>
              <w:pStyle w:val="Table"/>
              <w:keepNext/>
              <w:spacing w:before="0" w:after="0"/>
              <w:jc w:val="center"/>
              <w:rPr>
                <w:rFonts w:ascii="Times New Roman" w:hAnsi="Times New Roman"/>
                <w:sz w:val="22"/>
                <w:szCs w:val="22"/>
                <w:lang w:val="en-US" w:eastAsia="en-US"/>
              </w:rPr>
            </w:pPr>
            <w:r w:rsidRPr="003E0B98">
              <w:rPr>
                <w:rFonts w:ascii="Times New Roman" w:hAnsi="Times New Roman"/>
                <w:sz w:val="22"/>
                <w:szCs w:val="22"/>
                <w:lang w:val="en-US" w:eastAsia="en-US"/>
              </w:rPr>
              <w:t>53,3%</w:t>
            </w:r>
          </w:p>
        </w:tc>
        <w:tc>
          <w:tcPr>
            <w:tcW w:w="1984" w:type="dxa"/>
          </w:tcPr>
          <w:p w14:paraId="791E39B5" w14:textId="77777777" w:rsidR="0016663F" w:rsidRPr="003E0B98" w:rsidRDefault="0016663F" w:rsidP="004361AC">
            <w:pPr>
              <w:pStyle w:val="Table"/>
              <w:keepNext/>
              <w:spacing w:before="0" w:after="0"/>
              <w:jc w:val="center"/>
              <w:rPr>
                <w:rFonts w:ascii="Times New Roman" w:hAnsi="Times New Roman"/>
                <w:sz w:val="22"/>
                <w:szCs w:val="22"/>
                <w:lang w:val="en-US" w:eastAsia="en-US"/>
              </w:rPr>
            </w:pPr>
          </w:p>
          <w:p w14:paraId="1798C872" w14:textId="77777777" w:rsidR="0016663F" w:rsidRPr="003E0B98" w:rsidRDefault="0016663F" w:rsidP="004361AC">
            <w:pPr>
              <w:pStyle w:val="Table"/>
              <w:keepNext/>
              <w:spacing w:before="0" w:after="0"/>
              <w:jc w:val="center"/>
              <w:rPr>
                <w:rFonts w:ascii="Times New Roman" w:hAnsi="Times New Roman"/>
                <w:sz w:val="22"/>
                <w:szCs w:val="22"/>
                <w:lang w:val="en-US" w:eastAsia="en-US"/>
              </w:rPr>
            </w:pPr>
            <w:r w:rsidRPr="003E0B98">
              <w:rPr>
                <w:rFonts w:ascii="Times New Roman" w:hAnsi="Times New Roman"/>
                <w:sz w:val="22"/>
                <w:szCs w:val="22"/>
                <w:lang w:val="en-US" w:eastAsia="en-US"/>
              </w:rPr>
              <w:t>51,7%</w:t>
            </w:r>
          </w:p>
        </w:tc>
        <w:tc>
          <w:tcPr>
            <w:tcW w:w="1247" w:type="dxa"/>
          </w:tcPr>
          <w:p w14:paraId="5B4E8246" w14:textId="77777777" w:rsidR="0016663F" w:rsidRPr="003E0B98" w:rsidRDefault="0016663F" w:rsidP="004361AC">
            <w:pPr>
              <w:pStyle w:val="Table"/>
              <w:keepNext/>
              <w:spacing w:before="0" w:after="0"/>
              <w:jc w:val="center"/>
              <w:rPr>
                <w:rFonts w:ascii="Times New Roman" w:hAnsi="Times New Roman"/>
                <w:sz w:val="22"/>
                <w:szCs w:val="22"/>
                <w:lang w:val="en-US" w:eastAsia="en-US"/>
              </w:rPr>
            </w:pPr>
          </w:p>
          <w:p w14:paraId="6DE88E7E" w14:textId="77777777" w:rsidR="0016663F" w:rsidRPr="003E0B98" w:rsidRDefault="0016663F" w:rsidP="004361AC">
            <w:pPr>
              <w:pStyle w:val="Table"/>
              <w:keepNext/>
              <w:spacing w:before="0" w:after="0"/>
              <w:jc w:val="center"/>
              <w:rPr>
                <w:rFonts w:ascii="Times New Roman" w:hAnsi="Times New Roman"/>
                <w:sz w:val="22"/>
                <w:szCs w:val="22"/>
                <w:lang w:val="en-US" w:eastAsia="en-US"/>
              </w:rPr>
            </w:pPr>
            <w:r w:rsidRPr="003E0B98">
              <w:rPr>
                <w:rFonts w:ascii="Times New Roman" w:hAnsi="Times New Roman"/>
                <w:sz w:val="22"/>
                <w:szCs w:val="22"/>
                <w:lang w:val="en-US" w:eastAsia="en-US"/>
              </w:rPr>
              <w:t>N/A</w:t>
            </w:r>
          </w:p>
        </w:tc>
      </w:tr>
    </w:tbl>
    <w:p w14:paraId="1FFC3F2C" w14:textId="77777777" w:rsidR="0016663F" w:rsidRPr="003E0B98" w:rsidRDefault="0016663F" w:rsidP="004361AC">
      <w:pPr>
        <w:pStyle w:val="Text"/>
        <w:keepNext/>
        <w:spacing w:before="0"/>
        <w:jc w:val="left"/>
        <w:rPr>
          <w:sz w:val="22"/>
          <w:szCs w:val="22"/>
          <w:lang w:val="es-ES"/>
        </w:rPr>
      </w:pPr>
      <w:r w:rsidRPr="003E0B98">
        <w:rPr>
          <w:sz w:val="22"/>
          <w:szCs w:val="22"/>
          <w:vertAlign w:val="superscript"/>
        </w:rPr>
        <w:t>a</w:t>
      </w:r>
      <w:r w:rsidRPr="003E0B98">
        <w:rPr>
          <w:sz w:val="22"/>
          <w:szCs w:val="22"/>
          <w:lang w:val="es-ES"/>
        </w:rPr>
        <w:t xml:space="preserve"> </w:t>
      </w:r>
      <w:r w:rsidRPr="003E0B98">
        <w:rPr>
          <w:sz w:val="22"/>
          <w:szCs w:val="22"/>
        </w:rPr>
        <w:t>p&lt;0</w:t>
      </w:r>
      <w:r w:rsidRPr="003E0B98">
        <w:rPr>
          <w:sz w:val="22"/>
          <w:szCs w:val="22"/>
          <w:lang w:val="es-ES"/>
        </w:rPr>
        <w:t>,</w:t>
      </w:r>
      <w:r w:rsidRPr="003E0B98">
        <w:rPr>
          <w:sz w:val="22"/>
          <w:szCs w:val="22"/>
        </w:rPr>
        <w:t xml:space="preserve">00001 </w:t>
      </w:r>
      <w:proofErr w:type="spellStart"/>
      <w:r w:rsidRPr="003E0B98">
        <w:rPr>
          <w:sz w:val="22"/>
          <w:szCs w:val="22"/>
        </w:rPr>
        <w:t>compar</w:t>
      </w:r>
      <w:r w:rsidRPr="003E0B98">
        <w:rPr>
          <w:sz w:val="22"/>
          <w:szCs w:val="22"/>
          <w:lang w:val="es-ES"/>
        </w:rPr>
        <w:t>ación</w:t>
      </w:r>
      <w:proofErr w:type="spellEnd"/>
      <w:r w:rsidRPr="003E0B98">
        <w:rPr>
          <w:sz w:val="22"/>
          <w:szCs w:val="22"/>
          <w:lang w:val="es-ES"/>
        </w:rPr>
        <w:t xml:space="preserve"> con el control de </w:t>
      </w:r>
      <w:proofErr w:type="spellStart"/>
      <w:r w:rsidRPr="003E0B98">
        <w:rPr>
          <w:sz w:val="22"/>
          <w:szCs w:val="22"/>
          <w:lang w:val="es-ES"/>
        </w:rPr>
        <w:t>TFDv</w:t>
      </w:r>
      <w:proofErr w:type="spellEnd"/>
    </w:p>
    <w:p w14:paraId="2B104251" w14:textId="77777777" w:rsidR="0016663F" w:rsidRPr="003E0B98" w:rsidRDefault="0016663F" w:rsidP="004361AC">
      <w:pPr>
        <w:pStyle w:val="Text"/>
        <w:spacing w:before="0"/>
        <w:jc w:val="left"/>
        <w:rPr>
          <w:sz w:val="22"/>
          <w:szCs w:val="22"/>
          <w:lang w:val="es-ES"/>
        </w:rPr>
      </w:pPr>
      <w:r w:rsidRPr="003E0B98">
        <w:rPr>
          <w:sz w:val="22"/>
          <w:szCs w:val="22"/>
          <w:vertAlign w:val="superscript"/>
          <w:lang w:val="es-ES"/>
        </w:rPr>
        <w:t xml:space="preserve">b </w:t>
      </w:r>
      <w:r w:rsidRPr="003E0B98">
        <w:rPr>
          <w:sz w:val="22"/>
          <w:szCs w:val="22"/>
        </w:rPr>
        <w:t>C</w:t>
      </w:r>
      <w:r w:rsidRPr="003E0B98">
        <w:rPr>
          <w:sz w:val="22"/>
          <w:szCs w:val="22"/>
          <w:lang w:val="es-ES"/>
        </w:rPr>
        <w:t>ontrol comparativo hasta el</w:t>
      </w:r>
      <w:r w:rsidRPr="003E0B98">
        <w:rPr>
          <w:sz w:val="22"/>
          <w:szCs w:val="22"/>
        </w:rPr>
        <w:t xml:space="preserve"> M</w:t>
      </w:r>
      <w:r w:rsidRPr="003E0B98">
        <w:rPr>
          <w:sz w:val="22"/>
          <w:szCs w:val="22"/>
          <w:lang w:val="es-ES"/>
        </w:rPr>
        <w:t>es</w:t>
      </w:r>
      <w:r w:rsidRPr="003E0B98">
        <w:rPr>
          <w:sz w:val="22"/>
          <w:szCs w:val="22"/>
        </w:rPr>
        <w:t xml:space="preserve"> 3. </w:t>
      </w:r>
      <w:r w:rsidRPr="003E0B98">
        <w:rPr>
          <w:sz w:val="22"/>
          <w:szCs w:val="22"/>
          <w:lang w:val="es-ES"/>
        </w:rPr>
        <w:t xml:space="preserve">A los pacientes aleatorizados a </w:t>
      </w:r>
      <w:proofErr w:type="spellStart"/>
      <w:r w:rsidRPr="003E0B98">
        <w:rPr>
          <w:sz w:val="22"/>
          <w:szCs w:val="22"/>
          <w:lang w:val="es-ES"/>
        </w:rPr>
        <w:t>TFDv</w:t>
      </w:r>
      <w:proofErr w:type="spellEnd"/>
      <w:r w:rsidRPr="003E0B98">
        <w:rPr>
          <w:sz w:val="22"/>
          <w:szCs w:val="22"/>
          <w:lang w:val="es-ES"/>
        </w:rPr>
        <w:t xml:space="preserve"> se les permitió </w:t>
      </w:r>
      <w:r w:rsidRPr="003E0B98">
        <w:rPr>
          <w:color w:val="000000"/>
          <w:sz w:val="22"/>
          <w:lang w:val="es-ES"/>
        </w:rPr>
        <w:t xml:space="preserve">recibir tratamiento con </w:t>
      </w:r>
      <w:proofErr w:type="spellStart"/>
      <w:r w:rsidRPr="003E0B98">
        <w:rPr>
          <w:color w:val="000000"/>
          <w:sz w:val="22"/>
          <w:lang w:val="es-ES"/>
        </w:rPr>
        <w:t>ranibizumab</w:t>
      </w:r>
      <w:proofErr w:type="spellEnd"/>
      <w:r w:rsidRPr="003E0B98">
        <w:rPr>
          <w:color w:val="000000"/>
          <w:sz w:val="22"/>
          <w:lang w:val="es-ES"/>
        </w:rPr>
        <w:t xml:space="preserve"> a partir del Mes 3</w:t>
      </w:r>
      <w:r w:rsidRPr="003E0B98">
        <w:rPr>
          <w:sz w:val="22"/>
          <w:szCs w:val="22"/>
          <w:lang w:val="es-ES"/>
        </w:rPr>
        <w:t xml:space="preserve"> (en el Grupo III, 38 pacientes recibieron </w:t>
      </w:r>
      <w:proofErr w:type="spellStart"/>
      <w:r w:rsidRPr="003E0B98">
        <w:rPr>
          <w:sz w:val="22"/>
          <w:szCs w:val="22"/>
          <w:lang w:val="es-ES"/>
        </w:rPr>
        <w:t>ranibizumab</w:t>
      </w:r>
      <w:proofErr w:type="spellEnd"/>
      <w:r w:rsidRPr="003E0B98">
        <w:rPr>
          <w:sz w:val="22"/>
          <w:szCs w:val="22"/>
          <w:lang w:val="es-ES"/>
        </w:rPr>
        <w:t xml:space="preserve"> a partir del Mes 3)</w:t>
      </w:r>
    </w:p>
    <w:p w14:paraId="29CCF445" w14:textId="77777777" w:rsidR="0016663F" w:rsidRPr="003E0B98" w:rsidRDefault="0016663F" w:rsidP="004361AC">
      <w:pPr>
        <w:pStyle w:val="Text"/>
        <w:spacing w:before="0"/>
        <w:jc w:val="left"/>
        <w:rPr>
          <w:sz w:val="22"/>
          <w:szCs w:val="22"/>
          <w:lang w:val="es-ES"/>
        </w:rPr>
      </w:pPr>
    </w:p>
    <w:p w14:paraId="36C3C28D" w14:textId="77777777" w:rsidR="0016663F" w:rsidRPr="003E0B98" w:rsidRDefault="0016663F" w:rsidP="004361AC">
      <w:pPr>
        <w:pStyle w:val="Text"/>
        <w:keepNext/>
        <w:spacing w:before="0"/>
        <w:ind w:left="1134" w:hanging="1134"/>
        <w:jc w:val="left"/>
        <w:rPr>
          <w:sz w:val="22"/>
          <w:szCs w:val="22"/>
          <w:lang w:val="es-ES"/>
        </w:rPr>
      </w:pPr>
      <w:proofErr w:type="spellStart"/>
      <w:r w:rsidRPr="003E0B98">
        <w:rPr>
          <w:b/>
          <w:color w:val="000000"/>
          <w:sz w:val="22"/>
          <w:szCs w:val="22"/>
        </w:rPr>
        <w:t>Figur</w:t>
      </w:r>
      <w:r w:rsidRPr="003E0B98">
        <w:rPr>
          <w:b/>
          <w:color w:val="000000"/>
          <w:sz w:val="22"/>
          <w:szCs w:val="22"/>
          <w:lang w:val="es-ES"/>
        </w:rPr>
        <w:t>a</w:t>
      </w:r>
      <w:proofErr w:type="spellEnd"/>
      <w:r w:rsidRPr="003E0B98">
        <w:rPr>
          <w:b/>
          <w:color w:val="000000"/>
          <w:sz w:val="22"/>
          <w:szCs w:val="22"/>
        </w:rPr>
        <w:t> </w:t>
      </w:r>
      <w:r w:rsidRPr="003E0B98">
        <w:rPr>
          <w:b/>
          <w:color w:val="000000"/>
          <w:sz w:val="22"/>
          <w:szCs w:val="22"/>
          <w:lang w:val="es-ES"/>
        </w:rPr>
        <w:t>2</w:t>
      </w:r>
      <w:r w:rsidRPr="003E0B98">
        <w:rPr>
          <w:b/>
          <w:color w:val="000000"/>
          <w:sz w:val="22"/>
          <w:szCs w:val="22"/>
        </w:rPr>
        <w:tab/>
      </w:r>
      <w:r w:rsidRPr="003E0B98">
        <w:rPr>
          <w:b/>
          <w:color w:val="000000"/>
          <w:sz w:val="22"/>
          <w:szCs w:val="22"/>
          <w:lang w:val="es-ES_tradnl"/>
        </w:rPr>
        <w:t xml:space="preserve">Cambio </w:t>
      </w:r>
      <w:r w:rsidR="00036034" w:rsidRPr="003E0B98">
        <w:rPr>
          <w:b/>
          <w:color w:val="000000"/>
          <w:sz w:val="22"/>
          <w:szCs w:val="22"/>
          <w:lang w:val="es-ES_tradnl"/>
        </w:rPr>
        <w:t>pro</w:t>
      </w:r>
      <w:r w:rsidRPr="003E0B98">
        <w:rPr>
          <w:b/>
          <w:color w:val="000000"/>
          <w:sz w:val="22"/>
          <w:szCs w:val="22"/>
          <w:lang w:val="es-ES_tradnl"/>
        </w:rPr>
        <w:t xml:space="preserve">medio </w:t>
      </w:r>
      <w:r w:rsidR="001602B6" w:rsidRPr="003E0B98">
        <w:rPr>
          <w:b/>
          <w:color w:val="000000"/>
          <w:sz w:val="22"/>
          <w:szCs w:val="22"/>
          <w:lang w:val="es-ES_tradnl"/>
        </w:rPr>
        <w:t>de</w:t>
      </w:r>
      <w:r w:rsidRPr="003E0B98">
        <w:rPr>
          <w:b/>
          <w:color w:val="000000"/>
          <w:sz w:val="22"/>
          <w:szCs w:val="22"/>
          <w:lang w:val="es-ES_tradnl"/>
        </w:rPr>
        <w:t xml:space="preserve"> la AVMC desde el inicio en el tiempo hasta el Mes 12 (RADIANCE)</w:t>
      </w:r>
    </w:p>
    <w:p w14:paraId="0F0B59A4" w14:textId="77777777" w:rsidR="0016663F" w:rsidRPr="003E0B98" w:rsidRDefault="0016663F" w:rsidP="004361AC">
      <w:pPr>
        <w:pStyle w:val="Text"/>
        <w:keepNext/>
        <w:spacing w:before="0"/>
        <w:jc w:val="left"/>
        <w:rPr>
          <w:bCs/>
          <w:iCs/>
          <w:color w:val="000000"/>
          <w:sz w:val="22"/>
          <w:szCs w:val="22"/>
          <w:lang w:val="es-ES"/>
        </w:rPr>
      </w:pPr>
    </w:p>
    <w:p w14:paraId="417AA7D1" w14:textId="7B6047B3" w:rsidR="00524E52" w:rsidRPr="003E0B98" w:rsidRDefault="00B135E5" w:rsidP="004361AC">
      <w:pPr>
        <w:tabs>
          <w:tab w:val="clear" w:pos="567"/>
          <w:tab w:val="left" w:pos="2985"/>
        </w:tabs>
        <w:spacing w:line="240" w:lineRule="auto"/>
        <w:rPr>
          <w:szCs w:val="22"/>
        </w:rPr>
      </w:pPr>
      <w:r w:rsidRPr="003E0B98">
        <w:rPr>
          <w:noProof/>
          <w:lang w:val="es-ES" w:eastAsia="es-ES"/>
        </w:rPr>
        <w:drawing>
          <wp:inline distT="0" distB="0" distL="0" distR="0" wp14:anchorId="37AB9072" wp14:editId="4CABBE2C">
            <wp:extent cx="5760085" cy="4815205"/>
            <wp:effectExtent l="0" t="0" r="0" b="444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60085" cy="4815205"/>
                    </a:xfrm>
                    <a:prstGeom prst="rect">
                      <a:avLst/>
                    </a:prstGeom>
                  </pic:spPr>
                </pic:pic>
              </a:graphicData>
            </a:graphic>
          </wp:inline>
        </w:drawing>
      </w:r>
    </w:p>
    <w:p w14:paraId="1984E275" w14:textId="77777777" w:rsidR="00524E52" w:rsidRPr="003E0B98" w:rsidRDefault="00524E52" w:rsidP="004361AC">
      <w:pPr>
        <w:tabs>
          <w:tab w:val="clear" w:pos="567"/>
          <w:tab w:val="left" w:pos="2985"/>
        </w:tabs>
        <w:spacing w:line="240" w:lineRule="auto"/>
        <w:rPr>
          <w:szCs w:val="22"/>
        </w:rPr>
      </w:pPr>
    </w:p>
    <w:p w14:paraId="19F05AB4" w14:textId="77777777" w:rsidR="0016663F" w:rsidRPr="003E0B98" w:rsidRDefault="0016663F" w:rsidP="004361AC">
      <w:pPr>
        <w:pStyle w:val="Text"/>
        <w:spacing w:before="0"/>
        <w:jc w:val="left"/>
        <w:rPr>
          <w:bCs/>
          <w:iCs/>
          <w:color w:val="000000"/>
          <w:sz w:val="22"/>
          <w:szCs w:val="22"/>
          <w:lang w:val="es-ES"/>
        </w:rPr>
      </w:pPr>
      <w:r w:rsidRPr="003E0B98">
        <w:rPr>
          <w:bCs/>
          <w:iCs/>
          <w:color w:val="000000"/>
          <w:sz w:val="22"/>
          <w:szCs w:val="22"/>
          <w:lang w:val="es-ES"/>
        </w:rPr>
        <w:t>La mejora de la visión se acompañó de una reducción del grosor central de la retina.</w:t>
      </w:r>
    </w:p>
    <w:p w14:paraId="34D467B5" w14:textId="77777777" w:rsidR="0016663F" w:rsidRPr="003E0B98" w:rsidRDefault="0016663F" w:rsidP="004361AC">
      <w:pPr>
        <w:pStyle w:val="Text"/>
        <w:spacing w:before="0"/>
        <w:jc w:val="left"/>
        <w:rPr>
          <w:bCs/>
          <w:iCs/>
          <w:color w:val="000000"/>
          <w:sz w:val="22"/>
          <w:szCs w:val="22"/>
          <w:lang w:val="es-ES"/>
        </w:rPr>
      </w:pPr>
    </w:p>
    <w:p w14:paraId="539B6D0F" w14:textId="77777777" w:rsidR="0016663F" w:rsidRPr="003E0B98" w:rsidRDefault="0016663F" w:rsidP="004361AC">
      <w:pPr>
        <w:pStyle w:val="Text"/>
        <w:spacing w:before="0"/>
        <w:jc w:val="left"/>
        <w:rPr>
          <w:bCs/>
          <w:iCs/>
          <w:color w:val="000000"/>
          <w:sz w:val="22"/>
          <w:szCs w:val="22"/>
          <w:lang w:val="es-ES"/>
        </w:rPr>
      </w:pPr>
      <w:r w:rsidRPr="003E0B98">
        <w:rPr>
          <w:bCs/>
          <w:iCs/>
          <w:color w:val="000000"/>
          <w:sz w:val="22"/>
          <w:szCs w:val="22"/>
          <w:lang w:val="es-ES"/>
        </w:rPr>
        <w:t xml:space="preserve">Los beneficios </w:t>
      </w:r>
      <w:r w:rsidR="005B58B0" w:rsidRPr="003E0B98">
        <w:rPr>
          <w:bCs/>
          <w:iCs/>
          <w:color w:val="000000"/>
          <w:sz w:val="22"/>
          <w:szCs w:val="22"/>
          <w:lang w:val="es-ES"/>
        </w:rPr>
        <w:t>notifica</w:t>
      </w:r>
      <w:r w:rsidRPr="003E0B98">
        <w:rPr>
          <w:bCs/>
          <w:iCs/>
          <w:color w:val="000000"/>
          <w:sz w:val="22"/>
          <w:szCs w:val="22"/>
          <w:lang w:val="es-ES"/>
        </w:rPr>
        <w:t xml:space="preserve">dos por </w:t>
      </w:r>
      <w:r w:rsidR="008A3C1A" w:rsidRPr="003E0B98">
        <w:rPr>
          <w:bCs/>
          <w:iCs/>
          <w:color w:val="000000"/>
          <w:sz w:val="22"/>
          <w:szCs w:val="22"/>
          <w:lang w:val="es-ES"/>
        </w:rPr>
        <w:t>los</w:t>
      </w:r>
      <w:r w:rsidRPr="003E0B98">
        <w:rPr>
          <w:bCs/>
          <w:iCs/>
          <w:color w:val="000000"/>
          <w:sz w:val="22"/>
          <w:szCs w:val="22"/>
          <w:lang w:val="es-ES"/>
        </w:rPr>
        <w:t xml:space="preserve"> paciente</w:t>
      </w:r>
      <w:r w:rsidR="004777CF" w:rsidRPr="003E0B98">
        <w:rPr>
          <w:bCs/>
          <w:iCs/>
          <w:color w:val="000000"/>
          <w:sz w:val="22"/>
          <w:szCs w:val="22"/>
          <w:lang w:val="es-ES"/>
        </w:rPr>
        <w:t>s</w:t>
      </w:r>
      <w:r w:rsidRPr="003E0B98">
        <w:rPr>
          <w:bCs/>
          <w:iCs/>
          <w:color w:val="000000"/>
          <w:sz w:val="22"/>
          <w:szCs w:val="22"/>
          <w:lang w:val="es-ES"/>
        </w:rPr>
        <w:t xml:space="preserve"> se observaron más en los grupos de tratamiento con </w:t>
      </w:r>
      <w:proofErr w:type="spellStart"/>
      <w:r w:rsidRPr="003E0B98">
        <w:rPr>
          <w:bCs/>
          <w:iCs/>
          <w:color w:val="000000"/>
          <w:sz w:val="22"/>
          <w:szCs w:val="22"/>
          <w:lang w:val="es-ES"/>
        </w:rPr>
        <w:t>ranibizumab</w:t>
      </w:r>
      <w:proofErr w:type="spellEnd"/>
      <w:r w:rsidRPr="003E0B98">
        <w:rPr>
          <w:bCs/>
          <w:iCs/>
          <w:color w:val="000000"/>
          <w:sz w:val="22"/>
          <w:szCs w:val="22"/>
          <w:lang w:val="es-ES"/>
        </w:rPr>
        <w:t xml:space="preserve"> que en la </w:t>
      </w:r>
      <w:proofErr w:type="spellStart"/>
      <w:r w:rsidRPr="003E0B98">
        <w:rPr>
          <w:bCs/>
          <w:iCs/>
          <w:color w:val="000000"/>
          <w:sz w:val="22"/>
          <w:szCs w:val="22"/>
          <w:lang w:val="es-ES"/>
        </w:rPr>
        <w:t>TFDv</w:t>
      </w:r>
      <w:proofErr w:type="spellEnd"/>
      <w:r w:rsidRPr="003E0B98">
        <w:rPr>
          <w:bCs/>
          <w:iCs/>
          <w:color w:val="000000"/>
          <w:sz w:val="22"/>
          <w:szCs w:val="22"/>
          <w:lang w:val="es-ES"/>
        </w:rPr>
        <w:t xml:space="preserve"> (valor p</w:t>
      </w:r>
      <w:r w:rsidRPr="003E0B98">
        <w:rPr>
          <w:bCs/>
          <w:iCs/>
          <w:color w:val="000000"/>
          <w:sz w:val="22"/>
          <w:szCs w:val="22"/>
        </w:rPr>
        <w:t>&lt;0</w:t>
      </w:r>
      <w:r w:rsidRPr="003E0B98">
        <w:rPr>
          <w:bCs/>
          <w:iCs/>
          <w:color w:val="000000"/>
          <w:sz w:val="22"/>
          <w:szCs w:val="22"/>
          <w:lang w:val="es-ES"/>
        </w:rPr>
        <w:t>,</w:t>
      </w:r>
      <w:r w:rsidRPr="003E0B98">
        <w:rPr>
          <w:bCs/>
          <w:iCs/>
          <w:color w:val="000000"/>
          <w:sz w:val="22"/>
          <w:szCs w:val="22"/>
        </w:rPr>
        <w:t>05</w:t>
      </w:r>
      <w:r w:rsidRPr="003E0B98">
        <w:rPr>
          <w:bCs/>
          <w:iCs/>
          <w:color w:val="000000"/>
          <w:sz w:val="22"/>
          <w:szCs w:val="22"/>
          <w:lang w:val="es-ES"/>
        </w:rPr>
        <w:t>) en términos de mejora en la puntuación compuesta y varias subescalas (visión general, actividades de cerca, salud mental y dependencia) del NEI VFQ-25.</w:t>
      </w:r>
    </w:p>
    <w:p w14:paraId="0CB3BE48" w14:textId="77777777" w:rsidR="002E5034" w:rsidRPr="003E0B98" w:rsidRDefault="002E5034" w:rsidP="004361AC">
      <w:pPr>
        <w:tabs>
          <w:tab w:val="clear" w:pos="567"/>
        </w:tabs>
        <w:spacing w:line="240" w:lineRule="auto"/>
        <w:rPr>
          <w:color w:val="000000"/>
          <w:szCs w:val="22"/>
          <w:lang w:val="es-ES"/>
        </w:rPr>
      </w:pPr>
    </w:p>
    <w:p w14:paraId="66977DDC" w14:textId="77777777" w:rsidR="0016663F" w:rsidRPr="003E0B98" w:rsidRDefault="0016663F" w:rsidP="004361AC">
      <w:pPr>
        <w:keepNext/>
        <w:tabs>
          <w:tab w:val="clear" w:pos="567"/>
        </w:tabs>
        <w:spacing w:line="240" w:lineRule="auto"/>
        <w:rPr>
          <w:i/>
          <w:color w:val="000000"/>
          <w:szCs w:val="22"/>
          <w:u w:val="single"/>
          <w:lang w:val="es-ES_tradnl"/>
        </w:rPr>
      </w:pPr>
      <w:r w:rsidRPr="003E0B98">
        <w:rPr>
          <w:i/>
          <w:color w:val="000000"/>
          <w:szCs w:val="22"/>
          <w:u w:val="single"/>
          <w:lang w:val="es-ES_tradnl"/>
        </w:rPr>
        <w:t xml:space="preserve">Tratamiento de la </w:t>
      </w:r>
      <w:r w:rsidRPr="003E0B98">
        <w:rPr>
          <w:i/>
          <w:color w:val="000000"/>
          <w:szCs w:val="22"/>
          <w:u w:val="single"/>
          <w:lang w:val="es-ES"/>
        </w:rPr>
        <w:t>alteración</w:t>
      </w:r>
      <w:r w:rsidRPr="003E0B98">
        <w:rPr>
          <w:i/>
          <w:color w:val="000000"/>
          <w:szCs w:val="22"/>
          <w:u w:val="single"/>
          <w:lang w:val="es-ES_tradnl"/>
        </w:rPr>
        <w:t xml:space="preserve"> visual debida a NVC (distinta a la secundaria a MP y a DMAE exudativa)</w:t>
      </w:r>
    </w:p>
    <w:p w14:paraId="5CC4597B" w14:textId="77777777" w:rsidR="0016663F" w:rsidRPr="003E0B98" w:rsidRDefault="0016663F" w:rsidP="004361AC">
      <w:pPr>
        <w:keepNext/>
        <w:tabs>
          <w:tab w:val="clear" w:pos="567"/>
        </w:tabs>
        <w:spacing w:line="240" w:lineRule="auto"/>
        <w:rPr>
          <w:color w:val="000000"/>
          <w:szCs w:val="22"/>
          <w:lang w:val="es-ES_tradnl"/>
        </w:rPr>
      </w:pPr>
      <w:r w:rsidRPr="003E0B98">
        <w:rPr>
          <w:color w:val="000000"/>
          <w:szCs w:val="22"/>
          <w:lang w:val="es-ES_tradnl"/>
        </w:rPr>
        <w:t xml:space="preserve">La seguridad y eficacia clínicas de </w:t>
      </w:r>
      <w:proofErr w:type="spellStart"/>
      <w:r w:rsidRPr="003E0B98">
        <w:rPr>
          <w:color w:val="000000"/>
          <w:szCs w:val="22"/>
          <w:lang w:val="es-ES_tradnl"/>
        </w:rPr>
        <w:t>Lucentis</w:t>
      </w:r>
      <w:proofErr w:type="spellEnd"/>
      <w:r w:rsidRPr="003E0B98">
        <w:rPr>
          <w:color w:val="000000"/>
          <w:szCs w:val="22"/>
          <w:lang w:val="es-ES_tradnl"/>
        </w:rPr>
        <w:t xml:space="preserve"> en pacientes con </w:t>
      </w:r>
      <w:r w:rsidRPr="003E0B98">
        <w:rPr>
          <w:color w:val="000000"/>
          <w:szCs w:val="22"/>
          <w:lang w:val="es-ES"/>
        </w:rPr>
        <w:t>alteración</w:t>
      </w:r>
      <w:r w:rsidR="00AB4864" w:rsidRPr="003E0B98">
        <w:rPr>
          <w:color w:val="000000"/>
          <w:szCs w:val="22"/>
          <w:lang w:val="es-ES_tradnl"/>
        </w:rPr>
        <w:t xml:space="preserve"> visual debida a </w:t>
      </w:r>
      <w:r w:rsidRPr="003E0B98">
        <w:rPr>
          <w:color w:val="000000"/>
          <w:szCs w:val="22"/>
          <w:lang w:val="es-ES_tradnl"/>
        </w:rPr>
        <w:t xml:space="preserve">NVC se han evaluado </w:t>
      </w:r>
      <w:proofErr w:type="gramStart"/>
      <w:r w:rsidRPr="003E0B98">
        <w:rPr>
          <w:color w:val="000000"/>
          <w:szCs w:val="22"/>
          <w:lang w:val="es-ES_tradnl"/>
        </w:rPr>
        <w:t>de acuerdo a</w:t>
      </w:r>
      <w:proofErr w:type="gramEnd"/>
      <w:r w:rsidRPr="003E0B98">
        <w:rPr>
          <w:color w:val="000000"/>
          <w:szCs w:val="22"/>
          <w:lang w:val="es-ES_tradnl"/>
        </w:rPr>
        <w:t xml:space="preserve"> los datos </w:t>
      </w:r>
      <w:r w:rsidR="00AB4864" w:rsidRPr="003E0B98">
        <w:rPr>
          <w:color w:val="000000"/>
          <w:szCs w:val="22"/>
          <w:lang w:val="es-ES_tradnl"/>
        </w:rPr>
        <w:t xml:space="preserve">de 12 meses del ensayo </w:t>
      </w:r>
      <w:proofErr w:type="spellStart"/>
      <w:r w:rsidR="00AB4864" w:rsidRPr="003E0B98">
        <w:rPr>
          <w:color w:val="000000"/>
          <w:szCs w:val="22"/>
          <w:lang w:val="es-ES_tradnl"/>
        </w:rPr>
        <w:t>pivotal</w:t>
      </w:r>
      <w:proofErr w:type="spellEnd"/>
      <w:r w:rsidR="00AB4864" w:rsidRPr="003E0B98">
        <w:rPr>
          <w:color w:val="000000"/>
          <w:szCs w:val="22"/>
          <w:lang w:val="es-ES_tradnl"/>
        </w:rPr>
        <w:t xml:space="preserve"> G</w:t>
      </w:r>
      <w:r w:rsidRPr="003E0B98">
        <w:rPr>
          <w:color w:val="000000"/>
          <w:szCs w:val="22"/>
          <w:lang w:val="es-ES_tradnl"/>
        </w:rPr>
        <w:t>2301 (</w:t>
      </w:r>
      <w:r w:rsidR="00AB4864" w:rsidRPr="003E0B98">
        <w:rPr>
          <w:color w:val="000000"/>
          <w:szCs w:val="22"/>
          <w:lang w:val="es-ES_tradnl"/>
        </w:rPr>
        <w:t>MINERVA</w:t>
      </w:r>
      <w:r w:rsidRPr="003E0B98">
        <w:rPr>
          <w:color w:val="000000"/>
          <w:szCs w:val="22"/>
          <w:lang w:val="es-ES_tradnl"/>
        </w:rPr>
        <w:t>) controlado</w:t>
      </w:r>
      <w:r w:rsidR="00AB4864" w:rsidRPr="003E0B98">
        <w:rPr>
          <w:color w:val="000000"/>
          <w:szCs w:val="22"/>
          <w:lang w:val="es-ES_tradnl"/>
        </w:rPr>
        <w:t xml:space="preserve"> con </w:t>
      </w:r>
      <w:r w:rsidR="008A33E6" w:rsidRPr="003E0B98">
        <w:rPr>
          <w:color w:val="000000"/>
          <w:szCs w:val="22"/>
          <w:lang w:val="es-ES_tradnl"/>
        </w:rPr>
        <w:t>tratamiento simulado</w:t>
      </w:r>
      <w:r w:rsidRPr="003E0B98">
        <w:rPr>
          <w:color w:val="000000"/>
          <w:szCs w:val="22"/>
          <w:lang w:val="es-ES_tradnl"/>
        </w:rPr>
        <w:t xml:space="preserve">, doble ciego. En este ensayo </w:t>
      </w:r>
      <w:r w:rsidR="008A33E6" w:rsidRPr="003E0B98">
        <w:rPr>
          <w:color w:val="000000"/>
          <w:szCs w:val="22"/>
          <w:lang w:val="es-ES_tradnl"/>
        </w:rPr>
        <w:t>178</w:t>
      </w:r>
      <w:r w:rsidRPr="003E0B98">
        <w:rPr>
          <w:color w:val="000000"/>
          <w:szCs w:val="22"/>
          <w:lang w:val="es-ES_tradnl"/>
        </w:rPr>
        <w:t> pacientes</w:t>
      </w:r>
      <w:r w:rsidR="008A33E6" w:rsidRPr="003E0B98">
        <w:rPr>
          <w:color w:val="000000"/>
          <w:szCs w:val="22"/>
          <w:lang w:val="es-ES_tradnl"/>
        </w:rPr>
        <w:t xml:space="preserve"> adultos</w:t>
      </w:r>
      <w:r w:rsidRPr="003E0B98">
        <w:rPr>
          <w:color w:val="000000"/>
          <w:szCs w:val="22"/>
          <w:lang w:val="es-ES_tradnl"/>
        </w:rPr>
        <w:t xml:space="preserve"> fue</w:t>
      </w:r>
      <w:r w:rsidR="008A33E6" w:rsidRPr="003E0B98">
        <w:rPr>
          <w:color w:val="000000"/>
          <w:szCs w:val="22"/>
          <w:lang w:val="es-ES_tradnl"/>
        </w:rPr>
        <w:t xml:space="preserve">ron aleatorizados en </w:t>
      </w:r>
      <w:proofErr w:type="gramStart"/>
      <w:r w:rsidR="008A33E6" w:rsidRPr="003E0B98">
        <w:rPr>
          <w:color w:val="000000"/>
          <w:szCs w:val="22"/>
          <w:lang w:val="es-ES_tradnl"/>
        </w:rPr>
        <w:t>un ratio</w:t>
      </w:r>
      <w:proofErr w:type="gramEnd"/>
      <w:r w:rsidR="008A33E6" w:rsidRPr="003E0B98">
        <w:rPr>
          <w:color w:val="000000"/>
          <w:szCs w:val="22"/>
          <w:lang w:val="es-ES_tradnl"/>
        </w:rPr>
        <w:t> 2</w:t>
      </w:r>
      <w:r w:rsidRPr="003E0B98">
        <w:rPr>
          <w:color w:val="000000"/>
          <w:szCs w:val="22"/>
          <w:lang w:val="es-ES_tradnl"/>
        </w:rPr>
        <w:t xml:space="preserve">:1 para </w:t>
      </w:r>
      <w:r w:rsidR="008A33E6" w:rsidRPr="003E0B98">
        <w:rPr>
          <w:color w:val="000000"/>
          <w:szCs w:val="22"/>
          <w:lang w:val="es-ES_tradnl"/>
        </w:rPr>
        <w:t>recibir</w:t>
      </w:r>
      <w:r w:rsidRPr="003E0B98">
        <w:rPr>
          <w:color w:val="000000"/>
          <w:szCs w:val="22"/>
          <w:lang w:val="es-ES_tradnl"/>
        </w:rPr>
        <w:t>:</w:t>
      </w:r>
    </w:p>
    <w:p w14:paraId="73A9A77C" w14:textId="529DAB9D" w:rsidR="008154EE" w:rsidRPr="003E0B98" w:rsidRDefault="00E77564" w:rsidP="004361AC">
      <w:pPr>
        <w:spacing w:line="240" w:lineRule="auto"/>
        <w:ind w:left="567" w:hanging="567"/>
        <w:rPr>
          <w:color w:val="000000"/>
          <w:szCs w:val="22"/>
          <w:lang w:val="es-ES"/>
        </w:rPr>
      </w:pPr>
      <w:r w:rsidRPr="003E0B98">
        <w:rPr>
          <w:color w:val="000000"/>
          <w:szCs w:val="22"/>
          <w:lang w:val="es-ES"/>
        </w:rPr>
        <w:t>•</w:t>
      </w:r>
      <w:r w:rsidRPr="003E0B98">
        <w:rPr>
          <w:color w:val="000000"/>
          <w:szCs w:val="22"/>
          <w:lang w:val="es-ES"/>
        </w:rPr>
        <w:tab/>
      </w:r>
      <w:proofErr w:type="spellStart"/>
      <w:r w:rsidRPr="003E0B98">
        <w:rPr>
          <w:color w:val="000000"/>
          <w:szCs w:val="22"/>
          <w:lang w:val="es-ES"/>
        </w:rPr>
        <w:t>ranibizumab</w:t>
      </w:r>
      <w:proofErr w:type="spellEnd"/>
      <w:r w:rsidRPr="003E0B98">
        <w:rPr>
          <w:color w:val="000000"/>
          <w:szCs w:val="22"/>
          <w:lang w:val="es-ES"/>
        </w:rPr>
        <w:t xml:space="preserve"> 0,5 mg al inicio, seguido de un</w:t>
      </w:r>
      <w:r w:rsidR="005B58B0" w:rsidRPr="003E0B98">
        <w:rPr>
          <w:color w:val="000000"/>
          <w:szCs w:val="22"/>
          <w:lang w:val="es-ES"/>
        </w:rPr>
        <w:t>a</w:t>
      </w:r>
      <w:r w:rsidRPr="003E0B98">
        <w:rPr>
          <w:color w:val="000000"/>
          <w:szCs w:val="22"/>
          <w:lang w:val="es-ES"/>
        </w:rPr>
        <w:t xml:space="preserve"> </w:t>
      </w:r>
      <w:r w:rsidR="005B58B0" w:rsidRPr="003E0B98">
        <w:rPr>
          <w:color w:val="000000"/>
          <w:szCs w:val="22"/>
          <w:lang w:val="es-ES"/>
        </w:rPr>
        <w:t>pauta posológica</w:t>
      </w:r>
      <w:r w:rsidRPr="003E0B98">
        <w:rPr>
          <w:color w:val="000000"/>
          <w:szCs w:val="22"/>
          <w:lang w:val="es-ES"/>
        </w:rPr>
        <w:t xml:space="preserve"> individualizad</w:t>
      </w:r>
      <w:r w:rsidR="005B58B0" w:rsidRPr="003E0B98">
        <w:rPr>
          <w:color w:val="000000"/>
          <w:szCs w:val="22"/>
          <w:lang w:val="es-ES"/>
        </w:rPr>
        <w:t>a</w:t>
      </w:r>
      <w:r w:rsidRPr="003E0B98">
        <w:rPr>
          <w:color w:val="000000"/>
          <w:szCs w:val="22"/>
          <w:lang w:val="es-ES"/>
        </w:rPr>
        <w:t xml:space="preserve"> basad</w:t>
      </w:r>
      <w:r w:rsidR="005B58B0" w:rsidRPr="003E0B98">
        <w:rPr>
          <w:color w:val="000000"/>
          <w:szCs w:val="22"/>
          <w:lang w:val="es-ES"/>
        </w:rPr>
        <w:t>a</w:t>
      </w:r>
      <w:r w:rsidRPr="003E0B98">
        <w:rPr>
          <w:color w:val="000000"/>
          <w:szCs w:val="22"/>
          <w:lang w:val="es-ES"/>
        </w:rPr>
        <w:t xml:space="preserve"> en la actividad de la enfermedad </w:t>
      </w:r>
      <w:r w:rsidR="00473B37" w:rsidRPr="003E0B98">
        <w:rPr>
          <w:color w:val="000000"/>
          <w:szCs w:val="22"/>
          <w:lang w:val="es-ES_tradnl"/>
        </w:rPr>
        <w:t xml:space="preserve">y evaluada mediante agudeza </w:t>
      </w:r>
      <w:r w:rsidR="008154EE" w:rsidRPr="003E0B98">
        <w:rPr>
          <w:color w:val="000000"/>
          <w:szCs w:val="22"/>
          <w:lang w:val="es-ES_tradnl"/>
        </w:rPr>
        <w:t xml:space="preserve">visual y/o parámetros anatómicos (p. ej. </w:t>
      </w:r>
      <w:r w:rsidRPr="003E0B98">
        <w:rPr>
          <w:color w:val="000000"/>
          <w:szCs w:val="22"/>
          <w:lang w:val="es-ES"/>
        </w:rPr>
        <w:t xml:space="preserve">alteración de la </w:t>
      </w:r>
      <w:r w:rsidR="001B5726">
        <w:rPr>
          <w:color w:val="000000"/>
          <w:szCs w:val="22"/>
          <w:lang w:val="es-ES"/>
        </w:rPr>
        <w:t>agudeza visual</w:t>
      </w:r>
      <w:r w:rsidR="008154EE" w:rsidRPr="003E0B98">
        <w:rPr>
          <w:color w:val="000000"/>
          <w:szCs w:val="22"/>
          <w:lang w:val="es-ES"/>
        </w:rPr>
        <w:t xml:space="preserve">, </w:t>
      </w:r>
      <w:r w:rsidR="005B58B0" w:rsidRPr="003E0B98">
        <w:rPr>
          <w:color w:val="000000"/>
          <w:szCs w:val="22"/>
          <w:lang w:val="es-ES"/>
        </w:rPr>
        <w:t>l</w:t>
      </w:r>
      <w:r w:rsidR="0066385A" w:rsidRPr="003E0B98">
        <w:rPr>
          <w:color w:val="000000"/>
          <w:szCs w:val="22"/>
          <w:lang w:val="es-ES"/>
        </w:rPr>
        <w:t>í</w:t>
      </w:r>
      <w:r w:rsidR="005B58B0" w:rsidRPr="003E0B98">
        <w:rPr>
          <w:color w:val="000000"/>
          <w:szCs w:val="22"/>
          <w:lang w:val="es-ES"/>
        </w:rPr>
        <w:t>quido</w:t>
      </w:r>
      <w:r w:rsidR="008154EE" w:rsidRPr="003E0B98">
        <w:rPr>
          <w:color w:val="000000"/>
          <w:szCs w:val="22"/>
          <w:lang w:val="es-ES"/>
        </w:rPr>
        <w:t xml:space="preserve"> intra/</w:t>
      </w:r>
      <w:proofErr w:type="spellStart"/>
      <w:r w:rsidR="008154EE" w:rsidRPr="003E0B98">
        <w:rPr>
          <w:color w:val="000000"/>
          <w:szCs w:val="22"/>
          <w:lang w:val="es-ES"/>
        </w:rPr>
        <w:t>subretiniano</w:t>
      </w:r>
      <w:proofErr w:type="spellEnd"/>
      <w:r w:rsidR="008154EE" w:rsidRPr="003E0B98">
        <w:rPr>
          <w:color w:val="000000"/>
          <w:szCs w:val="22"/>
          <w:lang w:val="es-ES"/>
        </w:rPr>
        <w:t xml:space="preserve">, hemorragia </w:t>
      </w:r>
      <w:r w:rsidRPr="003E0B98">
        <w:rPr>
          <w:color w:val="000000"/>
          <w:szCs w:val="22"/>
          <w:lang w:val="es-ES"/>
        </w:rPr>
        <w:t>o exudación</w:t>
      </w:r>
      <w:r w:rsidR="008154EE" w:rsidRPr="003E0B98">
        <w:rPr>
          <w:color w:val="000000"/>
          <w:szCs w:val="22"/>
          <w:lang w:val="es-ES"/>
        </w:rPr>
        <w:t>);</w:t>
      </w:r>
    </w:p>
    <w:p w14:paraId="4E8B3E27" w14:textId="77777777" w:rsidR="00C728B5" w:rsidRPr="003E0B98" w:rsidRDefault="00C728B5" w:rsidP="004361AC">
      <w:pPr>
        <w:spacing w:line="240" w:lineRule="auto"/>
        <w:ind w:left="567" w:hanging="567"/>
        <w:rPr>
          <w:color w:val="000000"/>
          <w:szCs w:val="22"/>
          <w:lang w:val="es-ES"/>
        </w:rPr>
      </w:pPr>
      <w:r w:rsidRPr="003E0B98">
        <w:rPr>
          <w:color w:val="000000"/>
          <w:szCs w:val="22"/>
          <w:lang w:val="es-ES"/>
        </w:rPr>
        <w:t>•</w:t>
      </w:r>
      <w:r w:rsidRPr="003E0B98">
        <w:rPr>
          <w:color w:val="000000"/>
          <w:szCs w:val="22"/>
          <w:lang w:val="es-ES"/>
        </w:rPr>
        <w:tab/>
        <w:t>inyección simulada al inicio, seguido de un</w:t>
      </w:r>
      <w:r w:rsidR="00EA4A44" w:rsidRPr="003E0B98">
        <w:rPr>
          <w:color w:val="000000"/>
          <w:szCs w:val="22"/>
          <w:lang w:val="es-ES"/>
        </w:rPr>
        <w:t>a</w:t>
      </w:r>
      <w:r w:rsidRPr="003E0B98">
        <w:rPr>
          <w:color w:val="000000"/>
          <w:szCs w:val="22"/>
          <w:lang w:val="es-ES"/>
        </w:rPr>
        <w:t xml:space="preserve"> </w:t>
      </w:r>
      <w:r w:rsidR="005B58B0" w:rsidRPr="003E0B98">
        <w:rPr>
          <w:color w:val="000000"/>
          <w:szCs w:val="22"/>
          <w:lang w:val="es-ES"/>
        </w:rPr>
        <w:t xml:space="preserve">pauta </w:t>
      </w:r>
      <w:r w:rsidR="00A22125" w:rsidRPr="003E0B98">
        <w:rPr>
          <w:color w:val="000000"/>
          <w:szCs w:val="22"/>
          <w:lang w:val="es-ES"/>
        </w:rPr>
        <w:t>posológica</w:t>
      </w:r>
      <w:r w:rsidRPr="003E0B98">
        <w:rPr>
          <w:color w:val="000000"/>
          <w:szCs w:val="22"/>
          <w:lang w:val="es-ES"/>
        </w:rPr>
        <w:t xml:space="preserve"> individualizad</w:t>
      </w:r>
      <w:r w:rsidR="00A22125" w:rsidRPr="003E0B98">
        <w:rPr>
          <w:color w:val="000000"/>
          <w:szCs w:val="22"/>
          <w:lang w:val="es-ES"/>
        </w:rPr>
        <w:t>a</w:t>
      </w:r>
      <w:r w:rsidRPr="003E0B98">
        <w:rPr>
          <w:color w:val="000000"/>
          <w:szCs w:val="22"/>
          <w:lang w:val="es-ES"/>
        </w:rPr>
        <w:t xml:space="preserve"> basad</w:t>
      </w:r>
      <w:r w:rsidR="00A22125" w:rsidRPr="003E0B98">
        <w:rPr>
          <w:color w:val="000000"/>
          <w:szCs w:val="22"/>
          <w:lang w:val="es-ES"/>
        </w:rPr>
        <w:t>a</w:t>
      </w:r>
      <w:r w:rsidRPr="003E0B98">
        <w:rPr>
          <w:color w:val="000000"/>
          <w:szCs w:val="22"/>
          <w:lang w:val="es-ES"/>
        </w:rPr>
        <w:t xml:space="preserve"> en la actividad de la enfermedad.</w:t>
      </w:r>
    </w:p>
    <w:p w14:paraId="4EDC2C9E" w14:textId="77777777" w:rsidR="00C728B5" w:rsidRPr="003E0B98" w:rsidRDefault="00C728B5" w:rsidP="004361AC">
      <w:pPr>
        <w:spacing w:line="240" w:lineRule="auto"/>
        <w:ind w:left="567" w:hanging="567"/>
        <w:rPr>
          <w:color w:val="000000"/>
          <w:szCs w:val="22"/>
          <w:lang w:val="es-ES"/>
        </w:rPr>
      </w:pPr>
      <w:r w:rsidRPr="003E0B98">
        <w:rPr>
          <w:color w:val="000000"/>
          <w:szCs w:val="22"/>
          <w:lang w:val="es-ES"/>
        </w:rPr>
        <w:t>En el Mes 2</w:t>
      </w:r>
      <w:r w:rsidR="00EE64C2" w:rsidRPr="003E0B98">
        <w:rPr>
          <w:color w:val="000000"/>
          <w:szCs w:val="22"/>
          <w:lang w:val="es-ES"/>
        </w:rPr>
        <w:t xml:space="preserve">, todos los pacientes recibieron tratamiento abierto con </w:t>
      </w:r>
      <w:proofErr w:type="spellStart"/>
      <w:r w:rsidR="00EE64C2" w:rsidRPr="003E0B98">
        <w:rPr>
          <w:color w:val="000000"/>
          <w:szCs w:val="22"/>
          <w:lang w:val="es-ES"/>
        </w:rPr>
        <w:t>ranibizumab</w:t>
      </w:r>
      <w:proofErr w:type="spellEnd"/>
      <w:r w:rsidR="00EE64C2" w:rsidRPr="003E0B98">
        <w:rPr>
          <w:color w:val="000000"/>
          <w:szCs w:val="22"/>
          <w:lang w:val="es-ES"/>
        </w:rPr>
        <w:t xml:space="preserve"> según necesidad.</w:t>
      </w:r>
    </w:p>
    <w:p w14:paraId="6FA88A0E" w14:textId="77777777" w:rsidR="00E77564" w:rsidRPr="003E0B98" w:rsidRDefault="00E77564" w:rsidP="004361AC">
      <w:pPr>
        <w:spacing w:line="240" w:lineRule="auto"/>
        <w:ind w:left="567" w:hanging="567"/>
        <w:rPr>
          <w:color w:val="000000"/>
          <w:szCs w:val="22"/>
          <w:lang w:val="es-ES"/>
        </w:rPr>
      </w:pPr>
    </w:p>
    <w:p w14:paraId="2FC52111" w14:textId="77777777" w:rsidR="00EE64C2" w:rsidRPr="003E0B98" w:rsidRDefault="00CB4E16" w:rsidP="004361AC">
      <w:pPr>
        <w:tabs>
          <w:tab w:val="clear" w:pos="567"/>
          <w:tab w:val="left" w:pos="0"/>
        </w:tabs>
        <w:spacing w:line="240" w:lineRule="auto"/>
        <w:rPr>
          <w:color w:val="000000"/>
          <w:lang w:val="es-ES"/>
        </w:rPr>
      </w:pPr>
      <w:r w:rsidRPr="003E0B98">
        <w:rPr>
          <w:szCs w:val="22"/>
          <w:lang w:val="es-ES"/>
        </w:rPr>
        <w:t>L</w:t>
      </w:r>
      <w:r w:rsidR="00A22125" w:rsidRPr="003E0B98">
        <w:rPr>
          <w:szCs w:val="22"/>
          <w:lang w:val="es-ES"/>
        </w:rPr>
        <w:t>a</w:t>
      </w:r>
      <w:r w:rsidR="00EE64C2" w:rsidRPr="003E0B98">
        <w:rPr>
          <w:szCs w:val="22"/>
          <w:lang w:val="es-ES"/>
        </w:rPr>
        <w:t xml:space="preserve">s </w:t>
      </w:r>
      <w:r w:rsidR="00A22125" w:rsidRPr="003E0B98">
        <w:rPr>
          <w:szCs w:val="22"/>
          <w:lang w:val="es-ES"/>
        </w:rPr>
        <w:t>variables principales</w:t>
      </w:r>
      <w:r w:rsidR="00EE64C2" w:rsidRPr="003E0B98">
        <w:rPr>
          <w:szCs w:val="22"/>
          <w:lang w:val="es-ES"/>
        </w:rPr>
        <w:t xml:space="preserve"> del ensayo</w:t>
      </w:r>
      <w:r w:rsidRPr="003E0B98">
        <w:rPr>
          <w:szCs w:val="22"/>
          <w:lang w:val="es-ES"/>
        </w:rPr>
        <w:t xml:space="preserve"> MINERVA se resumen en la </w:t>
      </w:r>
      <w:r w:rsidRPr="003E0B98">
        <w:rPr>
          <w:color w:val="000000"/>
          <w:lang w:val="es-ES"/>
        </w:rPr>
        <w:t xml:space="preserve">Tabla 3 y en la Figura 3. </w:t>
      </w:r>
      <w:r w:rsidR="007A56AF" w:rsidRPr="003E0B98">
        <w:rPr>
          <w:color w:val="000000"/>
          <w:lang w:val="es-ES"/>
        </w:rPr>
        <w:t xml:space="preserve">Se observó una mejora de la visión </w:t>
      </w:r>
      <w:r w:rsidR="004D1259" w:rsidRPr="003E0B98">
        <w:rPr>
          <w:color w:val="000000"/>
          <w:lang w:val="es-ES"/>
        </w:rPr>
        <w:t>y se acompañó</w:t>
      </w:r>
      <w:r w:rsidR="007A56AF" w:rsidRPr="003E0B98">
        <w:rPr>
          <w:color w:val="000000"/>
          <w:lang w:val="es-ES"/>
        </w:rPr>
        <w:t xml:space="preserve"> de una redu</w:t>
      </w:r>
      <w:r w:rsidR="00F60400" w:rsidRPr="003E0B98">
        <w:rPr>
          <w:color w:val="000000"/>
          <w:lang w:val="es-ES"/>
        </w:rPr>
        <w:t>c</w:t>
      </w:r>
      <w:r w:rsidR="007A56AF" w:rsidRPr="003E0B98">
        <w:rPr>
          <w:color w:val="000000"/>
          <w:lang w:val="es-ES"/>
        </w:rPr>
        <w:t xml:space="preserve">ción </w:t>
      </w:r>
      <w:r w:rsidR="00F60400" w:rsidRPr="003E0B98">
        <w:rPr>
          <w:color w:val="000000"/>
          <w:lang w:val="es-ES"/>
        </w:rPr>
        <w:t>d</w:t>
      </w:r>
      <w:r w:rsidR="007A56AF" w:rsidRPr="003E0B98">
        <w:rPr>
          <w:color w:val="000000"/>
          <w:lang w:val="es-ES"/>
        </w:rPr>
        <w:t xml:space="preserve">el grosor </w:t>
      </w:r>
      <w:r w:rsidR="00F60400" w:rsidRPr="003E0B98">
        <w:rPr>
          <w:color w:val="000000"/>
          <w:lang w:val="es-ES"/>
        </w:rPr>
        <w:t>del subcampo central durante el periodo de 12 meses.</w:t>
      </w:r>
    </w:p>
    <w:p w14:paraId="389244E5" w14:textId="77777777" w:rsidR="00BA54B6" w:rsidRPr="003E0B98" w:rsidRDefault="00BA54B6" w:rsidP="004361AC">
      <w:pPr>
        <w:tabs>
          <w:tab w:val="clear" w:pos="567"/>
          <w:tab w:val="left" w:pos="0"/>
        </w:tabs>
        <w:spacing w:line="240" w:lineRule="auto"/>
        <w:rPr>
          <w:color w:val="000000"/>
          <w:lang w:val="es-ES"/>
        </w:rPr>
      </w:pPr>
    </w:p>
    <w:p w14:paraId="5E69D61D" w14:textId="77777777" w:rsidR="00BA54B6" w:rsidRPr="003E0B98" w:rsidRDefault="00BA54B6" w:rsidP="004361AC">
      <w:pPr>
        <w:tabs>
          <w:tab w:val="clear" w:pos="567"/>
          <w:tab w:val="left" w:pos="0"/>
        </w:tabs>
        <w:spacing w:line="240" w:lineRule="auto"/>
        <w:rPr>
          <w:color w:val="000000"/>
          <w:lang w:val="es-ES"/>
        </w:rPr>
      </w:pPr>
      <w:r w:rsidRPr="003E0B98">
        <w:rPr>
          <w:color w:val="000000"/>
          <w:lang w:val="es-ES"/>
        </w:rPr>
        <w:t xml:space="preserve">El número </w:t>
      </w:r>
      <w:r w:rsidR="00A72E17" w:rsidRPr="003E0B98">
        <w:rPr>
          <w:color w:val="000000"/>
          <w:lang w:val="es-ES"/>
        </w:rPr>
        <w:t>pro</w:t>
      </w:r>
      <w:r w:rsidRPr="003E0B98">
        <w:rPr>
          <w:color w:val="000000"/>
          <w:lang w:val="es-ES"/>
        </w:rPr>
        <w:t>medio de inyecciones</w:t>
      </w:r>
      <w:r w:rsidR="00211212" w:rsidRPr="003E0B98">
        <w:rPr>
          <w:color w:val="000000"/>
          <w:lang w:val="es-ES"/>
        </w:rPr>
        <w:t xml:space="preserve"> administradas durante 12 meses fue 5,8 en el grupo </w:t>
      </w:r>
      <w:proofErr w:type="spellStart"/>
      <w:r w:rsidR="00211212" w:rsidRPr="003E0B98">
        <w:rPr>
          <w:color w:val="000000"/>
          <w:lang w:val="es-ES"/>
        </w:rPr>
        <w:t>ranibizumab</w:t>
      </w:r>
      <w:proofErr w:type="spellEnd"/>
      <w:r w:rsidR="00211212" w:rsidRPr="003E0B98">
        <w:rPr>
          <w:color w:val="000000"/>
          <w:lang w:val="es-ES"/>
        </w:rPr>
        <w:t xml:space="preserve"> frente a 5,4 en aquellos pacientes del grupo tratamiento simulado que pudieron recibir </w:t>
      </w:r>
      <w:proofErr w:type="spellStart"/>
      <w:r w:rsidR="00211212" w:rsidRPr="003E0B98">
        <w:rPr>
          <w:color w:val="000000"/>
          <w:lang w:val="es-ES"/>
        </w:rPr>
        <w:t>ranibizumab</w:t>
      </w:r>
      <w:proofErr w:type="spellEnd"/>
      <w:r w:rsidR="00211212" w:rsidRPr="003E0B98">
        <w:rPr>
          <w:color w:val="000000"/>
          <w:lang w:val="es-ES"/>
        </w:rPr>
        <w:t xml:space="preserve"> desde el Mes 2 en adelante.</w:t>
      </w:r>
      <w:r w:rsidR="0062331D" w:rsidRPr="003E0B98">
        <w:rPr>
          <w:color w:val="000000"/>
          <w:lang w:val="es-ES"/>
        </w:rPr>
        <w:t xml:space="preserve"> En el grupo tratamiento simulado 7</w:t>
      </w:r>
      <w:r w:rsidR="00606F06" w:rsidRPr="003E0B98">
        <w:rPr>
          <w:color w:val="000000"/>
          <w:lang w:val="es-ES"/>
        </w:rPr>
        <w:t> </w:t>
      </w:r>
      <w:r w:rsidR="001444B4" w:rsidRPr="003E0B98">
        <w:rPr>
          <w:color w:val="000000"/>
          <w:lang w:val="es-ES"/>
        </w:rPr>
        <w:t>pacientes</w:t>
      </w:r>
      <w:r w:rsidR="0062331D" w:rsidRPr="003E0B98">
        <w:rPr>
          <w:color w:val="000000"/>
          <w:lang w:val="es-ES"/>
        </w:rPr>
        <w:t xml:space="preserve"> de cada 59 no recibi</w:t>
      </w:r>
      <w:r w:rsidR="001444B4" w:rsidRPr="003E0B98">
        <w:rPr>
          <w:color w:val="000000"/>
          <w:lang w:val="es-ES"/>
        </w:rPr>
        <w:t>eron</w:t>
      </w:r>
      <w:r w:rsidR="0062331D" w:rsidRPr="003E0B98">
        <w:rPr>
          <w:color w:val="000000"/>
          <w:lang w:val="es-ES"/>
        </w:rPr>
        <w:t xml:space="preserve"> ningún tratamiento con </w:t>
      </w:r>
      <w:proofErr w:type="spellStart"/>
      <w:r w:rsidR="0062331D" w:rsidRPr="003E0B98">
        <w:rPr>
          <w:color w:val="000000"/>
          <w:lang w:val="es-ES"/>
        </w:rPr>
        <w:t>ranibizumab</w:t>
      </w:r>
      <w:proofErr w:type="spellEnd"/>
      <w:r w:rsidR="0062331D" w:rsidRPr="003E0B98">
        <w:rPr>
          <w:color w:val="000000"/>
          <w:lang w:val="es-ES"/>
        </w:rPr>
        <w:t xml:space="preserve"> en el ojo en estudio durante el periodo de 12 meses.</w:t>
      </w:r>
    </w:p>
    <w:p w14:paraId="1D47F6F8" w14:textId="77777777" w:rsidR="0062331D" w:rsidRPr="003E0B98" w:rsidRDefault="0062331D" w:rsidP="004361AC">
      <w:pPr>
        <w:tabs>
          <w:tab w:val="clear" w:pos="567"/>
          <w:tab w:val="left" w:pos="0"/>
        </w:tabs>
        <w:spacing w:line="240" w:lineRule="auto"/>
        <w:rPr>
          <w:color w:val="000000"/>
          <w:lang w:val="es-ES"/>
        </w:rPr>
      </w:pPr>
    </w:p>
    <w:p w14:paraId="6CDA592A" w14:textId="77777777" w:rsidR="0062331D" w:rsidRPr="003E0B98" w:rsidRDefault="0062331D" w:rsidP="004361AC">
      <w:pPr>
        <w:keepNext/>
        <w:keepLines/>
        <w:tabs>
          <w:tab w:val="clear" w:pos="567"/>
        </w:tabs>
        <w:spacing w:line="240" w:lineRule="auto"/>
        <w:rPr>
          <w:b/>
          <w:color w:val="000000"/>
          <w:lang w:val="es-ES"/>
        </w:rPr>
      </w:pPr>
      <w:r w:rsidRPr="003E0B98">
        <w:rPr>
          <w:b/>
          <w:color w:val="000000"/>
          <w:lang w:val="es-ES"/>
        </w:rPr>
        <w:t>Tabla 3</w:t>
      </w:r>
      <w:r w:rsidRPr="003E0B98">
        <w:rPr>
          <w:b/>
          <w:color w:val="000000"/>
          <w:lang w:val="es-ES"/>
        </w:rPr>
        <w:tab/>
        <w:t>Resultados en el Mes 2 (MINERVA)</w:t>
      </w:r>
    </w:p>
    <w:p w14:paraId="0F9B8EA1" w14:textId="77777777" w:rsidR="0062331D" w:rsidRPr="003E0B98" w:rsidRDefault="0062331D" w:rsidP="004361AC">
      <w:pPr>
        <w:keepNext/>
        <w:keepLines/>
        <w:tabs>
          <w:tab w:val="clear" w:pos="567"/>
        </w:tabs>
        <w:spacing w:line="240" w:lineRule="auto"/>
        <w:rPr>
          <w:color w:val="00000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7"/>
        <w:gridCol w:w="2099"/>
        <w:gridCol w:w="1925"/>
      </w:tblGrid>
      <w:tr w:rsidR="0062331D" w:rsidRPr="003E0B98" w14:paraId="2F75DF7E" w14:textId="77777777" w:rsidTr="00683E99">
        <w:tc>
          <w:tcPr>
            <w:tcW w:w="5211" w:type="dxa"/>
          </w:tcPr>
          <w:p w14:paraId="5DBB7F64" w14:textId="77777777" w:rsidR="0062331D" w:rsidRPr="003E0B98" w:rsidRDefault="0062331D" w:rsidP="004361AC">
            <w:pPr>
              <w:keepNext/>
              <w:keepLines/>
              <w:tabs>
                <w:tab w:val="clear" w:pos="567"/>
              </w:tabs>
              <w:spacing w:line="240" w:lineRule="auto"/>
              <w:rPr>
                <w:b/>
                <w:color w:val="000000"/>
                <w:lang w:val="es-ES"/>
              </w:rPr>
            </w:pPr>
          </w:p>
        </w:tc>
        <w:tc>
          <w:tcPr>
            <w:tcW w:w="2127" w:type="dxa"/>
          </w:tcPr>
          <w:p w14:paraId="7D131569" w14:textId="77777777" w:rsidR="0062331D" w:rsidRPr="003E0B98" w:rsidRDefault="0062331D" w:rsidP="004361AC">
            <w:pPr>
              <w:keepNext/>
              <w:keepLines/>
              <w:tabs>
                <w:tab w:val="clear" w:pos="567"/>
              </w:tabs>
              <w:spacing w:line="240" w:lineRule="auto"/>
              <w:rPr>
                <w:b/>
                <w:color w:val="000000"/>
                <w:lang w:val="en-US"/>
              </w:rPr>
            </w:pPr>
            <w:r w:rsidRPr="003E0B98">
              <w:rPr>
                <w:b/>
                <w:color w:val="000000"/>
                <w:lang w:val="en-US"/>
              </w:rPr>
              <w:t>Ranibizumab 0.5 mg (n=119)</w:t>
            </w:r>
          </w:p>
        </w:tc>
        <w:tc>
          <w:tcPr>
            <w:tcW w:w="1949" w:type="dxa"/>
          </w:tcPr>
          <w:p w14:paraId="60296789" w14:textId="77777777" w:rsidR="0062331D" w:rsidRPr="003E0B98" w:rsidRDefault="0062331D" w:rsidP="004361AC">
            <w:pPr>
              <w:keepNext/>
              <w:keepLines/>
              <w:tabs>
                <w:tab w:val="clear" w:pos="567"/>
              </w:tabs>
              <w:spacing w:line="240" w:lineRule="auto"/>
              <w:rPr>
                <w:b/>
                <w:color w:val="000000"/>
                <w:lang w:val="en-US"/>
              </w:rPr>
            </w:pPr>
            <w:proofErr w:type="spellStart"/>
            <w:r w:rsidRPr="003E0B98">
              <w:rPr>
                <w:b/>
                <w:color w:val="000000"/>
                <w:lang w:val="en-US"/>
              </w:rPr>
              <w:t>Tratamiento</w:t>
            </w:r>
            <w:proofErr w:type="spellEnd"/>
            <w:r w:rsidRPr="003E0B98">
              <w:rPr>
                <w:b/>
                <w:color w:val="000000"/>
                <w:lang w:val="en-US"/>
              </w:rPr>
              <w:t xml:space="preserve"> </w:t>
            </w:r>
            <w:proofErr w:type="spellStart"/>
            <w:r w:rsidRPr="003E0B98">
              <w:rPr>
                <w:b/>
                <w:color w:val="000000"/>
                <w:lang w:val="en-US"/>
              </w:rPr>
              <w:t>simulado</w:t>
            </w:r>
            <w:proofErr w:type="spellEnd"/>
            <w:r w:rsidRPr="003E0B98">
              <w:rPr>
                <w:b/>
                <w:color w:val="000000"/>
                <w:lang w:val="en-US"/>
              </w:rPr>
              <w:t xml:space="preserve"> (n=59)</w:t>
            </w:r>
          </w:p>
        </w:tc>
      </w:tr>
      <w:tr w:rsidR="0062331D" w:rsidRPr="003E0B98" w14:paraId="4CA71F0B" w14:textId="77777777" w:rsidTr="00683E99">
        <w:tc>
          <w:tcPr>
            <w:tcW w:w="5211" w:type="dxa"/>
          </w:tcPr>
          <w:p w14:paraId="580BADC1" w14:textId="77777777" w:rsidR="0062331D" w:rsidRPr="003E0B98" w:rsidRDefault="004F43F8" w:rsidP="004361AC">
            <w:pPr>
              <w:keepNext/>
              <w:keepLines/>
              <w:tabs>
                <w:tab w:val="clear" w:pos="567"/>
              </w:tabs>
              <w:spacing w:line="240" w:lineRule="auto"/>
              <w:rPr>
                <w:color w:val="000000"/>
                <w:lang w:val="es-ES"/>
              </w:rPr>
            </w:pPr>
            <w:r w:rsidRPr="003E0B98">
              <w:rPr>
                <w:color w:val="000000"/>
                <w:szCs w:val="22"/>
                <w:lang w:val="es-ES_tradnl"/>
              </w:rPr>
              <w:t xml:space="preserve">Cambio </w:t>
            </w:r>
            <w:r w:rsidR="00A22125" w:rsidRPr="003E0B98">
              <w:rPr>
                <w:color w:val="000000"/>
                <w:szCs w:val="22"/>
                <w:lang w:val="es-ES_tradnl"/>
              </w:rPr>
              <w:t>pro</w:t>
            </w:r>
            <w:r w:rsidRPr="003E0B98">
              <w:rPr>
                <w:color w:val="000000"/>
                <w:szCs w:val="22"/>
                <w:lang w:val="es-ES_tradnl"/>
              </w:rPr>
              <w:t xml:space="preserve">medio </w:t>
            </w:r>
            <w:r w:rsidR="00E35F07" w:rsidRPr="003E0B98">
              <w:rPr>
                <w:color w:val="000000"/>
                <w:szCs w:val="22"/>
                <w:lang w:val="es-ES_tradnl"/>
              </w:rPr>
              <w:t>de</w:t>
            </w:r>
            <w:r w:rsidRPr="003E0B98">
              <w:rPr>
                <w:color w:val="000000"/>
                <w:szCs w:val="22"/>
                <w:lang w:val="es-ES_tradnl"/>
              </w:rPr>
              <w:t xml:space="preserve"> la AVMC desde el inicio hasta el Mes</w:t>
            </w:r>
            <w:r w:rsidR="0062331D" w:rsidRPr="003E0B98">
              <w:rPr>
                <w:color w:val="000000"/>
                <w:lang w:val="es-ES"/>
              </w:rPr>
              <w:t> 2 </w:t>
            </w:r>
            <w:r w:rsidR="0062331D" w:rsidRPr="003E0B98">
              <w:rPr>
                <w:color w:val="000000"/>
                <w:vertAlign w:val="superscript"/>
                <w:lang w:val="es-ES"/>
              </w:rPr>
              <w:t xml:space="preserve">a </w:t>
            </w:r>
          </w:p>
        </w:tc>
        <w:tc>
          <w:tcPr>
            <w:tcW w:w="2127" w:type="dxa"/>
          </w:tcPr>
          <w:p w14:paraId="53159BCE" w14:textId="77777777" w:rsidR="0062331D" w:rsidRPr="003E0B98" w:rsidRDefault="0062331D" w:rsidP="004361AC">
            <w:pPr>
              <w:keepNext/>
              <w:keepLines/>
              <w:tabs>
                <w:tab w:val="clear" w:pos="567"/>
              </w:tabs>
              <w:spacing w:line="240" w:lineRule="auto"/>
              <w:rPr>
                <w:color w:val="000000"/>
                <w:lang w:val="en-US"/>
              </w:rPr>
            </w:pPr>
            <w:r w:rsidRPr="003E0B98">
              <w:rPr>
                <w:color w:val="000000"/>
                <w:lang w:val="en-US"/>
              </w:rPr>
              <w:t>9,5 </w:t>
            </w:r>
            <w:proofErr w:type="spellStart"/>
            <w:r w:rsidRPr="003E0B98">
              <w:rPr>
                <w:color w:val="000000"/>
                <w:lang w:val="en-US"/>
              </w:rPr>
              <w:t>letras</w:t>
            </w:r>
            <w:proofErr w:type="spellEnd"/>
          </w:p>
        </w:tc>
        <w:tc>
          <w:tcPr>
            <w:tcW w:w="1949" w:type="dxa"/>
          </w:tcPr>
          <w:p w14:paraId="7F070DBE" w14:textId="77777777" w:rsidR="0062331D" w:rsidRPr="003E0B98" w:rsidRDefault="0062331D" w:rsidP="004361AC">
            <w:pPr>
              <w:keepNext/>
              <w:keepLines/>
              <w:tabs>
                <w:tab w:val="clear" w:pos="567"/>
              </w:tabs>
              <w:spacing w:line="240" w:lineRule="auto"/>
              <w:rPr>
                <w:color w:val="000000"/>
                <w:lang w:val="en-US"/>
              </w:rPr>
            </w:pPr>
            <w:r w:rsidRPr="003E0B98">
              <w:rPr>
                <w:color w:val="000000"/>
                <w:lang w:val="en-US"/>
              </w:rPr>
              <w:noBreakHyphen/>
              <w:t>0,4 </w:t>
            </w:r>
            <w:proofErr w:type="spellStart"/>
            <w:r w:rsidRPr="003E0B98">
              <w:rPr>
                <w:color w:val="000000"/>
                <w:lang w:val="en-US"/>
              </w:rPr>
              <w:t>letras</w:t>
            </w:r>
            <w:proofErr w:type="spellEnd"/>
          </w:p>
        </w:tc>
      </w:tr>
      <w:tr w:rsidR="0062331D" w:rsidRPr="003E0B98" w14:paraId="30BE97CA" w14:textId="77777777" w:rsidTr="00683E99">
        <w:tc>
          <w:tcPr>
            <w:tcW w:w="5211" w:type="dxa"/>
          </w:tcPr>
          <w:p w14:paraId="425ECDED" w14:textId="77777777" w:rsidR="0062331D" w:rsidRPr="003E0B98" w:rsidRDefault="0062331D" w:rsidP="004361AC">
            <w:pPr>
              <w:keepNext/>
              <w:keepLines/>
              <w:tabs>
                <w:tab w:val="clear" w:pos="567"/>
              </w:tabs>
              <w:spacing w:line="240" w:lineRule="auto"/>
              <w:rPr>
                <w:color w:val="000000"/>
                <w:lang w:val="es-ES"/>
              </w:rPr>
            </w:pPr>
            <w:r w:rsidRPr="003E0B98">
              <w:rPr>
                <w:color w:val="000000"/>
                <w:lang w:val="es-ES"/>
              </w:rPr>
              <w:t>P</w:t>
            </w:r>
            <w:r w:rsidR="004F43F8" w:rsidRPr="003E0B98">
              <w:rPr>
                <w:color w:val="000000"/>
                <w:lang w:val="es-ES"/>
              </w:rPr>
              <w:t>acientes que ganan</w:t>
            </w:r>
            <w:r w:rsidRPr="003E0B98">
              <w:rPr>
                <w:color w:val="000000"/>
                <w:lang w:val="es-ES"/>
              </w:rPr>
              <w:t xml:space="preserve"> </w:t>
            </w:r>
            <w:r w:rsidRPr="003E0B98">
              <w:rPr>
                <w:rFonts w:eastAsia="MS Mincho"/>
                <w:szCs w:val="22"/>
                <w:lang w:val="es-ES"/>
              </w:rPr>
              <w:t>≥</w:t>
            </w:r>
            <w:r w:rsidRPr="003E0B98">
              <w:rPr>
                <w:color w:val="000000"/>
                <w:lang w:val="es-ES"/>
              </w:rPr>
              <w:t>15</w:t>
            </w:r>
            <w:r w:rsidR="004F43F8" w:rsidRPr="003E0B98">
              <w:rPr>
                <w:color w:val="000000"/>
                <w:lang w:val="es-ES"/>
              </w:rPr>
              <w:t> letras desde el inicio o que alcanzan 84 letras al Mes</w:t>
            </w:r>
            <w:r w:rsidRPr="003E0B98">
              <w:rPr>
                <w:color w:val="000000"/>
                <w:lang w:val="es-ES"/>
              </w:rPr>
              <w:t> 2</w:t>
            </w:r>
          </w:p>
        </w:tc>
        <w:tc>
          <w:tcPr>
            <w:tcW w:w="2127" w:type="dxa"/>
          </w:tcPr>
          <w:p w14:paraId="4A0ECA46" w14:textId="77777777" w:rsidR="0062331D" w:rsidRPr="003E0B98" w:rsidRDefault="0062331D" w:rsidP="004361AC">
            <w:pPr>
              <w:keepNext/>
              <w:keepLines/>
              <w:tabs>
                <w:tab w:val="clear" w:pos="567"/>
              </w:tabs>
              <w:spacing w:line="240" w:lineRule="auto"/>
              <w:rPr>
                <w:color w:val="000000"/>
                <w:lang w:val="en-US"/>
              </w:rPr>
            </w:pPr>
            <w:r w:rsidRPr="003E0B98">
              <w:rPr>
                <w:color w:val="000000"/>
                <w:lang w:val="en-US"/>
              </w:rPr>
              <w:t>31,4%</w:t>
            </w:r>
          </w:p>
        </w:tc>
        <w:tc>
          <w:tcPr>
            <w:tcW w:w="1949" w:type="dxa"/>
          </w:tcPr>
          <w:p w14:paraId="3472BCB7" w14:textId="77777777" w:rsidR="0062331D" w:rsidRPr="003E0B98" w:rsidRDefault="0062331D" w:rsidP="004361AC">
            <w:pPr>
              <w:keepNext/>
              <w:keepLines/>
              <w:tabs>
                <w:tab w:val="clear" w:pos="567"/>
              </w:tabs>
              <w:spacing w:line="240" w:lineRule="auto"/>
              <w:rPr>
                <w:color w:val="000000"/>
                <w:lang w:val="en-US"/>
              </w:rPr>
            </w:pPr>
            <w:r w:rsidRPr="003E0B98">
              <w:rPr>
                <w:color w:val="000000"/>
                <w:lang w:val="en-US"/>
              </w:rPr>
              <w:t>12,3%</w:t>
            </w:r>
          </w:p>
        </w:tc>
      </w:tr>
      <w:tr w:rsidR="0062331D" w:rsidRPr="003E0B98" w14:paraId="1FE62B95" w14:textId="77777777" w:rsidTr="00683E99">
        <w:tc>
          <w:tcPr>
            <w:tcW w:w="5211" w:type="dxa"/>
          </w:tcPr>
          <w:p w14:paraId="1AD1FC06" w14:textId="77777777" w:rsidR="0062331D" w:rsidRPr="003E0B98" w:rsidRDefault="004F43F8" w:rsidP="004361AC">
            <w:pPr>
              <w:keepNext/>
              <w:keepLines/>
              <w:tabs>
                <w:tab w:val="clear" w:pos="567"/>
              </w:tabs>
              <w:spacing w:line="240" w:lineRule="auto"/>
              <w:rPr>
                <w:color w:val="000000"/>
                <w:lang w:val="es-ES"/>
              </w:rPr>
            </w:pPr>
            <w:r w:rsidRPr="003E0B98">
              <w:rPr>
                <w:color w:val="000000"/>
                <w:lang w:val="es-ES"/>
              </w:rPr>
              <w:t>Pacientes que no pierden</w:t>
            </w:r>
            <w:r w:rsidR="0062331D" w:rsidRPr="003E0B98" w:rsidDel="007163BE">
              <w:rPr>
                <w:color w:val="000000"/>
                <w:lang w:val="es-ES"/>
              </w:rPr>
              <w:t xml:space="preserve"> </w:t>
            </w:r>
            <w:r w:rsidR="0062331D" w:rsidRPr="003E0B98">
              <w:rPr>
                <w:color w:val="000000"/>
                <w:lang w:val="es-ES"/>
              </w:rPr>
              <w:t>&gt;15</w:t>
            </w:r>
            <w:r w:rsidRPr="003E0B98">
              <w:rPr>
                <w:color w:val="000000"/>
                <w:lang w:val="es-ES"/>
              </w:rPr>
              <w:t> letra</w:t>
            </w:r>
            <w:r w:rsidR="0062331D" w:rsidRPr="003E0B98">
              <w:rPr>
                <w:color w:val="000000"/>
                <w:lang w:val="es-ES"/>
              </w:rPr>
              <w:t xml:space="preserve">s </w:t>
            </w:r>
            <w:r w:rsidRPr="003E0B98">
              <w:rPr>
                <w:color w:val="000000"/>
                <w:lang w:val="es-ES"/>
              </w:rPr>
              <w:t xml:space="preserve">desde el inicio </w:t>
            </w:r>
            <w:r w:rsidR="00F3038B" w:rsidRPr="003E0B98">
              <w:rPr>
                <w:color w:val="000000"/>
                <w:lang w:val="es-ES"/>
              </w:rPr>
              <w:t>a</w:t>
            </w:r>
            <w:r w:rsidRPr="003E0B98">
              <w:rPr>
                <w:color w:val="000000"/>
                <w:lang w:val="es-ES"/>
              </w:rPr>
              <w:t>l Mes</w:t>
            </w:r>
            <w:r w:rsidR="0062331D" w:rsidRPr="003E0B98">
              <w:rPr>
                <w:color w:val="000000"/>
                <w:lang w:val="es-ES"/>
              </w:rPr>
              <w:t> 2</w:t>
            </w:r>
          </w:p>
        </w:tc>
        <w:tc>
          <w:tcPr>
            <w:tcW w:w="2127" w:type="dxa"/>
          </w:tcPr>
          <w:p w14:paraId="04BE2B47" w14:textId="77777777" w:rsidR="0062331D" w:rsidRPr="003E0B98" w:rsidRDefault="0062331D" w:rsidP="004361AC">
            <w:pPr>
              <w:keepNext/>
              <w:keepLines/>
              <w:tabs>
                <w:tab w:val="clear" w:pos="567"/>
              </w:tabs>
              <w:spacing w:line="240" w:lineRule="auto"/>
              <w:rPr>
                <w:color w:val="000000"/>
                <w:lang w:val="en-US"/>
              </w:rPr>
            </w:pPr>
            <w:r w:rsidRPr="003E0B98">
              <w:rPr>
                <w:color w:val="000000"/>
                <w:lang w:val="en-US"/>
              </w:rPr>
              <w:t>99,2%</w:t>
            </w:r>
          </w:p>
        </w:tc>
        <w:tc>
          <w:tcPr>
            <w:tcW w:w="1949" w:type="dxa"/>
          </w:tcPr>
          <w:p w14:paraId="0E8F0602" w14:textId="77777777" w:rsidR="0062331D" w:rsidRPr="003E0B98" w:rsidRDefault="0062331D" w:rsidP="004361AC">
            <w:pPr>
              <w:keepNext/>
              <w:keepLines/>
              <w:tabs>
                <w:tab w:val="clear" w:pos="567"/>
              </w:tabs>
              <w:spacing w:line="240" w:lineRule="auto"/>
              <w:rPr>
                <w:color w:val="000000"/>
                <w:lang w:val="en-US"/>
              </w:rPr>
            </w:pPr>
            <w:r w:rsidRPr="003E0B98">
              <w:rPr>
                <w:color w:val="000000"/>
                <w:lang w:val="en-US"/>
              </w:rPr>
              <w:t>94,7%</w:t>
            </w:r>
          </w:p>
        </w:tc>
      </w:tr>
      <w:tr w:rsidR="0062331D" w:rsidRPr="003E0B98" w14:paraId="2059813D" w14:textId="77777777" w:rsidTr="00683E99">
        <w:tc>
          <w:tcPr>
            <w:tcW w:w="5211" w:type="dxa"/>
          </w:tcPr>
          <w:p w14:paraId="5C22B716" w14:textId="77777777" w:rsidR="0062331D" w:rsidRPr="003E0B98" w:rsidRDefault="0062331D" w:rsidP="004361AC">
            <w:pPr>
              <w:keepNext/>
              <w:keepLines/>
              <w:tabs>
                <w:tab w:val="clear" w:pos="567"/>
              </w:tabs>
              <w:spacing w:line="240" w:lineRule="auto"/>
              <w:rPr>
                <w:color w:val="000000"/>
                <w:lang w:val="es-ES"/>
              </w:rPr>
            </w:pPr>
            <w:r w:rsidRPr="003E0B98">
              <w:rPr>
                <w:color w:val="000000"/>
                <w:lang w:val="es-ES"/>
              </w:rPr>
              <w:t>Redu</w:t>
            </w:r>
            <w:r w:rsidR="00F3038B" w:rsidRPr="003E0B98">
              <w:rPr>
                <w:color w:val="000000"/>
                <w:lang w:val="es-ES"/>
              </w:rPr>
              <w:t>cción</w:t>
            </w:r>
            <w:r w:rsidRPr="003E0B98">
              <w:rPr>
                <w:color w:val="000000"/>
                <w:lang w:val="es-ES"/>
              </w:rPr>
              <w:t xml:space="preserve"> </w:t>
            </w:r>
            <w:r w:rsidR="00F3038B" w:rsidRPr="003E0B98">
              <w:rPr>
                <w:color w:val="000000"/>
                <w:lang w:val="es-ES"/>
              </w:rPr>
              <w:t xml:space="preserve">del </w:t>
            </w:r>
            <w:proofErr w:type="spellStart"/>
            <w:r w:rsidR="00F3038B" w:rsidRPr="003E0B98">
              <w:rPr>
                <w:color w:val="000000"/>
                <w:lang w:val="es-ES"/>
              </w:rPr>
              <w:t>GSCR</w:t>
            </w:r>
            <w:r w:rsidRPr="003E0B98">
              <w:rPr>
                <w:color w:val="000000"/>
                <w:vertAlign w:val="superscript"/>
                <w:lang w:val="es-ES"/>
              </w:rPr>
              <w:t>b</w:t>
            </w:r>
            <w:proofErr w:type="spellEnd"/>
            <w:r w:rsidRPr="003E0B98">
              <w:rPr>
                <w:color w:val="000000"/>
                <w:lang w:val="es-ES"/>
              </w:rPr>
              <w:t xml:space="preserve"> </w:t>
            </w:r>
            <w:r w:rsidR="00F3038B" w:rsidRPr="003E0B98">
              <w:rPr>
                <w:color w:val="000000"/>
                <w:szCs w:val="22"/>
                <w:lang w:val="es-ES_tradnl"/>
              </w:rPr>
              <w:t>desde el inicio hasta el Mes</w:t>
            </w:r>
            <w:r w:rsidR="00F3038B" w:rsidRPr="003E0B98">
              <w:rPr>
                <w:color w:val="000000"/>
                <w:lang w:val="es-ES"/>
              </w:rPr>
              <w:t> 2</w:t>
            </w:r>
            <w:r w:rsidRPr="003E0B98">
              <w:rPr>
                <w:color w:val="000000"/>
                <w:vertAlign w:val="superscript"/>
                <w:lang w:val="es-ES"/>
              </w:rPr>
              <w:t xml:space="preserve"> a</w:t>
            </w:r>
          </w:p>
        </w:tc>
        <w:tc>
          <w:tcPr>
            <w:tcW w:w="2127" w:type="dxa"/>
          </w:tcPr>
          <w:p w14:paraId="3AD6BD88" w14:textId="77777777" w:rsidR="0062331D" w:rsidRPr="003E0B98" w:rsidRDefault="0062331D" w:rsidP="004361AC">
            <w:pPr>
              <w:keepNext/>
              <w:keepLines/>
              <w:tabs>
                <w:tab w:val="clear" w:pos="567"/>
              </w:tabs>
              <w:spacing w:line="240" w:lineRule="auto"/>
              <w:rPr>
                <w:color w:val="000000"/>
                <w:lang w:val="en-US"/>
              </w:rPr>
            </w:pPr>
            <w:r w:rsidRPr="003E0B98">
              <w:rPr>
                <w:color w:val="000000"/>
                <w:lang w:val="en-US"/>
              </w:rPr>
              <w:t>77 µm</w:t>
            </w:r>
          </w:p>
        </w:tc>
        <w:tc>
          <w:tcPr>
            <w:tcW w:w="1949" w:type="dxa"/>
          </w:tcPr>
          <w:p w14:paraId="5B31CB85" w14:textId="77777777" w:rsidR="0062331D" w:rsidRPr="003E0B98" w:rsidRDefault="0062331D" w:rsidP="004361AC">
            <w:pPr>
              <w:keepNext/>
              <w:keepLines/>
              <w:tabs>
                <w:tab w:val="clear" w:pos="567"/>
              </w:tabs>
              <w:spacing w:line="240" w:lineRule="auto"/>
              <w:rPr>
                <w:color w:val="000000"/>
                <w:lang w:val="en-US"/>
              </w:rPr>
            </w:pPr>
            <w:r w:rsidRPr="003E0B98">
              <w:rPr>
                <w:color w:val="000000"/>
                <w:lang w:val="en-US"/>
              </w:rPr>
              <w:noBreakHyphen/>
              <w:t>9,8 µm</w:t>
            </w:r>
          </w:p>
        </w:tc>
      </w:tr>
    </w:tbl>
    <w:p w14:paraId="24BFC56C" w14:textId="77777777" w:rsidR="0062331D" w:rsidRPr="003E0B98" w:rsidRDefault="0062331D" w:rsidP="004361AC">
      <w:pPr>
        <w:keepNext/>
        <w:keepLines/>
        <w:tabs>
          <w:tab w:val="clear" w:pos="567"/>
        </w:tabs>
        <w:spacing w:line="240" w:lineRule="auto"/>
        <w:rPr>
          <w:color w:val="000000"/>
          <w:lang w:val="es-ES"/>
        </w:rPr>
      </w:pPr>
      <w:r w:rsidRPr="003E0B98">
        <w:rPr>
          <w:color w:val="000000"/>
          <w:vertAlign w:val="superscript"/>
          <w:lang w:val="es-ES"/>
        </w:rPr>
        <w:t>a</w:t>
      </w:r>
      <w:r w:rsidRPr="003E0B98">
        <w:rPr>
          <w:color w:val="000000"/>
          <w:lang w:val="es-ES"/>
        </w:rPr>
        <w:t xml:space="preserve"> </w:t>
      </w:r>
      <w:r w:rsidR="00F3038B" w:rsidRPr="003E0B98">
        <w:rPr>
          <w:color w:val="000000"/>
          <w:lang w:val="es-ES"/>
        </w:rPr>
        <w:t xml:space="preserve">Comparación con control </w:t>
      </w:r>
      <w:r w:rsidR="000C695A" w:rsidRPr="003E0B98">
        <w:rPr>
          <w:color w:val="000000"/>
          <w:lang w:val="es-ES"/>
        </w:rPr>
        <w:t xml:space="preserve">simulado </w:t>
      </w:r>
      <w:r w:rsidR="000D64D0" w:rsidRPr="003E0B98">
        <w:rPr>
          <w:color w:val="000000"/>
          <w:lang w:val="es-ES"/>
        </w:rPr>
        <w:t>p&lt;0,</w:t>
      </w:r>
      <w:r w:rsidRPr="003E0B98">
        <w:rPr>
          <w:color w:val="000000"/>
          <w:lang w:val="es-ES"/>
        </w:rPr>
        <w:t xml:space="preserve">001 </w:t>
      </w:r>
      <w:r w:rsidR="000C695A" w:rsidRPr="003E0B98">
        <w:rPr>
          <w:color w:val="000000"/>
          <w:lang w:val="es-ES"/>
        </w:rPr>
        <w:t>unilateral</w:t>
      </w:r>
    </w:p>
    <w:p w14:paraId="6C0585EA" w14:textId="77777777" w:rsidR="0062331D" w:rsidRPr="003E0B98" w:rsidRDefault="0062331D" w:rsidP="004361AC">
      <w:pPr>
        <w:keepNext/>
        <w:keepLines/>
        <w:tabs>
          <w:tab w:val="clear" w:pos="567"/>
        </w:tabs>
        <w:spacing w:line="240" w:lineRule="auto"/>
        <w:rPr>
          <w:color w:val="000000"/>
          <w:lang w:val="es-ES"/>
        </w:rPr>
      </w:pPr>
      <w:r w:rsidRPr="003E0B98">
        <w:rPr>
          <w:color w:val="000000"/>
          <w:vertAlign w:val="superscript"/>
          <w:lang w:val="es-ES"/>
        </w:rPr>
        <w:t>b</w:t>
      </w:r>
      <w:r w:rsidRPr="003E0B98">
        <w:rPr>
          <w:color w:val="000000"/>
          <w:lang w:val="es-ES"/>
        </w:rPr>
        <w:t xml:space="preserve"> </w:t>
      </w:r>
      <w:r w:rsidR="00F3038B" w:rsidRPr="003E0B98">
        <w:rPr>
          <w:color w:val="000000"/>
          <w:lang w:val="es-ES"/>
        </w:rPr>
        <w:t>GSCR - grosor del subcampo central de la retina</w:t>
      </w:r>
    </w:p>
    <w:p w14:paraId="2AEF5F5D" w14:textId="77777777" w:rsidR="0062331D" w:rsidRPr="003E0B98" w:rsidRDefault="0062331D" w:rsidP="004361AC">
      <w:pPr>
        <w:tabs>
          <w:tab w:val="clear" w:pos="567"/>
        </w:tabs>
        <w:spacing w:line="240" w:lineRule="auto"/>
        <w:rPr>
          <w:color w:val="000000"/>
          <w:lang w:val="es-ES"/>
        </w:rPr>
      </w:pPr>
    </w:p>
    <w:p w14:paraId="3C2A4847" w14:textId="77777777" w:rsidR="0062331D" w:rsidRPr="003E0B98" w:rsidRDefault="0062331D" w:rsidP="004361AC">
      <w:pPr>
        <w:keepNext/>
        <w:keepLines/>
        <w:tabs>
          <w:tab w:val="clear" w:pos="567"/>
        </w:tabs>
        <w:spacing w:line="240" w:lineRule="auto"/>
        <w:ind w:left="1134" w:hanging="1134"/>
        <w:rPr>
          <w:color w:val="000000"/>
          <w:lang w:val="es-ES"/>
        </w:rPr>
      </w:pPr>
      <w:r w:rsidRPr="003E0B98">
        <w:rPr>
          <w:b/>
          <w:color w:val="000000"/>
          <w:lang w:val="es-ES"/>
        </w:rPr>
        <w:t>Figur</w:t>
      </w:r>
      <w:r w:rsidR="000D64D0" w:rsidRPr="003E0B98">
        <w:rPr>
          <w:b/>
          <w:color w:val="000000"/>
          <w:lang w:val="es-ES"/>
        </w:rPr>
        <w:t>a</w:t>
      </w:r>
      <w:r w:rsidRPr="003E0B98">
        <w:rPr>
          <w:b/>
          <w:color w:val="000000"/>
          <w:lang w:val="es-ES"/>
        </w:rPr>
        <w:t> 3</w:t>
      </w:r>
      <w:r w:rsidRPr="003E0B98">
        <w:rPr>
          <w:b/>
          <w:color w:val="000000"/>
          <w:lang w:val="es-ES"/>
        </w:rPr>
        <w:tab/>
      </w:r>
      <w:r w:rsidR="000D64D0" w:rsidRPr="003E0B98">
        <w:rPr>
          <w:b/>
          <w:color w:val="000000"/>
          <w:lang w:val="es-ES"/>
        </w:rPr>
        <w:t xml:space="preserve">Cambio </w:t>
      </w:r>
      <w:r w:rsidR="007D27D5" w:rsidRPr="003E0B98">
        <w:rPr>
          <w:b/>
          <w:color w:val="000000"/>
          <w:lang w:val="es-ES"/>
        </w:rPr>
        <w:t>pro</w:t>
      </w:r>
      <w:r w:rsidR="000D64D0" w:rsidRPr="003E0B98">
        <w:rPr>
          <w:b/>
          <w:color w:val="000000"/>
          <w:lang w:val="es-ES"/>
        </w:rPr>
        <w:t>medio</w:t>
      </w:r>
      <w:r w:rsidRPr="003E0B98">
        <w:rPr>
          <w:b/>
          <w:color w:val="000000"/>
          <w:lang w:val="es-ES"/>
        </w:rPr>
        <w:t xml:space="preserve"> </w:t>
      </w:r>
      <w:r w:rsidR="00E35F07" w:rsidRPr="003E0B98">
        <w:rPr>
          <w:b/>
          <w:color w:val="000000"/>
          <w:lang w:val="es-ES"/>
        </w:rPr>
        <w:t>de</w:t>
      </w:r>
      <w:r w:rsidR="000D64D0" w:rsidRPr="003E0B98">
        <w:rPr>
          <w:b/>
          <w:color w:val="000000"/>
          <w:lang w:val="es-ES"/>
        </w:rPr>
        <w:t xml:space="preserve"> la AVMC desde el inicio</w:t>
      </w:r>
      <w:r w:rsidRPr="003E0B98">
        <w:rPr>
          <w:b/>
          <w:color w:val="000000"/>
          <w:lang w:val="es-ES"/>
        </w:rPr>
        <w:t xml:space="preserve"> </w:t>
      </w:r>
      <w:r w:rsidR="000D64D0" w:rsidRPr="003E0B98">
        <w:rPr>
          <w:b/>
          <w:color w:val="000000"/>
          <w:szCs w:val="22"/>
          <w:lang w:val="es-ES_tradnl"/>
        </w:rPr>
        <w:t>en el tiempo hasta el Mes 12</w:t>
      </w:r>
      <w:r w:rsidRPr="003E0B98">
        <w:rPr>
          <w:b/>
          <w:color w:val="000000"/>
          <w:lang w:val="es-ES"/>
        </w:rPr>
        <w:t xml:space="preserve"> (MINERVA)</w:t>
      </w:r>
    </w:p>
    <w:p w14:paraId="3D23AF4C" w14:textId="77777777" w:rsidR="00C11CDF" w:rsidRPr="003E0B98" w:rsidRDefault="00C11CDF" w:rsidP="004361AC">
      <w:pPr>
        <w:keepNext/>
        <w:keepLines/>
        <w:tabs>
          <w:tab w:val="clear" w:pos="567"/>
        </w:tabs>
        <w:autoSpaceDE w:val="0"/>
        <w:autoSpaceDN w:val="0"/>
        <w:adjustRightInd w:val="0"/>
        <w:spacing w:line="240" w:lineRule="auto"/>
        <w:rPr>
          <w:bCs/>
          <w:iCs/>
          <w:color w:val="000000"/>
          <w:szCs w:val="22"/>
          <w:lang w:val="es-ES"/>
        </w:rPr>
      </w:pPr>
    </w:p>
    <w:p w14:paraId="1D08D8D8" w14:textId="15F6D098" w:rsidR="00C11CDF" w:rsidRPr="003E0B98" w:rsidRDefault="00A8334B" w:rsidP="004361AC">
      <w:pPr>
        <w:tabs>
          <w:tab w:val="clear" w:pos="567"/>
        </w:tabs>
        <w:autoSpaceDE w:val="0"/>
        <w:autoSpaceDN w:val="0"/>
        <w:adjustRightInd w:val="0"/>
        <w:spacing w:line="240" w:lineRule="auto"/>
        <w:rPr>
          <w:bCs/>
          <w:iCs/>
          <w:color w:val="000000"/>
          <w:szCs w:val="22"/>
        </w:rPr>
      </w:pPr>
      <w:r w:rsidRPr="003E0B98">
        <w:rPr>
          <w:noProof/>
          <w:lang w:val="es-ES" w:eastAsia="es-ES"/>
        </w:rPr>
        <w:drawing>
          <wp:inline distT="0" distB="0" distL="0" distR="0" wp14:anchorId="38AD1FFA" wp14:editId="3E9694D0">
            <wp:extent cx="5760085" cy="348996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60085" cy="3489960"/>
                    </a:xfrm>
                    <a:prstGeom prst="rect">
                      <a:avLst/>
                    </a:prstGeom>
                  </pic:spPr>
                </pic:pic>
              </a:graphicData>
            </a:graphic>
          </wp:inline>
        </w:drawing>
      </w:r>
    </w:p>
    <w:p w14:paraId="77738EF6" w14:textId="77777777" w:rsidR="00295A78" w:rsidRPr="003E0B98" w:rsidRDefault="00295A78" w:rsidP="004361AC">
      <w:pPr>
        <w:tabs>
          <w:tab w:val="clear" w:pos="567"/>
        </w:tabs>
        <w:autoSpaceDE w:val="0"/>
        <w:autoSpaceDN w:val="0"/>
        <w:adjustRightInd w:val="0"/>
        <w:spacing w:line="240" w:lineRule="auto"/>
        <w:rPr>
          <w:bCs/>
          <w:iCs/>
          <w:color w:val="000000"/>
          <w:szCs w:val="22"/>
          <w:lang w:val="es-ES"/>
        </w:rPr>
      </w:pPr>
    </w:p>
    <w:p w14:paraId="274071EC" w14:textId="77777777" w:rsidR="0062331D" w:rsidRPr="003E0B98" w:rsidRDefault="00E86BE3" w:rsidP="004361AC">
      <w:pPr>
        <w:keepNext/>
        <w:keepLines/>
        <w:tabs>
          <w:tab w:val="clear" w:pos="567"/>
        </w:tabs>
        <w:autoSpaceDE w:val="0"/>
        <w:autoSpaceDN w:val="0"/>
        <w:adjustRightInd w:val="0"/>
        <w:spacing w:line="240" w:lineRule="auto"/>
        <w:rPr>
          <w:bCs/>
          <w:iCs/>
          <w:color w:val="000000"/>
          <w:szCs w:val="22"/>
          <w:lang w:val="es-ES"/>
        </w:rPr>
      </w:pPr>
      <w:r w:rsidRPr="003E0B98">
        <w:rPr>
          <w:bCs/>
          <w:iCs/>
          <w:color w:val="000000"/>
          <w:szCs w:val="22"/>
          <w:lang w:val="es-ES"/>
        </w:rPr>
        <w:t xml:space="preserve">Cuando se comparó </w:t>
      </w:r>
      <w:proofErr w:type="spellStart"/>
      <w:r w:rsidR="0062331D" w:rsidRPr="003E0B98">
        <w:rPr>
          <w:bCs/>
          <w:iCs/>
          <w:color w:val="000000"/>
          <w:szCs w:val="22"/>
          <w:lang w:val="es-ES"/>
        </w:rPr>
        <w:t>ranibizumab</w:t>
      </w:r>
      <w:proofErr w:type="spellEnd"/>
      <w:r w:rsidR="0062331D" w:rsidRPr="003E0B98">
        <w:rPr>
          <w:bCs/>
          <w:iCs/>
          <w:color w:val="000000"/>
          <w:szCs w:val="22"/>
          <w:lang w:val="es-ES"/>
        </w:rPr>
        <w:t xml:space="preserve"> </w:t>
      </w:r>
      <w:r w:rsidRPr="003E0B98">
        <w:rPr>
          <w:bCs/>
          <w:iCs/>
          <w:color w:val="000000"/>
          <w:szCs w:val="22"/>
          <w:lang w:val="es-ES"/>
        </w:rPr>
        <w:t>frente al c</w:t>
      </w:r>
      <w:r w:rsidR="0062331D" w:rsidRPr="003E0B98">
        <w:rPr>
          <w:bCs/>
          <w:iCs/>
          <w:color w:val="000000"/>
          <w:szCs w:val="22"/>
          <w:lang w:val="es-ES"/>
        </w:rPr>
        <w:t xml:space="preserve">ontrol </w:t>
      </w:r>
      <w:r w:rsidRPr="003E0B98">
        <w:rPr>
          <w:bCs/>
          <w:iCs/>
          <w:color w:val="000000"/>
          <w:szCs w:val="22"/>
          <w:lang w:val="es-ES"/>
        </w:rPr>
        <w:t>con tratamiento simulado en el</w:t>
      </w:r>
      <w:r w:rsidR="0062331D" w:rsidRPr="003E0B98">
        <w:rPr>
          <w:bCs/>
          <w:iCs/>
          <w:color w:val="000000"/>
          <w:szCs w:val="22"/>
          <w:lang w:val="es-ES"/>
        </w:rPr>
        <w:t xml:space="preserve"> M</w:t>
      </w:r>
      <w:r w:rsidRPr="003E0B98">
        <w:rPr>
          <w:bCs/>
          <w:iCs/>
          <w:color w:val="000000"/>
          <w:szCs w:val="22"/>
          <w:lang w:val="es-ES"/>
        </w:rPr>
        <w:t>es</w:t>
      </w:r>
      <w:r w:rsidR="0062331D" w:rsidRPr="003E0B98">
        <w:rPr>
          <w:bCs/>
          <w:iCs/>
          <w:color w:val="000000"/>
          <w:szCs w:val="22"/>
          <w:lang w:val="es-ES"/>
        </w:rPr>
        <w:t xml:space="preserve"> 2, </w:t>
      </w:r>
      <w:r w:rsidRPr="003E0B98">
        <w:rPr>
          <w:bCs/>
          <w:iCs/>
          <w:color w:val="000000"/>
          <w:szCs w:val="22"/>
          <w:lang w:val="es-ES"/>
        </w:rPr>
        <w:t xml:space="preserve">se observó un </w:t>
      </w:r>
      <w:r w:rsidR="007D27D5" w:rsidRPr="003E0B98">
        <w:rPr>
          <w:bCs/>
          <w:iCs/>
          <w:color w:val="000000"/>
          <w:szCs w:val="22"/>
          <w:lang w:val="es-ES"/>
        </w:rPr>
        <w:t xml:space="preserve">consistente </w:t>
      </w:r>
      <w:r w:rsidRPr="003E0B98">
        <w:rPr>
          <w:bCs/>
          <w:iCs/>
          <w:color w:val="000000"/>
          <w:szCs w:val="22"/>
          <w:lang w:val="es-ES"/>
        </w:rPr>
        <w:t>efecto de</w:t>
      </w:r>
      <w:r w:rsidR="007D27D5" w:rsidRPr="003E0B98">
        <w:rPr>
          <w:bCs/>
          <w:iCs/>
          <w:color w:val="000000"/>
          <w:szCs w:val="22"/>
          <w:lang w:val="es-ES"/>
        </w:rPr>
        <w:t>l</w:t>
      </w:r>
      <w:r w:rsidRPr="003E0B98">
        <w:rPr>
          <w:bCs/>
          <w:iCs/>
          <w:color w:val="000000"/>
          <w:szCs w:val="22"/>
          <w:lang w:val="es-ES"/>
        </w:rPr>
        <w:t xml:space="preserve"> tratamiento </w:t>
      </w:r>
      <w:r w:rsidR="008133BE" w:rsidRPr="003E0B98">
        <w:rPr>
          <w:bCs/>
          <w:iCs/>
          <w:color w:val="000000"/>
          <w:szCs w:val="22"/>
          <w:lang w:val="es-ES"/>
        </w:rPr>
        <w:t xml:space="preserve">tanto </w:t>
      </w:r>
      <w:r w:rsidR="003A24AF" w:rsidRPr="003E0B98">
        <w:rPr>
          <w:bCs/>
          <w:iCs/>
          <w:color w:val="000000"/>
          <w:szCs w:val="22"/>
          <w:lang w:val="es-ES"/>
        </w:rPr>
        <w:t>a nivel</w:t>
      </w:r>
      <w:r w:rsidR="008133BE" w:rsidRPr="003E0B98">
        <w:rPr>
          <w:bCs/>
          <w:iCs/>
          <w:color w:val="000000"/>
          <w:szCs w:val="22"/>
          <w:lang w:val="es-ES"/>
        </w:rPr>
        <w:t xml:space="preserve"> general como </w:t>
      </w:r>
      <w:r w:rsidR="003A24AF" w:rsidRPr="003E0B98">
        <w:rPr>
          <w:bCs/>
          <w:iCs/>
          <w:color w:val="000000"/>
          <w:szCs w:val="22"/>
          <w:lang w:val="es-ES"/>
        </w:rPr>
        <w:t>en los distintos</w:t>
      </w:r>
      <w:r w:rsidR="008133BE" w:rsidRPr="003E0B98">
        <w:rPr>
          <w:bCs/>
          <w:iCs/>
          <w:color w:val="000000"/>
          <w:szCs w:val="22"/>
          <w:lang w:val="es-ES"/>
        </w:rPr>
        <w:t xml:space="preserve"> subgrupos según la etiología de base</w:t>
      </w:r>
      <w:r w:rsidR="0062331D" w:rsidRPr="003E0B98">
        <w:rPr>
          <w:bCs/>
          <w:iCs/>
          <w:color w:val="000000"/>
          <w:szCs w:val="22"/>
          <w:lang w:val="es-ES"/>
        </w:rPr>
        <w:t>:</w:t>
      </w:r>
    </w:p>
    <w:p w14:paraId="6E5F3CA1" w14:textId="77777777" w:rsidR="0062331D" w:rsidRPr="003E0B98" w:rsidRDefault="0062331D" w:rsidP="004361AC">
      <w:pPr>
        <w:keepNext/>
        <w:keepLines/>
        <w:tabs>
          <w:tab w:val="clear" w:pos="567"/>
        </w:tabs>
        <w:autoSpaceDE w:val="0"/>
        <w:autoSpaceDN w:val="0"/>
        <w:adjustRightInd w:val="0"/>
        <w:spacing w:line="240" w:lineRule="auto"/>
        <w:rPr>
          <w:bCs/>
          <w:iCs/>
          <w:color w:val="000000"/>
          <w:szCs w:val="22"/>
          <w:lang w:val="es-ES"/>
        </w:rPr>
      </w:pPr>
    </w:p>
    <w:p w14:paraId="56A5DAC8" w14:textId="77777777" w:rsidR="0062331D" w:rsidRPr="003E0B98" w:rsidRDefault="0062331D" w:rsidP="004361AC">
      <w:pPr>
        <w:keepNext/>
        <w:keepLines/>
        <w:tabs>
          <w:tab w:val="clear" w:pos="567"/>
        </w:tabs>
        <w:autoSpaceDE w:val="0"/>
        <w:autoSpaceDN w:val="0"/>
        <w:adjustRightInd w:val="0"/>
        <w:spacing w:line="240" w:lineRule="auto"/>
        <w:rPr>
          <w:bCs/>
          <w:iCs/>
          <w:color w:val="000000"/>
          <w:szCs w:val="22"/>
          <w:lang w:val="es-ES"/>
        </w:rPr>
      </w:pPr>
      <w:r w:rsidRPr="003E0B98">
        <w:rPr>
          <w:b/>
          <w:bCs/>
          <w:iCs/>
          <w:color w:val="000000"/>
          <w:szCs w:val="22"/>
          <w:lang w:val="es-ES"/>
        </w:rPr>
        <w:t>Tabl</w:t>
      </w:r>
      <w:r w:rsidR="00E22A2A" w:rsidRPr="003E0B98">
        <w:rPr>
          <w:b/>
          <w:bCs/>
          <w:iCs/>
          <w:color w:val="000000"/>
          <w:szCs w:val="22"/>
          <w:lang w:val="es-ES"/>
        </w:rPr>
        <w:t>a</w:t>
      </w:r>
      <w:r w:rsidRPr="003E0B98">
        <w:rPr>
          <w:b/>
          <w:bCs/>
          <w:iCs/>
          <w:color w:val="000000"/>
          <w:szCs w:val="22"/>
          <w:lang w:val="es-ES"/>
        </w:rPr>
        <w:t> 4</w:t>
      </w:r>
      <w:r w:rsidRPr="003E0B98">
        <w:rPr>
          <w:b/>
          <w:bCs/>
          <w:iCs/>
          <w:color w:val="000000"/>
          <w:szCs w:val="22"/>
          <w:lang w:val="es-ES"/>
        </w:rPr>
        <w:tab/>
      </w:r>
      <w:r w:rsidR="00E22A2A" w:rsidRPr="003E0B98">
        <w:rPr>
          <w:b/>
          <w:bCs/>
          <w:iCs/>
          <w:color w:val="000000"/>
          <w:szCs w:val="22"/>
          <w:lang w:val="es-ES"/>
        </w:rPr>
        <w:t>Efecto general del tratamiento y por subgrupos según la etiología de base</w:t>
      </w:r>
    </w:p>
    <w:p w14:paraId="33C712E2" w14:textId="77777777" w:rsidR="0062331D" w:rsidRPr="003E0B98" w:rsidRDefault="0062331D" w:rsidP="004361AC">
      <w:pPr>
        <w:keepNext/>
        <w:keepLines/>
        <w:tabs>
          <w:tab w:val="clear" w:pos="567"/>
        </w:tabs>
        <w:autoSpaceDE w:val="0"/>
        <w:autoSpaceDN w:val="0"/>
        <w:adjustRightInd w:val="0"/>
        <w:spacing w:line="240" w:lineRule="auto"/>
        <w:rPr>
          <w:bCs/>
          <w:iCs/>
          <w:color w:val="000000"/>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0"/>
        <w:gridCol w:w="2629"/>
        <w:gridCol w:w="2332"/>
      </w:tblGrid>
      <w:tr w:rsidR="0062331D" w:rsidRPr="003C169A" w14:paraId="28A27A2D" w14:textId="77777777" w:rsidTr="00683E99">
        <w:tc>
          <w:tcPr>
            <w:tcW w:w="4219" w:type="dxa"/>
          </w:tcPr>
          <w:p w14:paraId="772C34FA" w14:textId="77777777" w:rsidR="0062331D" w:rsidRPr="003E0B98" w:rsidRDefault="003A24AF" w:rsidP="004361AC">
            <w:pPr>
              <w:keepNext/>
              <w:keepLines/>
              <w:tabs>
                <w:tab w:val="clear" w:pos="567"/>
              </w:tabs>
              <w:spacing w:line="240" w:lineRule="auto"/>
              <w:rPr>
                <w:b/>
                <w:bCs/>
                <w:iCs/>
                <w:color w:val="000000"/>
                <w:szCs w:val="22"/>
                <w:lang w:val="es-ES" w:eastAsia="x-none"/>
              </w:rPr>
            </w:pPr>
            <w:r w:rsidRPr="003E0B98">
              <w:rPr>
                <w:b/>
                <w:bCs/>
                <w:iCs/>
                <w:color w:val="000000"/>
                <w:szCs w:val="22"/>
                <w:lang w:val="es-ES" w:eastAsia="x-none"/>
              </w:rPr>
              <w:t>General y por etiología de base</w:t>
            </w:r>
          </w:p>
        </w:tc>
        <w:tc>
          <w:tcPr>
            <w:tcW w:w="2693" w:type="dxa"/>
          </w:tcPr>
          <w:p w14:paraId="75F94298" w14:textId="77777777" w:rsidR="0062331D" w:rsidRPr="003E0B98" w:rsidRDefault="003A24AF" w:rsidP="004361AC">
            <w:pPr>
              <w:keepNext/>
              <w:keepLines/>
              <w:tabs>
                <w:tab w:val="clear" w:pos="567"/>
              </w:tabs>
              <w:spacing w:line="240" w:lineRule="auto"/>
              <w:rPr>
                <w:b/>
                <w:bCs/>
                <w:iCs/>
                <w:color w:val="000000"/>
                <w:szCs w:val="22"/>
                <w:lang w:val="es-ES" w:eastAsia="x-none"/>
              </w:rPr>
            </w:pPr>
            <w:r w:rsidRPr="003E0B98">
              <w:rPr>
                <w:b/>
                <w:bCs/>
                <w:iCs/>
                <w:color w:val="000000"/>
                <w:szCs w:val="22"/>
                <w:lang w:val="es-ES" w:eastAsia="x-none"/>
              </w:rPr>
              <w:t xml:space="preserve">Efecto del tratamiento </w:t>
            </w:r>
            <w:r w:rsidR="00776154" w:rsidRPr="003E0B98">
              <w:rPr>
                <w:b/>
                <w:bCs/>
                <w:iCs/>
                <w:color w:val="000000"/>
                <w:szCs w:val="22"/>
                <w:lang w:val="es-ES" w:eastAsia="x-none"/>
              </w:rPr>
              <w:t>sobre el tratamiento simulado</w:t>
            </w:r>
            <w:r w:rsidRPr="003E0B98">
              <w:rPr>
                <w:b/>
                <w:bCs/>
                <w:iCs/>
                <w:color w:val="000000"/>
                <w:szCs w:val="22"/>
                <w:lang w:val="es-ES" w:eastAsia="x-none"/>
              </w:rPr>
              <w:t xml:space="preserve"> [letras</w:t>
            </w:r>
            <w:r w:rsidR="0062331D" w:rsidRPr="003E0B98">
              <w:rPr>
                <w:b/>
                <w:bCs/>
                <w:iCs/>
                <w:color w:val="000000"/>
                <w:szCs w:val="22"/>
                <w:lang w:val="es-ES" w:eastAsia="x-none"/>
              </w:rPr>
              <w:t>]</w:t>
            </w:r>
          </w:p>
        </w:tc>
        <w:tc>
          <w:tcPr>
            <w:tcW w:w="2375" w:type="dxa"/>
          </w:tcPr>
          <w:p w14:paraId="767CB115" w14:textId="77777777" w:rsidR="0062331D" w:rsidRPr="003E0B98" w:rsidRDefault="003A24AF" w:rsidP="004361AC">
            <w:pPr>
              <w:keepNext/>
              <w:keepLines/>
              <w:tabs>
                <w:tab w:val="clear" w:pos="567"/>
              </w:tabs>
              <w:spacing w:line="240" w:lineRule="auto"/>
              <w:rPr>
                <w:b/>
                <w:bCs/>
                <w:iCs/>
                <w:color w:val="000000"/>
                <w:szCs w:val="22"/>
                <w:lang w:val="es-ES" w:eastAsia="x-none"/>
              </w:rPr>
            </w:pPr>
            <w:r w:rsidRPr="003E0B98">
              <w:rPr>
                <w:b/>
                <w:bCs/>
                <w:iCs/>
                <w:color w:val="000000"/>
                <w:szCs w:val="22"/>
                <w:lang w:val="es-ES" w:eastAsia="x-none"/>
              </w:rPr>
              <w:t>Número de pacientes [n] (tratamiento +tratamiento simulado</w:t>
            </w:r>
            <w:r w:rsidR="0062331D" w:rsidRPr="003E0B98">
              <w:rPr>
                <w:b/>
                <w:bCs/>
                <w:iCs/>
                <w:color w:val="000000"/>
                <w:szCs w:val="22"/>
                <w:lang w:val="es-ES" w:eastAsia="x-none"/>
              </w:rPr>
              <w:t>)</w:t>
            </w:r>
          </w:p>
        </w:tc>
      </w:tr>
      <w:tr w:rsidR="0062331D" w:rsidRPr="003E0B98" w14:paraId="732683F4" w14:textId="77777777" w:rsidTr="00CE6841">
        <w:trPr>
          <w:trHeight w:val="407"/>
        </w:trPr>
        <w:tc>
          <w:tcPr>
            <w:tcW w:w="4219" w:type="dxa"/>
          </w:tcPr>
          <w:p w14:paraId="7C35DA73" w14:textId="77777777" w:rsidR="0062331D" w:rsidRPr="003E0B98" w:rsidRDefault="00EA0F75" w:rsidP="004361AC">
            <w:pPr>
              <w:keepNext/>
              <w:keepLines/>
              <w:tabs>
                <w:tab w:val="clear" w:pos="567"/>
              </w:tabs>
              <w:spacing w:line="240" w:lineRule="auto"/>
              <w:rPr>
                <w:bCs/>
                <w:iCs/>
                <w:color w:val="000000"/>
                <w:szCs w:val="22"/>
                <w:lang w:eastAsia="x-none"/>
              </w:rPr>
            </w:pPr>
            <w:r w:rsidRPr="003E0B98">
              <w:rPr>
                <w:bCs/>
                <w:iCs/>
                <w:color w:val="000000"/>
                <w:szCs w:val="22"/>
                <w:lang w:eastAsia="x-none"/>
              </w:rPr>
              <w:t>G</w:t>
            </w:r>
            <w:r w:rsidR="00E22A2A" w:rsidRPr="003E0B98">
              <w:rPr>
                <w:bCs/>
                <w:iCs/>
                <w:color w:val="000000"/>
                <w:szCs w:val="22"/>
                <w:lang w:eastAsia="x-none"/>
              </w:rPr>
              <w:t>eneral</w:t>
            </w:r>
          </w:p>
        </w:tc>
        <w:tc>
          <w:tcPr>
            <w:tcW w:w="2693" w:type="dxa"/>
          </w:tcPr>
          <w:p w14:paraId="390A6045" w14:textId="77777777" w:rsidR="0062331D" w:rsidRPr="003E0B98" w:rsidRDefault="00EA0F75" w:rsidP="004361AC">
            <w:pPr>
              <w:keepNext/>
              <w:keepLines/>
              <w:tabs>
                <w:tab w:val="clear" w:pos="567"/>
              </w:tabs>
              <w:spacing w:line="240" w:lineRule="auto"/>
              <w:jc w:val="both"/>
              <w:rPr>
                <w:bCs/>
                <w:iCs/>
                <w:color w:val="000000"/>
                <w:szCs w:val="22"/>
                <w:lang w:eastAsia="x-none"/>
              </w:rPr>
            </w:pPr>
            <w:r w:rsidRPr="003E0B98">
              <w:rPr>
                <w:bCs/>
                <w:iCs/>
                <w:color w:val="000000"/>
                <w:szCs w:val="22"/>
                <w:lang w:eastAsia="x-none"/>
              </w:rPr>
              <w:t>9,</w:t>
            </w:r>
            <w:r w:rsidR="0062331D" w:rsidRPr="003E0B98">
              <w:rPr>
                <w:bCs/>
                <w:iCs/>
                <w:color w:val="000000"/>
                <w:szCs w:val="22"/>
                <w:lang w:eastAsia="x-none"/>
              </w:rPr>
              <w:t>9</w:t>
            </w:r>
          </w:p>
        </w:tc>
        <w:tc>
          <w:tcPr>
            <w:tcW w:w="2375" w:type="dxa"/>
          </w:tcPr>
          <w:p w14:paraId="5E1BFF85" w14:textId="77777777" w:rsidR="0062331D" w:rsidRPr="003E0B98" w:rsidRDefault="0062331D" w:rsidP="004361AC">
            <w:pPr>
              <w:keepNext/>
              <w:keepLines/>
              <w:tabs>
                <w:tab w:val="clear" w:pos="567"/>
              </w:tabs>
              <w:spacing w:line="240" w:lineRule="auto"/>
              <w:jc w:val="both"/>
              <w:rPr>
                <w:bCs/>
                <w:iCs/>
                <w:color w:val="000000"/>
                <w:szCs w:val="22"/>
                <w:lang w:eastAsia="x-none"/>
              </w:rPr>
            </w:pPr>
            <w:r w:rsidRPr="003E0B98">
              <w:rPr>
                <w:bCs/>
                <w:iCs/>
                <w:color w:val="000000"/>
                <w:szCs w:val="22"/>
                <w:lang w:eastAsia="x-none"/>
              </w:rPr>
              <w:t>178</w:t>
            </w:r>
          </w:p>
        </w:tc>
      </w:tr>
      <w:tr w:rsidR="0062331D" w:rsidRPr="003E0B98" w14:paraId="510BC362" w14:textId="77777777" w:rsidTr="00683E99">
        <w:trPr>
          <w:trHeight w:val="263"/>
        </w:trPr>
        <w:tc>
          <w:tcPr>
            <w:tcW w:w="4219" w:type="dxa"/>
          </w:tcPr>
          <w:p w14:paraId="27A12466" w14:textId="77777777" w:rsidR="0062331D" w:rsidRPr="003E0B98" w:rsidRDefault="00EA0F75" w:rsidP="004361AC">
            <w:pPr>
              <w:keepNext/>
              <w:keepLines/>
              <w:tabs>
                <w:tab w:val="clear" w:pos="567"/>
              </w:tabs>
              <w:spacing w:line="240" w:lineRule="auto"/>
              <w:rPr>
                <w:bCs/>
                <w:iCs/>
                <w:color w:val="000000"/>
                <w:szCs w:val="22"/>
                <w:lang w:eastAsia="x-none"/>
              </w:rPr>
            </w:pPr>
            <w:proofErr w:type="spellStart"/>
            <w:r w:rsidRPr="003E0B98">
              <w:rPr>
                <w:bCs/>
                <w:iCs/>
                <w:color w:val="000000"/>
                <w:szCs w:val="22"/>
                <w:lang w:eastAsia="x-none"/>
              </w:rPr>
              <w:t>Estrías</w:t>
            </w:r>
            <w:proofErr w:type="spellEnd"/>
            <w:r w:rsidRPr="003E0B98">
              <w:rPr>
                <w:bCs/>
                <w:iCs/>
                <w:color w:val="000000"/>
                <w:szCs w:val="22"/>
                <w:lang w:eastAsia="x-none"/>
              </w:rPr>
              <w:t xml:space="preserve"> </w:t>
            </w:r>
            <w:proofErr w:type="spellStart"/>
            <w:r w:rsidRPr="003E0B98">
              <w:rPr>
                <w:bCs/>
                <w:iCs/>
                <w:color w:val="000000"/>
                <w:szCs w:val="22"/>
                <w:lang w:eastAsia="x-none"/>
              </w:rPr>
              <w:t>angioides</w:t>
            </w:r>
            <w:proofErr w:type="spellEnd"/>
          </w:p>
        </w:tc>
        <w:tc>
          <w:tcPr>
            <w:tcW w:w="2693" w:type="dxa"/>
          </w:tcPr>
          <w:p w14:paraId="6BFE212A" w14:textId="77777777" w:rsidR="0062331D" w:rsidRPr="003E0B98" w:rsidRDefault="00EA0F75" w:rsidP="004361AC">
            <w:pPr>
              <w:keepNext/>
              <w:keepLines/>
              <w:tabs>
                <w:tab w:val="clear" w:pos="567"/>
              </w:tabs>
              <w:spacing w:line="240" w:lineRule="auto"/>
              <w:jc w:val="both"/>
              <w:rPr>
                <w:bCs/>
                <w:iCs/>
                <w:color w:val="000000"/>
                <w:szCs w:val="22"/>
                <w:lang w:eastAsia="x-none"/>
              </w:rPr>
            </w:pPr>
            <w:r w:rsidRPr="003E0B98">
              <w:rPr>
                <w:bCs/>
                <w:iCs/>
                <w:color w:val="000000"/>
                <w:szCs w:val="22"/>
                <w:lang w:eastAsia="x-none"/>
              </w:rPr>
              <w:t>14,</w:t>
            </w:r>
            <w:r w:rsidR="0062331D" w:rsidRPr="003E0B98">
              <w:rPr>
                <w:bCs/>
                <w:iCs/>
                <w:color w:val="000000"/>
                <w:szCs w:val="22"/>
                <w:lang w:eastAsia="x-none"/>
              </w:rPr>
              <w:t>6</w:t>
            </w:r>
          </w:p>
        </w:tc>
        <w:tc>
          <w:tcPr>
            <w:tcW w:w="2375" w:type="dxa"/>
          </w:tcPr>
          <w:p w14:paraId="0F4B265F" w14:textId="77777777" w:rsidR="0062331D" w:rsidRPr="003E0B98" w:rsidRDefault="0062331D" w:rsidP="004361AC">
            <w:pPr>
              <w:keepNext/>
              <w:keepLines/>
              <w:tabs>
                <w:tab w:val="clear" w:pos="567"/>
              </w:tabs>
              <w:spacing w:line="240" w:lineRule="auto"/>
              <w:jc w:val="both"/>
              <w:rPr>
                <w:bCs/>
                <w:iCs/>
                <w:color w:val="000000"/>
                <w:szCs w:val="22"/>
                <w:lang w:eastAsia="x-none"/>
              </w:rPr>
            </w:pPr>
            <w:r w:rsidRPr="003E0B98">
              <w:rPr>
                <w:bCs/>
                <w:iCs/>
                <w:color w:val="000000"/>
                <w:szCs w:val="22"/>
                <w:lang w:eastAsia="x-none"/>
              </w:rPr>
              <w:t>27</w:t>
            </w:r>
          </w:p>
        </w:tc>
      </w:tr>
      <w:tr w:rsidR="0062331D" w:rsidRPr="003E0B98" w14:paraId="57B7C7D1" w14:textId="77777777" w:rsidTr="00683E99">
        <w:trPr>
          <w:trHeight w:val="286"/>
        </w:trPr>
        <w:tc>
          <w:tcPr>
            <w:tcW w:w="4219" w:type="dxa"/>
          </w:tcPr>
          <w:p w14:paraId="4B535B45" w14:textId="77777777" w:rsidR="0062331D" w:rsidRPr="003E0B98" w:rsidRDefault="00D10A00" w:rsidP="004361AC">
            <w:pPr>
              <w:keepNext/>
              <w:keepLines/>
              <w:tabs>
                <w:tab w:val="clear" w:pos="567"/>
              </w:tabs>
              <w:spacing w:line="240" w:lineRule="auto"/>
              <w:rPr>
                <w:bCs/>
                <w:iCs/>
                <w:color w:val="000000"/>
                <w:szCs w:val="22"/>
                <w:lang w:eastAsia="x-none"/>
              </w:rPr>
            </w:pPr>
            <w:proofErr w:type="spellStart"/>
            <w:r w:rsidRPr="003E0B98">
              <w:rPr>
                <w:bCs/>
                <w:iCs/>
                <w:color w:val="000000"/>
                <w:szCs w:val="22"/>
                <w:lang w:eastAsia="x-none"/>
              </w:rPr>
              <w:t>Corioretinopatía</w:t>
            </w:r>
            <w:proofErr w:type="spellEnd"/>
            <w:r w:rsidRPr="003E0B98">
              <w:rPr>
                <w:bCs/>
                <w:iCs/>
                <w:color w:val="000000"/>
                <w:szCs w:val="22"/>
                <w:lang w:eastAsia="x-none"/>
              </w:rPr>
              <w:t xml:space="preserve"> </w:t>
            </w:r>
            <w:proofErr w:type="spellStart"/>
            <w:r w:rsidRPr="003E0B98">
              <w:rPr>
                <w:bCs/>
                <w:iCs/>
                <w:color w:val="000000"/>
                <w:szCs w:val="22"/>
                <w:lang w:eastAsia="x-none"/>
              </w:rPr>
              <w:t>pos</w:t>
            </w:r>
            <w:r w:rsidR="00E22A2A" w:rsidRPr="003E0B98">
              <w:rPr>
                <w:bCs/>
                <w:iCs/>
                <w:color w:val="000000"/>
                <w:szCs w:val="22"/>
                <w:lang w:eastAsia="x-none"/>
              </w:rPr>
              <w:t>inflamatoria</w:t>
            </w:r>
            <w:proofErr w:type="spellEnd"/>
          </w:p>
        </w:tc>
        <w:tc>
          <w:tcPr>
            <w:tcW w:w="2693" w:type="dxa"/>
          </w:tcPr>
          <w:p w14:paraId="57E149A5" w14:textId="77777777" w:rsidR="0062331D" w:rsidRPr="003E0B98" w:rsidRDefault="00EA0F75" w:rsidP="004361AC">
            <w:pPr>
              <w:keepNext/>
              <w:keepLines/>
              <w:tabs>
                <w:tab w:val="clear" w:pos="567"/>
              </w:tabs>
              <w:spacing w:line="240" w:lineRule="auto"/>
              <w:jc w:val="both"/>
              <w:rPr>
                <w:bCs/>
                <w:iCs/>
                <w:color w:val="000000"/>
                <w:szCs w:val="22"/>
                <w:lang w:eastAsia="x-none"/>
              </w:rPr>
            </w:pPr>
            <w:r w:rsidRPr="003E0B98">
              <w:rPr>
                <w:bCs/>
                <w:iCs/>
                <w:color w:val="000000"/>
                <w:szCs w:val="22"/>
                <w:lang w:eastAsia="x-none"/>
              </w:rPr>
              <w:t>6,</w:t>
            </w:r>
            <w:r w:rsidR="0062331D" w:rsidRPr="003E0B98">
              <w:rPr>
                <w:bCs/>
                <w:iCs/>
                <w:color w:val="000000"/>
                <w:szCs w:val="22"/>
                <w:lang w:eastAsia="x-none"/>
              </w:rPr>
              <w:t>5</w:t>
            </w:r>
          </w:p>
        </w:tc>
        <w:tc>
          <w:tcPr>
            <w:tcW w:w="2375" w:type="dxa"/>
          </w:tcPr>
          <w:p w14:paraId="78D32823" w14:textId="77777777" w:rsidR="0062331D" w:rsidRPr="003E0B98" w:rsidRDefault="0062331D" w:rsidP="004361AC">
            <w:pPr>
              <w:keepNext/>
              <w:keepLines/>
              <w:tabs>
                <w:tab w:val="clear" w:pos="567"/>
              </w:tabs>
              <w:spacing w:line="240" w:lineRule="auto"/>
              <w:jc w:val="both"/>
              <w:rPr>
                <w:bCs/>
                <w:iCs/>
                <w:color w:val="000000"/>
                <w:szCs w:val="22"/>
                <w:lang w:eastAsia="x-none"/>
              </w:rPr>
            </w:pPr>
            <w:r w:rsidRPr="003E0B98">
              <w:rPr>
                <w:bCs/>
                <w:iCs/>
                <w:color w:val="000000"/>
                <w:szCs w:val="22"/>
                <w:lang w:eastAsia="x-none"/>
              </w:rPr>
              <w:t>28</w:t>
            </w:r>
          </w:p>
        </w:tc>
      </w:tr>
      <w:tr w:rsidR="0062331D" w:rsidRPr="003E0B98" w14:paraId="5C1CAA2F" w14:textId="77777777" w:rsidTr="00683E99">
        <w:trPr>
          <w:trHeight w:val="257"/>
        </w:trPr>
        <w:tc>
          <w:tcPr>
            <w:tcW w:w="4219" w:type="dxa"/>
          </w:tcPr>
          <w:p w14:paraId="40797591" w14:textId="77777777" w:rsidR="0062331D" w:rsidRPr="003E0B98" w:rsidRDefault="00E22A2A" w:rsidP="004361AC">
            <w:pPr>
              <w:keepNext/>
              <w:keepLines/>
              <w:tabs>
                <w:tab w:val="clear" w:pos="567"/>
              </w:tabs>
              <w:spacing w:line="240" w:lineRule="auto"/>
              <w:rPr>
                <w:bCs/>
                <w:iCs/>
                <w:color w:val="000000"/>
                <w:szCs w:val="22"/>
                <w:lang w:eastAsia="x-none"/>
              </w:rPr>
            </w:pPr>
            <w:proofErr w:type="spellStart"/>
            <w:r w:rsidRPr="003E0B98">
              <w:rPr>
                <w:bCs/>
                <w:iCs/>
                <w:color w:val="000000"/>
                <w:szCs w:val="22"/>
                <w:lang w:eastAsia="x-none"/>
              </w:rPr>
              <w:t>Corioretinopatía</w:t>
            </w:r>
            <w:proofErr w:type="spellEnd"/>
            <w:r w:rsidRPr="003E0B98">
              <w:rPr>
                <w:bCs/>
                <w:iCs/>
                <w:color w:val="000000"/>
                <w:szCs w:val="22"/>
                <w:lang w:eastAsia="x-none"/>
              </w:rPr>
              <w:t xml:space="preserve"> serosa central</w:t>
            </w:r>
          </w:p>
        </w:tc>
        <w:tc>
          <w:tcPr>
            <w:tcW w:w="2693" w:type="dxa"/>
          </w:tcPr>
          <w:p w14:paraId="0EA010F3" w14:textId="77777777" w:rsidR="0062331D" w:rsidRPr="003E0B98" w:rsidRDefault="00EA0F75" w:rsidP="004361AC">
            <w:pPr>
              <w:keepNext/>
              <w:keepLines/>
              <w:tabs>
                <w:tab w:val="clear" w:pos="567"/>
              </w:tabs>
              <w:spacing w:line="240" w:lineRule="auto"/>
              <w:jc w:val="both"/>
              <w:rPr>
                <w:bCs/>
                <w:iCs/>
                <w:color w:val="000000"/>
                <w:szCs w:val="22"/>
                <w:lang w:eastAsia="x-none"/>
              </w:rPr>
            </w:pPr>
            <w:r w:rsidRPr="003E0B98">
              <w:rPr>
                <w:bCs/>
                <w:iCs/>
                <w:color w:val="000000"/>
                <w:szCs w:val="22"/>
                <w:lang w:eastAsia="x-none"/>
              </w:rPr>
              <w:t>5,</w:t>
            </w:r>
            <w:r w:rsidR="0062331D" w:rsidRPr="003E0B98">
              <w:rPr>
                <w:bCs/>
                <w:iCs/>
                <w:color w:val="000000"/>
                <w:szCs w:val="22"/>
                <w:lang w:eastAsia="x-none"/>
              </w:rPr>
              <w:t>0</w:t>
            </w:r>
          </w:p>
        </w:tc>
        <w:tc>
          <w:tcPr>
            <w:tcW w:w="2375" w:type="dxa"/>
          </w:tcPr>
          <w:p w14:paraId="2DB6E284" w14:textId="77777777" w:rsidR="0062331D" w:rsidRPr="003E0B98" w:rsidRDefault="0062331D" w:rsidP="004361AC">
            <w:pPr>
              <w:keepNext/>
              <w:keepLines/>
              <w:tabs>
                <w:tab w:val="clear" w:pos="567"/>
              </w:tabs>
              <w:spacing w:line="240" w:lineRule="auto"/>
              <w:jc w:val="both"/>
              <w:rPr>
                <w:bCs/>
                <w:iCs/>
                <w:color w:val="000000"/>
                <w:szCs w:val="22"/>
                <w:lang w:eastAsia="x-none"/>
              </w:rPr>
            </w:pPr>
            <w:r w:rsidRPr="003E0B98">
              <w:rPr>
                <w:bCs/>
                <w:iCs/>
                <w:color w:val="000000"/>
                <w:szCs w:val="22"/>
                <w:lang w:eastAsia="x-none"/>
              </w:rPr>
              <w:t>23</w:t>
            </w:r>
          </w:p>
        </w:tc>
      </w:tr>
      <w:tr w:rsidR="0062331D" w:rsidRPr="003E0B98" w14:paraId="349298B7" w14:textId="77777777" w:rsidTr="00683E99">
        <w:trPr>
          <w:trHeight w:val="240"/>
        </w:trPr>
        <w:tc>
          <w:tcPr>
            <w:tcW w:w="4219" w:type="dxa"/>
          </w:tcPr>
          <w:p w14:paraId="52B9AACF" w14:textId="77777777" w:rsidR="0062331D" w:rsidRPr="003E0B98" w:rsidRDefault="00E22A2A" w:rsidP="004361AC">
            <w:pPr>
              <w:keepNext/>
              <w:keepLines/>
              <w:tabs>
                <w:tab w:val="clear" w:pos="567"/>
              </w:tabs>
              <w:spacing w:line="240" w:lineRule="auto"/>
              <w:rPr>
                <w:bCs/>
                <w:iCs/>
                <w:color w:val="000000"/>
                <w:szCs w:val="22"/>
                <w:lang w:eastAsia="x-none"/>
              </w:rPr>
            </w:pPr>
            <w:proofErr w:type="spellStart"/>
            <w:r w:rsidRPr="003E0B98">
              <w:rPr>
                <w:bCs/>
                <w:iCs/>
                <w:color w:val="000000"/>
                <w:szCs w:val="22"/>
                <w:lang w:eastAsia="x-none"/>
              </w:rPr>
              <w:t>Corioretinopatía</w:t>
            </w:r>
            <w:proofErr w:type="spellEnd"/>
            <w:r w:rsidRPr="003E0B98">
              <w:rPr>
                <w:bCs/>
                <w:iCs/>
                <w:color w:val="000000"/>
                <w:szCs w:val="22"/>
                <w:lang w:eastAsia="x-none"/>
              </w:rPr>
              <w:t xml:space="preserve"> </w:t>
            </w:r>
            <w:proofErr w:type="spellStart"/>
            <w:r w:rsidRPr="003E0B98">
              <w:rPr>
                <w:bCs/>
                <w:iCs/>
                <w:color w:val="000000"/>
                <w:szCs w:val="22"/>
                <w:lang w:eastAsia="x-none"/>
              </w:rPr>
              <w:t>idiopática</w:t>
            </w:r>
            <w:proofErr w:type="spellEnd"/>
          </w:p>
        </w:tc>
        <w:tc>
          <w:tcPr>
            <w:tcW w:w="2693" w:type="dxa"/>
          </w:tcPr>
          <w:p w14:paraId="37DAA9F5" w14:textId="77777777" w:rsidR="0062331D" w:rsidRPr="003E0B98" w:rsidRDefault="00EA0F75" w:rsidP="004361AC">
            <w:pPr>
              <w:keepNext/>
              <w:keepLines/>
              <w:tabs>
                <w:tab w:val="clear" w:pos="567"/>
              </w:tabs>
              <w:spacing w:line="240" w:lineRule="auto"/>
              <w:jc w:val="both"/>
              <w:rPr>
                <w:bCs/>
                <w:iCs/>
                <w:color w:val="000000"/>
                <w:szCs w:val="22"/>
                <w:lang w:eastAsia="x-none"/>
              </w:rPr>
            </w:pPr>
            <w:r w:rsidRPr="003E0B98">
              <w:rPr>
                <w:bCs/>
                <w:iCs/>
                <w:color w:val="000000"/>
                <w:szCs w:val="22"/>
                <w:lang w:eastAsia="x-none"/>
              </w:rPr>
              <w:t>11,</w:t>
            </w:r>
            <w:r w:rsidR="0062331D" w:rsidRPr="003E0B98">
              <w:rPr>
                <w:bCs/>
                <w:iCs/>
                <w:color w:val="000000"/>
                <w:szCs w:val="22"/>
                <w:lang w:eastAsia="x-none"/>
              </w:rPr>
              <w:t>4</w:t>
            </w:r>
          </w:p>
        </w:tc>
        <w:tc>
          <w:tcPr>
            <w:tcW w:w="2375" w:type="dxa"/>
          </w:tcPr>
          <w:p w14:paraId="5AB6DEEA" w14:textId="77777777" w:rsidR="0062331D" w:rsidRPr="003E0B98" w:rsidRDefault="0062331D" w:rsidP="004361AC">
            <w:pPr>
              <w:keepNext/>
              <w:keepLines/>
              <w:tabs>
                <w:tab w:val="clear" w:pos="567"/>
              </w:tabs>
              <w:spacing w:line="240" w:lineRule="auto"/>
              <w:jc w:val="both"/>
              <w:rPr>
                <w:bCs/>
                <w:iCs/>
                <w:color w:val="000000"/>
                <w:szCs w:val="22"/>
                <w:lang w:eastAsia="x-none"/>
              </w:rPr>
            </w:pPr>
            <w:r w:rsidRPr="003E0B98">
              <w:rPr>
                <w:bCs/>
                <w:iCs/>
                <w:color w:val="000000"/>
                <w:szCs w:val="22"/>
                <w:lang w:eastAsia="x-none"/>
              </w:rPr>
              <w:t>63</w:t>
            </w:r>
          </w:p>
        </w:tc>
      </w:tr>
      <w:tr w:rsidR="0062331D" w:rsidRPr="003E0B98" w14:paraId="1BE1F459" w14:textId="77777777" w:rsidTr="00683E99">
        <w:trPr>
          <w:trHeight w:val="271"/>
        </w:trPr>
        <w:tc>
          <w:tcPr>
            <w:tcW w:w="4219" w:type="dxa"/>
          </w:tcPr>
          <w:p w14:paraId="76F978EC" w14:textId="77777777" w:rsidR="0062331D" w:rsidRPr="003E0B98" w:rsidRDefault="00E22A2A" w:rsidP="004361AC">
            <w:pPr>
              <w:keepNext/>
              <w:keepLines/>
              <w:tabs>
                <w:tab w:val="clear" w:pos="567"/>
              </w:tabs>
              <w:spacing w:line="240" w:lineRule="auto"/>
              <w:rPr>
                <w:bCs/>
                <w:iCs/>
                <w:color w:val="000000"/>
                <w:szCs w:val="22"/>
                <w:lang w:eastAsia="x-none"/>
              </w:rPr>
            </w:pPr>
            <w:proofErr w:type="spellStart"/>
            <w:r w:rsidRPr="003E0B98">
              <w:rPr>
                <w:bCs/>
                <w:iCs/>
                <w:color w:val="000000"/>
                <w:szCs w:val="22"/>
                <w:lang w:eastAsia="x-none"/>
              </w:rPr>
              <w:t>Etiologías</w:t>
            </w:r>
            <w:proofErr w:type="spellEnd"/>
            <w:r w:rsidRPr="003E0B98">
              <w:rPr>
                <w:bCs/>
                <w:iCs/>
                <w:color w:val="000000"/>
                <w:szCs w:val="22"/>
                <w:lang w:eastAsia="x-none"/>
              </w:rPr>
              <w:t xml:space="preserve"> </w:t>
            </w:r>
            <w:proofErr w:type="spellStart"/>
            <w:r w:rsidRPr="003E0B98">
              <w:rPr>
                <w:bCs/>
                <w:iCs/>
                <w:color w:val="000000"/>
                <w:szCs w:val="22"/>
                <w:lang w:eastAsia="x-none"/>
              </w:rPr>
              <w:t>varias</w:t>
            </w:r>
            <w:r w:rsidR="0062331D" w:rsidRPr="003E0B98">
              <w:rPr>
                <w:bCs/>
                <w:iCs/>
                <w:color w:val="000000"/>
                <w:szCs w:val="22"/>
                <w:vertAlign w:val="superscript"/>
                <w:lang w:eastAsia="x-none"/>
              </w:rPr>
              <w:t>a</w:t>
            </w:r>
            <w:proofErr w:type="spellEnd"/>
          </w:p>
        </w:tc>
        <w:tc>
          <w:tcPr>
            <w:tcW w:w="2693" w:type="dxa"/>
          </w:tcPr>
          <w:p w14:paraId="5BA0EAC5" w14:textId="77777777" w:rsidR="0062331D" w:rsidRPr="003E0B98" w:rsidRDefault="00EA0F75" w:rsidP="004361AC">
            <w:pPr>
              <w:keepNext/>
              <w:keepLines/>
              <w:tabs>
                <w:tab w:val="clear" w:pos="567"/>
              </w:tabs>
              <w:spacing w:line="240" w:lineRule="auto"/>
              <w:jc w:val="both"/>
              <w:rPr>
                <w:bCs/>
                <w:iCs/>
                <w:color w:val="000000"/>
                <w:szCs w:val="22"/>
                <w:lang w:eastAsia="x-none"/>
              </w:rPr>
            </w:pPr>
            <w:r w:rsidRPr="003E0B98">
              <w:rPr>
                <w:bCs/>
                <w:iCs/>
                <w:color w:val="000000"/>
                <w:szCs w:val="22"/>
                <w:lang w:eastAsia="x-none"/>
              </w:rPr>
              <w:t>10,</w:t>
            </w:r>
            <w:r w:rsidR="0062331D" w:rsidRPr="003E0B98">
              <w:rPr>
                <w:bCs/>
                <w:iCs/>
                <w:color w:val="000000"/>
                <w:szCs w:val="22"/>
                <w:lang w:eastAsia="x-none"/>
              </w:rPr>
              <w:t>6</w:t>
            </w:r>
          </w:p>
        </w:tc>
        <w:tc>
          <w:tcPr>
            <w:tcW w:w="2375" w:type="dxa"/>
          </w:tcPr>
          <w:p w14:paraId="475B7D47" w14:textId="77777777" w:rsidR="0062331D" w:rsidRPr="003E0B98" w:rsidRDefault="0062331D" w:rsidP="004361AC">
            <w:pPr>
              <w:keepNext/>
              <w:keepLines/>
              <w:tabs>
                <w:tab w:val="clear" w:pos="567"/>
              </w:tabs>
              <w:spacing w:line="240" w:lineRule="auto"/>
              <w:jc w:val="both"/>
              <w:rPr>
                <w:bCs/>
                <w:iCs/>
                <w:color w:val="000000"/>
                <w:szCs w:val="22"/>
                <w:lang w:eastAsia="x-none"/>
              </w:rPr>
            </w:pPr>
            <w:r w:rsidRPr="003E0B98">
              <w:rPr>
                <w:bCs/>
                <w:iCs/>
                <w:color w:val="000000"/>
                <w:szCs w:val="22"/>
                <w:lang w:eastAsia="x-none"/>
              </w:rPr>
              <w:t>37</w:t>
            </w:r>
          </w:p>
        </w:tc>
      </w:tr>
    </w:tbl>
    <w:p w14:paraId="4667AEDB" w14:textId="77777777" w:rsidR="0062331D" w:rsidRPr="003E0B98" w:rsidRDefault="0062331D" w:rsidP="004361AC">
      <w:pPr>
        <w:keepNext/>
        <w:keepLines/>
        <w:tabs>
          <w:tab w:val="clear" w:pos="567"/>
        </w:tabs>
        <w:spacing w:line="240" w:lineRule="auto"/>
        <w:rPr>
          <w:rFonts w:eastAsia="MS Mincho"/>
          <w:szCs w:val="22"/>
          <w:lang w:val="es-ES" w:eastAsia="zh-CN"/>
        </w:rPr>
      </w:pPr>
      <w:r w:rsidRPr="003E0B98">
        <w:rPr>
          <w:rFonts w:eastAsia="MS Mincho"/>
          <w:szCs w:val="22"/>
          <w:vertAlign w:val="superscript"/>
          <w:lang w:val="es-ES" w:eastAsia="zh-CN"/>
        </w:rPr>
        <w:t>a</w:t>
      </w:r>
      <w:r w:rsidRPr="003E0B98">
        <w:rPr>
          <w:rFonts w:eastAsia="MS Mincho"/>
          <w:szCs w:val="22"/>
          <w:lang w:val="es-ES" w:eastAsia="zh-CN"/>
        </w:rPr>
        <w:t xml:space="preserve"> </w:t>
      </w:r>
      <w:r w:rsidR="00776154" w:rsidRPr="003E0B98">
        <w:rPr>
          <w:rFonts w:eastAsia="MS Mincho"/>
          <w:szCs w:val="22"/>
          <w:lang w:val="es-ES" w:eastAsia="zh-CN"/>
        </w:rPr>
        <w:t>incluye diferentes etiologías con una frecuencia baja de aparición</w:t>
      </w:r>
      <w:r w:rsidR="00B36969" w:rsidRPr="003E0B98">
        <w:rPr>
          <w:rFonts w:eastAsia="MS Mincho"/>
          <w:szCs w:val="22"/>
          <w:lang w:val="es-ES" w:eastAsia="zh-CN"/>
        </w:rPr>
        <w:t xml:space="preserve"> no incluidas en los otros subgrupos</w:t>
      </w:r>
    </w:p>
    <w:p w14:paraId="12ABEE10" w14:textId="77777777" w:rsidR="0062331D" w:rsidRPr="003E0B98" w:rsidRDefault="0062331D" w:rsidP="004361AC">
      <w:pPr>
        <w:tabs>
          <w:tab w:val="clear" w:pos="567"/>
          <w:tab w:val="left" w:pos="0"/>
        </w:tabs>
        <w:spacing w:line="240" w:lineRule="auto"/>
        <w:rPr>
          <w:color w:val="000000"/>
          <w:szCs w:val="22"/>
          <w:lang w:val="es-ES"/>
        </w:rPr>
      </w:pPr>
    </w:p>
    <w:p w14:paraId="68D8A1DE" w14:textId="77777777" w:rsidR="00D30D28" w:rsidRPr="003E0B98" w:rsidRDefault="00D30D28" w:rsidP="004361AC">
      <w:pPr>
        <w:tabs>
          <w:tab w:val="clear" w:pos="567"/>
          <w:tab w:val="left" w:pos="0"/>
        </w:tabs>
        <w:spacing w:line="240" w:lineRule="auto"/>
        <w:rPr>
          <w:color w:val="000000"/>
          <w:szCs w:val="22"/>
          <w:lang w:val="es-ES"/>
        </w:rPr>
      </w:pPr>
      <w:r w:rsidRPr="003E0B98">
        <w:rPr>
          <w:color w:val="000000"/>
          <w:szCs w:val="22"/>
          <w:lang w:val="es-ES"/>
        </w:rPr>
        <w:t xml:space="preserve">En el </w:t>
      </w:r>
      <w:r w:rsidRPr="003E0B98">
        <w:rPr>
          <w:color w:val="000000"/>
          <w:szCs w:val="22"/>
          <w:lang w:val="es-ES_tradnl"/>
        </w:rPr>
        <w:t xml:space="preserve">ensayo </w:t>
      </w:r>
      <w:proofErr w:type="spellStart"/>
      <w:r w:rsidRPr="003E0B98">
        <w:rPr>
          <w:color w:val="000000"/>
          <w:szCs w:val="22"/>
          <w:lang w:val="es-ES_tradnl"/>
        </w:rPr>
        <w:t>pivotal</w:t>
      </w:r>
      <w:proofErr w:type="spellEnd"/>
      <w:r w:rsidRPr="003E0B98">
        <w:rPr>
          <w:color w:val="000000"/>
          <w:szCs w:val="22"/>
          <w:lang w:val="es-ES_tradnl"/>
        </w:rPr>
        <w:t xml:space="preserve"> G2301 (MINERVA), cinco</w:t>
      </w:r>
      <w:r w:rsidRPr="003E0B98">
        <w:rPr>
          <w:color w:val="000000"/>
          <w:szCs w:val="22"/>
          <w:lang w:val="es-ES"/>
        </w:rPr>
        <w:t xml:space="preserve"> pacientes adolescentes de 12 a 17 años con alteración visual secundaria a NVC recibieron tratamiento abierto con </w:t>
      </w:r>
      <w:proofErr w:type="spellStart"/>
      <w:r w:rsidRPr="003E0B98">
        <w:rPr>
          <w:color w:val="000000"/>
          <w:szCs w:val="22"/>
          <w:lang w:val="es-ES"/>
        </w:rPr>
        <w:t>ranibizumab</w:t>
      </w:r>
      <w:proofErr w:type="spellEnd"/>
      <w:r w:rsidRPr="003E0B98">
        <w:rPr>
          <w:color w:val="000000"/>
          <w:szCs w:val="22"/>
          <w:lang w:val="es-ES"/>
        </w:rPr>
        <w:t xml:space="preserve"> 0,5 mg al inicio seguido de un</w:t>
      </w:r>
      <w:r w:rsidR="00835E7E" w:rsidRPr="003E0B98">
        <w:rPr>
          <w:color w:val="000000"/>
          <w:szCs w:val="22"/>
          <w:lang w:val="es-ES"/>
        </w:rPr>
        <w:t>a pauta posológica</w:t>
      </w:r>
      <w:r w:rsidRPr="003E0B98">
        <w:rPr>
          <w:color w:val="000000"/>
          <w:szCs w:val="22"/>
          <w:lang w:val="es-ES"/>
        </w:rPr>
        <w:t xml:space="preserve"> individualizad</w:t>
      </w:r>
      <w:r w:rsidR="00835E7E" w:rsidRPr="003E0B98">
        <w:rPr>
          <w:color w:val="000000"/>
          <w:szCs w:val="22"/>
          <w:lang w:val="es-ES"/>
        </w:rPr>
        <w:t>a</w:t>
      </w:r>
      <w:r w:rsidR="00C401EB" w:rsidRPr="003E0B98">
        <w:rPr>
          <w:color w:val="000000"/>
          <w:szCs w:val="22"/>
          <w:lang w:val="es-ES"/>
        </w:rPr>
        <w:t>, igual que</w:t>
      </w:r>
      <w:r w:rsidR="00301221" w:rsidRPr="003E0B98">
        <w:rPr>
          <w:color w:val="000000"/>
          <w:szCs w:val="22"/>
          <w:lang w:val="es-ES"/>
        </w:rPr>
        <w:t xml:space="preserve"> en la población adulta. En los cinco pacientes la AVMC mejoró desde el inicio hasta el Mes </w:t>
      </w:r>
      <w:r w:rsidR="00C401EB" w:rsidRPr="003E0B98">
        <w:rPr>
          <w:color w:val="000000"/>
          <w:szCs w:val="22"/>
          <w:lang w:val="es-ES"/>
        </w:rPr>
        <w:t>1</w:t>
      </w:r>
      <w:r w:rsidR="00301221" w:rsidRPr="003E0B98">
        <w:rPr>
          <w:color w:val="000000"/>
          <w:szCs w:val="22"/>
          <w:lang w:val="es-ES"/>
        </w:rPr>
        <w:t xml:space="preserve">2, en un rango de 5 a 38 letras (16,6 letras de media). La mejora de la visión se acompañó de </w:t>
      </w:r>
      <w:r w:rsidR="00771186" w:rsidRPr="003E0B98">
        <w:rPr>
          <w:color w:val="000000"/>
          <w:szCs w:val="22"/>
          <w:lang w:val="es-ES"/>
        </w:rPr>
        <w:t xml:space="preserve">una estabilización o reducción del grosor del subcampo central durante el periodo de 12 meses. </w:t>
      </w:r>
      <w:r w:rsidR="00771186" w:rsidRPr="003E0B98">
        <w:rPr>
          <w:color w:val="000000"/>
          <w:lang w:val="es-ES"/>
        </w:rPr>
        <w:t xml:space="preserve">El número </w:t>
      </w:r>
      <w:r w:rsidR="00A72E17" w:rsidRPr="003E0B98">
        <w:rPr>
          <w:color w:val="000000"/>
          <w:lang w:val="es-ES"/>
        </w:rPr>
        <w:t>pro</w:t>
      </w:r>
      <w:r w:rsidR="00771186" w:rsidRPr="003E0B98">
        <w:rPr>
          <w:color w:val="000000"/>
          <w:lang w:val="es-ES"/>
        </w:rPr>
        <w:t xml:space="preserve">medio de inyecciones de </w:t>
      </w:r>
      <w:proofErr w:type="spellStart"/>
      <w:r w:rsidR="00771186" w:rsidRPr="003E0B98">
        <w:rPr>
          <w:color w:val="000000"/>
          <w:lang w:val="es-ES"/>
        </w:rPr>
        <w:t>ranibizumab</w:t>
      </w:r>
      <w:proofErr w:type="spellEnd"/>
      <w:r w:rsidR="00771186" w:rsidRPr="003E0B98">
        <w:rPr>
          <w:color w:val="000000"/>
          <w:lang w:val="es-ES"/>
        </w:rPr>
        <w:t xml:space="preserve"> administradas en el ojo en estudio durante 12 meses fue 3 (en un rango de 2 a 5)</w:t>
      </w:r>
      <w:r w:rsidR="00C401EB" w:rsidRPr="003E0B98">
        <w:rPr>
          <w:color w:val="000000"/>
          <w:lang w:val="es-ES"/>
        </w:rPr>
        <w:t xml:space="preserve">. En general, el tratamiento con </w:t>
      </w:r>
      <w:proofErr w:type="spellStart"/>
      <w:r w:rsidR="00C401EB" w:rsidRPr="003E0B98">
        <w:rPr>
          <w:color w:val="000000"/>
          <w:lang w:val="es-ES"/>
        </w:rPr>
        <w:t>ranibizumab</w:t>
      </w:r>
      <w:proofErr w:type="spellEnd"/>
      <w:r w:rsidR="00C401EB" w:rsidRPr="003E0B98">
        <w:rPr>
          <w:color w:val="000000"/>
          <w:lang w:val="es-ES"/>
        </w:rPr>
        <w:t xml:space="preserve"> fue bien tolerado.</w:t>
      </w:r>
    </w:p>
    <w:p w14:paraId="59C6BB7B" w14:textId="77777777" w:rsidR="008A33E6" w:rsidRPr="003E0B98" w:rsidRDefault="008A33E6" w:rsidP="004361AC">
      <w:pPr>
        <w:tabs>
          <w:tab w:val="clear" w:pos="567"/>
        </w:tabs>
        <w:spacing w:line="240" w:lineRule="auto"/>
        <w:rPr>
          <w:color w:val="000000"/>
          <w:szCs w:val="22"/>
          <w:lang w:val="es-ES"/>
        </w:rPr>
      </w:pPr>
    </w:p>
    <w:p w14:paraId="381344DC" w14:textId="77777777" w:rsidR="002E5034" w:rsidRPr="003E0B98" w:rsidRDefault="002E5034" w:rsidP="004361AC">
      <w:pPr>
        <w:keepNext/>
        <w:tabs>
          <w:tab w:val="clear" w:pos="567"/>
        </w:tabs>
        <w:spacing w:line="240" w:lineRule="auto"/>
        <w:rPr>
          <w:i/>
          <w:color w:val="000000"/>
          <w:szCs w:val="22"/>
          <w:u w:val="single"/>
          <w:lang w:val="es-ES_tradnl"/>
        </w:rPr>
      </w:pPr>
      <w:r w:rsidRPr="003E0B98">
        <w:rPr>
          <w:i/>
          <w:color w:val="000000"/>
          <w:szCs w:val="22"/>
          <w:u w:val="single"/>
          <w:lang w:val="es-ES_tradnl"/>
        </w:rPr>
        <w:t xml:space="preserve">Tratamiento de la </w:t>
      </w:r>
      <w:r w:rsidRPr="003E0B98">
        <w:rPr>
          <w:i/>
          <w:color w:val="000000"/>
          <w:szCs w:val="22"/>
          <w:u w:val="single"/>
          <w:lang w:val="es-ES"/>
        </w:rPr>
        <w:t>alteración</w:t>
      </w:r>
      <w:r w:rsidRPr="003E0B98">
        <w:rPr>
          <w:i/>
          <w:color w:val="000000"/>
          <w:szCs w:val="22"/>
          <w:u w:val="single"/>
          <w:lang w:val="es-ES_tradnl"/>
        </w:rPr>
        <w:t xml:space="preserve"> visual debida a EMD</w:t>
      </w:r>
    </w:p>
    <w:p w14:paraId="56458A55" w14:textId="77777777" w:rsidR="002E5034" w:rsidRPr="003E0B98" w:rsidRDefault="002E5034" w:rsidP="004361AC">
      <w:pPr>
        <w:tabs>
          <w:tab w:val="clear" w:pos="567"/>
        </w:tabs>
        <w:spacing w:line="240" w:lineRule="auto"/>
        <w:rPr>
          <w:color w:val="000000"/>
          <w:szCs w:val="22"/>
          <w:lang w:val="es-ES_tradnl"/>
        </w:rPr>
      </w:pPr>
      <w:r w:rsidRPr="003E0B98">
        <w:rPr>
          <w:color w:val="000000"/>
          <w:szCs w:val="22"/>
          <w:lang w:val="es-ES_tradnl"/>
        </w:rPr>
        <w:t xml:space="preserve">La eficacia y seguridad de </w:t>
      </w:r>
      <w:proofErr w:type="spellStart"/>
      <w:r w:rsidRPr="003E0B98">
        <w:rPr>
          <w:color w:val="000000"/>
          <w:szCs w:val="22"/>
          <w:lang w:val="es-ES_tradnl"/>
        </w:rPr>
        <w:t>Lucentis</w:t>
      </w:r>
      <w:proofErr w:type="spellEnd"/>
      <w:r w:rsidRPr="003E0B98">
        <w:rPr>
          <w:color w:val="000000"/>
          <w:szCs w:val="22"/>
          <w:lang w:val="es-ES_tradnl"/>
        </w:rPr>
        <w:t xml:space="preserve"> se han evaluado en </w:t>
      </w:r>
      <w:r w:rsidR="00722DC0" w:rsidRPr="003E0B98">
        <w:rPr>
          <w:color w:val="000000"/>
          <w:szCs w:val="22"/>
          <w:lang w:val="es-ES_tradnl"/>
        </w:rPr>
        <w:t>tres</w:t>
      </w:r>
      <w:r w:rsidRPr="003E0B98">
        <w:rPr>
          <w:color w:val="000000"/>
          <w:szCs w:val="22"/>
          <w:lang w:val="es-ES_tradnl"/>
        </w:rPr>
        <w:t xml:space="preserve"> ensayos aleatorizados, controlados de</w:t>
      </w:r>
      <w:r w:rsidR="00722DC0" w:rsidRPr="003E0B98">
        <w:rPr>
          <w:color w:val="000000"/>
          <w:szCs w:val="22"/>
          <w:lang w:val="es-ES_tradnl"/>
        </w:rPr>
        <w:t xml:space="preserve"> al menos</w:t>
      </w:r>
      <w:r w:rsidRPr="003E0B98">
        <w:rPr>
          <w:color w:val="000000"/>
          <w:szCs w:val="22"/>
          <w:lang w:val="es-ES_tradnl"/>
        </w:rPr>
        <w:t xml:space="preserve"> 12 meses de duración. En estos ensayos fueron reclutados un total de </w:t>
      </w:r>
      <w:r w:rsidR="00722DC0" w:rsidRPr="003E0B98">
        <w:rPr>
          <w:color w:val="000000"/>
          <w:szCs w:val="22"/>
          <w:lang w:val="es-ES_tradnl"/>
        </w:rPr>
        <w:t>868</w:t>
      </w:r>
      <w:r w:rsidRPr="003E0B98">
        <w:rPr>
          <w:color w:val="000000"/>
          <w:szCs w:val="22"/>
          <w:lang w:val="es-ES_tradnl"/>
        </w:rPr>
        <w:t> pacientes (</w:t>
      </w:r>
      <w:r w:rsidR="00722DC0" w:rsidRPr="003E0B98">
        <w:rPr>
          <w:color w:val="000000"/>
          <w:szCs w:val="22"/>
          <w:lang w:val="es-ES_tradnl"/>
        </w:rPr>
        <w:t>708</w:t>
      </w:r>
      <w:r w:rsidRPr="003E0B98">
        <w:rPr>
          <w:color w:val="000000"/>
          <w:szCs w:val="22"/>
          <w:lang w:val="es-ES_tradnl"/>
        </w:rPr>
        <w:t xml:space="preserve"> con tratamiento activo y 160 con control).</w:t>
      </w:r>
    </w:p>
    <w:p w14:paraId="44D8B39F" w14:textId="77777777" w:rsidR="002E5034" w:rsidRPr="003E0B98" w:rsidRDefault="002E5034" w:rsidP="004361AC">
      <w:pPr>
        <w:tabs>
          <w:tab w:val="clear" w:pos="567"/>
        </w:tabs>
        <w:spacing w:line="240" w:lineRule="auto"/>
        <w:rPr>
          <w:color w:val="000000"/>
          <w:szCs w:val="22"/>
          <w:u w:val="single"/>
          <w:lang w:val="es-ES_tradnl"/>
        </w:rPr>
      </w:pPr>
    </w:p>
    <w:p w14:paraId="486FC54F" w14:textId="77777777" w:rsidR="002E5034" w:rsidRPr="003E0B98" w:rsidRDefault="002E5034" w:rsidP="004361AC">
      <w:pPr>
        <w:tabs>
          <w:tab w:val="clear" w:pos="567"/>
        </w:tabs>
        <w:spacing w:line="240" w:lineRule="auto"/>
        <w:rPr>
          <w:bCs/>
          <w:color w:val="000000"/>
          <w:lang w:val="es-ES"/>
        </w:rPr>
      </w:pPr>
      <w:r w:rsidRPr="003E0B98">
        <w:rPr>
          <w:color w:val="000000"/>
          <w:szCs w:val="22"/>
          <w:lang w:val="es-ES_tradnl"/>
        </w:rPr>
        <w:t xml:space="preserve">En el ensayo de fase II D2201 (RESOLVE), 151 pacientes fueron tratados con </w:t>
      </w:r>
      <w:proofErr w:type="spellStart"/>
      <w:r w:rsidRPr="003E0B98">
        <w:rPr>
          <w:color w:val="000000"/>
          <w:szCs w:val="22"/>
          <w:lang w:val="es-ES_tradnl"/>
        </w:rPr>
        <w:t>ranibizumab</w:t>
      </w:r>
      <w:proofErr w:type="spellEnd"/>
      <w:r w:rsidRPr="003E0B98">
        <w:rPr>
          <w:color w:val="000000"/>
          <w:szCs w:val="22"/>
          <w:lang w:val="es-ES_tradnl"/>
        </w:rPr>
        <w:t xml:space="preserve"> </w:t>
      </w:r>
      <w:r w:rsidRPr="003E0B98">
        <w:rPr>
          <w:bCs/>
          <w:color w:val="000000"/>
          <w:szCs w:val="22"/>
          <w:lang w:val="es-ES_tradnl"/>
        </w:rPr>
        <w:t>(6 mg/ml, n=51, 10 mg/ml, n=51) o con tratamiento simulado (n=49) mediante inyecciones intravítreas mensuales</w:t>
      </w:r>
      <w:r w:rsidRPr="003E0B98">
        <w:rPr>
          <w:color w:val="000000"/>
          <w:szCs w:val="22"/>
          <w:lang w:val="es-ES_tradnl"/>
        </w:rPr>
        <w:t>.</w:t>
      </w:r>
      <w:r w:rsidR="002F690D" w:rsidRPr="003E0B98">
        <w:rPr>
          <w:color w:val="000000"/>
          <w:szCs w:val="22"/>
          <w:lang w:val="es-ES_tradnl"/>
        </w:rPr>
        <w:t xml:space="preserve"> El cambio </w:t>
      </w:r>
      <w:r w:rsidR="00717C2E" w:rsidRPr="003E0B98">
        <w:rPr>
          <w:color w:val="000000"/>
          <w:szCs w:val="22"/>
          <w:lang w:val="es-ES_tradnl"/>
        </w:rPr>
        <w:t>pro</w:t>
      </w:r>
      <w:r w:rsidR="002F690D" w:rsidRPr="003E0B98">
        <w:rPr>
          <w:color w:val="000000"/>
          <w:szCs w:val="22"/>
          <w:lang w:val="es-ES_tradnl"/>
        </w:rPr>
        <w:t xml:space="preserve">medio </w:t>
      </w:r>
      <w:r w:rsidR="008222CB" w:rsidRPr="003E0B98">
        <w:rPr>
          <w:color w:val="000000"/>
          <w:szCs w:val="22"/>
          <w:lang w:val="es-ES_tradnl"/>
        </w:rPr>
        <w:t>de</w:t>
      </w:r>
      <w:r w:rsidR="002F690D" w:rsidRPr="003E0B98">
        <w:rPr>
          <w:color w:val="000000"/>
          <w:szCs w:val="22"/>
          <w:lang w:val="es-ES_tradnl"/>
        </w:rPr>
        <w:t xml:space="preserve"> la AVMC desde el Mes 1 al Mes 12 comparado con el inicio</w:t>
      </w:r>
      <w:r w:rsidR="007C6740" w:rsidRPr="003E0B98">
        <w:rPr>
          <w:color w:val="000000"/>
          <w:szCs w:val="22"/>
          <w:lang w:val="es-ES_tradnl"/>
        </w:rPr>
        <w:t xml:space="preserve"> fue de +7,8 (±7,72) letras en los pacientes tratados con </w:t>
      </w:r>
      <w:proofErr w:type="spellStart"/>
      <w:r w:rsidR="007C6740" w:rsidRPr="003E0B98">
        <w:rPr>
          <w:color w:val="000000"/>
          <w:szCs w:val="22"/>
          <w:lang w:val="es-ES_tradnl"/>
        </w:rPr>
        <w:t>ranibizumab</w:t>
      </w:r>
      <w:proofErr w:type="spellEnd"/>
      <w:r w:rsidR="007C6740" w:rsidRPr="003E0B98">
        <w:rPr>
          <w:color w:val="000000"/>
          <w:szCs w:val="22"/>
          <w:lang w:val="es-ES_tradnl"/>
        </w:rPr>
        <w:t xml:space="preserve"> </w:t>
      </w:r>
      <w:r w:rsidR="00F432C1" w:rsidRPr="003E0B98">
        <w:rPr>
          <w:color w:val="000000"/>
          <w:szCs w:val="22"/>
          <w:lang w:val="es-ES_tradnl"/>
        </w:rPr>
        <w:t xml:space="preserve">combinados (n=102), comparado con </w:t>
      </w:r>
      <w:r w:rsidR="00F432C1" w:rsidRPr="003E0B98">
        <w:rPr>
          <w:bCs/>
          <w:color w:val="000000"/>
          <w:lang w:val="es-ES"/>
        </w:rPr>
        <w:noBreakHyphen/>
        <w:t xml:space="preserve">0,1 (±9,77) letras para pacientes </w:t>
      </w:r>
      <w:r w:rsidR="00F432C1" w:rsidRPr="003E0B98">
        <w:rPr>
          <w:bCs/>
          <w:color w:val="000000"/>
          <w:szCs w:val="22"/>
          <w:lang w:val="es-ES_tradnl"/>
        </w:rPr>
        <w:t>con tratamiento simulado</w:t>
      </w:r>
      <w:r w:rsidR="0054505E" w:rsidRPr="003E0B98">
        <w:rPr>
          <w:bCs/>
          <w:color w:val="000000"/>
          <w:szCs w:val="22"/>
          <w:lang w:val="es-ES_tradnl"/>
        </w:rPr>
        <w:t xml:space="preserve">; y el cambio </w:t>
      </w:r>
      <w:r w:rsidR="00717C2E" w:rsidRPr="003E0B98">
        <w:rPr>
          <w:bCs/>
          <w:color w:val="000000"/>
          <w:szCs w:val="22"/>
          <w:lang w:val="es-ES_tradnl"/>
        </w:rPr>
        <w:t>pro</w:t>
      </w:r>
      <w:r w:rsidR="0054505E" w:rsidRPr="003E0B98">
        <w:rPr>
          <w:bCs/>
          <w:color w:val="000000"/>
          <w:szCs w:val="22"/>
          <w:lang w:val="es-ES_tradnl"/>
        </w:rPr>
        <w:t xml:space="preserve">medio </w:t>
      </w:r>
      <w:r w:rsidR="008222CB" w:rsidRPr="003E0B98">
        <w:rPr>
          <w:bCs/>
          <w:color w:val="000000"/>
          <w:szCs w:val="22"/>
          <w:lang w:val="es-ES_tradnl"/>
        </w:rPr>
        <w:t>de</w:t>
      </w:r>
      <w:r w:rsidR="0054505E" w:rsidRPr="003E0B98">
        <w:rPr>
          <w:bCs/>
          <w:color w:val="000000"/>
          <w:szCs w:val="22"/>
          <w:lang w:val="es-ES_tradnl"/>
        </w:rPr>
        <w:t xml:space="preserve"> la AVMC </w:t>
      </w:r>
      <w:r w:rsidR="00CA7C64" w:rsidRPr="003E0B98">
        <w:rPr>
          <w:bCs/>
          <w:color w:val="000000"/>
          <w:szCs w:val="22"/>
          <w:lang w:val="es-ES_tradnl"/>
        </w:rPr>
        <w:t xml:space="preserve">en el Mes 12 desde el valor inicial fue de 10,3 (±9,1) letras comparado con </w:t>
      </w:r>
      <w:r w:rsidR="00CA7C64" w:rsidRPr="003E0B98">
        <w:rPr>
          <w:bCs/>
          <w:color w:val="000000"/>
          <w:lang w:val="es-ES"/>
        </w:rPr>
        <w:noBreakHyphen/>
        <w:t>1,4 (±14,2) letras respectivamente</w:t>
      </w:r>
      <w:r w:rsidR="00F432C1" w:rsidRPr="003E0B98">
        <w:rPr>
          <w:bCs/>
          <w:color w:val="000000"/>
          <w:lang w:val="es-ES"/>
        </w:rPr>
        <w:t xml:space="preserve"> (p&lt;0,0001 para la diferencia de tratamiento).</w:t>
      </w:r>
    </w:p>
    <w:p w14:paraId="02F14CC8" w14:textId="77777777" w:rsidR="00343F22" w:rsidRPr="003E0B98" w:rsidRDefault="00343F22" w:rsidP="004361AC">
      <w:pPr>
        <w:tabs>
          <w:tab w:val="clear" w:pos="567"/>
        </w:tabs>
        <w:spacing w:line="240" w:lineRule="auto"/>
        <w:rPr>
          <w:bCs/>
          <w:color w:val="000000"/>
          <w:lang w:val="es-ES"/>
        </w:rPr>
      </w:pPr>
    </w:p>
    <w:p w14:paraId="7E1B4967" w14:textId="05CD87BF" w:rsidR="00973D08" w:rsidRPr="003E0B98" w:rsidRDefault="0014078F" w:rsidP="004361AC">
      <w:pPr>
        <w:tabs>
          <w:tab w:val="clear" w:pos="567"/>
        </w:tabs>
        <w:spacing w:line="240" w:lineRule="auto"/>
        <w:rPr>
          <w:bCs/>
          <w:color w:val="000000"/>
          <w:lang w:val="es-ES"/>
        </w:rPr>
      </w:pPr>
      <w:r w:rsidRPr="003E0B98">
        <w:rPr>
          <w:color w:val="000000"/>
          <w:szCs w:val="22"/>
          <w:lang w:val="es-ES_tradnl"/>
        </w:rPr>
        <w:t xml:space="preserve">En el ensayo de fase III D2301 (RESTORE), se aleatorizaron 345 pacientes </w:t>
      </w:r>
      <w:r w:rsidR="00CA7C64" w:rsidRPr="003E0B98">
        <w:rPr>
          <w:color w:val="000000"/>
          <w:szCs w:val="22"/>
          <w:lang w:val="es-ES_tradnl"/>
        </w:rPr>
        <w:t xml:space="preserve">en </w:t>
      </w:r>
      <w:proofErr w:type="gramStart"/>
      <w:r w:rsidR="00CA7C64" w:rsidRPr="003E0B98">
        <w:rPr>
          <w:color w:val="000000"/>
          <w:szCs w:val="22"/>
          <w:lang w:val="es-ES_tradnl"/>
        </w:rPr>
        <w:t>un ratio</w:t>
      </w:r>
      <w:proofErr w:type="gramEnd"/>
      <w:r w:rsidR="00CA7C64" w:rsidRPr="003E0B98">
        <w:rPr>
          <w:color w:val="000000"/>
          <w:szCs w:val="22"/>
          <w:lang w:val="es-ES_tradnl"/>
        </w:rPr>
        <w:t xml:space="preserve"> 1:1:1 </w:t>
      </w:r>
      <w:r w:rsidRPr="003E0B98">
        <w:rPr>
          <w:color w:val="000000"/>
          <w:szCs w:val="22"/>
          <w:lang w:val="es-ES_tradnl"/>
        </w:rPr>
        <w:t xml:space="preserve">para recibir </w:t>
      </w:r>
      <w:proofErr w:type="spellStart"/>
      <w:r w:rsidRPr="003E0B98">
        <w:rPr>
          <w:color w:val="000000"/>
          <w:szCs w:val="22"/>
          <w:lang w:val="es-ES_tradnl"/>
        </w:rPr>
        <w:t>ranibizumab</w:t>
      </w:r>
      <w:proofErr w:type="spellEnd"/>
      <w:r w:rsidRPr="003E0B98">
        <w:rPr>
          <w:color w:val="000000"/>
          <w:szCs w:val="22"/>
          <w:lang w:val="es-ES_tradnl"/>
        </w:rPr>
        <w:t xml:space="preserve"> 0,5 mg en monoterapia y fotocoagulación con láser simulada, o </w:t>
      </w:r>
      <w:proofErr w:type="spellStart"/>
      <w:r w:rsidRPr="003E0B98">
        <w:rPr>
          <w:color w:val="000000"/>
          <w:szCs w:val="22"/>
          <w:lang w:val="es-ES_tradnl"/>
        </w:rPr>
        <w:t>ranibizumab</w:t>
      </w:r>
      <w:proofErr w:type="spellEnd"/>
      <w:r w:rsidRPr="003E0B98">
        <w:rPr>
          <w:color w:val="000000"/>
          <w:szCs w:val="22"/>
          <w:lang w:val="es-ES_tradnl"/>
        </w:rPr>
        <w:t xml:space="preserve"> 0,5 mg y fotocoagulación con láser combinados, o inyección simulada y fotocoagulación con láser.</w:t>
      </w:r>
      <w:r w:rsidR="00973D08" w:rsidRPr="003E0B98">
        <w:rPr>
          <w:color w:val="000000"/>
          <w:szCs w:val="22"/>
          <w:lang w:val="es-ES_tradnl"/>
        </w:rPr>
        <w:t xml:space="preserve"> </w:t>
      </w:r>
      <w:r w:rsidR="00F76DD8" w:rsidRPr="003E0B98">
        <w:rPr>
          <w:bCs/>
          <w:color w:val="000000"/>
          <w:lang w:val="es-ES"/>
        </w:rPr>
        <w:t>En un ensayo de extensión de 24 meses multicéntrico y abierto (</w:t>
      </w:r>
      <w:proofErr w:type="spellStart"/>
      <w:r w:rsidR="00F76DD8" w:rsidRPr="003E0B98">
        <w:rPr>
          <w:bCs/>
          <w:color w:val="000000"/>
          <w:lang w:val="es-ES"/>
        </w:rPr>
        <w:t>Extension</w:t>
      </w:r>
      <w:proofErr w:type="spellEnd"/>
      <w:r w:rsidR="002D2A10" w:rsidRPr="003E0B98">
        <w:rPr>
          <w:bCs/>
          <w:color w:val="000000"/>
          <w:lang w:val="es-ES"/>
        </w:rPr>
        <w:t xml:space="preserve"> del ensayo RESTORE</w:t>
      </w:r>
      <w:r w:rsidR="00F76DD8" w:rsidRPr="003E0B98">
        <w:rPr>
          <w:bCs/>
          <w:color w:val="000000"/>
          <w:lang w:val="es-ES"/>
        </w:rPr>
        <w:t>)</w:t>
      </w:r>
      <w:r w:rsidR="002D2A10" w:rsidRPr="003E0B98">
        <w:rPr>
          <w:bCs/>
          <w:color w:val="000000"/>
          <w:lang w:val="es-ES"/>
        </w:rPr>
        <w:t xml:space="preserve"> fueron reclutados 240 pacientes, que previamente habían completado el ensayo REST</w:t>
      </w:r>
      <w:r w:rsidR="002F6538" w:rsidRPr="003E0B98">
        <w:rPr>
          <w:bCs/>
          <w:color w:val="000000"/>
          <w:lang w:val="es-ES"/>
        </w:rPr>
        <w:t xml:space="preserve">ORE de 12 meses. Los pacientes fueron tratados con </w:t>
      </w:r>
      <w:proofErr w:type="spellStart"/>
      <w:r w:rsidR="002F6538" w:rsidRPr="003E0B98">
        <w:rPr>
          <w:bCs/>
          <w:color w:val="000000"/>
          <w:lang w:val="es-ES"/>
        </w:rPr>
        <w:t>ranibizumab</w:t>
      </w:r>
      <w:proofErr w:type="spellEnd"/>
      <w:r w:rsidR="002F6538" w:rsidRPr="003E0B98">
        <w:rPr>
          <w:bCs/>
          <w:color w:val="000000"/>
          <w:lang w:val="es-ES"/>
        </w:rPr>
        <w:t xml:space="preserve"> 0,5 mg </w:t>
      </w:r>
      <w:proofErr w:type="gramStart"/>
      <w:r w:rsidR="002F6538" w:rsidRPr="003E0B98">
        <w:rPr>
          <w:bCs/>
          <w:i/>
          <w:color w:val="000000"/>
          <w:lang w:val="es-ES"/>
        </w:rPr>
        <w:t>pro re</w:t>
      </w:r>
      <w:proofErr w:type="gramEnd"/>
      <w:r w:rsidR="002F6538" w:rsidRPr="003E0B98">
        <w:rPr>
          <w:bCs/>
          <w:i/>
          <w:color w:val="000000"/>
          <w:lang w:val="es-ES"/>
        </w:rPr>
        <w:t xml:space="preserve"> nata</w:t>
      </w:r>
      <w:r w:rsidR="002F6538" w:rsidRPr="003E0B98">
        <w:rPr>
          <w:bCs/>
          <w:color w:val="000000"/>
          <w:lang w:val="es-ES"/>
        </w:rPr>
        <w:t xml:space="preserve"> (PRN) en el mismo ojo </w:t>
      </w:r>
      <w:r w:rsidR="00562568" w:rsidRPr="003E0B98">
        <w:rPr>
          <w:bCs/>
          <w:color w:val="000000"/>
          <w:lang w:val="es-ES"/>
        </w:rPr>
        <w:t xml:space="preserve">que </w:t>
      </w:r>
      <w:r w:rsidR="002F6538" w:rsidRPr="003E0B98">
        <w:rPr>
          <w:bCs/>
          <w:color w:val="000000"/>
          <w:lang w:val="es-ES"/>
        </w:rPr>
        <w:t xml:space="preserve">en el ensayo </w:t>
      </w:r>
      <w:proofErr w:type="spellStart"/>
      <w:r w:rsidR="00174177">
        <w:rPr>
          <w:bCs/>
          <w:color w:val="000000"/>
          <w:lang w:val="es-ES"/>
        </w:rPr>
        <w:t>pivotal</w:t>
      </w:r>
      <w:proofErr w:type="spellEnd"/>
      <w:r w:rsidR="00174177" w:rsidRPr="003E0B98">
        <w:rPr>
          <w:bCs/>
          <w:color w:val="000000"/>
          <w:lang w:val="es-ES"/>
        </w:rPr>
        <w:t xml:space="preserve"> </w:t>
      </w:r>
      <w:r w:rsidR="00562568" w:rsidRPr="003E0B98">
        <w:rPr>
          <w:bCs/>
          <w:color w:val="000000"/>
          <w:lang w:val="es-ES"/>
        </w:rPr>
        <w:t>(</w:t>
      </w:r>
      <w:r w:rsidR="002F6538" w:rsidRPr="003E0B98">
        <w:rPr>
          <w:bCs/>
          <w:color w:val="000000"/>
          <w:lang w:val="es-ES"/>
        </w:rPr>
        <w:t>D2301 RESTORE).</w:t>
      </w:r>
    </w:p>
    <w:p w14:paraId="77DBEFD3" w14:textId="77777777" w:rsidR="00343F22" w:rsidRPr="003E0B98" w:rsidRDefault="00343F22" w:rsidP="004361AC">
      <w:pPr>
        <w:tabs>
          <w:tab w:val="clear" w:pos="567"/>
        </w:tabs>
        <w:spacing w:line="240" w:lineRule="auto"/>
        <w:rPr>
          <w:color w:val="000000"/>
          <w:szCs w:val="22"/>
          <w:lang w:val="es-ES"/>
        </w:rPr>
      </w:pPr>
    </w:p>
    <w:p w14:paraId="4B8C68B7" w14:textId="77777777" w:rsidR="002E5034" w:rsidRPr="003E0B98" w:rsidRDefault="00601B27" w:rsidP="004361AC">
      <w:pPr>
        <w:tabs>
          <w:tab w:val="clear" w:pos="567"/>
        </w:tabs>
        <w:spacing w:line="240" w:lineRule="auto"/>
        <w:rPr>
          <w:color w:val="000000"/>
          <w:szCs w:val="22"/>
          <w:lang w:val="es-ES"/>
        </w:rPr>
      </w:pPr>
      <w:r w:rsidRPr="003E0B98">
        <w:rPr>
          <w:color w:val="000000"/>
          <w:szCs w:val="22"/>
          <w:lang w:val="es-ES_tradnl"/>
        </w:rPr>
        <w:t xml:space="preserve">Los resultados </w:t>
      </w:r>
      <w:r w:rsidR="0048517A" w:rsidRPr="003E0B98">
        <w:rPr>
          <w:color w:val="000000"/>
          <w:szCs w:val="22"/>
          <w:lang w:val="es-ES_tradnl"/>
        </w:rPr>
        <w:t>principales</w:t>
      </w:r>
      <w:r w:rsidRPr="003E0B98">
        <w:rPr>
          <w:color w:val="000000"/>
          <w:szCs w:val="22"/>
          <w:lang w:val="es-ES_tradnl"/>
        </w:rPr>
        <w:t xml:space="preserve"> se resumen en la Tabla </w:t>
      </w:r>
      <w:r w:rsidR="00010537" w:rsidRPr="003E0B98">
        <w:rPr>
          <w:color w:val="000000"/>
          <w:szCs w:val="22"/>
          <w:lang w:val="es-ES_tradnl"/>
        </w:rPr>
        <w:t>5</w:t>
      </w:r>
      <w:r w:rsidRPr="003E0B98">
        <w:rPr>
          <w:color w:val="000000"/>
          <w:szCs w:val="22"/>
          <w:lang w:val="es-ES_tradnl"/>
        </w:rPr>
        <w:t xml:space="preserve"> (RESTORE y</w:t>
      </w:r>
      <w:r w:rsidR="002629AA" w:rsidRPr="003E0B98">
        <w:rPr>
          <w:color w:val="000000"/>
          <w:szCs w:val="22"/>
          <w:lang w:val="es-ES_tradnl"/>
        </w:rPr>
        <w:t xml:space="preserve"> Extensió</w:t>
      </w:r>
      <w:r w:rsidRPr="003E0B98">
        <w:rPr>
          <w:color w:val="000000"/>
          <w:szCs w:val="22"/>
          <w:lang w:val="es-ES_tradnl"/>
        </w:rPr>
        <w:t>n) y en la Figura </w:t>
      </w:r>
      <w:r w:rsidR="00010537" w:rsidRPr="003E0B98">
        <w:rPr>
          <w:color w:val="000000"/>
          <w:szCs w:val="22"/>
          <w:lang w:val="es-ES_tradnl"/>
        </w:rPr>
        <w:t>4</w:t>
      </w:r>
      <w:r w:rsidRPr="003E0B98">
        <w:rPr>
          <w:color w:val="000000"/>
          <w:szCs w:val="22"/>
          <w:lang w:val="es-ES_tradnl"/>
        </w:rPr>
        <w:t xml:space="preserve"> (RESTORE).</w:t>
      </w:r>
    </w:p>
    <w:p w14:paraId="649A0015" w14:textId="77777777" w:rsidR="002E5034" w:rsidRPr="003E0B98" w:rsidRDefault="002E5034" w:rsidP="004361AC">
      <w:pPr>
        <w:tabs>
          <w:tab w:val="clear" w:pos="567"/>
        </w:tabs>
        <w:spacing w:line="240" w:lineRule="auto"/>
        <w:rPr>
          <w:bCs/>
          <w:lang w:val="es-ES"/>
        </w:rPr>
      </w:pPr>
    </w:p>
    <w:p w14:paraId="03020A09" w14:textId="77777777" w:rsidR="002E5034" w:rsidRPr="003E0B98" w:rsidRDefault="002E5034" w:rsidP="004361AC">
      <w:pPr>
        <w:keepNext/>
        <w:keepLines/>
        <w:tabs>
          <w:tab w:val="clear" w:pos="567"/>
        </w:tabs>
        <w:spacing w:line="240" w:lineRule="auto"/>
        <w:ind w:left="1134" w:hanging="1134"/>
        <w:rPr>
          <w:b/>
          <w:color w:val="000000"/>
          <w:szCs w:val="22"/>
          <w:lang w:val="es-ES_tradnl"/>
        </w:rPr>
      </w:pPr>
      <w:r w:rsidRPr="003E0B98">
        <w:rPr>
          <w:b/>
          <w:bCs/>
          <w:iCs/>
          <w:color w:val="000000"/>
          <w:szCs w:val="22"/>
          <w:lang w:val="es-ES_tradnl"/>
        </w:rPr>
        <w:t>Figura </w:t>
      </w:r>
      <w:r w:rsidR="00010537" w:rsidRPr="003E0B98">
        <w:rPr>
          <w:b/>
          <w:bCs/>
          <w:iCs/>
          <w:color w:val="000000"/>
          <w:szCs w:val="22"/>
          <w:lang w:val="es-ES_tradnl"/>
        </w:rPr>
        <w:t>4</w:t>
      </w:r>
      <w:r w:rsidRPr="003E0B98">
        <w:rPr>
          <w:b/>
          <w:bCs/>
          <w:iCs/>
          <w:color w:val="000000"/>
          <w:szCs w:val="22"/>
          <w:lang w:val="es-ES_tradnl"/>
        </w:rPr>
        <w:tab/>
      </w:r>
      <w:r w:rsidRPr="003E0B98">
        <w:rPr>
          <w:b/>
          <w:color w:val="000000"/>
          <w:szCs w:val="22"/>
          <w:lang w:val="es-ES_tradnl"/>
        </w:rPr>
        <w:t xml:space="preserve">Cambio </w:t>
      </w:r>
      <w:r w:rsidR="008A34E0" w:rsidRPr="003E0B98">
        <w:rPr>
          <w:b/>
          <w:color w:val="000000"/>
          <w:szCs w:val="22"/>
          <w:lang w:val="es-ES_tradnl"/>
        </w:rPr>
        <w:t>pro</w:t>
      </w:r>
      <w:r w:rsidRPr="003E0B98">
        <w:rPr>
          <w:b/>
          <w:color w:val="000000"/>
          <w:szCs w:val="22"/>
          <w:lang w:val="es-ES_tradnl"/>
        </w:rPr>
        <w:t xml:space="preserve">medio </w:t>
      </w:r>
      <w:r w:rsidR="008222CB" w:rsidRPr="003E0B98">
        <w:rPr>
          <w:b/>
          <w:color w:val="000000"/>
          <w:szCs w:val="22"/>
          <w:lang w:val="es-ES_tradnl"/>
        </w:rPr>
        <w:t>de</w:t>
      </w:r>
      <w:r w:rsidRPr="003E0B98">
        <w:rPr>
          <w:b/>
          <w:color w:val="000000"/>
          <w:szCs w:val="22"/>
          <w:lang w:val="es-ES_tradnl"/>
        </w:rPr>
        <w:t xml:space="preserve"> la agudeza visual en el tiempo desde el inicio, en el estudio D2301 (RESTORE)</w:t>
      </w:r>
    </w:p>
    <w:p w14:paraId="0047BE09" w14:textId="77777777" w:rsidR="002E5034" w:rsidRPr="003E0B98" w:rsidRDefault="002E5034" w:rsidP="004361AC">
      <w:pPr>
        <w:keepNext/>
        <w:keepLines/>
        <w:tabs>
          <w:tab w:val="clear" w:pos="567"/>
        </w:tabs>
        <w:spacing w:line="240" w:lineRule="auto"/>
        <w:rPr>
          <w:color w:val="000000"/>
          <w:szCs w:val="22"/>
          <w:lang w:val="es-ES_tradnl"/>
        </w:rPr>
      </w:pPr>
    </w:p>
    <w:p w14:paraId="5B520CAD" w14:textId="0A6EB61D" w:rsidR="001B4FEA" w:rsidRPr="003E0B98" w:rsidRDefault="00567F61" w:rsidP="004361AC">
      <w:pPr>
        <w:tabs>
          <w:tab w:val="clear" w:pos="567"/>
        </w:tabs>
        <w:spacing w:line="240" w:lineRule="auto"/>
        <w:rPr>
          <w:color w:val="000000"/>
          <w:szCs w:val="22"/>
          <w:lang w:val="es-ES_tradnl"/>
        </w:rPr>
      </w:pPr>
      <w:r w:rsidRPr="003E0B98">
        <w:rPr>
          <w:noProof/>
          <w:lang w:val="es-ES" w:eastAsia="es-ES"/>
        </w:rPr>
        <w:drawing>
          <wp:inline distT="0" distB="0" distL="0" distR="0" wp14:anchorId="544D2B82" wp14:editId="0DABA388">
            <wp:extent cx="5760085" cy="3752215"/>
            <wp:effectExtent l="0" t="0" r="0" b="63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60085" cy="3752215"/>
                    </a:xfrm>
                    <a:prstGeom prst="rect">
                      <a:avLst/>
                    </a:prstGeom>
                  </pic:spPr>
                </pic:pic>
              </a:graphicData>
            </a:graphic>
          </wp:inline>
        </w:drawing>
      </w:r>
    </w:p>
    <w:p w14:paraId="75BD3C87" w14:textId="77777777" w:rsidR="001B4FEA" w:rsidRPr="003E0B98" w:rsidRDefault="001B4FEA" w:rsidP="004361AC">
      <w:pPr>
        <w:tabs>
          <w:tab w:val="clear" w:pos="567"/>
        </w:tabs>
        <w:spacing w:line="240" w:lineRule="auto"/>
        <w:rPr>
          <w:color w:val="000000"/>
          <w:szCs w:val="22"/>
          <w:lang w:val="es-ES_tradnl"/>
        </w:rPr>
      </w:pPr>
    </w:p>
    <w:p w14:paraId="7C24178D" w14:textId="77777777" w:rsidR="00D1338D" w:rsidRPr="00EA2C69" w:rsidRDefault="00D1338D" w:rsidP="004361AC">
      <w:pPr>
        <w:pStyle w:val="NoSpacing"/>
        <w:rPr>
          <w:lang w:val="es-ES_tradnl"/>
        </w:rPr>
      </w:pPr>
      <w:r w:rsidRPr="00EA2C69">
        <w:rPr>
          <w:lang w:val="es-ES_tradnl"/>
        </w:rPr>
        <w:t>BL=valor inicial; ES= error estándar de la media</w:t>
      </w:r>
    </w:p>
    <w:p w14:paraId="0FA870F7" w14:textId="38E0BD44" w:rsidR="00D1338D" w:rsidRPr="00EA2C69" w:rsidRDefault="00D1338D" w:rsidP="004361AC">
      <w:pPr>
        <w:pStyle w:val="NoSpacing"/>
        <w:rPr>
          <w:lang w:val="es-ES_tradnl"/>
        </w:rPr>
      </w:pPr>
      <w:r w:rsidRPr="00EA2C69">
        <w:rPr>
          <w:lang w:val="es-ES_tradnl"/>
        </w:rPr>
        <w:t>* Diferencia de medias de mínimos cuadrados, p</w:t>
      </w:r>
      <w:r w:rsidRPr="00EA2C69">
        <w:rPr>
          <w:lang w:val="en-GB"/>
        </w:rPr>
        <w:sym w:font="Symbol" w:char="F03C"/>
      </w:r>
      <w:r w:rsidRPr="00EA2C69">
        <w:rPr>
          <w:lang w:val="es-ES_tradnl"/>
        </w:rPr>
        <w:t xml:space="preserve">0,0001/0,0004 basado en </w:t>
      </w:r>
      <w:r w:rsidR="007E4718">
        <w:rPr>
          <w:lang w:val="es-ES_tradnl"/>
        </w:rPr>
        <w:t>la prueba de datos estratificados emparejados</w:t>
      </w:r>
      <w:r w:rsidRPr="00EA2C69">
        <w:rPr>
          <w:lang w:val="es-ES_tradnl"/>
        </w:rPr>
        <w:t xml:space="preserve"> de Cochran-Mantel-</w:t>
      </w:r>
      <w:proofErr w:type="spellStart"/>
      <w:r w:rsidRPr="00EA2C69">
        <w:rPr>
          <w:lang w:val="es-ES_tradnl"/>
        </w:rPr>
        <w:t>Haenszel</w:t>
      </w:r>
      <w:proofErr w:type="spellEnd"/>
    </w:p>
    <w:p w14:paraId="4C027E22" w14:textId="77777777" w:rsidR="00D1338D" w:rsidRDefault="00D1338D" w:rsidP="004361AC">
      <w:pPr>
        <w:tabs>
          <w:tab w:val="clear" w:pos="567"/>
        </w:tabs>
        <w:spacing w:line="240" w:lineRule="auto"/>
        <w:rPr>
          <w:color w:val="000000"/>
          <w:szCs w:val="22"/>
          <w:lang w:val="es-ES_tradnl"/>
        </w:rPr>
      </w:pPr>
    </w:p>
    <w:p w14:paraId="77C8085E" w14:textId="77777777" w:rsidR="00601B27" w:rsidRPr="003E0B98" w:rsidRDefault="00601B27" w:rsidP="004361AC">
      <w:pPr>
        <w:tabs>
          <w:tab w:val="clear" w:pos="567"/>
        </w:tabs>
        <w:spacing w:line="240" w:lineRule="auto"/>
        <w:rPr>
          <w:bCs/>
          <w:iCs/>
          <w:color w:val="000000"/>
          <w:szCs w:val="22"/>
          <w:lang w:val="es-ES_tradnl"/>
        </w:rPr>
      </w:pPr>
      <w:r w:rsidRPr="003E0B98">
        <w:rPr>
          <w:color w:val="000000"/>
          <w:szCs w:val="22"/>
          <w:lang w:val="es-ES_tradnl"/>
        </w:rPr>
        <w:t xml:space="preserve">El efecto a los 12 meses fue consistente en la mayoría de </w:t>
      </w:r>
      <w:proofErr w:type="gramStart"/>
      <w:r w:rsidRPr="003E0B98">
        <w:rPr>
          <w:color w:val="000000"/>
          <w:szCs w:val="22"/>
          <w:lang w:val="es-ES_tradnl"/>
        </w:rPr>
        <w:t>subgrupos</w:t>
      </w:r>
      <w:proofErr w:type="gramEnd"/>
      <w:r w:rsidRPr="003E0B98">
        <w:rPr>
          <w:color w:val="000000"/>
          <w:szCs w:val="22"/>
          <w:lang w:val="es-ES_tradnl"/>
        </w:rPr>
        <w:t xml:space="preserve">. Sin embargo, sujetos con una AVMC al inicio &gt;73 letras y con un edema macular con un grosor de la retina central </w:t>
      </w:r>
      <w:r w:rsidRPr="003E0B98">
        <w:rPr>
          <w:bCs/>
          <w:iCs/>
          <w:color w:val="000000"/>
          <w:szCs w:val="22"/>
          <w:lang w:val="es-ES_tradnl"/>
        </w:rPr>
        <w:t>&lt;300 </w:t>
      </w:r>
      <w:r w:rsidRPr="003E0B98">
        <w:rPr>
          <w:bCs/>
          <w:iCs/>
          <w:color w:val="000000"/>
          <w:szCs w:val="22"/>
        </w:rPr>
        <w:sym w:font="Symbol" w:char="F06D"/>
      </w:r>
      <w:r w:rsidRPr="003E0B98">
        <w:rPr>
          <w:bCs/>
          <w:iCs/>
          <w:color w:val="000000"/>
          <w:szCs w:val="22"/>
          <w:lang w:val="es-ES_tradnl"/>
        </w:rPr>
        <w:t xml:space="preserve">m, no parecían beneficiarse del tratamiento con </w:t>
      </w:r>
      <w:proofErr w:type="spellStart"/>
      <w:r w:rsidRPr="003E0B98">
        <w:rPr>
          <w:bCs/>
          <w:iCs/>
          <w:color w:val="000000"/>
          <w:szCs w:val="22"/>
          <w:lang w:val="es-ES_tradnl"/>
        </w:rPr>
        <w:t>ranibizumab</w:t>
      </w:r>
      <w:proofErr w:type="spellEnd"/>
      <w:r w:rsidRPr="003E0B98">
        <w:rPr>
          <w:bCs/>
          <w:iCs/>
          <w:color w:val="000000"/>
          <w:szCs w:val="22"/>
          <w:lang w:val="es-ES_tradnl"/>
        </w:rPr>
        <w:t xml:space="preserve"> comparado con la fotocoagulación con láser.</w:t>
      </w:r>
    </w:p>
    <w:p w14:paraId="4FF5EBC5" w14:textId="77777777" w:rsidR="00601B27" w:rsidRPr="003E0B98" w:rsidRDefault="00601B27" w:rsidP="004361AC">
      <w:pPr>
        <w:tabs>
          <w:tab w:val="clear" w:pos="567"/>
        </w:tabs>
        <w:spacing w:line="240" w:lineRule="auto"/>
        <w:rPr>
          <w:color w:val="000000"/>
          <w:szCs w:val="22"/>
          <w:lang w:val="es-ES_tradnl"/>
        </w:rPr>
      </w:pPr>
    </w:p>
    <w:p w14:paraId="2862B484" w14:textId="77777777" w:rsidR="00AD2B21" w:rsidRPr="003E0B98" w:rsidRDefault="00AD2B21" w:rsidP="004361AC">
      <w:pPr>
        <w:keepNext/>
        <w:keepLines/>
        <w:ind w:left="1134" w:hanging="1134"/>
        <w:rPr>
          <w:b/>
          <w:bCs/>
          <w:iCs/>
          <w:color w:val="000000"/>
          <w:szCs w:val="22"/>
          <w:lang w:val="es-ES"/>
        </w:rPr>
      </w:pPr>
      <w:r w:rsidRPr="003E0B98">
        <w:rPr>
          <w:b/>
          <w:bCs/>
          <w:iCs/>
          <w:color w:val="000000"/>
          <w:szCs w:val="22"/>
          <w:lang w:val="es-ES"/>
        </w:rPr>
        <w:t>Tabla </w:t>
      </w:r>
      <w:r w:rsidR="00010537" w:rsidRPr="003E0B98">
        <w:rPr>
          <w:b/>
          <w:bCs/>
          <w:iCs/>
          <w:color w:val="000000"/>
          <w:szCs w:val="22"/>
          <w:lang w:val="es-ES"/>
        </w:rPr>
        <w:t>5</w:t>
      </w:r>
      <w:r w:rsidRPr="003E0B98">
        <w:rPr>
          <w:b/>
          <w:bCs/>
          <w:iCs/>
          <w:color w:val="000000"/>
          <w:szCs w:val="22"/>
          <w:lang w:val="es-ES"/>
        </w:rPr>
        <w:tab/>
      </w:r>
      <w:r w:rsidRPr="003E0B98">
        <w:rPr>
          <w:b/>
          <w:color w:val="000000"/>
          <w:szCs w:val="22"/>
          <w:lang w:val="es-ES_tradnl"/>
        </w:rPr>
        <w:t>Resultados al Mes 12 en el estudio D2301 (RESTORE) y al Mes</w:t>
      </w:r>
      <w:r w:rsidRPr="003E0B98">
        <w:rPr>
          <w:b/>
          <w:bCs/>
          <w:iCs/>
          <w:color w:val="000000"/>
          <w:szCs w:val="22"/>
          <w:lang w:val="es-ES"/>
        </w:rPr>
        <w:t xml:space="preserve"> 36 </w:t>
      </w:r>
      <w:r w:rsidRPr="003E0B98">
        <w:rPr>
          <w:b/>
          <w:color w:val="000000"/>
          <w:szCs w:val="22"/>
          <w:lang w:val="es-ES_tradnl"/>
        </w:rPr>
        <w:t xml:space="preserve">en el estudio </w:t>
      </w:r>
      <w:r w:rsidRPr="003E0B98">
        <w:rPr>
          <w:b/>
          <w:bCs/>
          <w:iCs/>
          <w:color w:val="000000"/>
          <w:szCs w:val="22"/>
          <w:lang w:val="es-ES"/>
        </w:rPr>
        <w:t>D2301-E1 (Extensión del estudio RESTORE)</w:t>
      </w:r>
    </w:p>
    <w:p w14:paraId="6DB3FE86" w14:textId="77777777" w:rsidR="00AD2B21" w:rsidRPr="003E0B98" w:rsidRDefault="00AD2B21" w:rsidP="004361AC">
      <w:pPr>
        <w:keepNext/>
        <w:keepLines/>
        <w:rPr>
          <w:bCs/>
          <w:iCs/>
          <w:color w:val="000000"/>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3971"/>
        <w:gridCol w:w="1834"/>
        <w:gridCol w:w="1964"/>
        <w:gridCol w:w="1292"/>
      </w:tblGrid>
      <w:tr w:rsidR="00AD2B21" w:rsidRPr="003E0B98" w14:paraId="0869884E" w14:textId="77777777" w:rsidTr="00FF2CF4">
        <w:trPr>
          <w:trHeight w:val="932"/>
        </w:trPr>
        <w:tc>
          <w:tcPr>
            <w:tcW w:w="4069" w:type="dxa"/>
            <w:tcBorders>
              <w:top w:val="single" w:sz="4" w:space="0" w:color="auto"/>
              <w:left w:val="single" w:sz="4" w:space="0" w:color="auto"/>
              <w:bottom w:val="single" w:sz="4" w:space="0" w:color="auto"/>
              <w:right w:val="single" w:sz="4" w:space="0" w:color="auto"/>
            </w:tcBorders>
            <w:shd w:val="clear" w:color="auto" w:fill="FFFFFF"/>
          </w:tcPr>
          <w:p w14:paraId="2D383AF7" w14:textId="77777777" w:rsidR="00AD2B21" w:rsidRPr="003E0B98" w:rsidRDefault="00742720" w:rsidP="004361AC">
            <w:pPr>
              <w:keepNext/>
              <w:rPr>
                <w:bCs/>
                <w:iCs/>
                <w:color w:val="000000"/>
                <w:szCs w:val="22"/>
                <w:lang w:val="es-ES"/>
              </w:rPr>
            </w:pPr>
            <w:r w:rsidRPr="003E0B98">
              <w:rPr>
                <w:color w:val="000000"/>
                <w:lang w:val="es-ES_tradnl"/>
              </w:rPr>
              <w:t>Medidas del resultado al Mes 12</w:t>
            </w:r>
            <w:r w:rsidRPr="003E0B98">
              <w:rPr>
                <w:bCs/>
                <w:iCs/>
                <w:color w:val="000000"/>
                <w:szCs w:val="22"/>
                <w:lang w:val="es-ES_tradnl"/>
              </w:rPr>
              <w:t xml:space="preserve"> comparado con el valor inicial</w:t>
            </w:r>
            <w:r w:rsidRPr="003E0B98">
              <w:rPr>
                <w:bCs/>
                <w:iCs/>
                <w:color w:val="000000"/>
                <w:szCs w:val="22"/>
                <w:lang w:val="es-ES"/>
              </w:rPr>
              <w:t xml:space="preserve"> en el estudio</w:t>
            </w:r>
            <w:r w:rsidR="00AD2B21" w:rsidRPr="003E0B98">
              <w:rPr>
                <w:bCs/>
                <w:iCs/>
                <w:color w:val="000000"/>
                <w:szCs w:val="22"/>
                <w:lang w:val="es-ES"/>
              </w:rPr>
              <w:t xml:space="preserve"> D2301 (RESTORE)</w:t>
            </w:r>
          </w:p>
        </w:tc>
        <w:tc>
          <w:tcPr>
            <w:tcW w:w="1851" w:type="dxa"/>
            <w:tcBorders>
              <w:top w:val="single" w:sz="4" w:space="0" w:color="auto"/>
              <w:left w:val="single" w:sz="4" w:space="0" w:color="auto"/>
              <w:bottom w:val="single" w:sz="4" w:space="0" w:color="auto"/>
              <w:right w:val="single" w:sz="4" w:space="0" w:color="auto"/>
            </w:tcBorders>
            <w:shd w:val="clear" w:color="auto" w:fill="FFFFFF"/>
          </w:tcPr>
          <w:p w14:paraId="613AD8F0" w14:textId="77777777" w:rsidR="00AD2B21" w:rsidRPr="003E0B98" w:rsidRDefault="00AD2B21" w:rsidP="004361AC">
            <w:pPr>
              <w:keepNext/>
              <w:jc w:val="center"/>
              <w:rPr>
                <w:bCs/>
                <w:iCs/>
                <w:color w:val="000000"/>
                <w:szCs w:val="22"/>
                <w:lang w:val="sv-SE"/>
              </w:rPr>
            </w:pPr>
            <w:r w:rsidRPr="003E0B98">
              <w:rPr>
                <w:bCs/>
                <w:iCs/>
                <w:color w:val="000000"/>
                <w:szCs w:val="22"/>
                <w:lang w:val="sv-SE"/>
              </w:rPr>
              <w:t>Ranibizumab</w:t>
            </w:r>
          </w:p>
          <w:p w14:paraId="29A16CC5" w14:textId="77777777" w:rsidR="00AD2B21" w:rsidRPr="003E0B98" w:rsidRDefault="00AD2B21" w:rsidP="004361AC">
            <w:pPr>
              <w:keepNext/>
              <w:jc w:val="center"/>
              <w:rPr>
                <w:bCs/>
                <w:iCs/>
                <w:color w:val="000000"/>
                <w:szCs w:val="22"/>
                <w:lang w:val="sv-SE"/>
              </w:rPr>
            </w:pPr>
            <w:r w:rsidRPr="003E0B98">
              <w:rPr>
                <w:bCs/>
                <w:iCs/>
                <w:color w:val="000000"/>
                <w:szCs w:val="22"/>
                <w:lang w:val="sv-SE"/>
              </w:rPr>
              <w:t>0,5 mg</w:t>
            </w:r>
          </w:p>
          <w:p w14:paraId="30D68587" w14:textId="77777777" w:rsidR="00AD2B21" w:rsidRPr="003E0B98" w:rsidRDefault="00AD2B21" w:rsidP="004361AC">
            <w:pPr>
              <w:keepNext/>
              <w:jc w:val="center"/>
              <w:rPr>
                <w:bCs/>
                <w:iCs/>
                <w:color w:val="000000"/>
                <w:szCs w:val="22"/>
                <w:lang w:val="sv-SE"/>
              </w:rPr>
            </w:pPr>
            <w:r w:rsidRPr="003E0B98">
              <w:rPr>
                <w:bCs/>
                <w:iCs/>
                <w:color w:val="000000"/>
                <w:szCs w:val="22"/>
                <w:lang w:val="sv-SE"/>
              </w:rPr>
              <w:t>n=115</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30CD5C38" w14:textId="77777777" w:rsidR="00AD2B21" w:rsidRPr="003E0B98" w:rsidRDefault="00AD2B21" w:rsidP="004361AC">
            <w:pPr>
              <w:keepNext/>
              <w:jc w:val="center"/>
              <w:rPr>
                <w:bCs/>
                <w:iCs/>
                <w:color w:val="000000"/>
                <w:szCs w:val="22"/>
                <w:lang w:val="sv-SE"/>
              </w:rPr>
            </w:pPr>
            <w:r w:rsidRPr="003E0B98">
              <w:rPr>
                <w:bCs/>
                <w:iCs/>
                <w:color w:val="000000"/>
                <w:szCs w:val="22"/>
                <w:lang w:val="sv-SE"/>
              </w:rPr>
              <w:t>Ranibizumab</w:t>
            </w:r>
          </w:p>
          <w:p w14:paraId="51579175" w14:textId="77777777" w:rsidR="00AD2B21" w:rsidRPr="003E0B98" w:rsidRDefault="00AD2B21" w:rsidP="004361AC">
            <w:pPr>
              <w:keepNext/>
              <w:jc w:val="center"/>
              <w:rPr>
                <w:bCs/>
                <w:iCs/>
                <w:color w:val="000000"/>
                <w:szCs w:val="22"/>
                <w:lang w:val="en-US"/>
              </w:rPr>
            </w:pPr>
            <w:r w:rsidRPr="003E0B98">
              <w:rPr>
                <w:bCs/>
                <w:iCs/>
                <w:color w:val="000000"/>
                <w:szCs w:val="22"/>
                <w:lang w:val="sv-SE"/>
              </w:rPr>
              <w:t>0,5 mg + Láser</w:t>
            </w:r>
            <w:r w:rsidRPr="003E0B98">
              <w:rPr>
                <w:bCs/>
                <w:iCs/>
                <w:color w:val="000000"/>
                <w:szCs w:val="22"/>
                <w:lang w:val="en-US"/>
              </w:rPr>
              <w:t xml:space="preserve"> n=118</w:t>
            </w:r>
          </w:p>
        </w:tc>
        <w:tc>
          <w:tcPr>
            <w:tcW w:w="1292" w:type="dxa"/>
            <w:tcBorders>
              <w:top w:val="single" w:sz="4" w:space="0" w:color="auto"/>
              <w:left w:val="single" w:sz="4" w:space="0" w:color="auto"/>
              <w:bottom w:val="single" w:sz="4" w:space="0" w:color="auto"/>
              <w:right w:val="single" w:sz="4" w:space="0" w:color="auto"/>
            </w:tcBorders>
            <w:shd w:val="clear" w:color="auto" w:fill="FFFFFF"/>
          </w:tcPr>
          <w:p w14:paraId="2774096D" w14:textId="77777777" w:rsidR="00AD2B21" w:rsidRPr="003E0B98" w:rsidRDefault="00AD2B21" w:rsidP="004361AC">
            <w:pPr>
              <w:keepNext/>
              <w:jc w:val="center"/>
              <w:rPr>
                <w:bCs/>
                <w:iCs/>
                <w:color w:val="000000"/>
                <w:szCs w:val="22"/>
                <w:lang w:val="en-US"/>
              </w:rPr>
            </w:pPr>
            <w:r w:rsidRPr="003E0B98">
              <w:rPr>
                <w:bCs/>
                <w:iCs/>
                <w:color w:val="000000"/>
                <w:szCs w:val="22"/>
                <w:lang w:val="sv-SE"/>
              </w:rPr>
              <w:t>Láser</w:t>
            </w:r>
          </w:p>
          <w:p w14:paraId="299A5EDC" w14:textId="77777777" w:rsidR="00AD2B21" w:rsidRPr="003E0B98" w:rsidRDefault="00AD2B21" w:rsidP="004361AC">
            <w:pPr>
              <w:keepNext/>
              <w:jc w:val="center"/>
              <w:rPr>
                <w:bCs/>
                <w:iCs/>
                <w:color w:val="000000"/>
                <w:szCs w:val="22"/>
                <w:lang w:val="en-US"/>
              </w:rPr>
            </w:pPr>
          </w:p>
          <w:p w14:paraId="2235E39B" w14:textId="77777777" w:rsidR="00AD2B21" w:rsidRPr="003E0B98" w:rsidRDefault="00AD2B21" w:rsidP="004361AC">
            <w:pPr>
              <w:keepNext/>
              <w:jc w:val="center"/>
              <w:rPr>
                <w:bCs/>
                <w:iCs/>
                <w:color w:val="000000"/>
                <w:szCs w:val="22"/>
                <w:lang w:val="sv-SE"/>
              </w:rPr>
            </w:pPr>
            <w:r w:rsidRPr="003E0B98">
              <w:rPr>
                <w:bCs/>
                <w:iCs/>
                <w:color w:val="000000"/>
                <w:szCs w:val="22"/>
                <w:lang w:val="en-US"/>
              </w:rPr>
              <w:t>n=110</w:t>
            </w:r>
          </w:p>
        </w:tc>
      </w:tr>
      <w:tr w:rsidR="00AD2B21" w:rsidRPr="003E0B98" w14:paraId="23E7C0D1" w14:textId="77777777" w:rsidTr="00FF2CF4">
        <w:trPr>
          <w:trHeight w:val="270"/>
        </w:trPr>
        <w:tc>
          <w:tcPr>
            <w:tcW w:w="4069" w:type="dxa"/>
            <w:tcBorders>
              <w:top w:val="single" w:sz="4" w:space="0" w:color="auto"/>
              <w:left w:val="single" w:sz="4" w:space="0" w:color="auto"/>
              <w:bottom w:val="single" w:sz="4" w:space="0" w:color="auto"/>
              <w:right w:val="single" w:sz="4" w:space="0" w:color="auto"/>
            </w:tcBorders>
            <w:shd w:val="clear" w:color="auto" w:fill="FFFFFF"/>
          </w:tcPr>
          <w:p w14:paraId="539EC764" w14:textId="77777777" w:rsidR="00AD2B21" w:rsidRPr="003E0B98" w:rsidRDefault="00742720" w:rsidP="004361AC">
            <w:pPr>
              <w:keepNext/>
              <w:rPr>
                <w:bCs/>
                <w:iCs/>
                <w:color w:val="000000"/>
                <w:szCs w:val="22"/>
                <w:lang w:val="es-ES"/>
              </w:rPr>
            </w:pPr>
            <w:r w:rsidRPr="003E0B98">
              <w:rPr>
                <w:color w:val="000000"/>
                <w:szCs w:val="22"/>
                <w:lang w:val="es-ES_tradnl"/>
              </w:rPr>
              <w:t xml:space="preserve">Cambio </w:t>
            </w:r>
            <w:r w:rsidR="006006F4" w:rsidRPr="003E0B98">
              <w:rPr>
                <w:color w:val="000000"/>
                <w:szCs w:val="22"/>
                <w:lang w:val="es-ES_tradnl"/>
              </w:rPr>
              <w:t>pro</w:t>
            </w:r>
            <w:r w:rsidRPr="003E0B98">
              <w:rPr>
                <w:color w:val="000000"/>
                <w:szCs w:val="22"/>
                <w:lang w:val="es-ES_tradnl"/>
              </w:rPr>
              <w:t xml:space="preserve">medio </w:t>
            </w:r>
            <w:r w:rsidR="008222CB" w:rsidRPr="003E0B98">
              <w:rPr>
                <w:color w:val="000000"/>
                <w:szCs w:val="22"/>
                <w:lang w:val="es-ES_tradnl"/>
              </w:rPr>
              <w:t>de</w:t>
            </w:r>
            <w:r w:rsidRPr="003E0B98">
              <w:rPr>
                <w:color w:val="000000"/>
                <w:szCs w:val="22"/>
                <w:lang w:val="es-ES_tradnl"/>
              </w:rPr>
              <w:t xml:space="preserve"> la AVMC desde el Mes 1 al Mes 12</w:t>
            </w:r>
            <w:r w:rsidRPr="003E0B98">
              <w:rPr>
                <w:color w:val="000000"/>
                <w:szCs w:val="22"/>
                <w:vertAlign w:val="superscript"/>
                <w:lang w:val="es-ES_tradnl"/>
              </w:rPr>
              <w:t>a</w:t>
            </w:r>
            <w:r w:rsidRPr="003E0B98">
              <w:rPr>
                <w:bCs/>
                <w:iCs/>
                <w:color w:val="000000"/>
                <w:szCs w:val="22"/>
                <w:lang w:val="es-ES_tradnl"/>
              </w:rPr>
              <w:t xml:space="preserve"> (</w:t>
            </w:r>
            <w:r w:rsidRPr="003E0B98">
              <w:rPr>
                <w:bCs/>
                <w:iCs/>
                <w:color w:val="000000"/>
                <w:szCs w:val="22"/>
                <w:lang w:val="en-US"/>
              </w:rPr>
              <w:sym w:font="Symbol" w:char="F0B1"/>
            </w:r>
            <w:r w:rsidRPr="003E0B98">
              <w:rPr>
                <w:bCs/>
                <w:iCs/>
                <w:color w:val="000000"/>
                <w:szCs w:val="22"/>
                <w:lang w:val="es-ES_tradnl"/>
              </w:rPr>
              <w:t>desviación estándar)</w:t>
            </w:r>
          </w:p>
        </w:tc>
        <w:tc>
          <w:tcPr>
            <w:tcW w:w="1851" w:type="dxa"/>
            <w:tcBorders>
              <w:top w:val="single" w:sz="4" w:space="0" w:color="auto"/>
              <w:left w:val="single" w:sz="4" w:space="0" w:color="auto"/>
              <w:bottom w:val="single" w:sz="4" w:space="0" w:color="auto"/>
              <w:right w:val="single" w:sz="4" w:space="0" w:color="auto"/>
            </w:tcBorders>
            <w:shd w:val="clear" w:color="auto" w:fill="FFFFFF"/>
          </w:tcPr>
          <w:p w14:paraId="0D5423DE" w14:textId="77777777" w:rsidR="00AD2B21" w:rsidRPr="003E0B98" w:rsidRDefault="00AD2B21" w:rsidP="004361AC">
            <w:pPr>
              <w:keepNext/>
              <w:jc w:val="center"/>
              <w:rPr>
                <w:bCs/>
                <w:iCs/>
                <w:color w:val="000000"/>
                <w:szCs w:val="22"/>
                <w:lang w:val="en-US"/>
              </w:rPr>
            </w:pPr>
            <w:r w:rsidRPr="003E0B98">
              <w:rPr>
                <w:bCs/>
                <w:iCs/>
                <w:color w:val="000000"/>
                <w:szCs w:val="22"/>
                <w:lang w:val="sv-SE"/>
              </w:rPr>
              <w:t>6,1 (6,4)</w:t>
            </w:r>
            <w:r w:rsidRPr="003E0B98">
              <w:rPr>
                <w:bCs/>
                <w:iCs/>
                <w:color w:val="000000"/>
                <w:szCs w:val="22"/>
                <w:vertAlign w:val="superscript"/>
                <w:lang w:val="sv-SE"/>
              </w:rPr>
              <w:t>a</w:t>
            </w:r>
          </w:p>
        </w:tc>
        <w:tc>
          <w:tcPr>
            <w:tcW w:w="1985" w:type="dxa"/>
            <w:tcBorders>
              <w:top w:val="single" w:sz="4" w:space="0" w:color="auto"/>
              <w:left w:val="single" w:sz="4" w:space="0" w:color="auto"/>
              <w:bottom w:val="single" w:sz="4" w:space="0" w:color="auto"/>
              <w:right w:val="single" w:sz="2" w:space="0" w:color="auto"/>
            </w:tcBorders>
            <w:shd w:val="clear" w:color="auto" w:fill="FFFFFF"/>
          </w:tcPr>
          <w:p w14:paraId="6FF0BBA2" w14:textId="77777777" w:rsidR="00AD2B21" w:rsidRPr="003E0B98" w:rsidRDefault="00AD2B21" w:rsidP="004361AC">
            <w:pPr>
              <w:keepNext/>
              <w:jc w:val="center"/>
              <w:rPr>
                <w:bCs/>
                <w:iCs/>
                <w:color w:val="000000"/>
                <w:szCs w:val="22"/>
                <w:lang w:val="en-US"/>
              </w:rPr>
            </w:pPr>
            <w:r w:rsidRPr="003E0B98">
              <w:rPr>
                <w:bCs/>
                <w:iCs/>
                <w:color w:val="000000"/>
                <w:szCs w:val="22"/>
                <w:lang w:val="sv-SE"/>
              </w:rPr>
              <w:t>5,9 (7,9)</w:t>
            </w:r>
            <w:r w:rsidRPr="003E0B98">
              <w:rPr>
                <w:bCs/>
                <w:iCs/>
                <w:color w:val="000000"/>
                <w:szCs w:val="22"/>
                <w:vertAlign w:val="superscript"/>
                <w:lang w:val="sv-SE"/>
              </w:rPr>
              <w:t>a</w:t>
            </w:r>
          </w:p>
        </w:tc>
        <w:tc>
          <w:tcPr>
            <w:tcW w:w="1292" w:type="dxa"/>
            <w:tcBorders>
              <w:top w:val="single" w:sz="4" w:space="0" w:color="auto"/>
              <w:left w:val="single" w:sz="2" w:space="0" w:color="auto"/>
              <w:bottom w:val="single" w:sz="4" w:space="0" w:color="auto"/>
              <w:right w:val="single" w:sz="4" w:space="0" w:color="auto"/>
            </w:tcBorders>
            <w:shd w:val="clear" w:color="auto" w:fill="FFFFFF"/>
          </w:tcPr>
          <w:p w14:paraId="015B3AB4" w14:textId="77777777" w:rsidR="00AD2B21" w:rsidRPr="003E0B98" w:rsidRDefault="00AD2B21" w:rsidP="004361AC">
            <w:pPr>
              <w:keepNext/>
              <w:jc w:val="center"/>
              <w:rPr>
                <w:bCs/>
                <w:iCs/>
                <w:color w:val="000000"/>
                <w:szCs w:val="22"/>
                <w:lang w:val="en-US"/>
              </w:rPr>
            </w:pPr>
            <w:r w:rsidRPr="003E0B98">
              <w:rPr>
                <w:bCs/>
                <w:iCs/>
                <w:color w:val="000000"/>
                <w:szCs w:val="22"/>
                <w:lang w:val="sv-SE"/>
              </w:rPr>
              <w:t>0,8 (8,6)</w:t>
            </w:r>
          </w:p>
        </w:tc>
      </w:tr>
      <w:tr w:rsidR="00AD2B21" w:rsidRPr="003E0B98" w14:paraId="789B9338" w14:textId="77777777" w:rsidTr="00FF2CF4">
        <w:trPr>
          <w:trHeight w:val="270"/>
        </w:trPr>
        <w:tc>
          <w:tcPr>
            <w:tcW w:w="4069" w:type="dxa"/>
            <w:tcBorders>
              <w:top w:val="single" w:sz="4" w:space="0" w:color="auto"/>
              <w:left w:val="single" w:sz="4" w:space="0" w:color="auto"/>
              <w:bottom w:val="single" w:sz="4" w:space="0" w:color="auto"/>
              <w:right w:val="single" w:sz="4" w:space="0" w:color="auto"/>
            </w:tcBorders>
            <w:shd w:val="clear" w:color="auto" w:fill="FFFFFF"/>
          </w:tcPr>
          <w:p w14:paraId="0CDCD8F6" w14:textId="77777777" w:rsidR="00AD2B21" w:rsidRPr="003E0B98" w:rsidRDefault="00742720" w:rsidP="004361AC">
            <w:pPr>
              <w:keepNext/>
              <w:rPr>
                <w:bCs/>
                <w:iCs/>
                <w:color w:val="000000"/>
                <w:szCs w:val="22"/>
                <w:lang w:val="es-ES"/>
              </w:rPr>
            </w:pPr>
            <w:r w:rsidRPr="003E0B98">
              <w:rPr>
                <w:color w:val="000000"/>
                <w:szCs w:val="22"/>
                <w:lang w:val="es-ES_tradnl"/>
              </w:rPr>
              <w:t xml:space="preserve">Cambio </w:t>
            </w:r>
            <w:r w:rsidR="006006F4" w:rsidRPr="003E0B98">
              <w:rPr>
                <w:color w:val="000000"/>
                <w:szCs w:val="22"/>
                <w:lang w:val="es-ES_tradnl"/>
              </w:rPr>
              <w:t>pro</w:t>
            </w:r>
            <w:r w:rsidRPr="003E0B98">
              <w:rPr>
                <w:color w:val="000000"/>
                <w:szCs w:val="22"/>
                <w:lang w:val="es-ES_tradnl"/>
              </w:rPr>
              <w:t xml:space="preserve">medio </w:t>
            </w:r>
            <w:r w:rsidR="008222CB" w:rsidRPr="003E0B98">
              <w:rPr>
                <w:color w:val="000000"/>
                <w:szCs w:val="22"/>
                <w:lang w:val="es-ES_tradnl"/>
              </w:rPr>
              <w:t>de</w:t>
            </w:r>
            <w:r w:rsidRPr="003E0B98">
              <w:rPr>
                <w:color w:val="000000"/>
                <w:szCs w:val="22"/>
                <w:lang w:val="es-ES_tradnl"/>
              </w:rPr>
              <w:t xml:space="preserve"> la AVMC al Mes 12</w:t>
            </w:r>
            <w:r w:rsidRPr="003E0B98">
              <w:rPr>
                <w:bCs/>
                <w:iCs/>
                <w:color w:val="000000"/>
                <w:szCs w:val="22"/>
                <w:lang w:val="es-ES_tradnl"/>
              </w:rPr>
              <w:t xml:space="preserve"> (</w:t>
            </w:r>
            <w:r w:rsidRPr="003E0B98">
              <w:rPr>
                <w:bCs/>
                <w:iCs/>
                <w:color w:val="000000"/>
                <w:szCs w:val="22"/>
                <w:lang w:val="en-US"/>
              </w:rPr>
              <w:sym w:font="Symbol" w:char="F0B1"/>
            </w:r>
            <w:r w:rsidRPr="003E0B98">
              <w:rPr>
                <w:bCs/>
                <w:iCs/>
                <w:color w:val="000000"/>
                <w:szCs w:val="22"/>
                <w:lang w:val="es-ES_tradnl"/>
              </w:rPr>
              <w:t>desviación estándar)</w:t>
            </w:r>
          </w:p>
        </w:tc>
        <w:tc>
          <w:tcPr>
            <w:tcW w:w="1851" w:type="dxa"/>
            <w:tcBorders>
              <w:top w:val="single" w:sz="4" w:space="0" w:color="auto"/>
              <w:left w:val="single" w:sz="4" w:space="0" w:color="auto"/>
              <w:bottom w:val="single" w:sz="4" w:space="0" w:color="auto"/>
              <w:right w:val="single" w:sz="4" w:space="0" w:color="auto"/>
            </w:tcBorders>
            <w:shd w:val="clear" w:color="auto" w:fill="FFFFFF"/>
          </w:tcPr>
          <w:p w14:paraId="0F7C1BD7" w14:textId="77777777" w:rsidR="00AD2B21" w:rsidRPr="003E0B98" w:rsidRDefault="00AD2B21" w:rsidP="004361AC">
            <w:pPr>
              <w:keepNext/>
              <w:jc w:val="center"/>
              <w:rPr>
                <w:bCs/>
                <w:iCs/>
                <w:color w:val="000000"/>
                <w:szCs w:val="22"/>
                <w:lang w:val="sv-SE"/>
              </w:rPr>
            </w:pPr>
            <w:r w:rsidRPr="003E0B98">
              <w:rPr>
                <w:bCs/>
                <w:iCs/>
                <w:color w:val="000000"/>
                <w:szCs w:val="22"/>
                <w:lang w:val="sv-SE"/>
              </w:rPr>
              <w:t>6,8 (8,3)</w:t>
            </w:r>
            <w:r w:rsidRPr="003E0B98">
              <w:rPr>
                <w:bCs/>
                <w:iCs/>
                <w:color w:val="000000"/>
                <w:szCs w:val="22"/>
                <w:vertAlign w:val="superscript"/>
                <w:lang w:val="sv-SE"/>
              </w:rPr>
              <w:t>a</w:t>
            </w:r>
          </w:p>
        </w:tc>
        <w:tc>
          <w:tcPr>
            <w:tcW w:w="1985" w:type="dxa"/>
            <w:tcBorders>
              <w:top w:val="single" w:sz="4" w:space="0" w:color="auto"/>
              <w:left w:val="single" w:sz="4" w:space="0" w:color="auto"/>
              <w:bottom w:val="single" w:sz="4" w:space="0" w:color="auto"/>
              <w:right w:val="single" w:sz="2" w:space="0" w:color="auto"/>
            </w:tcBorders>
            <w:shd w:val="clear" w:color="auto" w:fill="FFFFFF"/>
          </w:tcPr>
          <w:p w14:paraId="2744C75C" w14:textId="77777777" w:rsidR="00AD2B21" w:rsidRPr="003E0B98" w:rsidRDefault="00AD2B21" w:rsidP="004361AC">
            <w:pPr>
              <w:keepNext/>
              <w:jc w:val="center"/>
              <w:rPr>
                <w:bCs/>
                <w:iCs/>
                <w:color w:val="000000"/>
                <w:szCs w:val="22"/>
                <w:lang w:val="sv-SE"/>
              </w:rPr>
            </w:pPr>
            <w:r w:rsidRPr="003E0B98">
              <w:rPr>
                <w:bCs/>
                <w:iCs/>
                <w:color w:val="000000"/>
                <w:szCs w:val="22"/>
                <w:lang w:val="sv-SE"/>
              </w:rPr>
              <w:t>6,4 (11,8)</w:t>
            </w:r>
            <w:r w:rsidRPr="003E0B98">
              <w:rPr>
                <w:bCs/>
                <w:iCs/>
                <w:color w:val="000000"/>
                <w:szCs w:val="22"/>
                <w:vertAlign w:val="superscript"/>
                <w:lang w:val="sv-SE"/>
              </w:rPr>
              <w:t>a</w:t>
            </w:r>
          </w:p>
        </w:tc>
        <w:tc>
          <w:tcPr>
            <w:tcW w:w="1292" w:type="dxa"/>
            <w:tcBorders>
              <w:top w:val="single" w:sz="4" w:space="0" w:color="auto"/>
              <w:left w:val="single" w:sz="2" w:space="0" w:color="auto"/>
              <w:bottom w:val="single" w:sz="4" w:space="0" w:color="auto"/>
              <w:right w:val="single" w:sz="4" w:space="0" w:color="auto"/>
            </w:tcBorders>
            <w:shd w:val="clear" w:color="auto" w:fill="FFFFFF"/>
          </w:tcPr>
          <w:p w14:paraId="14A0D1C1" w14:textId="77777777" w:rsidR="00AD2B21" w:rsidRPr="003E0B98" w:rsidRDefault="00AD2B21" w:rsidP="004361AC">
            <w:pPr>
              <w:keepNext/>
              <w:jc w:val="center"/>
              <w:rPr>
                <w:bCs/>
                <w:iCs/>
                <w:color w:val="000000"/>
                <w:szCs w:val="22"/>
                <w:lang w:val="sv-SE"/>
              </w:rPr>
            </w:pPr>
            <w:r w:rsidRPr="003E0B98">
              <w:rPr>
                <w:bCs/>
                <w:iCs/>
                <w:color w:val="000000"/>
                <w:szCs w:val="22"/>
                <w:lang w:val="sv-SE"/>
              </w:rPr>
              <w:t>0,9 (11,4)</w:t>
            </w:r>
          </w:p>
        </w:tc>
      </w:tr>
      <w:tr w:rsidR="00AD2B21" w:rsidRPr="003E0B98" w14:paraId="728A9A52" w14:textId="77777777" w:rsidTr="00FF2CF4">
        <w:trPr>
          <w:trHeight w:val="270"/>
        </w:trPr>
        <w:tc>
          <w:tcPr>
            <w:tcW w:w="4069" w:type="dxa"/>
            <w:tcBorders>
              <w:top w:val="single" w:sz="4" w:space="0" w:color="auto"/>
              <w:left w:val="single" w:sz="4" w:space="0" w:color="auto"/>
              <w:bottom w:val="single" w:sz="4" w:space="0" w:color="auto"/>
              <w:right w:val="single" w:sz="4" w:space="0" w:color="auto"/>
            </w:tcBorders>
            <w:shd w:val="clear" w:color="auto" w:fill="FFFFFF"/>
          </w:tcPr>
          <w:p w14:paraId="036BB316" w14:textId="77777777" w:rsidR="00AD2B21" w:rsidRPr="003E0B98" w:rsidRDefault="00742720" w:rsidP="004361AC">
            <w:pPr>
              <w:keepNext/>
              <w:rPr>
                <w:bCs/>
                <w:iCs/>
                <w:color w:val="000000"/>
                <w:szCs w:val="22"/>
                <w:lang w:val="es-ES"/>
              </w:rPr>
            </w:pPr>
            <w:r w:rsidRPr="003E0B98">
              <w:rPr>
                <w:color w:val="000000"/>
                <w:szCs w:val="22"/>
                <w:lang w:val="es-ES"/>
              </w:rPr>
              <w:t>Ganancia de ≥15 letras o</w:t>
            </w:r>
            <w:r w:rsidRPr="003E0B98">
              <w:rPr>
                <w:bCs/>
                <w:iCs/>
                <w:color w:val="000000"/>
                <w:szCs w:val="22"/>
                <w:lang w:val="es-ES"/>
              </w:rPr>
              <w:t xml:space="preserve"> AVMC </w:t>
            </w:r>
            <w:r w:rsidR="0063565E" w:rsidRPr="003E0B98">
              <w:rPr>
                <w:color w:val="000000"/>
                <w:szCs w:val="22"/>
                <w:lang w:val="es-ES"/>
              </w:rPr>
              <w:t>≥</w:t>
            </w:r>
            <w:r w:rsidRPr="003E0B98">
              <w:rPr>
                <w:bCs/>
                <w:iCs/>
                <w:color w:val="000000"/>
                <w:szCs w:val="22"/>
                <w:lang w:val="es-ES"/>
              </w:rPr>
              <w:t>84 letras al Mes 12 (%)</w:t>
            </w:r>
          </w:p>
        </w:tc>
        <w:tc>
          <w:tcPr>
            <w:tcW w:w="1851" w:type="dxa"/>
            <w:tcBorders>
              <w:top w:val="single" w:sz="4" w:space="0" w:color="auto"/>
              <w:left w:val="single" w:sz="4" w:space="0" w:color="auto"/>
              <w:bottom w:val="single" w:sz="4" w:space="0" w:color="auto"/>
              <w:right w:val="single" w:sz="4" w:space="0" w:color="auto"/>
            </w:tcBorders>
            <w:shd w:val="clear" w:color="auto" w:fill="FFFFFF"/>
          </w:tcPr>
          <w:p w14:paraId="55C205DE" w14:textId="77777777" w:rsidR="00AD2B21" w:rsidRPr="003E0B98" w:rsidRDefault="00AD2B21" w:rsidP="004361AC">
            <w:pPr>
              <w:keepNext/>
              <w:jc w:val="center"/>
              <w:rPr>
                <w:bCs/>
                <w:iCs/>
                <w:color w:val="000000"/>
                <w:szCs w:val="22"/>
                <w:lang w:val="en-US"/>
              </w:rPr>
            </w:pPr>
            <w:r w:rsidRPr="003E0B98">
              <w:rPr>
                <w:bCs/>
                <w:iCs/>
                <w:color w:val="000000"/>
                <w:szCs w:val="22"/>
                <w:lang w:val="sv-SE"/>
              </w:rPr>
              <w:t>22,6</w:t>
            </w:r>
          </w:p>
        </w:tc>
        <w:tc>
          <w:tcPr>
            <w:tcW w:w="1985" w:type="dxa"/>
            <w:tcBorders>
              <w:top w:val="single" w:sz="4" w:space="0" w:color="auto"/>
              <w:left w:val="single" w:sz="4" w:space="0" w:color="auto"/>
              <w:bottom w:val="single" w:sz="4" w:space="0" w:color="auto"/>
              <w:right w:val="single" w:sz="2" w:space="0" w:color="auto"/>
            </w:tcBorders>
            <w:shd w:val="clear" w:color="auto" w:fill="FFFFFF"/>
          </w:tcPr>
          <w:p w14:paraId="0F67FC4E" w14:textId="77777777" w:rsidR="00AD2B21" w:rsidRPr="003E0B98" w:rsidRDefault="00AD2B21" w:rsidP="004361AC">
            <w:pPr>
              <w:keepNext/>
              <w:jc w:val="center"/>
              <w:rPr>
                <w:bCs/>
                <w:iCs/>
                <w:color w:val="000000"/>
                <w:szCs w:val="22"/>
                <w:lang w:val="en-US"/>
              </w:rPr>
            </w:pPr>
            <w:r w:rsidRPr="003E0B98">
              <w:rPr>
                <w:bCs/>
                <w:iCs/>
                <w:color w:val="000000"/>
                <w:szCs w:val="22"/>
                <w:lang w:val="sv-SE"/>
              </w:rPr>
              <w:t>22,9</w:t>
            </w:r>
          </w:p>
        </w:tc>
        <w:tc>
          <w:tcPr>
            <w:tcW w:w="1292" w:type="dxa"/>
            <w:tcBorders>
              <w:top w:val="single" w:sz="4" w:space="0" w:color="auto"/>
              <w:left w:val="single" w:sz="2" w:space="0" w:color="auto"/>
              <w:bottom w:val="single" w:sz="4" w:space="0" w:color="auto"/>
              <w:right w:val="single" w:sz="4" w:space="0" w:color="auto"/>
            </w:tcBorders>
            <w:shd w:val="clear" w:color="auto" w:fill="FFFFFF"/>
          </w:tcPr>
          <w:p w14:paraId="2346E9F8" w14:textId="77777777" w:rsidR="00AD2B21" w:rsidRPr="003E0B98" w:rsidRDefault="00AD2B21" w:rsidP="004361AC">
            <w:pPr>
              <w:keepNext/>
              <w:jc w:val="center"/>
              <w:rPr>
                <w:bCs/>
                <w:iCs/>
                <w:color w:val="000000"/>
                <w:szCs w:val="22"/>
                <w:lang w:val="en-US"/>
              </w:rPr>
            </w:pPr>
            <w:r w:rsidRPr="003E0B98">
              <w:rPr>
                <w:bCs/>
                <w:iCs/>
                <w:color w:val="000000"/>
                <w:szCs w:val="22"/>
                <w:lang w:val="sv-SE"/>
              </w:rPr>
              <w:t>8,2</w:t>
            </w:r>
          </w:p>
        </w:tc>
      </w:tr>
      <w:tr w:rsidR="00E04BB2" w:rsidRPr="003E0B98" w14:paraId="1AA337B7" w14:textId="77777777" w:rsidTr="00FF2CF4">
        <w:trPr>
          <w:trHeight w:val="270"/>
        </w:trPr>
        <w:tc>
          <w:tcPr>
            <w:tcW w:w="4069" w:type="dxa"/>
            <w:tcBorders>
              <w:top w:val="single" w:sz="4" w:space="0" w:color="auto"/>
              <w:left w:val="single" w:sz="4" w:space="0" w:color="auto"/>
              <w:bottom w:val="single" w:sz="4" w:space="0" w:color="auto"/>
              <w:right w:val="single" w:sz="4" w:space="0" w:color="auto"/>
            </w:tcBorders>
            <w:shd w:val="clear" w:color="auto" w:fill="FFFFFF"/>
          </w:tcPr>
          <w:p w14:paraId="4A4F23B7" w14:textId="77777777" w:rsidR="00E04BB2" w:rsidRPr="003E0B98" w:rsidRDefault="00E04BB2" w:rsidP="004361AC">
            <w:pPr>
              <w:keepNext/>
              <w:rPr>
                <w:color w:val="000000"/>
                <w:szCs w:val="22"/>
                <w:lang w:val="es-ES"/>
              </w:rPr>
            </w:pPr>
            <w:r w:rsidRPr="003E0B98">
              <w:rPr>
                <w:color w:val="000000"/>
                <w:szCs w:val="22"/>
                <w:lang w:val="es-ES"/>
              </w:rPr>
              <w:t>Núm</w:t>
            </w:r>
            <w:r w:rsidR="008E1452" w:rsidRPr="003E0B98">
              <w:rPr>
                <w:color w:val="000000"/>
                <w:szCs w:val="22"/>
                <w:lang w:val="es-ES"/>
              </w:rPr>
              <w:t xml:space="preserve">ero </w:t>
            </w:r>
            <w:r w:rsidR="00A72E17" w:rsidRPr="003E0B98">
              <w:rPr>
                <w:color w:val="000000"/>
                <w:szCs w:val="22"/>
                <w:lang w:val="es-ES"/>
              </w:rPr>
              <w:t>pro</w:t>
            </w:r>
            <w:r w:rsidR="008E1452" w:rsidRPr="003E0B98">
              <w:rPr>
                <w:color w:val="000000"/>
                <w:szCs w:val="22"/>
                <w:lang w:val="es-ES"/>
              </w:rPr>
              <w:t>medio de inyecciones (Meses </w:t>
            </w:r>
            <w:r w:rsidRPr="003E0B98">
              <w:rPr>
                <w:color w:val="000000"/>
                <w:szCs w:val="22"/>
                <w:lang w:val="es-ES"/>
              </w:rPr>
              <w:t>0-11)</w:t>
            </w:r>
          </w:p>
        </w:tc>
        <w:tc>
          <w:tcPr>
            <w:tcW w:w="1851" w:type="dxa"/>
            <w:tcBorders>
              <w:top w:val="single" w:sz="4" w:space="0" w:color="auto"/>
              <w:left w:val="single" w:sz="4" w:space="0" w:color="auto"/>
              <w:bottom w:val="single" w:sz="4" w:space="0" w:color="auto"/>
              <w:right w:val="single" w:sz="4" w:space="0" w:color="auto"/>
            </w:tcBorders>
            <w:shd w:val="clear" w:color="auto" w:fill="FFFFFF"/>
          </w:tcPr>
          <w:p w14:paraId="5919FAEC" w14:textId="77777777" w:rsidR="00E04BB2" w:rsidRPr="003E0B98" w:rsidRDefault="00E04BB2" w:rsidP="004361AC">
            <w:pPr>
              <w:keepNext/>
              <w:jc w:val="center"/>
              <w:rPr>
                <w:bCs/>
                <w:iCs/>
                <w:color w:val="000000"/>
                <w:szCs w:val="22"/>
                <w:lang w:val="es-ES"/>
              </w:rPr>
            </w:pPr>
            <w:r w:rsidRPr="003E0B98">
              <w:rPr>
                <w:bCs/>
                <w:iCs/>
                <w:color w:val="000000"/>
                <w:szCs w:val="22"/>
                <w:lang w:val="es-ES"/>
              </w:rPr>
              <w:t>7,0</w:t>
            </w:r>
          </w:p>
        </w:tc>
        <w:tc>
          <w:tcPr>
            <w:tcW w:w="1985" w:type="dxa"/>
            <w:tcBorders>
              <w:top w:val="single" w:sz="4" w:space="0" w:color="auto"/>
              <w:left w:val="single" w:sz="4" w:space="0" w:color="auto"/>
              <w:bottom w:val="single" w:sz="4" w:space="0" w:color="auto"/>
              <w:right w:val="single" w:sz="2" w:space="0" w:color="auto"/>
            </w:tcBorders>
            <w:shd w:val="clear" w:color="auto" w:fill="FFFFFF"/>
          </w:tcPr>
          <w:p w14:paraId="54BC0899" w14:textId="77777777" w:rsidR="00E04BB2" w:rsidRPr="003E0B98" w:rsidRDefault="00E04BB2" w:rsidP="004361AC">
            <w:pPr>
              <w:keepNext/>
              <w:jc w:val="center"/>
              <w:rPr>
                <w:bCs/>
                <w:iCs/>
                <w:color w:val="000000"/>
                <w:szCs w:val="22"/>
                <w:lang w:val="sv-SE"/>
              </w:rPr>
            </w:pPr>
            <w:r w:rsidRPr="003E0B98">
              <w:rPr>
                <w:bCs/>
                <w:iCs/>
                <w:color w:val="000000"/>
                <w:szCs w:val="22"/>
                <w:lang w:val="sv-SE"/>
              </w:rPr>
              <w:t>6,8</w:t>
            </w:r>
          </w:p>
        </w:tc>
        <w:tc>
          <w:tcPr>
            <w:tcW w:w="1292" w:type="dxa"/>
            <w:tcBorders>
              <w:top w:val="single" w:sz="4" w:space="0" w:color="auto"/>
              <w:left w:val="single" w:sz="2" w:space="0" w:color="auto"/>
              <w:bottom w:val="single" w:sz="4" w:space="0" w:color="auto"/>
              <w:right w:val="single" w:sz="4" w:space="0" w:color="auto"/>
            </w:tcBorders>
            <w:shd w:val="clear" w:color="auto" w:fill="FFFFFF"/>
          </w:tcPr>
          <w:p w14:paraId="4CA2BFC1" w14:textId="77777777" w:rsidR="00E04BB2" w:rsidRPr="003E0B98" w:rsidRDefault="00E04BB2" w:rsidP="004361AC">
            <w:pPr>
              <w:keepNext/>
              <w:jc w:val="center"/>
              <w:rPr>
                <w:bCs/>
                <w:iCs/>
                <w:color w:val="000000"/>
                <w:szCs w:val="22"/>
                <w:lang w:val="sv-SE"/>
              </w:rPr>
            </w:pPr>
            <w:r w:rsidRPr="003E0B98">
              <w:rPr>
                <w:bCs/>
                <w:iCs/>
                <w:color w:val="000000"/>
                <w:szCs w:val="22"/>
                <w:lang w:val="sv-SE"/>
              </w:rPr>
              <w:t>7,3 (tratamiento simulado)</w:t>
            </w:r>
          </w:p>
        </w:tc>
      </w:tr>
      <w:tr w:rsidR="00AD2B21" w:rsidRPr="003E0B98" w14:paraId="636754E9" w14:textId="77777777" w:rsidTr="00FF2CF4">
        <w:trPr>
          <w:trHeight w:val="200"/>
        </w:trPr>
        <w:tc>
          <w:tcPr>
            <w:tcW w:w="9197" w:type="dxa"/>
            <w:gridSpan w:val="4"/>
            <w:tcBorders>
              <w:top w:val="single" w:sz="4" w:space="0" w:color="auto"/>
              <w:left w:val="single" w:sz="4" w:space="0" w:color="auto"/>
              <w:bottom w:val="single" w:sz="4" w:space="0" w:color="auto"/>
              <w:right w:val="single" w:sz="4" w:space="0" w:color="auto"/>
            </w:tcBorders>
            <w:shd w:val="clear" w:color="auto" w:fill="FFFFFF"/>
          </w:tcPr>
          <w:p w14:paraId="029D30D7" w14:textId="77777777" w:rsidR="00AD2B21" w:rsidRPr="003E0B98" w:rsidRDefault="00AD2B21" w:rsidP="004361AC">
            <w:pPr>
              <w:keepNext/>
              <w:rPr>
                <w:bCs/>
                <w:iCs/>
                <w:color w:val="000000"/>
                <w:szCs w:val="22"/>
                <w:lang w:val="sv-SE"/>
              </w:rPr>
            </w:pPr>
          </w:p>
        </w:tc>
      </w:tr>
      <w:tr w:rsidR="00AD2B21" w:rsidRPr="003E0B98" w14:paraId="1F1C3D54" w14:textId="77777777" w:rsidTr="00FF2CF4">
        <w:trPr>
          <w:trHeight w:val="903"/>
        </w:trPr>
        <w:tc>
          <w:tcPr>
            <w:tcW w:w="4069" w:type="dxa"/>
            <w:tcBorders>
              <w:top w:val="single" w:sz="4" w:space="0" w:color="auto"/>
              <w:left w:val="single" w:sz="4" w:space="0" w:color="auto"/>
              <w:bottom w:val="single" w:sz="4" w:space="0" w:color="auto"/>
              <w:right w:val="single" w:sz="4" w:space="0" w:color="auto"/>
            </w:tcBorders>
            <w:shd w:val="clear" w:color="auto" w:fill="FFFFFF"/>
          </w:tcPr>
          <w:p w14:paraId="0E316051" w14:textId="77777777" w:rsidR="00AD2B21" w:rsidRPr="003E0B98" w:rsidRDefault="00147CF4" w:rsidP="004361AC">
            <w:pPr>
              <w:keepNext/>
              <w:rPr>
                <w:rFonts w:cs="Calibri"/>
                <w:bCs/>
                <w:lang w:val="es-ES"/>
              </w:rPr>
            </w:pPr>
            <w:r w:rsidRPr="003E0B98">
              <w:rPr>
                <w:color w:val="000000"/>
                <w:lang w:val="es-ES_tradnl"/>
              </w:rPr>
              <w:t>Medida del resultado al Mes 36</w:t>
            </w:r>
            <w:r w:rsidRPr="003E0B98">
              <w:rPr>
                <w:bCs/>
                <w:iCs/>
                <w:color w:val="000000"/>
                <w:szCs w:val="22"/>
                <w:lang w:val="es-ES_tradnl"/>
              </w:rPr>
              <w:t xml:space="preserve"> comparado con el valor inicial</w:t>
            </w:r>
            <w:r w:rsidRPr="003E0B98">
              <w:rPr>
                <w:bCs/>
                <w:iCs/>
                <w:color w:val="000000"/>
                <w:szCs w:val="22"/>
                <w:lang w:val="es-ES"/>
              </w:rPr>
              <w:t xml:space="preserve"> del estudio D2301 (RESTORE) en el estudio</w:t>
            </w:r>
            <w:r w:rsidR="00AD2B21" w:rsidRPr="003E0B98">
              <w:rPr>
                <w:rFonts w:cs="Calibri"/>
                <w:bCs/>
                <w:lang w:val="es-ES"/>
              </w:rPr>
              <w:t xml:space="preserve"> D2301-E1 (</w:t>
            </w:r>
            <w:proofErr w:type="spellStart"/>
            <w:r w:rsidR="00AD2B21" w:rsidRPr="003E0B98">
              <w:rPr>
                <w:rFonts w:cs="Calibri"/>
                <w:bCs/>
                <w:lang w:val="es-ES"/>
              </w:rPr>
              <w:t>Extension</w:t>
            </w:r>
            <w:proofErr w:type="spellEnd"/>
            <w:r w:rsidRPr="003E0B98">
              <w:rPr>
                <w:rFonts w:cs="Calibri"/>
                <w:bCs/>
                <w:lang w:val="es-ES"/>
              </w:rPr>
              <w:t xml:space="preserve"> del estudio RESTORE</w:t>
            </w:r>
            <w:r w:rsidR="00AD2B21" w:rsidRPr="003E0B98">
              <w:rPr>
                <w:rFonts w:cs="Calibri"/>
                <w:bCs/>
                <w:lang w:val="es-ES"/>
              </w:rPr>
              <w:t>)</w:t>
            </w:r>
          </w:p>
        </w:tc>
        <w:tc>
          <w:tcPr>
            <w:tcW w:w="1851" w:type="dxa"/>
            <w:tcBorders>
              <w:top w:val="single" w:sz="4" w:space="0" w:color="auto"/>
              <w:left w:val="single" w:sz="4" w:space="0" w:color="auto"/>
              <w:bottom w:val="single" w:sz="4" w:space="0" w:color="auto"/>
              <w:right w:val="single" w:sz="4" w:space="0" w:color="auto"/>
            </w:tcBorders>
            <w:shd w:val="clear" w:color="auto" w:fill="FFFFFF"/>
          </w:tcPr>
          <w:p w14:paraId="1748BC99" w14:textId="77777777" w:rsidR="00AD2B21" w:rsidRPr="003E0B98" w:rsidRDefault="00333C85" w:rsidP="004361AC">
            <w:pPr>
              <w:keepNext/>
              <w:jc w:val="center"/>
              <w:rPr>
                <w:rFonts w:cs="Calibri"/>
                <w:bCs/>
                <w:iCs/>
                <w:lang w:val="sv-SE"/>
              </w:rPr>
            </w:pPr>
            <w:r w:rsidRPr="003E0B98">
              <w:rPr>
                <w:rFonts w:cs="Calibri"/>
                <w:bCs/>
                <w:iCs/>
                <w:lang w:val="sv-SE"/>
              </w:rPr>
              <w:t>R</w:t>
            </w:r>
            <w:r w:rsidR="00AD2B21" w:rsidRPr="003E0B98">
              <w:rPr>
                <w:rFonts w:cs="Calibri"/>
                <w:bCs/>
                <w:iCs/>
                <w:lang w:val="sv-SE"/>
              </w:rPr>
              <w:t>anibizumab</w:t>
            </w:r>
          </w:p>
          <w:p w14:paraId="5C7803C2" w14:textId="77777777" w:rsidR="00AD2B21" w:rsidRPr="003E0B98" w:rsidRDefault="00AD2B21" w:rsidP="004361AC">
            <w:pPr>
              <w:keepNext/>
              <w:jc w:val="center"/>
              <w:rPr>
                <w:rFonts w:cs="Calibri"/>
                <w:bCs/>
                <w:iCs/>
                <w:lang w:val="sv-SE"/>
              </w:rPr>
            </w:pPr>
            <w:r w:rsidRPr="003E0B98">
              <w:rPr>
                <w:rFonts w:cs="Calibri"/>
                <w:bCs/>
                <w:iCs/>
                <w:lang w:val="sv-SE"/>
              </w:rPr>
              <w:t>0,5 mg</w:t>
            </w:r>
            <w:r w:rsidR="000E0DCB" w:rsidRPr="003E0B98">
              <w:rPr>
                <w:rFonts w:cs="Calibri"/>
                <w:bCs/>
                <w:iCs/>
                <w:lang w:val="sv-SE"/>
              </w:rPr>
              <w:t xml:space="preserve"> previo</w:t>
            </w:r>
          </w:p>
          <w:p w14:paraId="033522F0" w14:textId="77777777" w:rsidR="000E0DCB" w:rsidRPr="003E0B98" w:rsidRDefault="000E0DCB" w:rsidP="004361AC">
            <w:pPr>
              <w:keepNext/>
              <w:jc w:val="center"/>
              <w:rPr>
                <w:rFonts w:cs="Calibri"/>
                <w:bCs/>
                <w:iCs/>
                <w:lang w:val="sv-SE"/>
              </w:rPr>
            </w:pPr>
          </w:p>
          <w:p w14:paraId="288A1586" w14:textId="77777777" w:rsidR="00AD2B21" w:rsidRPr="003E0B98" w:rsidRDefault="00AD2B21" w:rsidP="004361AC">
            <w:pPr>
              <w:keepNext/>
              <w:jc w:val="center"/>
              <w:rPr>
                <w:rFonts w:cs="Calibri"/>
                <w:bCs/>
                <w:iCs/>
                <w:lang w:val="sv-SE"/>
              </w:rPr>
            </w:pPr>
            <w:r w:rsidRPr="003E0B98">
              <w:rPr>
                <w:rFonts w:cs="Calibri"/>
                <w:bCs/>
                <w:iCs/>
                <w:lang w:val="sv-SE"/>
              </w:rPr>
              <w:t>n=83</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54688255" w14:textId="77777777" w:rsidR="00AD2B21" w:rsidRPr="003E0B98" w:rsidRDefault="00333C85" w:rsidP="004361AC">
            <w:pPr>
              <w:keepNext/>
              <w:jc w:val="center"/>
              <w:rPr>
                <w:rFonts w:cs="Calibri"/>
                <w:bCs/>
                <w:iCs/>
                <w:lang w:val="sv-SE"/>
              </w:rPr>
            </w:pPr>
            <w:r w:rsidRPr="003E0B98">
              <w:rPr>
                <w:rFonts w:cs="Calibri"/>
                <w:bCs/>
                <w:iCs/>
                <w:lang w:val="sv-SE"/>
              </w:rPr>
              <w:t>R</w:t>
            </w:r>
            <w:r w:rsidR="00AD2B21" w:rsidRPr="003E0B98">
              <w:rPr>
                <w:rFonts w:cs="Calibri"/>
                <w:bCs/>
                <w:iCs/>
                <w:lang w:val="sv-SE"/>
              </w:rPr>
              <w:t>anibizumab</w:t>
            </w:r>
          </w:p>
          <w:p w14:paraId="485CE0C1" w14:textId="77777777" w:rsidR="00AD2B21" w:rsidRPr="003E0B98" w:rsidRDefault="00AD2B21" w:rsidP="004361AC">
            <w:pPr>
              <w:keepNext/>
              <w:jc w:val="center"/>
              <w:rPr>
                <w:rFonts w:cs="Calibri"/>
                <w:bCs/>
                <w:iCs/>
                <w:lang w:val="es-ES"/>
              </w:rPr>
            </w:pPr>
            <w:r w:rsidRPr="003E0B98">
              <w:rPr>
                <w:rFonts w:cs="Calibri"/>
                <w:bCs/>
                <w:iCs/>
                <w:lang w:val="sv-SE"/>
              </w:rPr>
              <w:t>0,5 mg + láser</w:t>
            </w:r>
            <w:r w:rsidR="00333C85" w:rsidRPr="003E0B98">
              <w:rPr>
                <w:rFonts w:cs="Calibri"/>
                <w:bCs/>
                <w:iCs/>
                <w:lang w:val="sv-SE"/>
              </w:rPr>
              <w:t xml:space="preserve"> previos</w:t>
            </w:r>
          </w:p>
          <w:p w14:paraId="2E2718D7" w14:textId="77777777" w:rsidR="00AD2B21" w:rsidRPr="003E0B98" w:rsidRDefault="00AD2B21" w:rsidP="004361AC">
            <w:pPr>
              <w:keepNext/>
              <w:jc w:val="center"/>
              <w:rPr>
                <w:rFonts w:cs="Calibri"/>
                <w:bCs/>
                <w:iCs/>
                <w:lang w:val="es-ES"/>
              </w:rPr>
            </w:pPr>
            <w:r w:rsidRPr="003E0B98">
              <w:rPr>
                <w:rFonts w:cs="Calibri"/>
                <w:bCs/>
                <w:iCs/>
                <w:lang w:val="es-ES"/>
              </w:rPr>
              <w:t>n=83</w:t>
            </w:r>
          </w:p>
        </w:tc>
        <w:tc>
          <w:tcPr>
            <w:tcW w:w="1292" w:type="dxa"/>
            <w:tcBorders>
              <w:top w:val="single" w:sz="4" w:space="0" w:color="auto"/>
              <w:left w:val="single" w:sz="4" w:space="0" w:color="auto"/>
              <w:bottom w:val="single" w:sz="4" w:space="0" w:color="auto"/>
              <w:right w:val="single" w:sz="4" w:space="0" w:color="auto"/>
            </w:tcBorders>
            <w:shd w:val="clear" w:color="auto" w:fill="FFFFFF"/>
          </w:tcPr>
          <w:p w14:paraId="2CF0C9F2" w14:textId="77777777" w:rsidR="00AD2B21" w:rsidRPr="003E0B98" w:rsidRDefault="00333C85" w:rsidP="004361AC">
            <w:pPr>
              <w:keepNext/>
              <w:jc w:val="center"/>
              <w:rPr>
                <w:rFonts w:cs="Calibri"/>
                <w:bCs/>
                <w:iCs/>
              </w:rPr>
            </w:pPr>
            <w:r w:rsidRPr="003E0B98">
              <w:rPr>
                <w:rFonts w:cs="Calibri"/>
                <w:bCs/>
                <w:iCs/>
                <w:lang w:val="sv-SE"/>
              </w:rPr>
              <w:t>L</w:t>
            </w:r>
            <w:r w:rsidR="00AD2B21" w:rsidRPr="003E0B98">
              <w:rPr>
                <w:rFonts w:cs="Calibri"/>
                <w:bCs/>
                <w:iCs/>
                <w:lang w:val="sv-SE"/>
              </w:rPr>
              <w:t>áser</w:t>
            </w:r>
            <w:r w:rsidRPr="003E0B98">
              <w:rPr>
                <w:rFonts w:cs="Calibri"/>
                <w:bCs/>
                <w:iCs/>
                <w:lang w:val="sv-SE"/>
              </w:rPr>
              <w:t xml:space="preserve"> previo</w:t>
            </w:r>
          </w:p>
          <w:p w14:paraId="2C801A96" w14:textId="77777777" w:rsidR="00AD2B21" w:rsidRPr="003E0B98" w:rsidRDefault="00AD2B21" w:rsidP="004361AC">
            <w:pPr>
              <w:keepNext/>
              <w:jc w:val="center"/>
              <w:rPr>
                <w:rFonts w:cs="Calibri"/>
                <w:bCs/>
                <w:iCs/>
              </w:rPr>
            </w:pPr>
          </w:p>
          <w:p w14:paraId="4988C5E2" w14:textId="77777777" w:rsidR="00AD2B21" w:rsidRPr="003E0B98" w:rsidRDefault="00AD2B21" w:rsidP="004361AC">
            <w:pPr>
              <w:keepNext/>
              <w:jc w:val="center"/>
              <w:rPr>
                <w:rFonts w:cs="Calibri"/>
                <w:bCs/>
                <w:iCs/>
                <w:lang w:val="sv-SE"/>
              </w:rPr>
            </w:pPr>
            <w:r w:rsidRPr="003E0B98">
              <w:rPr>
                <w:rFonts w:cs="Calibri"/>
                <w:bCs/>
                <w:iCs/>
              </w:rPr>
              <w:t>n=74</w:t>
            </w:r>
          </w:p>
        </w:tc>
      </w:tr>
      <w:tr w:rsidR="00AD2B21" w:rsidRPr="003E0B98" w14:paraId="5F000128" w14:textId="77777777" w:rsidTr="00FF2CF4">
        <w:trPr>
          <w:trHeight w:val="200"/>
        </w:trPr>
        <w:tc>
          <w:tcPr>
            <w:tcW w:w="4069" w:type="dxa"/>
            <w:tcBorders>
              <w:top w:val="single" w:sz="4" w:space="0" w:color="auto"/>
              <w:left w:val="single" w:sz="4" w:space="0" w:color="auto"/>
              <w:bottom w:val="single" w:sz="4" w:space="0" w:color="auto"/>
              <w:right w:val="single" w:sz="4" w:space="0" w:color="auto"/>
            </w:tcBorders>
            <w:shd w:val="clear" w:color="auto" w:fill="FFFFFF"/>
          </w:tcPr>
          <w:p w14:paraId="19698B45" w14:textId="77777777" w:rsidR="00AD2B21" w:rsidRPr="003E0B98" w:rsidRDefault="00147CF4" w:rsidP="004361AC">
            <w:pPr>
              <w:keepNext/>
              <w:rPr>
                <w:rFonts w:cs="Calibri"/>
                <w:bCs/>
                <w:iCs/>
                <w:lang w:val="es-ES"/>
              </w:rPr>
            </w:pPr>
            <w:r w:rsidRPr="003E0B98">
              <w:rPr>
                <w:color w:val="000000"/>
                <w:szCs w:val="22"/>
                <w:lang w:val="es-ES_tradnl"/>
              </w:rPr>
              <w:t xml:space="preserve">Cambio </w:t>
            </w:r>
            <w:r w:rsidR="006006F4" w:rsidRPr="003E0B98">
              <w:rPr>
                <w:color w:val="000000"/>
                <w:szCs w:val="22"/>
                <w:lang w:val="es-ES_tradnl"/>
              </w:rPr>
              <w:t>pro</w:t>
            </w:r>
            <w:r w:rsidRPr="003E0B98">
              <w:rPr>
                <w:color w:val="000000"/>
                <w:szCs w:val="22"/>
                <w:lang w:val="es-ES_tradnl"/>
              </w:rPr>
              <w:t xml:space="preserve">medio </w:t>
            </w:r>
            <w:r w:rsidR="008222CB" w:rsidRPr="003E0B98">
              <w:rPr>
                <w:color w:val="000000"/>
                <w:szCs w:val="22"/>
                <w:lang w:val="es-ES_tradnl"/>
              </w:rPr>
              <w:t>de</w:t>
            </w:r>
            <w:r w:rsidRPr="003E0B98">
              <w:rPr>
                <w:color w:val="000000"/>
                <w:szCs w:val="22"/>
                <w:lang w:val="es-ES_tradnl"/>
              </w:rPr>
              <w:t xml:space="preserve"> la AVMC al Mes 24</w:t>
            </w:r>
            <w:r w:rsidRPr="003E0B98">
              <w:rPr>
                <w:bCs/>
                <w:iCs/>
                <w:color w:val="000000"/>
                <w:szCs w:val="22"/>
                <w:lang w:val="es-ES_tradnl"/>
              </w:rPr>
              <w:t xml:space="preserve"> (desviación estándar)</w:t>
            </w:r>
          </w:p>
        </w:tc>
        <w:tc>
          <w:tcPr>
            <w:tcW w:w="1851" w:type="dxa"/>
            <w:tcBorders>
              <w:top w:val="single" w:sz="4" w:space="0" w:color="auto"/>
              <w:left w:val="single" w:sz="4" w:space="0" w:color="auto"/>
              <w:bottom w:val="single" w:sz="4" w:space="0" w:color="auto"/>
              <w:right w:val="single" w:sz="4" w:space="0" w:color="auto"/>
            </w:tcBorders>
            <w:shd w:val="clear" w:color="auto" w:fill="FFFFFF"/>
            <w:vAlign w:val="center"/>
          </w:tcPr>
          <w:p w14:paraId="0110A20C" w14:textId="77777777" w:rsidR="00AD2B21" w:rsidRPr="003E0B98" w:rsidRDefault="00AD2B21" w:rsidP="004361AC">
            <w:pPr>
              <w:keepNext/>
              <w:adjustRightInd w:val="0"/>
              <w:spacing w:before="60" w:after="60"/>
              <w:jc w:val="center"/>
              <w:rPr>
                <w:rFonts w:cs="Calibri"/>
              </w:rPr>
            </w:pPr>
            <w:r w:rsidRPr="003E0B98">
              <w:rPr>
                <w:rFonts w:cs="Calibri"/>
              </w:rPr>
              <w:t>7,9 (9,0)</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762560E0" w14:textId="77777777" w:rsidR="00AD2B21" w:rsidRPr="003E0B98" w:rsidRDefault="00AD2B21" w:rsidP="004361AC">
            <w:pPr>
              <w:keepNext/>
              <w:adjustRightInd w:val="0"/>
              <w:spacing w:before="60" w:after="60"/>
              <w:jc w:val="center"/>
              <w:rPr>
                <w:rFonts w:cs="Calibri"/>
              </w:rPr>
            </w:pPr>
            <w:r w:rsidRPr="003E0B98">
              <w:rPr>
                <w:rFonts w:cs="Calibri"/>
              </w:rPr>
              <w:t>6,7 (7,9)</w:t>
            </w:r>
          </w:p>
        </w:tc>
        <w:tc>
          <w:tcPr>
            <w:tcW w:w="1292" w:type="dxa"/>
            <w:tcBorders>
              <w:top w:val="single" w:sz="4" w:space="0" w:color="auto"/>
              <w:left w:val="single" w:sz="4" w:space="0" w:color="auto"/>
              <w:bottom w:val="single" w:sz="4" w:space="0" w:color="auto"/>
              <w:right w:val="single" w:sz="4" w:space="0" w:color="auto"/>
            </w:tcBorders>
            <w:shd w:val="clear" w:color="auto" w:fill="FFFFFF"/>
            <w:vAlign w:val="center"/>
          </w:tcPr>
          <w:p w14:paraId="13026C43" w14:textId="77777777" w:rsidR="00AD2B21" w:rsidRPr="003E0B98" w:rsidRDefault="00AD2B21" w:rsidP="004361AC">
            <w:pPr>
              <w:keepNext/>
              <w:jc w:val="center"/>
              <w:rPr>
                <w:rFonts w:cs="Calibri"/>
              </w:rPr>
            </w:pPr>
            <w:r w:rsidRPr="003E0B98">
              <w:rPr>
                <w:rFonts w:cs="Calibri"/>
              </w:rPr>
              <w:t>5,4 (9,0)</w:t>
            </w:r>
          </w:p>
        </w:tc>
      </w:tr>
      <w:tr w:rsidR="00AD2B21" w:rsidRPr="003E0B98" w14:paraId="5FFF5453" w14:textId="77777777" w:rsidTr="00FF2CF4">
        <w:trPr>
          <w:trHeight w:val="200"/>
        </w:trPr>
        <w:tc>
          <w:tcPr>
            <w:tcW w:w="4069" w:type="dxa"/>
            <w:tcBorders>
              <w:top w:val="single" w:sz="4" w:space="0" w:color="auto"/>
              <w:left w:val="single" w:sz="4" w:space="0" w:color="auto"/>
              <w:bottom w:val="single" w:sz="4" w:space="0" w:color="auto"/>
              <w:right w:val="single" w:sz="4" w:space="0" w:color="auto"/>
            </w:tcBorders>
            <w:shd w:val="clear" w:color="auto" w:fill="FFFFFF"/>
          </w:tcPr>
          <w:p w14:paraId="1E394BED" w14:textId="77777777" w:rsidR="00AD2B21" w:rsidRPr="003E0B98" w:rsidRDefault="00147CF4" w:rsidP="004361AC">
            <w:pPr>
              <w:keepNext/>
              <w:rPr>
                <w:rFonts w:cs="Calibri"/>
                <w:bCs/>
                <w:iCs/>
                <w:lang w:val="es-ES"/>
              </w:rPr>
            </w:pPr>
            <w:r w:rsidRPr="003E0B98">
              <w:rPr>
                <w:color w:val="000000"/>
                <w:szCs w:val="22"/>
                <w:lang w:val="es-ES_tradnl"/>
              </w:rPr>
              <w:t xml:space="preserve">Cambio </w:t>
            </w:r>
            <w:r w:rsidR="006006F4" w:rsidRPr="003E0B98">
              <w:rPr>
                <w:color w:val="000000"/>
                <w:szCs w:val="22"/>
                <w:lang w:val="es-ES_tradnl"/>
              </w:rPr>
              <w:t>pro</w:t>
            </w:r>
            <w:r w:rsidRPr="003E0B98">
              <w:rPr>
                <w:color w:val="000000"/>
                <w:szCs w:val="22"/>
                <w:lang w:val="es-ES_tradnl"/>
              </w:rPr>
              <w:t xml:space="preserve">medio </w:t>
            </w:r>
            <w:r w:rsidR="008222CB" w:rsidRPr="003E0B98">
              <w:rPr>
                <w:color w:val="000000"/>
                <w:szCs w:val="22"/>
                <w:lang w:val="es-ES_tradnl"/>
              </w:rPr>
              <w:t>de</w:t>
            </w:r>
            <w:r w:rsidRPr="003E0B98">
              <w:rPr>
                <w:color w:val="000000"/>
                <w:szCs w:val="22"/>
                <w:lang w:val="es-ES_tradnl"/>
              </w:rPr>
              <w:t xml:space="preserve"> la AVMC al Mes 36</w:t>
            </w:r>
            <w:r w:rsidRPr="003E0B98">
              <w:rPr>
                <w:bCs/>
                <w:iCs/>
                <w:color w:val="000000"/>
                <w:szCs w:val="22"/>
                <w:lang w:val="es-ES_tradnl"/>
              </w:rPr>
              <w:t xml:space="preserve"> (desviación estándar)</w:t>
            </w:r>
          </w:p>
        </w:tc>
        <w:tc>
          <w:tcPr>
            <w:tcW w:w="1851" w:type="dxa"/>
            <w:tcBorders>
              <w:top w:val="single" w:sz="4" w:space="0" w:color="auto"/>
              <w:left w:val="single" w:sz="4" w:space="0" w:color="auto"/>
              <w:bottom w:val="single" w:sz="4" w:space="0" w:color="auto"/>
              <w:right w:val="single" w:sz="4" w:space="0" w:color="auto"/>
            </w:tcBorders>
            <w:shd w:val="clear" w:color="auto" w:fill="FFFFFF"/>
            <w:vAlign w:val="center"/>
          </w:tcPr>
          <w:p w14:paraId="17228842" w14:textId="77777777" w:rsidR="00AD2B21" w:rsidRPr="003E0B98" w:rsidRDefault="00AD2B21" w:rsidP="004361AC">
            <w:pPr>
              <w:keepNext/>
              <w:adjustRightInd w:val="0"/>
              <w:spacing w:before="60" w:after="60"/>
              <w:jc w:val="center"/>
              <w:rPr>
                <w:rFonts w:cs="Calibri"/>
              </w:rPr>
            </w:pPr>
            <w:r w:rsidRPr="003E0B98">
              <w:rPr>
                <w:rFonts w:cs="Calibri"/>
              </w:rPr>
              <w:t>8,0 (10,1)</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22D2188E" w14:textId="77777777" w:rsidR="00AD2B21" w:rsidRPr="003E0B98" w:rsidRDefault="00AD2B21" w:rsidP="004361AC">
            <w:pPr>
              <w:keepNext/>
              <w:adjustRightInd w:val="0"/>
              <w:spacing w:before="60" w:after="60"/>
              <w:jc w:val="center"/>
              <w:rPr>
                <w:rFonts w:cs="Calibri"/>
              </w:rPr>
            </w:pPr>
            <w:r w:rsidRPr="003E0B98">
              <w:rPr>
                <w:rFonts w:cs="Calibri"/>
              </w:rPr>
              <w:t>6,7 (9,6)</w:t>
            </w:r>
          </w:p>
        </w:tc>
        <w:tc>
          <w:tcPr>
            <w:tcW w:w="1292" w:type="dxa"/>
            <w:tcBorders>
              <w:top w:val="single" w:sz="4" w:space="0" w:color="auto"/>
              <w:left w:val="single" w:sz="4" w:space="0" w:color="auto"/>
              <w:bottom w:val="single" w:sz="4" w:space="0" w:color="auto"/>
              <w:right w:val="single" w:sz="4" w:space="0" w:color="auto"/>
            </w:tcBorders>
            <w:shd w:val="clear" w:color="auto" w:fill="FFFFFF"/>
            <w:vAlign w:val="center"/>
          </w:tcPr>
          <w:p w14:paraId="7104CB7C" w14:textId="77777777" w:rsidR="00AD2B21" w:rsidRPr="003E0B98" w:rsidRDefault="00AD2B21" w:rsidP="004361AC">
            <w:pPr>
              <w:keepNext/>
              <w:jc w:val="center"/>
              <w:rPr>
                <w:rFonts w:cs="Calibri"/>
              </w:rPr>
            </w:pPr>
            <w:r w:rsidRPr="003E0B98">
              <w:rPr>
                <w:rFonts w:cs="Calibri"/>
              </w:rPr>
              <w:t>6,0 (9,4)</w:t>
            </w:r>
          </w:p>
        </w:tc>
      </w:tr>
      <w:tr w:rsidR="00AD2B21" w:rsidRPr="003E0B98" w14:paraId="0A82372A" w14:textId="77777777" w:rsidTr="00FF2CF4">
        <w:trPr>
          <w:trHeight w:val="200"/>
        </w:trPr>
        <w:tc>
          <w:tcPr>
            <w:tcW w:w="4069" w:type="dxa"/>
            <w:tcBorders>
              <w:top w:val="single" w:sz="4" w:space="0" w:color="auto"/>
              <w:left w:val="single" w:sz="4" w:space="0" w:color="auto"/>
              <w:bottom w:val="single" w:sz="4" w:space="0" w:color="auto"/>
              <w:right w:val="single" w:sz="4" w:space="0" w:color="auto"/>
            </w:tcBorders>
            <w:shd w:val="clear" w:color="auto" w:fill="FFFFFF"/>
          </w:tcPr>
          <w:p w14:paraId="6152CCCA" w14:textId="77777777" w:rsidR="00AD2B21" w:rsidRPr="003E0B98" w:rsidRDefault="00333C85" w:rsidP="004361AC">
            <w:pPr>
              <w:keepNext/>
              <w:rPr>
                <w:rFonts w:cs="Calibri"/>
                <w:bCs/>
                <w:iCs/>
                <w:lang w:val="es-ES"/>
              </w:rPr>
            </w:pPr>
            <w:r w:rsidRPr="003E0B98">
              <w:rPr>
                <w:color w:val="000000"/>
                <w:szCs w:val="22"/>
                <w:lang w:val="es-ES"/>
              </w:rPr>
              <w:t>Ganancia de ≥15 letras o</w:t>
            </w:r>
            <w:r w:rsidRPr="003E0B98">
              <w:rPr>
                <w:bCs/>
                <w:iCs/>
                <w:color w:val="000000"/>
                <w:szCs w:val="22"/>
                <w:lang w:val="es-ES"/>
              </w:rPr>
              <w:t xml:space="preserve"> AVMC </w:t>
            </w:r>
            <w:r w:rsidR="0063565E" w:rsidRPr="003E0B98">
              <w:rPr>
                <w:color w:val="000000"/>
                <w:szCs w:val="22"/>
                <w:lang w:val="es-ES"/>
              </w:rPr>
              <w:t>≥</w:t>
            </w:r>
            <w:r w:rsidRPr="003E0B98">
              <w:rPr>
                <w:bCs/>
                <w:iCs/>
                <w:color w:val="000000"/>
                <w:szCs w:val="22"/>
                <w:lang w:val="es-ES"/>
              </w:rPr>
              <w:t>84 letras al Mes 36 (%)</w:t>
            </w:r>
          </w:p>
        </w:tc>
        <w:tc>
          <w:tcPr>
            <w:tcW w:w="1851" w:type="dxa"/>
            <w:tcBorders>
              <w:top w:val="single" w:sz="4" w:space="0" w:color="auto"/>
              <w:left w:val="single" w:sz="4" w:space="0" w:color="auto"/>
              <w:bottom w:val="single" w:sz="4" w:space="0" w:color="auto"/>
              <w:right w:val="single" w:sz="4" w:space="0" w:color="auto"/>
            </w:tcBorders>
            <w:shd w:val="clear" w:color="auto" w:fill="FFFFFF"/>
            <w:vAlign w:val="center"/>
          </w:tcPr>
          <w:p w14:paraId="40875D04" w14:textId="77777777" w:rsidR="00AD2B21" w:rsidRPr="003E0B98" w:rsidRDefault="00AD2B21" w:rsidP="004361AC">
            <w:pPr>
              <w:keepNext/>
              <w:adjustRightInd w:val="0"/>
              <w:spacing w:before="60" w:after="60"/>
              <w:jc w:val="center"/>
              <w:rPr>
                <w:rFonts w:cs="Calibri"/>
              </w:rPr>
            </w:pPr>
            <w:r w:rsidRPr="003E0B98">
              <w:rPr>
                <w:rFonts w:cs="Calibri"/>
              </w:rPr>
              <w:t>27,7</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2408310E" w14:textId="77777777" w:rsidR="00AD2B21" w:rsidRPr="003E0B98" w:rsidRDefault="00AD2B21" w:rsidP="004361AC">
            <w:pPr>
              <w:keepNext/>
              <w:adjustRightInd w:val="0"/>
              <w:spacing w:before="60" w:after="60"/>
              <w:jc w:val="center"/>
              <w:rPr>
                <w:rFonts w:cs="Calibri"/>
              </w:rPr>
            </w:pPr>
            <w:r w:rsidRPr="003E0B98">
              <w:rPr>
                <w:rFonts w:cs="Calibri"/>
              </w:rPr>
              <w:t>30,1</w:t>
            </w:r>
          </w:p>
        </w:tc>
        <w:tc>
          <w:tcPr>
            <w:tcW w:w="1292" w:type="dxa"/>
            <w:tcBorders>
              <w:top w:val="single" w:sz="4" w:space="0" w:color="auto"/>
              <w:left w:val="single" w:sz="4" w:space="0" w:color="auto"/>
              <w:bottom w:val="single" w:sz="4" w:space="0" w:color="auto"/>
              <w:right w:val="single" w:sz="4" w:space="0" w:color="auto"/>
            </w:tcBorders>
            <w:shd w:val="clear" w:color="auto" w:fill="FFFFFF"/>
            <w:vAlign w:val="center"/>
          </w:tcPr>
          <w:p w14:paraId="694EAE51" w14:textId="77777777" w:rsidR="00AD2B21" w:rsidRPr="003E0B98" w:rsidRDefault="00AD2B21" w:rsidP="004361AC">
            <w:pPr>
              <w:keepNext/>
              <w:jc w:val="center"/>
              <w:rPr>
                <w:rFonts w:cs="Calibri"/>
              </w:rPr>
            </w:pPr>
            <w:r w:rsidRPr="003E0B98">
              <w:rPr>
                <w:rFonts w:cs="Calibri"/>
              </w:rPr>
              <w:t>21,6</w:t>
            </w:r>
          </w:p>
        </w:tc>
      </w:tr>
      <w:tr w:rsidR="00E04BB2" w:rsidRPr="003E0B98" w14:paraId="0688F219" w14:textId="77777777" w:rsidTr="00FF2CF4">
        <w:trPr>
          <w:trHeight w:val="200"/>
        </w:trPr>
        <w:tc>
          <w:tcPr>
            <w:tcW w:w="4069" w:type="dxa"/>
            <w:tcBorders>
              <w:top w:val="single" w:sz="4" w:space="0" w:color="auto"/>
              <w:left w:val="single" w:sz="4" w:space="0" w:color="auto"/>
              <w:bottom w:val="single" w:sz="4" w:space="0" w:color="auto"/>
              <w:right w:val="single" w:sz="4" w:space="0" w:color="auto"/>
            </w:tcBorders>
            <w:shd w:val="clear" w:color="auto" w:fill="FFFFFF"/>
          </w:tcPr>
          <w:p w14:paraId="408B02A6" w14:textId="77777777" w:rsidR="00E04BB2" w:rsidRPr="003E0B98" w:rsidRDefault="00E04BB2" w:rsidP="004361AC">
            <w:pPr>
              <w:keepNext/>
              <w:rPr>
                <w:color w:val="000000"/>
                <w:szCs w:val="22"/>
                <w:lang w:val="es-ES"/>
              </w:rPr>
            </w:pPr>
            <w:r w:rsidRPr="003E0B98">
              <w:rPr>
                <w:color w:val="000000"/>
                <w:szCs w:val="22"/>
                <w:lang w:val="es-ES"/>
              </w:rPr>
              <w:t>Núm</w:t>
            </w:r>
            <w:r w:rsidR="008E1452" w:rsidRPr="003E0B98">
              <w:rPr>
                <w:color w:val="000000"/>
                <w:szCs w:val="22"/>
                <w:lang w:val="es-ES"/>
              </w:rPr>
              <w:t xml:space="preserve">ero </w:t>
            </w:r>
            <w:r w:rsidR="00A72E17" w:rsidRPr="003E0B98">
              <w:rPr>
                <w:color w:val="000000"/>
                <w:szCs w:val="22"/>
                <w:lang w:val="es-ES"/>
              </w:rPr>
              <w:t>pro</w:t>
            </w:r>
            <w:r w:rsidR="008E1452" w:rsidRPr="003E0B98">
              <w:rPr>
                <w:color w:val="000000"/>
                <w:szCs w:val="22"/>
                <w:lang w:val="es-ES"/>
              </w:rPr>
              <w:t>medio de inyecciones (Meses </w:t>
            </w:r>
            <w:r w:rsidRPr="003E0B98">
              <w:rPr>
                <w:color w:val="000000"/>
                <w:szCs w:val="22"/>
                <w:lang w:val="es-ES"/>
              </w:rPr>
              <w:t>12-</w:t>
            </w:r>
            <w:proofErr w:type="gramStart"/>
            <w:r w:rsidRPr="003E0B98">
              <w:rPr>
                <w:color w:val="000000"/>
                <w:szCs w:val="22"/>
                <w:lang w:val="es-ES"/>
              </w:rPr>
              <w:t>35)*</w:t>
            </w:r>
            <w:proofErr w:type="gramEnd"/>
          </w:p>
        </w:tc>
        <w:tc>
          <w:tcPr>
            <w:tcW w:w="1851" w:type="dxa"/>
            <w:tcBorders>
              <w:top w:val="single" w:sz="4" w:space="0" w:color="auto"/>
              <w:left w:val="single" w:sz="4" w:space="0" w:color="auto"/>
              <w:bottom w:val="single" w:sz="4" w:space="0" w:color="auto"/>
              <w:right w:val="single" w:sz="4" w:space="0" w:color="auto"/>
            </w:tcBorders>
            <w:shd w:val="clear" w:color="auto" w:fill="FFFFFF"/>
            <w:vAlign w:val="center"/>
          </w:tcPr>
          <w:p w14:paraId="2FF18395" w14:textId="77777777" w:rsidR="00E04BB2" w:rsidRPr="003E0B98" w:rsidRDefault="00E04BB2" w:rsidP="004361AC">
            <w:pPr>
              <w:keepNext/>
              <w:adjustRightInd w:val="0"/>
              <w:spacing w:before="60" w:after="60"/>
              <w:jc w:val="center"/>
              <w:rPr>
                <w:rFonts w:cs="Calibri"/>
                <w:lang w:val="es-ES"/>
              </w:rPr>
            </w:pPr>
            <w:r w:rsidRPr="003E0B98">
              <w:rPr>
                <w:rFonts w:cs="Calibri"/>
                <w:lang w:val="es-ES"/>
              </w:rPr>
              <w:t>6,8</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5F51A678" w14:textId="77777777" w:rsidR="00E04BB2" w:rsidRPr="003E0B98" w:rsidRDefault="00E04BB2" w:rsidP="004361AC">
            <w:pPr>
              <w:keepNext/>
              <w:adjustRightInd w:val="0"/>
              <w:spacing w:before="60" w:after="60"/>
              <w:jc w:val="center"/>
              <w:rPr>
                <w:rFonts w:cs="Calibri"/>
                <w:lang w:val="es-ES"/>
              </w:rPr>
            </w:pPr>
            <w:r w:rsidRPr="003E0B98">
              <w:rPr>
                <w:rFonts w:cs="Calibri"/>
                <w:lang w:val="es-ES"/>
              </w:rPr>
              <w:t>6,0</w:t>
            </w:r>
          </w:p>
        </w:tc>
        <w:tc>
          <w:tcPr>
            <w:tcW w:w="1292" w:type="dxa"/>
            <w:tcBorders>
              <w:top w:val="single" w:sz="4" w:space="0" w:color="auto"/>
              <w:left w:val="single" w:sz="4" w:space="0" w:color="auto"/>
              <w:bottom w:val="single" w:sz="4" w:space="0" w:color="auto"/>
              <w:right w:val="single" w:sz="4" w:space="0" w:color="auto"/>
            </w:tcBorders>
            <w:shd w:val="clear" w:color="auto" w:fill="FFFFFF"/>
            <w:vAlign w:val="center"/>
          </w:tcPr>
          <w:p w14:paraId="5A6C4466" w14:textId="77777777" w:rsidR="00E04BB2" w:rsidRPr="003E0B98" w:rsidRDefault="00E04BB2" w:rsidP="004361AC">
            <w:pPr>
              <w:keepNext/>
              <w:jc w:val="center"/>
              <w:rPr>
                <w:rFonts w:cs="Calibri"/>
                <w:lang w:val="es-ES"/>
              </w:rPr>
            </w:pPr>
            <w:r w:rsidRPr="003E0B98">
              <w:rPr>
                <w:rFonts w:cs="Calibri"/>
                <w:lang w:val="es-ES"/>
              </w:rPr>
              <w:t>6,5</w:t>
            </w:r>
          </w:p>
        </w:tc>
      </w:tr>
    </w:tbl>
    <w:p w14:paraId="4EBC51EB" w14:textId="77777777" w:rsidR="00AD2B21" w:rsidRPr="003E0B98" w:rsidRDefault="00AD2B21" w:rsidP="004361AC">
      <w:pPr>
        <w:keepNext/>
        <w:rPr>
          <w:bCs/>
          <w:iCs/>
          <w:color w:val="000000"/>
          <w:szCs w:val="22"/>
          <w:lang w:val="es-ES"/>
        </w:rPr>
      </w:pPr>
      <w:proofErr w:type="spellStart"/>
      <w:r w:rsidRPr="003E0B98">
        <w:rPr>
          <w:bCs/>
          <w:iCs/>
          <w:color w:val="000000"/>
          <w:szCs w:val="22"/>
          <w:vertAlign w:val="superscript"/>
          <w:lang w:val="es-ES"/>
        </w:rPr>
        <w:t>a</w:t>
      </w:r>
      <w:r w:rsidRPr="003E0B98">
        <w:rPr>
          <w:bCs/>
          <w:color w:val="000000"/>
          <w:szCs w:val="22"/>
          <w:lang w:val="es-ES"/>
        </w:rPr>
        <w:t>p</w:t>
      </w:r>
      <w:proofErr w:type="spellEnd"/>
      <w:r w:rsidRPr="003E0B98">
        <w:rPr>
          <w:bCs/>
          <w:color w:val="000000"/>
          <w:szCs w:val="22"/>
          <w:lang w:val="es-ES"/>
        </w:rPr>
        <w:t>&lt;</w:t>
      </w:r>
      <w:r w:rsidRPr="003E0B98">
        <w:rPr>
          <w:bCs/>
          <w:iCs/>
          <w:color w:val="000000"/>
          <w:szCs w:val="22"/>
          <w:lang w:val="es-ES"/>
        </w:rPr>
        <w:t>0</w:t>
      </w:r>
      <w:r w:rsidR="001D45CB" w:rsidRPr="003E0B98">
        <w:rPr>
          <w:bCs/>
          <w:iCs/>
          <w:color w:val="000000"/>
          <w:szCs w:val="22"/>
          <w:lang w:val="es-ES"/>
        </w:rPr>
        <w:t>,</w:t>
      </w:r>
      <w:r w:rsidRPr="003E0B98">
        <w:rPr>
          <w:bCs/>
          <w:iCs/>
          <w:color w:val="000000"/>
          <w:szCs w:val="22"/>
          <w:lang w:val="es-ES"/>
        </w:rPr>
        <w:t xml:space="preserve">0001 </w:t>
      </w:r>
      <w:r w:rsidR="001D45CB" w:rsidRPr="003E0B98">
        <w:rPr>
          <w:bCs/>
          <w:iCs/>
          <w:color w:val="000000"/>
          <w:szCs w:val="22"/>
          <w:lang w:val="es-ES"/>
        </w:rPr>
        <w:t xml:space="preserve">para comparaciones de los </w:t>
      </w:r>
      <w:r w:rsidR="007C4AA6" w:rsidRPr="003E0B98">
        <w:rPr>
          <w:bCs/>
          <w:iCs/>
          <w:color w:val="000000"/>
          <w:szCs w:val="22"/>
          <w:lang w:val="es-ES"/>
        </w:rPr>
        <w:t>grupos</w:t>
      </w:r>
      <w:r w:rsidR="001D45CB" w:rsidRPr="003E0B98">
        <w:rPr>
          <w:bCs/>
          <w:iCs/>
          <w:color w:val="000000"/>
          <w:szCs w:val="22"/>
          <w:lang w:val="es-ES"/>
        </w:rPr>
        <w:t xml:space="preserve"> de </w:t>
      </w:r>
      <w:proofErr w:type="spellStart"/>
      <w:r w:rsidRPr="003E0B98">
        <w:rPr>
          <w:bCs/>
          <w:iCs/>
          <w:color w:val="000000"/>
          <w:szCs w:val="22"/>
          <w:lang w:val="es-ES"/>
        </w:rPr>
        <w:t>ranibizumab</w:t>
      </w:r>
      <w:proofErr w:type="spellEnd"/>
      <w:r w:rsidRPr="003E0B98">
        <w:rPr>
          <w:bCs/>
          <w:iCs/>
          <w:color w:val="000000"/>
          <w:szCs w:val="22"/>
          <w:lang w:val="es-ES"/>
        </w:rPr>
        <w:t xml:space="preserve"> </w:t>
      </w:r>
      <w:r w:rsidR="001D45CB" w:rsidRPr="003E0B98">
        <w:rPr>
          <w:bCs/>
          <w:iCs/>
          <w:color w:val="000000"/>
          <w:szCs w:val="22"/>
          <w:lang w:val="es-ES"/>
        </w:rPr>
        <w:t xml:space="preserve">frente al </w:t>
      </w:r>
      <w:r w:rsidR="007C4AA6" w:rsidRPr="003E0B98">
        <w:rPr>
          <w:bCs/>
          <w:iCs/>
          <w:color w:val="000000"/>
          <w:szCs w:val="22"/>
          <w:lang w:val="es-ES"/>
        </w:rPr>
        <w:t>grupo</w:t>
      </w:r>
      <w:r w:rsidR="001D45CB" w:rsidRPr="003E0B98">
        <w:rPr>
          <w:bCs/>
          <w:iCs/>
          <w:color w:val="000000"/>
          <w:szCs w:val="22"/>
          <w:lang w:val="es-ES"/>
        </w:rPr>
        <w:t xml:space="preserve"> de láser</w:t>
      </w:r>
      <w:r w:rsidRPr="003E0B98">
        <w:rPr>
          <w:bCs/>
          <w:iCs/>
          <w:color w:val="000000"/>
          <w:szCs w:val="22"/>
          <w:lang w:val="es-ES"/>
        </w:rPr>
        <w:t>.</w:t>
      </w:r>
    </w:p>
    <w:p w14:paraId="299F7DFD" w14:textId="77777777" w:rsidR="00AD2B21" w:rsidRPr="003E0B98" w:rsidRDefault="0024041A" w:rsidP="004361AC">
      <w:pPr>
        <w:keepNext/>
        <w:rPr>
          <w:bCs/>
          <w:iCs/>
          <w:color w:val="000000"/>
          <w:szCs w:val="22"/>
          <w:lang w:val="es-ES"/>
        </w:rPr>
      </w:pPr>
      <w:r w:rsidRPr="003E0B98">
        <w:rPr>
          <w:bCs/>
          <w:iCs/>
          <w:color w:val="000000"/>
          <w:szCs w:val="22"/>
          <w:lang w:val="es-ES"/>
        </w:rPr>
        <w:t>n e</w:t>
      </w:r>
      <w:r w:rsidR="00AD2B21" w:rsidRPr="003E0B98">
        <w:rPr>
          <w:bCs/>
          <w:iCs/>
          <w:color w:val="000000"/>
          <w:szCs w:val="22"/>
          <w:lang w:val="es-ES"/>
        </w:rPr>
        <w:t>n D2301-E1 (</w:t>
      </w:r>
      <w:proofErr w:type="spellStart"/>
      <w:r w:rsidR="00AD2B21" w:rsidRPr="003E0B98">
        <w:rPr>
          <w:bCs/>
          <w:iCs/>
          <w:color w:val="000000"/>
          <w:szCs w:val="22"/>
          <w:lang w:val="es-ES"/>
        </w:rPr>
        <w:t>Extension</w:t>
      </w:r>
      <w:proofErr w:type="spellEnd"/>
      <w:r w:rsidRPr="003E0B98">
        <w:rPr>
          <w:bCs/>
          <w:iCs/>
          <w:color w:val="000000"/>
          <w:szCs w:val="22"/>
          <w:lang w:val="es-ES"/>
        </w:rPr>
        <w:t xml:space="preserve"> del estudio RESTORE</w:t>
      </w:r>
      <w:r w:rsidR="00AD2B21" w:rsidRPr="003E0B98">
        <w:rPr>
          <w:bCs/>
          <w:iCs/>
          <w:color w:val="000000"/>
          <w:szCs w:val="22"/>
          <w:lang w:val="es-ES"/>
        </w:rPr>
        <w:t xml:space="preserve">) </w:t>
      </w:r>
      <w:r w:rsidRPr="003E0B98">
        <w:rPr>
          <w:bCs/>
          <w:iCs/>
          <w:color w:val="000000"/>
          <w:szCs w:val="22"/>
          <w:lang w:val="es-ES"/>
        </w:rPr>
        <w:t>es el número de pacientes con un valor tanto en el valor inicial del estudio</w:t>
      </w:r>
      <w:r w:rsidR="00AD2B21" w:rsidRPr="003E0B98">
        <w:rPr>
          <w:bCs/>
          <w:iCs/>
          <w:color w:val="000000"/>
          <w:szCs w:val="22"/>
          <w:lang w:val="es-ES"/>
        </w:rPr>
        <w:t xml:space="preserve"> D2301 (RESTORE) </w:t>
      </w:r>
      <w:r w:rsidRPr="003E0B98">
        <w:rPr>
          <w:bCs/>
          <w:iCs/>
          <w:color w:val="000000"/>
          <w:szCs w:val="22"/>
          <w:lang w:val="es-ES"/>
        </w:rPr>
        <w:t>(Mes</w:t>
      </w:r>
      <w:r w:rsidR="00AD2B21" w:rsidRPr="003E0B98">
        <w:rPr>
          <w:bCs/>
          <w:iCs/>
          <w:color w:val="000000"/>
          <w:szCs w:val="22"/>
          <w:lang w:val="es-ES"/>
        </w:rPr>
        <w:t xml:space="preserve"> 0) </w:t>
      </w:r>
      <w:r w:rsidRPr="003E0B98">
        <w:rPr>
          <w:bCs/>
          <w:iCs/>
          <w:color w:val="000000"/>
          <w:szCs w:val="22"/>
          <w:lang w:val="es-ES"/>
        </w:rPr>
        <w:t>como en la visita del Mes 36</w:t>
      </w:r>
      <w:r w:rsidR="00AD2B21" w:rsidRPr="003E0B98">
        <w:rPr>
          <w:bCs/>
          <w:iCs/>
          <w:color w:val="000000"/>
          <w:szCs w:val="22"/>
          <w:lang w:val="es-ES"/>
        </w:rPr>
        <w:t>.</w:t>
      </w:r>
    </w:p>
    <w:p w14:paraId="66B10FAD" w14:textId="77777777" w:rsidR="00AD2B21" w:rsidRPr="003E0B98" w:rsidRDefault="00A942E3" w:rsidP="004361AC">
      <w:pPr>
        <w:tabs>
          <w:tab w:val="clear" w:pos="567"/>
        </w:tabs>
        <w:spacing w:line="240" w:lineRule="auto"/>
        <w:rPr>
          <w:bCs/>
          <w:iCs/>
          <w:color w:val="000000"/>
          <w:szCs w:val="22"/>
          <w:lang w:val="es-ES"/>
        </w:rPr>
      </w:pPr>
      <w:r w:rsidRPr="003E0B98">
        <w:rPr>
          <w:bCs/>
          <w:iCs/>
          <w:color w:val="000000"/>
          <w:szCs w:val="22"/>
          <w:lang w:val="es-ES"/>
        </w:rPr>
        <w:t>*</w:t>
      </w:r>
      <w:r w:rsidR="00F322C9" w:rsidRPr="003E0B98">
        <w:rPr>
          <w:lang w:val="es-ES"/>
        </w:rPr>
        <w:t xml:space="preserve"> </w:t>
      </w:r>
      <w:r w:rsidR="00F322C9" w:rsidRPr="003E0B98">
        <w:rPr>
          <w:bCs/>
          <w:iCs/>
          <w:color w:val="000000"/>
          <w:szCs w:val="22"/>
          <w:lang w:val="es-ES"/>
        </w:rPr>
        <w:t xml:space="preserve">Las proporciones de pacientes que no necesitaron ningún tratamiento con </w:t>
      </w:r>
      <w:proofErr w:type="spellStart"/>
      <w:r w:rsidR="00F322C9" w:rsidRPr="003E0B98">
        <w:rPr>
          <w:bCs/>
          <w:iCs/>
          <w:color w:val="000000"/>
          <w:szCs w:val="22"/>
          <w:lang w:val="es-ES"/>
        </w:rPr>
        <w:t>ranibizumab</w:t>
      </w:r>
      <w:proofErr w:type="spellEnd"/>
      <w:r w:rsidR="00F322C9" w:rsidRPr="003E0B98">
        <w:rPr>
          <w:bCs/>
          <w:iCs/>
          <w:color w:val="000000"/>
          <w:szCs w:val="22"/>
          <w:lang w:val="es-ES"/>
        </w:rPr>
        <w:t xml:space="preserve"> durante la fase de extensión fueron del 19%, 25% y 20% en los grupos </w:t>
      </w:r>
      <w:proofErr w:type="spellStart"/>
      <w:r w:rsidR="00F322C9" w:rsidRPr="003E0B98">
        <w:rPr>
          <w:bCs/>
          <w:iCs/>
          <w:color w:val="000000"/>
          <w:szCs w:val="22"/>
          <w:lang w:val="es-ES"/>
        </w:rPr>
        <w:t>ranibizumab</w:t>
      </w:r>
      <w:proofErr w:type="spellEnd"/>
      <w:r w:rsidR="00F322C9" w:rsidRPr="003E0B98">
        <w:rPr>
          <w:bCs/>
          <w:iCs/>
          <w:color w:val="000000"/>
          <w:szCs w:val="22"/>
          <w:lang w:val="es-ES"/>
        </w:rPr>
        <w:t xml:space="preserve"> previo, </w:t>
      </w:r>
      <w:proofErr w:type="spellStart"/>
      <w:r w:rsidR="00F322C9" w:rsidRPr="003E0B98">
        <w:rPr>
          <w:bCs/>
          <w:iCs/>
          <w:color w:val="000000"/>
          <w:szCs w:val="22"/>
          <w:lang w:val="es-ES"/>
        </w:rPr>
        <w:t>ranibizumab</w:t>
      </w:r>
      <w:proofErr w:type="spellEnd"/>
      <w:r w:rsidR="00F322C9" w:rsidRPr="003E0B98">
        <w:rPr>
          <w:bCs/>
          <w:iCs/>
          <w:color w:val="000000"/>
          <w:szCs w:val="22"/>
          <w:lang w:val="es-ES"/>
        </w:rPr>
        <w:t xml:space="preserve"> + láser previos y láser previo, respectivamente.</w:t>
      </w:r>
    </w:p>
    <w:p w14:paraId="31B3459A" w14:textId="77777777" w:rsidR="00E86A8F" w:rsidRPr="003E0B98" w:rsidRDefault="00E86A8F" w:rsidP="004361AC">
      <w:pPr>
        <w:tabs>
          <w:tab w:val="clear" w:pos="567"/>
        </w:tabs>
        <w:spacing w:line="240" w:lineRule="auto"/>
        <w:rPr>
          <w:rFonts w:cs="Calibri"/>
          <w:lang w:val="es-ES"/>
        </w:rPr>
      </w:pPr>
    </w:p>
    <w:p w14:paraId="4581F20C" w14:textId="77777777" w:rsidR="00E86A8F" w:rsidRPr="003E0B98" w:rsidRDefault="00E86A8F" w:rsidP="004361AC">
      <w:pPr>
        <w:tabs>
          <w:tab w:val="clear" w:pos="567"/>
        </w:tabs>
        <w:spacing w:line="240" w:lineRule="auto"/>
        <w:rPr>
          <w:bCs/>
          <w:iCs/>
          <w:color w:val="000000"/>
          <w:szCs w:val="22"/>
          <w:lang w:val="es-ES"/>
        </w:rPr>
      </w:pPr>
      <w:r w:rsidRPr="003E0B98">
        <w:rPr>
          <w:rFonts w:cs="Calibri"/>
          <w:lang w:val="es-ES"/>
        </w:rPr>
        <w:t xml:space="preserve">En el tratamiento con </w:t>
      </w:r>
      <w:proofErr w:type="spellStart"/>
      <w:r w:rsidRPr="003E0B98">
        <w:rPr>
          <w:rFonts w:cs="Calibri"/>
          <w:lang w:val="es-ES"/>
        </w:rPr>
        <w:t>ranibizumab</w:t>
      </w:r>
      <w:proofErr w:type="spellEnd"/>
      <w:r w:rsidRPr="003E0B98">
        <w:rPr>
          <w:rFonts w:cs="Calibri"/>
          <w:lang w:val="es-ES"/>
        </w:rPr>
        <w:t xml:space="preserve"> (con o sin láser) se observaron beneficios </w:t>
      </w:r>
      <w:r w:rsidRPr="003E0B98">
        <w:rPr>
          <w:szCs w:val="22"/>
          <w:lang w:val="es-ES"/>
        </w:rPr>
        <w:t xml:space="preserve">notificados por el mismo paciente estadísticamente significativos para la mayoría de </w:t>
      </w:r>
      <w:proofErr w:type="gramStart"/>
      <w:r w:rsidRPr="003E0B98">
        <w:rPr>
          <w:szCs w:val="22"/>
          <w:lang w:val="es-ES"/>
        </w:rPr>
        <w:t>funciones</w:t>
      </w:r>
      <w:proofErr w:type="gramEnd"/>
      <w:r w:rsidRPr="003E0B98">
        <w:rPr>
          <w:szCs w:val="22"/>
          <w:lang w:val="es-ES"/>
        </w:rPr>
        <w:t xml:space="preserve"> relacionadas con la visión respecto al grupo control, medidos según el </w:t>
      </w:r>
      <w:r w:rsidRPr="003E0B98">
        <w:rPr>
          <w:szCs w:val="22"/>
          <w:lang w:val="es-ES_tradnl"/>
        </w:rPr>
        <w:t>NEI VFQ-25.</w:t>
      </w:r>
      <w:r w:rsidR="0084796D" w:rsidRPr="003E0B98">
        <w:rPr>
          <w:szCs w:val="22"/>
          <w:lang w:val="es-ES_tradnl"/>
        </w:rPr>
        <w:t xml:space="preserve"> Para las otras subescalas de este cuestionario no pudieron establecerse diferencias ligadas al tratamiento.</w:t>
      </w:r>
    </w:p>
    <w:p w14:paraId="252F8CAE" w14:textId="77777777" w:rsidR="00E04305" w:rsidRPr="003E0B98" w:rsidRDefault="00E04305" w:rsidP="004361AC">
      <w:pPr>
        <w:tabs>
          <w:tab w:val="clear" w:pos="567"/>
        </w:tabs>
        <w:spacing w:line="240" w:lineRule="auto"/>
        <w:rPr>
          <w:szCs w:val="22"/>
          <w:lang w:val="es-ES_tradnl"/>
        </w:rPr>
      </w:pPr>
    </w:p>
    <w:p w14:paraId="2C34AC47" w14:textId="77777777" w:rsidR="00E04305" w:rsidRPr="003E0B98" w:rsidRDefault="000A5F80" w:rsidP="004361AC">
      <w:pPr>
        <w:tabs>
          <w:tab w:val="clear" w:pos="567"/>
        </w:tabs>
        <w:spacing w:line="240" w:lineRule="auto"/>
        <w:rPr>
          <w:szCs w:val="22"/>
          <w:lang w:val="es-ES_tradnl"/>
        </w:rPr>
      </w:pPr>
      <w:r w:rsidRPr="003E0B98">
        <w:rPr>
          <w:szCs w:val="22"/>
          <w:lang w:val="es-ES_tradnl"/>
        </w:rPr>
        <w:t xml:space="preserve">El perfil de seguridad a largo plazo de </w:t>
      </w:r>
      <w:proofErr w:type="spellStart"/>
      <w:r w:rsidRPr="003E0B98">
        <w:rPr>
          <w:szCs w:val="22"/>
          <w:lang w:val="es-ES_tradnl"/>
        </w:rPr>
        <w:t>ranibizumab</w:t>
      </w:r>
      <w:proofErr w:type="spellEnd"/>
      <w:r w:rsidRPr="003E0B98">
        <w:rPr>
          <w:szCs w:val="22"/>
          <w:lang w:val="es-ES_tradnl"/>
        </w:rPr>
        <w:t xml:space="preserve"> obse</w:t>
      </w:r>
      <w:r w:rsidR="004C1BAB" w:rsidRPr="003E0B98">
        <w:rPr>
          <w:szCs w:val="22"/>
          <w:lang w:val="es-ES_tradnl"/>
        </w:rPr>
        <w:t>r</w:t>
      </w:r>
      <w:r w:rsidRPr="003E0B98">
        <w:rPr>
          <w:szCs w:val="22"/>
          <w:lang w:val="es-ES_tradnl"/>
        </w:rPr>
        <w:t xml:space="preserve">vado en el ensayo de extensión de 24 meses es consistente con el perfil de seguridad de </w:t>
      </w:r>
      <w:proofErr w:type="spellStart"/>
      <w:r w:rsidRPr="003E0B98">
        <w:rPr>
          <w:szCs w:val="22"/>
          <w:lang w:val="es-ES_tradnl"/>
        </w:rPr>
        <w:t>Lucentis</w:t>
      </w:r>
      <w:proofErr w:type="spellEnd"/>
      <w:r w:rsidRPr="003E0B98">
        <w:rPr>
          <w:szCs w:val="22"/>
          <w:lang w:val="es-ES_tradnl"/>
        </w:rPr>
        <w:t xml:space="preserve"> conocido.</w:t>
      </w:r>
    </w:p>
    <w:p w14:paraId="7BC1FB0D" w14:textId="77777777" w:rsidR="000A5F80" w:rsidRPr="003E0B98" w:rsidRDefault="000A5F80" w:rsidP="004361AC">
      <w:pPr>
        <w:tabs>
          <w:tab w:val="clear" w:pos="567"/>
        </w:tabs>
        <w:spacing w:line="240" w:lineRule="auto"/>
        <w:rPr>
          <w:szCs w:val="22"/>
          <w:lang w:val="es-ES_tradnl"/>
        </w:rPr>
      </w:pPr>
    </w:p>
    <w:p w14:paraId="5BC92B11" w14:textId="77777777" w:rsidR="000A5F80" w:rsidRPr="003E0B98" w:rsidRDefault="004C1BAB" w:rsidP="004361AC">
      <w:pPr>
        <w:keepNext/>
        <w:tabs>
          <w:tab w:val="clear" w:pos="567"/>
        </w:tabs>
        <w:spacing w:line="240" w:lineRule="auto"/>
        <w:rPr>
          <w:color w:val="000000"/>
          <w:szCs w:val="22"/>
          <w:lang w:val="es-ES_tradnl"/>
        </w:rPr>
      </w:pPr>
      <w:r w:rsidRPr="003E0B98">
        <w:rPr>
          <w:color w:val="000000"/>
          <w:szCs w:val="22"/>
          <w:lang w:val="es-ES_tradnl"/>
        </w:rPr>
        <w:t xml:space="preserve">En el ensayo de fase </w:t>
      </w:r>
      <w:proofErr w:type="spellStart"/>
      <w:r w:rsidRPr="003E0B98">
        <w:rPr>
          <w:color w:val="000000"/>
          <w:szCs w:val="22"/>
          <w:lang w:val="es-ES_tradnl"/>
        </w:rPr>
        <w:t>IIIb</w:t>
      </w:r>
      <w:proofErr w:type="spellEnd"/>
      <w:r w:rsidRPr="003E0B98">
        <w:rPr>
          <w:color w:val="000000"/>
          <w:szCs w:val="22"/>
          <w:lang w:val="es-ES_tradnl"/>
        </w:rPr>
        <w:t xml:space="preserve"> D2304 (RETAIN), se aleatorizaron 372 pacientes </w:t>
      </w:r>
      <w:r w:rsidR="00F03D9B" w:rsidRPr="003E0B98">
        <w:rPr>
          <w:color w:val="000000"/>
          <w:szCs w:val="22"/>
          <w:lang w:val="es-ES_tradnl"/>
        </w:rPr>
        <w:t xml:space="preserve">en </w:t>
      </w:r>
      <w:proofErr w:type="gramStart"/>
      <w:r w:rsidR="00F03D9B" w:rsidRPr="003E0B98">
        <w:rPr>
          <w:color w:val="000000"/>
          <w:szCs w:val="22"/>
          <w:lang w:val="es-ES_tradnl"/>
        </w:rPr>
        <w:t>un ratio</w:t>
      </w:r>
      <w:proofErr w:type="gramEnd"/>
      <w:r w:rsidR="00F03D9B" w:rsidRPr="003E0B98">
        <w:rPr>
          <w:color w:val="000000"/>
          <w:szCs w:val="22"/>
          <w:lang w:val="es-ES_tradnl"/>
        </w:rPr>
        <w:t xml:space="preserve"> 1:1:1 </w:t>
      </w:r>
      <w:r w:rsidRPr="003E0B98">
        <w:rPr>
          <w:color w:val="000000"/>
          <w:szCs w:val="22"/>
          <w:lang w:val="es-ES_tradnl"/>
        </w:rPr>
        <w:t>para recibir</w:t>
      </w:r>
      <w:r w:rsidR="00AA02B1" w:rsidRPr="003E0B98">
        <w:rPr>
          <w:color w:val="000000"/>
          <w:szCs w:val="22"/>
          <w:lang w:val="es-ES_tradnl"/>
        </w:rPr>
        <w:t>:</w:t>
      </w:r>
    </w:p>
    <w:p w14:paraId="4F860311" w14:textId="77777777" w:rsidR="00AA02B1" w:rsidRPr="003E0B98" w:rsidRDefault="00AA02B1" w:rsidP="004361AC">
      <w:pPr>
        <w:numPr>
          <w:ilvl w:val="0"/>
          <w:numId w:val="13"/>
        </w:numPr>
        <w:tabs>
          <w:tab w:val="clear" w:pos="567"/>
        </w:tabs>
        <w:spacing w:line="240" w:lineRule="auto"/>
        <w:ind w:left="567" w:hanging="567"/>
        <w:rPr>
          <w:szCs w:val="22"/>
          <w:lang w:val="es-ES_tradnl"/>
        </w:rPr>
      </w:pPr>
      <w:proofErr w:type="spellStart"/>
      <w:r w:rsidRPr="003E0B98">
        <w:rPr>
          <w:szCs w:val="22"/>
          <w:lang w:val="es-ES_tradnl"/>
        </w:rPr>
        <w:t>ranibizumab</w:t>
      </w:r>
      <w:proofErr w:type="spellEnd"/>
      <w:r w:rsidRPr="003E0B98">
        <w:rPr>
          <w:szCs w:val="22"/>
          <w:lang w:val="es-ES_tradnl"/>
        </w:rPr>
        <w:t xml:space="preserve"> 0,5 mg con fotocoagulación con láser concomitante en un régimen de tratar y extender (TE)</w:t>
      </w:r>
      <w:r w:rsidR="00A1686C" w:rsidRPr="003E0B98">
        <w:rPr>
          <w:szCs w:val="22"/>
          <w:lang w:val="es-ES_tradnl"/>
        </w:rPr>
        <w:t>, o bien</w:t>
      </w:r>
    </w:p>
    <w:p w14:paraId="63307F7C" w14:textId="77777777" w:rsidR="00355474" w:rsidRPr="003E0B98" w:rsidRDefault="00355474" w:rsidP="004361AC">
      <w:pPr>
        <w:numPr>
          <w:ilvl w:val="0"/>
          <w:numId w:val="13"/>
        </w:numPr>
        <w:tabs>
          <w:tab w:val="clear" w:pos="567"/>
        </w:tabs>
        <w:spacing w:line="240" w:lineRule="auto"/>
        <w:ind w:left="567" w:hanging="567"/>
        <w:rPr>
          <w:szCs w:val="22"/>
          <w:lang w:val="es-ES_tradnl"/>
        </w:rPr>
      </w:pPr>
      <w:proofErr w:type="spellStart"/>
      <w:r w:rsidRPr="003E0B98">
        <w:rPr>
          <w:szCs w:val="22"/>
          <w:lang w:val="es-ES_tradnl"/>
        </w:rPr>
        <w:t>ranibizumab</w:t>
      </w:r>
      <w:proofErr w:type="spellEnd"/>
      <w:r w:rsidRPr="003E0B98">
        <w:rPr>
          <w:szCs w:val="22"/>
          <w:lang w:val="es-ES_tradnl"/>
        </w:rPr>
        <w:t xml:space="preserve"> 0,5 mg en monoterapia en un régimen TE</w:t>
      </w:r>
      <w:r w:rsidR="00A1686C" w:rsidRPr="003E0B98">
        <w:rPr>
          <w:szCs w:val="22"/>
          <w:lang w:val="es-ES_tradnl"/>
        </w:rPr>
        <w:t>,</w:t>
      </w:r>
      <w:r w:rsidRPr="003E0B98">
        <w:rPr>
          <w:szCs w:val="22"/>
          <w:lang w:val="es-ES_tradnl"/>
        </w:rPr>
        <w:t xml:space="preserve"> o bien</w:t>
      </w:r>
    </w:p>
    <w:p w14:paraId="5697AFDB" w14:textId="77777777" w:rsidR="00355474" w:rsidRPr="003E0B98" w:rsidRDefault="00355474" w:rsidP="004361AC">
      <w:pPr>
        <w:numPr>
          <w:ilvl w:val="0"/>
          <w:numId w:val="13"/>
        </w:numPr>
        <w:tabs>
          <w:tab w:val="clear" w:pos="567"/>
        </w:tabs>
        <w:spacing w:line="240" w:lineRule="auto"/>
        <w:ind w:left="567" w:hanging="567"/>
        <w:rPr>
          <w:szCs w:val="22"/>
          <w:lang w:val="es-ES_tradnl"/>
        </w:rPr>
      </w:pPr>
      <w:proofErr w:type="spellStart"/>
      <w:r w:rsidRPr="003E0B98">
        <w:rPr>
          <w:szCs w:val="22"/>
          <w:lang w:val="es-ES_tradnl"/>
        </w:rPr>
        <w:t>ranibizumab</w:t>
      </w:r>
      <w:proofErr w:type="spellEnd"/>
      <w:r w:rsidRPr="003E0B98">
        <w:rPr>
          <w:szCs w:val="22"/>
          <w:lang w:val="es-ES_tradnl"/>
        </w:rPr>
        <w:t xml:space="preserve"> 0,5 mg en monoterapia en un régimen PRN.</w:t>
      </w:r>
    </w:p>
    <w:p w14:paraId="14424F69" w14:textId="77777777" w:rsidR="00355474" w:rsidRPr="003E0B98" w:rsidRDefault="00355474" w:rsidP="004361AC">
      <w:pPr>
        <w:tabs>
          <w:tab w:val="clear" w:pos="567"/>
        </w:tabs>
        <w:spacing w:line="240" w:lineRule="auto"/>
        <w:rPr>
          <w:szCs w:val="22"/>
          <w:lang w:val="es-ES_tradnl"/>
        </w:rPr>
      </w:pPr>
    </w:p>
    <w:p w14:paraId="4EED235E" w14:textId="77777777" w:rsidR="00355474" w:rsidRPr="003E0B98" w:rsidRDefault="00355474" w:rsidP="004361AC">
      <w:pPr>
        <w:tabs>
          <w:tab w:val="clear" w:pos="567"/>
        </w:tabs>
        <w:spacing w:line="240" w:lineRule="auto"/>
        <w:rPr>
          <w:bCs/>
          <w:color w:val="000000"/>
          <w:lang w:val="es-ES"/>
        </w:rPr>
      </w:pPr>
      <w:r w:rsidRPr="003E0B98">
        <w:rPr>
          <w:szCs w:val="22"/>
          <w:lang w:val="es-ES_tradnl"/>
        </w:rPr>
        <w:t xml:space="preserve">En todos los grupos, </w:t>
      </w:r>
      <w:proofErr w:type="spellStart"/>
      <w:r w:rsidRPr="003E0B98">
        <w:rPr>
          <w:szCs w:val="22"/>
          <w:lang w:val="es-ES_tradnl"/>
        </w:rPr>
        <w:t>ranibizumab</w:t>
      </w:r>
      <w:proofErr w:type="spellEnd"/>
      <w:r w:rsidRPr="003E0B98">
        <w:rPr>
          <w:szCs w:val="22"/>
          <w:lang w:val="es-ES_tradnl"/>
        </w:rPr>
        <w:t xml:space="preserve"> se </w:t>
      </w:r>
      <w:r w:rsidR="00B3005C" w:rsidRPr="003E0B98">
        <w:rPr>
          <w:szCs w:val="22"/>
          <w:lang w:val="es-ES_tradnl"/>
        </w:rPr>
        <w:t>administró mensualmente</w:t>
      </w:r>
      <w:r w:rsidR="00B70AF9" w:rsidRPr="003E0B98">
        <w:rPr>
          <w:szCs w:val="22"/>
          <w:lang w:val="es-ES_tradnl"/>
        </w:rPr>
        <w:t xml:space="preserve"> hasta que la AVMC era estable durante al menos tres controles mensuales consecutivos.</w:t>
      </w:r>
      <w:r w:rsidR="00FD3B6E" w:rsidRPr="003E0B98">
        <w:rPr>
          <w:szCs w:val="22"/>
          <w:lang w:val="es-ES_tradnl"/>
        </w:rPr>
        <w:t xml:space="preserve"> </w:t>
      </w:r>
      <w:r w:rsidR="00BA496A" w:rsidRPr="003E0B98">
        <w:rPr>
          <w:szCs w:val="22"/>
          <w:lang w:val="es-ES_tradnl"/>
        </w:rPr>
        <w:t xml:space="preserve">En el régimen TE </w:t>
      </w:r>
      <w:proofErr w:type="spellStart"/>
      <w:r w:rsidR="00BA496A" w:rsidRPr="003E0B98">
        <w:rPr>
          <w:szCs w:val="22"/>
          <w:lang w:val="es-ES_tradnl"/>
        </w:rPr>
        <w:t>ranibizumab</w:t>
      </w:r>
      <w:proofErr w:type="spellEnd"/>
      <w:r w:rsidR="00BA496A" w:rsidRPr="003E0B98">
        <w:rPr>
          <w:szCs w:val="22"/>
          <w:lang w:val="es-ES_tradnl"/>
        </w:rPr>
        <w:t xml:space="preserve"> </w:t>
      </w:r>
      <w:r w:rsidR="00B3005C" w:rsidRPr="003E0B98">
        <w:rPr>
          <w:szCs w:val="22"/>
          <w:lang w:val="es-ES_tradnl"/>
        </w:rPr>
        <w:t>se administró</w:t>
      </w:r>
      <w:r w:rsidR="00BA496A" w:rsidRPr="003E0B98">
        <w:rPr>
          <w:szCs w:val="22"/>
          <w:lang w:val="es-ES_tradnl"/>
        </w:rPr>
        <w:t xml:space="preserve"> </w:t>
      </w:r>
      <w:r w:rsidR="00E52C27" w:rsidRPr="003E0B98">
        <w:rPr>
          <w:szCs w:val="22"/>
          <w:lang w:val="es-ES_tradnl"/>
        </w:rPr>
        <w:t xml:space="preserve">a intervalos </w:t>
      </w:r>
      <w:r w:rsidR="00B3005C" w:rsidRPr="003E0B98">
        <w:rPr>
          <w:szCs w:val="22"/>
          <w:lang w:val="es-ES_tradnl"/>
        </w:rPr>
        <w:t xml:space="preserve">de tratamiento </w:t>
      </w:r>
      <w:r w:rsidR="00E52C27" w:rsidRPr="003E0B98">
        <w:rPr>
          <w:szCs w:val="22"/>
          <w:lang w:val="es-ES_tradnl"/>
        </w:rPr>
        <w:t>de 2</w:t>
      </w:r>
      <w:r w:rsidR="0063565E" w:rsidRPr="003E0B98">
        <w:rPr>
          <w:szCs w:val="22"/>
          <w:lang w:val="es-ES_tradnl"/>
        </w:rPr>
        <w:noBreakHyphen/>
      </w:r>
      <w:r w:rsidR="00E52C27" w:rsidRPr="003E0B98">
        <w:rPr>
          <w:szCs w:val="22"/>
          <w:lang w:val="es-ES_tradnl"/>
        </w:rPr>
        <w:t xml:space="preserve">3 meses. </w:t>
      </w:r>
      <w:r w:rsidR="00FF7C1D" w:rsidRPr="003E0B98">
        <w:rPr>
          <w:szCs w:val="22"/>
          <w:lang w:val="es-ES_tradnl"/>
        </w:rPr>
        <w:t>En todos los grupos, e</w:t>
      </w:r>
      <w:r w:rsidR="00FF7C1D" w:rsidRPr="003E0B98">
        <w:rPr>
          <w:bCs/>
          <w:color w:val="000000"/>
          <w:lang w:val="es-ES"/>
        </w:rPr>
        <w:t>l tratamiento mensual se reiniciaba en cuanto había una disminución de la AVMC debida a la progresión del EMD y continuaba hasta que se alcanzaba nuevamente una AVMC estable.</w:t>
      </w:r>
    </w:p>
    <w:p w14:paraId="7A72BE23" w14:textId="77777777" w:rsidR="00FF7C1D" w:rsidRPr="003E0B98" w:rsidRDefault="00FF7C1D" w:rsidP="004361AC">
      <w:pPr>
        <w:tabs>
          <w:tab w:val="clear" w:pos="567"/>
        </w:tabs>
        <w:spacing w:line="240" w:lineRule="auto"/>
        <w:rPr>
          <w:szCs w:val="22"/>
          <w:lang w:val="es-ES_tradnl"/>
        </w:rPr>
      </w:pPr>
    </w:p>
    <w:p w14:paraId="1EF5419F" w14:textId="77777777" w:rsidR="00973D08" w:rsidRPr="003E0B98" w:rsidRDefault="00A87052" w:rsidP="004361AC">
      <w:pPr>
        <w:tabs>
          <w:tab w:val="clear" w:pos="567"/>
        </w:tabs>
        <w:spacing w:line="240" w:lineRule="auto"/>
        <w:rPr>
          <w:bCs/>
          <w:lang w:val="es-ES"/>
        </w:rPr>
      </w:pPr>
      <w:r w:rsidRPr="003E0B98">
        <w:rPr>
          <w:bCs/>
          <w:lang w:val="es-ES"/>
        </w:rPr>
        <w:t>Después de las 3 inyecciones</w:t>
      </w:r>
      <w:r w:rsidR="0051689A" w:rsidRPr="003E0B98">
        <w:rPr>
          <w:bCs/>
          <w:lang w:val="es-ES"/>
        </w:rPr>
        <w:t xml:space="preserve"> iniciales, </w:t>
      </w:r>
      <w:r w:rsidR="00B423AC" w:rsidRPr="003E0B98">
        <w:rPr>
          <w:szCs w:val="22"/>
          <w:lang w:val="es-ES_tradnl"/>
        </w:rPr>
        <w:t xml:space="preserve">el número de visitas de tratamiento programadas </w:t>
      </w:r>
      <w:r w:rsidRPr="003E0B98">
        <w:rPr>
          <w:szCs w:val="22"/>
          <w:lang w:val="es-ES_tradnl"/>
        </w:rPr>
        <w:t>fueron de 13 y 20 para los regímenes</w:t>
      </w:r>
      <w:r w:rsidR="00B423AC" w:rsidRPr="003E0B98">
        <w:rPr>
          <w:szCs w:val="22"/>
          <w:lang w:val="es-ES_tradnl"/>
        </w:rPr>
        <w:t xml:space="preserve"> TE </w:t>
      </w:r>
      <w:r w:rsidRPr="003E0B98">
        <w:rPr>
          <w:szCs w:val="22"/>
          <w:lang w:val="es-ES_tradnl"/>
        </w:rPr>
        <w:t>y PRN respectivamente</w:t>
      </w:r>
      <w:r w:rsidR="00B423AC" w:rsidRPr="003E0B98">
        <w:rPr>
          <w:szCs w:val="22"/>
          <w:lang w:val="es-ES_tradnl"/>
        </w:rPr>
        <w:t xml:space="preserve">. </w:t>
      </w:r>
      <w:r w:rsidR="008B20BE" w:rsidRPr="003E0B98">
        <w:rPr>
          <w:szCs w:val="22"/>
          <w:lang w:val="es-ES_tradnl"/>
        </w:rPr>
        <w:t>Con ambos regímenes</w:t>
      </w:r>
      <w:r w:rsidRPr="003E0B98">
        <w:rPr>
          <w:szCs w:val="22"/>
          <w:lang w:val="es-ES_tradnl"/>
        </w:rPr>
        <w:t xml:space="preserve"> TE</w:t>
      </w:r>
      <w:r w:rsidR="008B20BE" w:rsidRPr="003E0B98">
        <w:rPr>
          <w:szCs w:val="22"/>
          <w:lang w:val="es-ES_tradnl"/>
        </w:rPr>
        <w:t xml:space="preserve">, más del 70% de los pacientes </w:t>
      </w:r>
      <w:r w:rsidR="0051689A" w:rsidRPr="003E0B98">
        <w:rPr>
          <w:szCs w:val="22"/>
          <w:lang w:val="es-ES_tradnl"/>
        </w:rPr>
        <w:t xml:space="preserve">mantuvieron </w:t>
      </w:r>
      <w:r w:rsidR="008B20BE" w:rsidRPr="003E0B98">
        <w:rPr>
          <w:szCs w:val="22"/>
          <w:lang w:val="es-ES_tradnl"/>
        </w:rPr>
        <w:t xml:space="preserve">su AVMC con una frecuencia </w:t>
      </w:r>
      <w:r w:rsidR="006542F8" w:rsidRPr="003E0B98">
        <w:rPr>
          <w:szCs w:val="22"/>
          <w:lang w:val="es-ES_tradnl"/>
        </w:rPr>
        <w:t xml:space="preserve">media </w:t>
      </w:r>
      <w:r w:rsidR="008B20BE" w:rsidRPr="003E0B98">
        <w:rPr>
          <w:szCs w:val="22"/>
          <w:lang w:val="es-ES_tradnl"/>
        </w:rPr>
        <w:t xml:space="preserve">de visitas de </w:t>
      </w:r>
      <w:r w:rsidR="008B20BE" w:rsidRPr="003E0B98">
        <w:rPr>
          <w:bCs/>
          <w:lang w:val="es-ES"/>
        </w:rPr>
        <w:t>≥2 meses.</w:t>
      </w:r>
    </w:p>
    <w:p w14:paraId="41E342CF" w14:textId="77777777" w:rsidR="00364528" w:rsidRPr="003E0B98" w:rsidRDefault="00364528" w:rsidP="004361AC">
      <w:pPr>
        <w:tabs>
          <w:tab w:val="clear" w:pos="567"/>
        </w:tabs>
        <w:spacing w:line="240" w:lineRule="auto"/>
        <w:rPr>
          <w:rFonts w:cs="Calibri"/>
          <w:bCs/>
          <w:lang w:val="es-ES"/>
        </w:rPr>
      </w:pPr>
    </w:p>
    <w:p w14:paraId="4686D511" w14:textId="77777777" w:rsidR="00364528" w:rsidRPr="003E0B98" w:rsidRDefault="00C83039" w:rsidP="004361AC">
      <w:pPr>
        <w:tabs>
          <w:tab w:val="clear" w:pos="567"/>
        </w:tabs>
        <w:spacing w:line="240" w:lineRule="auto"/>
        <w:rPr>
          <w:szCs w:val="22"/>
          <w:lang w:val="es-ES"/>
        </w:rPr>
      </w:pPr>
      <w:r w:rsidRPr="003E0B98">
        <w:rPr>
          <w:szCs w:val="22"/>
          <w:lang w:val="es-ES"/>
        </w:rPr>
        <w:t>Lo</w:t>
      </w:r>
      <w:r w:rsidR="00364528" w:rsidRPr="003E0B98">
        <w:rPr>
          <w:szCs w:val="22"/>
          <w:lang w:val="es-ES"/>
        </w:rPr>
        <w:t>s resultados clave se resumen en la Tabla</w:t>
      </w:r>
      <w:r w:rsidR="00364528" w:rsidRPr="003E0B98">
        <w:rPr>
          <w:bCs/>
          <w:lang w:val="es-ES"/>
        </w:rPr>
        <w:t> </w:t>
      </w:r>
      <w:r w:rsidR="00010537" w:rsidRPr="003E0B98">
        <w:rPr>
          <w:bCs/>
          <w:lang w:val="es-ES"/>
        </w:rPr>
        <w:t>6</w:t>
      </w:r>
      <w:r w:rsidR="00364528" w:rsidRPr="003E0B98">
        <w:rPr>
          <w:bCs/>
          <w:lang w:val="es-ES"/>
        </w:rPr>
        <w:t>.</w:t>
      </w:r>
    </w:p>
    <w:p w14:paraId="3DA8CD29" w14:textId="77777777" w:rsidR="006D5D39" w:rsidRPr="003E0B98" w:rsidRDefault="006D5D39" w:rsidP="004361AC">
      <w:pPr>
        <w:autoSpaceDE w:val="0"/>
        <w:autoSpaceDN w:val="0"/>
        <w:adjustRightInd w:val="0"/>
        <w:rPr>
          <w:rFonts w:cs="Calibri"/>
          <w:lang w:val="es-ES"/>
        </w:rPr>
      </w:pPr>
    </w:p>
    <w:p w14:paraId="0FD36B86" w14:textId="77777777" w:rsidR="006D5D39" w:rsidRPr="003E0B98" w:rsidRDefault="00364528" w:rsidP="004361AC">
      <w:pPr>
        <w:keepNext/>
        <w:autoSpaceDE w:val="0"/>
        <w:autoSpaceDN w:val="0"/>
        <w:adjustRightInd w:val="0"/>
        <w:rPr>
          <w:rFonts w:cs="Calibri"/>
          <w:b/>
          <w:lang w:val="es-ES"/>
        </w:rPr>
      </w:pPr>
      <w:r w:rsidRPr="003E0B98">
        <w:rPr>
          <w:rFonts w:cs="Calibri"/>
          <w:b/>
          <w:bCs/>
          <w:lang w:val="es-ES"/>
        </w:rPr>
        <w:t>Tabla</w:t>
      </w:r>
      <w:r w:rsidR="006D5D39" w:rsidRPr="003E0B98">
        <w:rPr>
          <w:rFonts w:cs="Calibri"/>
          <w:b/>
          <w:bCs/>
          <w:lang w:val="es-ES"/>
        </w:rPr>
        <w:t> </w:t>
      </w:r>
      <w:r w:rsidR="00010537" w:rsidRPr="003E0B98">
        <w:rPr>
          <w:rFonts w:cs="Calibri"/>
          <w:b/>
          <w:bCs/>
          <w:lang w:val="es-ES"/>
        </w:rPr>
        <w:t>6</w:t>
      </w:r>
      <w:r w:rsidR="006D5D39" w:rsidRPr="003E0B98">
        <w:rPr>
          <w:rFonts w:cs="Calibri"/>
          <w:b/>
          <w:bCs/>
          <w:lang w:val="es-ES"/>
        </w:rPr>
        <w:tab/>
      </w:r>
      <w:r w:rsidRPr="003E0B98">
        <w:rPr>
          <w:rFonts w:cs="Calibri"/>
          <w:b/>
          <w:bCs/>
          <w:lang w:val="es-ES"/>
        </w:rPr>
        <w:t xml:space="preserve">Resultados en el estudio </w:t>
      </w:r>
      <w:r w:rsidR="006D5D39" w:rsidRPr="003E0B98">
        <w:rPr>
          <w:rFonts w:cs="Calibri"/>
          <w:b/>
          <w:lang w:val="es-ES"/>
        </w:rPr>
        <w:t>D2304 (RETAIN)</w:t>
      </w:r>
    </w:p>
    <w:p w14:paraId="3CD0AE0D" w14:textId="77777777" w:rsidR="006D5D39" w:rsidRPr="003E0B98" w:rsidRDefault="006D5D39" w:rsidP="004361AC">
      <w:pPr>
        <w:keepNext/>
        <w:autoSpaceDE w:val="0"/>
        <w:autoSpaceDN w:val="0"/>
        <w:adjustRightInd w:val="0"/>
        <w:rPr>
          <w:rFonts w:cs="Calibri"/>
          <w:lang w:val="es-ES"/>
        </w:rPr>
      </w:pPr>
    </w:p>
    <w:tbl>
      <w:tblPr>
        <w:tblW w:w="9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304"/>
        <w:gridCol w:w="2304"/>
        <w:gridCol w:w="2304"/>
        <w:gridCol w:w="2304"/>
      </w:tblGrid>
      <w:tr w:rsidR="006D5D39" w:rsidRPr="003C169A" w14:paraId="450E6D10" w14:textId="77777777" w:rsidTr="001D4234">
        <w:trPr>
          <w:trHeight w:val="259"/>
        </w:trPr>
        <w:tc>
          <w:tcPr>
            <w:tcW w:w="2304" w:type="dxa"/>
            <w:tcBorders>
              <w:top w:val="single" w:sz="4" w:space="0" w:color="auto"/>
              <w:left w:val="single" w:sz="4" w:space="0" w:color="auto"/>
              <w:bottom w:val="single" w:sz="4" w:space="0" w:color="auto"/>
              <w:right w:val="single" w:sz="4" w:space="0" w:color="auto"/>
            </w:tcBorders>
            <w:shd w:val="clear" w:color="auto" w:fill="FFFFFF"/>
            <w:hideMark/>
          </w:tcPr>
          <w:p w14:paraId="2CB1EF4E" w14:textId="77777777" w:rsidR="006D5D39" w:rsidRPr="003E0B98" w:rsidRDefault="00C7505C" w:rsidP="004361AC">
            <w:pPr>
              <w:keepNext/>
              <w:rPr>
                <w:rFonts w:cs="Calibri"/>
                <w:bCs/>
                <w:iCs/>
                <w:lang w:val="es-ES"/>
              </w:rPr>
            </w:pPr>
            <w:r w:rsidRPr="003E0B98">
              <w:rPr>
                <w:color w:val="000000"/>
                <w:lang w:val="es-ES_tradnl"/>
              </w:rPr>
              <w:t>Medida del resultado comp</w:t>
            </w:r>
            <w:r w:rsidRPr="003E0B98">
              <w:rPr>
                <w:bCs/>
                <w:iCs/>
                <w:color w:val="000000"/>
                <w:szCs w:val="22"/>
                <w:lang w:val="es-ES_tradnl"/>
              </w:rPr>
              <w:t>arado con el valor inicial</w:t>
            </w:r>
          </w:p>
        </w:tc>
        <w:tc>
          <w:tcPr>
            <w:tcW w:w="2304" w:type="dxa"/>
            <w:tcBorders>
              <w:top w:val="single" w:sz="4" w:space="0" w:color="auto"/>
              <w:left w:val="single" w:sz="4" w:space="0" w:color="auto"/>
              <w:bottom w:val="single" w:sz="4" w:space="0" w:color="auto"/>
              <w:right w:val="single" w:sz="4" w:space="0" w:color="auto"/>
            </w:tcBorders>
            <w:shd w:val="clear" w:color="auto" w:fill="FFFFFF"/>
            <w:hideMark/>
          </w:tcPr>
          <w:p w14:paraId="41366139" w14:textId="77777777" w:rsidR="006D5D39" w:rsidRPr="003E0B98" w:rsidRDefault="00683E42" w:rsidP="004361AC">
            <w:pPr>
              <w:keepNext/>
              <w:jc w:val="center"/>
              <w:rPr>
                <w:rFonts w:cs="Calibri"/>
                <w:bCs/>
                <w:iCs/>
                <w:lang w:val="sv-SE"/>
              </w:rPr>
            </w:pPr>
            <w:r w:rsidRPr="003E0B98">
              <w:rPr>
                <w:rFonts w:cs="Calibri"/>
                <w:bCs/>
                <w:iCs/>
                <w:lang w:val="sv-SE"/>
              </w:rPr>
              <w:t>R</w:t>
            </w:r>
            <w:r w:rsidR="006D5D39" w:rsidRPr="003E0B98">
              <w:rPr>
                <w:rFonts w:cs="Calibri"/>
                <w:bCs/>
                <w:iCs/>
                <w:lang w:val="sv-SE"/>
              </w:rPr>
              <w:t>anibizumab</w:t>
            </w:r>
          </w:p>
          <w:p w14:paraId="5E3C9209" w14:textId="77777777" w:rsidR="006D5D39" w:rsidRPr="003E0B98" w:rsidRDefault="00683E42" w:rsidP="004361AC">
            <w:pPr>
              <w:keepNext/>
              <w:jc w:val="center"/>
              <w:rPr>
                <w:rFonts w:cs="Calibri"/>
                <w:bCs/>
                <w:iCs/>
                <w:lang w:val="sv-SE"/>
              </w:rPr>
            </w:pPr>
            <w:r w:rsidRPr="003E0B98">
              <w:rPr>
                <w:rFonts w:cs="Calibri"/>
                <w:bCs/>
                <w:iCs/>
                <w:lang w:val="sv-SE"/>
              </w:rPr>
              <w:t>0,</w:t>
            </w:r>
            <w:r w:rsidR="006D5D39" w:rsidRPr="003E0B98">
              <w:rPr>
                <w:rFonts w:cs="Calibri"/>
                <w:bCs/>
                <w:iCs/>
                <w:lang w:val="sv-SE"/>
              </w:rPr>
              <w:t>5 mg + l</w:t>
            </w:r>
            <w:r w:rsidRPr="003E0B98">
              <w:rPr>
                <w:rFonts w:cs="Calibri"/>
                <w:bCs/>
                <w:iCs/>
                <w:lang w:val="sv-SE"/>
              </w:rPr>
              <w:t>á</w:t>
            </w:r>
            <w:r w:rsidR="006D5D39" w:rsidRPr="003E0B98">
              <w:rPr>
                <w:rFonts w:cs="Calibri"/>
                <w:bCs/>
                <w:iCs/>
                <w:lang w:val="sv-SE"/>
              </w:rPr>
              <w:t>ser</w:t>
            </w:r>
            <w:r w:rsidRPr="003E0B98">
              <w:rPr>
                <w:rFonts w:cs="Calibri"/>
                <w:bCs/>
                <w:iCs/>
                <w:lang w:val="sv-SE"/>
              </w:rPr>
              <w:t xml:space="preserve"> en TE</w:t>
            </w:r>
          </w:p>
          <w:p w14:paraId="54BB444D" w14:textId="77777777" w:rsidR="006D5D39" w:rsidRPr="003E0B98" w:rsidRDefault="006D5D39" w:rsidP="004361AC">
            <w:pPr>
              <w:keepNext/>
              <w:jc w:val="center"/>
              <w:rPr>
                <w:rFonts w:cs="Calibri"/>
                <w:bCs/>
                <w:iCs/>
                <w:lang w:val="sv-SE"/>
              </w:rPr>
            </w:pPr>
            <w:r w:rsidRPr="003E0B98">
              <w:rPr>
                <w:rFonts w:cs="Calibri"/>
                <w:bCs/>
                <w:iCs/>
                <w:lang w:val="sv-SE"/>
              </w:rPr>
              <w:t>n=117</w:t>
            </w:r>
          </w:p>
        </w:tc>
        <w:tc>
          <w:tcPr>
            <w:tcW w:w="2304" w:type="dxa"/>
            <w:tcBorders>
              <w:top w:val="single" w:sz="4" w:space="0" w:color="auto"/>
              <w:left w:val="single" w:sz="4" w:space="0" w:color="auto"/>
              <w:bottom w:val="single" w:sz="4" w:space="0" w:color="auto"/>
              <w:right w:val="single" w:sz="4" w:space="0" w:color="auto"/>
            </w:tcBorders>
            <w:shd w:val="clear" w:color="auto" w:fill="FFFFFF"/>
            <w:hideMark/>
          </w:tcPr>
          <w:p w14:paraId="2F38206E" w14:textId="77777777" w:rsidR="006D5D39" w:rsidRPr="003E0B98" w:rsidRDefault="00683E42" w:rsidP="004361AC">
            <w:pPr>
              <w:keepNext/>
              <w:jc w:val="center"/>
              <w:rPr>
                <w:rFonts w:cs="Calibri"/>
                <w:bCs/>
                <w:iCs/>
                <w:lang w:val="sv-SE"/>
              </w:rPr>
            </w:pPr>
            <w:r w:rsidRPr="003E0B98">
              <w:rPr>
                <w:rFonts w:cs="Calibri"/>
                <w:bCs/>
                <w:iCs/>
                <w:lang w:val="sv-SE"/>
              </w:rPr>
              <w:t>R</w:t>
            </w:r>
            <w:r w:rsidR="006D5D39" w:rsidRPr="003E0B98">
              <w:rPr>
                <w:rFonts w:cs="Calibri"/>
                <w:bCs/>
                <w:iCs/>
                <w:lang w:val="sv-SE"/>
              </w:rPr>
              <w:t>anibizumab</w:t>
            </w:r>
          </w:p>
          <w:p w14:paraId="1740E95D" w14:textId="77777777" w:rsidR="006D5D39" w:rsidRPr="003E0B98" w:rsidRDefault="00683E42" w:rsidP="004361AC">
            <w:pPr>
              <w:keepNext/>
              <w:jc w:val="center"/>
              <w:rPr>
                <w:rFonts w:cs="Calibri"/>
                <w:bCs/>
                <w:iCs/>
                <w:lang w:val="sv-SE"/>
              </w:rPr>
            </w:pPr>
            <w:r w:rsidRPr="003E0B98">
              <w:rPr>
                <w:rFonts w:cs="Calibri"/>
                <w:bCs/>
                <w:iCs/>
                <w:lang w:val="sv-SE"/>
              </w:rPr>
              <w:t>0,</w:t>
            </w:r>
            <w:r w:rsidR="006D5D39" w:rsidRPr="003E0B98">
              <w:rPr>
                <w:rFonts w:cs="Calibri"/>
                <w:bCs/>
                <w:iCs/>
                <w:lang w:val="sv-SE"/>
              </w:rPr>
              <w:t xml:space="preserve">5 mg </w:t>
            </w:r>
            <w:r w:rsidRPr="003E0B98">
              <w:rPr>
                <w:rFonts w:cs="Calibri"/>
                <w:bCs/>
                <w:iCs/>
                <w:lang w:val="sv-SE"/>
              </w:rPr>
              <w:t>solo en TE</w:t>
            </w:r>
          </w:p>
          <w:p w14:paraId="3045609D" w14:textId="77777777" w:rsidR="006D5D39" w:rsidRPr="003E0B98" w:rsidRDefault="006D5D39" w:rsidP="004361AC">
            <w:pPr>
              <w:keepNext/>
              <w:jc w:val="center"/>
              <w:rPr>
                <w:rFonts w:cs="Calibri"/>
                <w:bCs/>
                <w:iCs/>
                <w:lang w:val="es-ES"/>
              </w:rPr>
            </w:pPr>
            <w:r w:rsidRPr="003E0B98">
              <w:rPr>
                <w:rFonts w:cs="Calibri"/>
                <w:bCs/>
                <w:iCs/>
                <w:lang w:val="es-ES"/>
              </w:rPr>
              <w:t>n=125</w:t>
            </w:r>
          </w:p>
        </w:tc>
        <w:tc>
          <w:tcPr>
            <w:tcW w:w="2304" w:type="dxa"/>
            <w:tcBorders>
              <w:top w:val="single" w:sz="4" w:space="0" w:color="auto"/>
              <w:left w:val="single" w:sz="4" w:space="0" w:color="auto"/>
              <w:bottom w:val="single" w:sz="4" w:space="0" w:color="auto"/>
              <w:right w:val="single" w:sz="4" w:space="0" w:color="auto"/>
            </w:tcBorders>
            <w:shd w:val="clear" w:color="auto" w:fill="FFFFFF"/>
            <w:hideMark/>
          </w:tcPr>
          <w:p w14:paraId="709839FA" w14:textId="77777777" w:rsidR="006D5D39" w:rsidRPr="003E0B98" w:rsidRDefault="00683E42" w:rsidP="004361AC">
            <w:pPr>
              <w:keepNext/>
              <w:jc w:val="center"/>
              <w:rPr>
                <w:rFonts w:cs="Calibri"/>
                <w:bCs/>
                <w:iCs/>
                <w:lang w:val="sv-SE"/>
              </w:rPr>
            </w:pPr>
            <w:r w:rsidRPr="003E0B98">
              <w:rPr>
                <w:rFonts w:cs="Calibri"/>
                <w:bCs/>
                <w:iCs/>
                <w:lang w:val="sv-SE"/>
              </w:rPr>
              <w:t>R</w:t>
            </w:r>
            <w:r w:rsidR="006D5D39" w:rsidRPr="003E0B98">
              <w:rPr>
                <w:rFonts w:cs="Calibri"/>
                <w:bCs/>
                <w:iCs/>
                <w:lang w:val="sv-SE"/>
              </w:rPr>
              <w:t>anibizumab</w:t>
            </w:r>
          </w:p>
          <w:p w14:paraId="1AF52EF3" w14:textId="77777777" w:rsidR="006D5D39" w:rsidRPr="003E0B98" w:rsidRDefault="00683E42" w:rsidP="004361AC">
            <w:pPr>
              <w:keepNext/>
              <w:jc w:val="center"/>
              <w:rPr>
                <w:rFonts w:cs="Calibri"/>
                <w:bCs/>
                <w:iCs/>
                <w:lang w:val="de-DE"/>
              </w:rPr>
            </w:pPr>
            <w:r w:rsidRPr="003E0B98">
              <w:rPr>
                <w:rFonts w:cs="Calibri"/>
                <w:bCs/>
                <w:iCs/>
                <w:lang w:val="sv-SE"/>
              </w:rPr>
              <w:t>0,</w:t>
            </w:r>
            <w:r w:rsidR="006D5D39" w:rsidRPr="003E0B98">
              <w:rPr>
                <w:rFonts w:cs="Calibri"/>
                <w:bCs/>
                <w:iCs/>
                <w:lang w:val="sv-SE"/>
              </w:rPr>
              <w:t>5 mg</w:t>
            </w:r>
            <w:r w:rsidRPr="003E0B98">
              <w:rPr>
                <w:rFonts w:cs="Calibri"/>
                <w:bCs/>
                <w:iCs/>
                <w:lang w:val="sv-SE"/>
              </w:rPr>
              <w:t xml:space="preserve"> en PRN</w:t>
            </w:r>
          </w:p>
          <w:p w14:paraId="4B16CEF5" w14:textId="77777777" w:rsidR="006D5D39" w:rsidRPr="003E0B98" w:rsidRDefault="006D5D39" w:rsidP="004361AC">
            <w:pPr>
              <w:keepNext/>
              <w:jc w:val="center"/>
              <w:rPr>
                <w:rFonts w:cs="Calibri"/>
                <w:bCs/>
                <w:iCs/>
                <w:lang w:val="sv-SE"/>
              </w:rPr>
            </w:pPr>
            <w:r w:rsidRPr="003E0B98">
              <w:rPr>
                <w:rFonts w:cs="Calibri"/>
                <w:bCs/>
                <w:iCs/>
                <w:lang w:val="de-DE"/>
              </w:rPr>
              <w:t>n=117</w:t>
            </w:r>
          </w:p>
        </w:tc>
      </w:tr>
      <w:tr w:rsidR="006D5D39" w:rsidRPr="003E0B98" w14:paraId="172F7C36" w14:textId="77777777" w:rsidTr="001D4234">
        <w:trPr>
          <w:trHeight w:val="270"/>
        </w:trPr>
        <w:tc>
          <w:tcPr>
            <w:tcW w:w="2304" w:type="dxa"/>
            <w:tcBorders>
              <w:top w:val="single" w:sz="4" w:space="0" w:color="auto"/>
              <w:left w:val="single" w:sz="4" w:space="0" w:color="auto"/>
              <w:bottom w:val="single" w:sz="4" w:space="0" w:color="auto"/>
              <w:right w:val="single" w:sz="4" w:space="0" w:color="auto"/>
            </w:tcBorders>
            <w:shd w:val="clear" w:color="auto" w:fill="FFFFFF"/>
            <w:hideMark/>
          </w:tcPr>
          <w:p w14:paraId="557AD368" w14:textId="77777777" w:rsidR="006D5D39" w:rsidRPr="003E0B98" w:rsidRDefault="00C7505C" w:rsidP="004361AC">
            <w:pPr>
              <w:keepNext/>
              <w:rPr>
                <w:rFonts w:cs="Calibri"/>
                <w:bCs/>
                <w:iCs/>
                <w:lang w:val="es-ES"/>
              </w:rPr>
            </w:pPr>
            <w:r w:rsidRPr="003E0B98">
              <w:rPr>
                <w:color w:val="000000"/>
                <w:szCs w:val="22"/>
                <w:lang w:val="es-ES_tradnl"/>
              </w:rPr>
              <w:t xml:space="preserve">Cambio </w:t>
            </w:r>
            <w:r w:rsidR="006006F4" w:rsidRPr="003E0B98">
              <w:rPr>
                <w:color w:val="000000"/>
                <w:szCs w:val="22"/>
                <w:lang w:val="es-ES_tradnl"/>
              </w:rPr>
              <w:t>pro</w:t>
            </w:r>
            <w:r w:rsidRPr="003E0B98">
              <w:rPr>
                <w:color w:val="000000"/>
                <w:szCs w:val="22"/>
                <w:lang w:val="es-ES_tradnl"/>
              </w:rPr>
              <w:t xml:space="preserve">medio </w:t>
            </w:r>
            <w:r w:rsidR="008222CB" w:rsidRPr="003E0B98">
              <w:rPr>
                <w:color w:val="000000"/>
                <w:szCs w:val="22"/>
                <w:lang w:val="es-ES_tradnl"/>
              </w:rPr>
              <w:t>de</w:t>
            </w:r>
            <w:r w:rsidRPr="003E0B98">
              <w:rPr>
                <w:color w:val="000000"/>
                <w:szCs w:val="22"/>
                <w:lang w:val="es-ES_tradnl"/>
              </w:rPr>
              <w:t xml:space="preserve"> la AVMC desde el Mes 1 al Mes 12</w:t>
            </w:r>
            <w:r w:rsidRPr="003E0B98">
              <w:rPr>
                <w:bCs/>
                <w:iCs/>
                <w:color w:val="000000"/>
                <w:szCs w:val="22"/>
                <w:lang w:val="es-ES_tradnl"/>
              </w:rPr>
              <w:t xml:space="preserve"> (desviación estándar)</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40D1964" w14:textId="77777777" w:rsidR="006D5D39" w:rsidRPr="003E0B98" w:rsidRDefault="002551CA" w:rsidP="004361AC">
            <w:pPr>
              <w:keepNext/>
              <w:jc w:val="center"/>
              <w:rPr>
                <w:rFonts w:cs="Calibri"/>
                <w:bCs/>
                <w:iCs/>
              </w:rPr>
            </w:pPr>
            <w:r w:rsidRPr="003E0B98">
              <w:rPr>
                <w:rFonts w:cs="Calibri"/>
                <w:bCs/>
                <w:iCs/>
                <w:lang w:val="sv-SE"/>
              </w:rPr>
              <w:t>5,</w:t>
            </w:r>
            <w:r w:rsidR="00F11E9B" w:rsidRPr="003E0B98">
              <w:rPr>
                <w:rFonts w:cs="Calibri"/>
                <w:bCs/>
                <w:iCs/>
                <w:lang w:val="sv-SE"/>
              </w:rPr>
              <w:t>9 (5,</w:t>
            </w:r>
            <w:r w:rsidR="006D5D39" w:rsidRPr="003E0B98">
              <w:rPr>
                <w:rFonts w:cs="Calibri"/>
                <w:bCs/>
                <w:iCs/>
                <w:lang w:val="sv-SE"/>
              </w:rPr>
              <w:t>5)</w:t>
            </w:r>
            <w:r w:rsidR="006D5D39" w:rsidRPr="003E0B98">
              <w:rPr>
                <w:rFonts w:cs="Calibri"/>
                <w:bCs/>
                <w:iCs/>
                <w:vertAlign w:val="superscript"/>
                <w:lang w:val="sv-SE"/>
              </w:rPr>
              <w:t xml:space="preserve"> </w:t>
            </w:r>
            <w:r w:rsidR="006D5D39" w:rsidRPr="003E0B98">
              <w:rPr>
                <w:rFonts w:cs="Calibri"/>
                <w:bCs/>
                <w:iCs/>
                <w:vertAlign w:val="superscript"/>
              </w:rPr>
              <w:t>a</w:t>
            </w:r>
          </w:p>
        </w:tc>
        <w:tc>
          <w:tcPr>
            <w:tcW w:w="2304" w:type="dxa"/>
            <w:tcBorders>
              <w:top w:val="single" w:sz="4" w:space="0" w:color="auto"/>
              <w:left w:val="single" w:sz="4" w:space="0" w:color="auto"/>
              <w:bottom w:val="single" w:sz="4" w:space="0" w:color="auto"/>
              <w:right w:val="single" w:sz="2" w:space="0" w:color="auto"/>
            </w:tcBorders>
            <w:shd w:val="clear" w:color="auto" w:fill="FFFFFF"/>
            <w:vAlign w:val="center"/>
            <w:hideMark/>
          </w:tcPr>
          <w:p w14:paraId="6593FEA6" w14:textId="77777777" w:rsidR="006D5D39" w:rsidRPr="003E0B98" w:rsidRDefault="00F11E9B" w:rsidP="004361AC">
            <w:pPr>
              <w:keepNext/>
              <w:jc w:val="center"/>
              <w:rPr>
                <w:rFonts w:cs="Calibri"/>
                <w:bCs/>
                <w:iCs/>
              </w:rPr>
            </w:pPr>
            <w:r w:rsidRPr="003E0B98">
              <w:rPr>
                <w:rFonts w:cs="Calibri"/>
                <w:bCs/>
                <w:iCs/>
                <w:lang w:val="sv-SE"/>
              </w:rPr>
              <w:t>6,1 (5,</w:t>
            </w:r>
            <w:r w:rsidR="006D5D39" w:rsidRPr="003E0B98">
              <w:rPr>
                <w:rFonts w:cs="Calibri"/>
                <w:bCs/>
                <w:iCs/>
                <w:lang w:val="sv-SE"/>
              </w:rPr>
              <w:t>7)</w:t>
            </w:r>
            <w:r w:rsidR="006D5D39" w:rsidRPr="003E0B98">
              <w:rPr>
                <w:rFonts w:cs="Calibri"/>
                <w:bCs/>
                <w:iCs/>
                <w:vertAlign w:val="superscript"/>
                <w:lang w:val="sv-SE"/>
              </w:rPr>
              <w:t xml:space="preserve"> </w:t>
            </w:r>
            <w:r w:rsidR="006D5D39" w:rsidRPr="003E0B98">
              <w:rPr>
                <w:rFonts w:cs="Calibri"/>
                <w:bCs/>
                <w:iCs/>
                <w:vertAlign w:val="superscript"/>
              </w:rPr>
              <w:t>a</w:t>
            </w:r>
          </w:p>
        </w:tc>
        <w:tc>
          <w:tcPr>
            <w:tcW w:w="2304" w:type="dxa"/>
            <w:tcBorders>
              <w:top w:val="single" w:sz="4" w:space="0" w:color="auto"/>
              <w:left w:val="single" w:sz="2" w:space="0" w:color="auto"/>
              <w:bottom w:val="single" w:sz="4" w:space="0" w:color="auto"/>
              <w:right w:val="single" w:sz="4" w:space="0" w:color="auto"/>
            </w:tcBorders>
            <w:shd w:val="clear" w:color="auto" w:fill="FFFFFF"/>
            <w:vAlign w:val="center"/>
            <w:hideMark/>
          </w:tcPr>
          <w:p w14:paraId="799D00AA" w14:textId="77777777" w:rsidR="006D5D39" w:rsidRPr="003E0B98" w:rsidRDefault="00F11E9B" w:rsidP="004361AC">
            <w:pPr>
              <w:keepNext/>
              <w:jc w:val="center"/>
              <w:rPr>
                <w:rFonts w:cs="Calibri"/>
                <w:bCs/>
                <w:iCs/>
              </w:rPr>
            </w:pPr>
            <w:r w:rsidRPr="003E0B98">
              <w:rPr>
                <w:rFonts w:cs="Calibri"/>
                <w:bCs/>
                <w:iCs/>
                <w:lang w:val="sv-SE"/>
              </w:rPr>
              <w:t>6,2 (6,</w:t>
            </w:r>
            <w:r w:rsidR="006D5D39" w:rsidRPr="003E0B98">
              <w:rPr>
                <w:rFonts w:cs="Calibri"/>
                <w:bCs/>
                <w:iCs/>
                <w:lang w:val="sv-SE"/>
              </w:rPr>
              <w:t>0)</w:t>
            </w:r>
          </w:p>
        </w:tc>
      </w:tr>
      <w:tr w:rsidR="006D5D39" w:rsidRPr="003E0B98" w14:paraId="0FB13450" w14:textId="77777777" w:rsidTr="001D4234">
        <w:trPr>
          <w:trHeight w:val="270"/>
        </w:trPr>
        <w:tc>
          <w:tcPr>
            <w:tcW w:w="2304" w:type="dxa"/>
            <w:tcBorders>
              <w:top w:val="single" w:sz="4" w:space="0" w:color="auto"/>
              <w:left w:val="single" w:sz="4" w:space="0" w:color="auto"/>
              <w:bottom w:val="single" w:sz="4" w:space="0" w:color="auto"/>
              <w:right w:val="single" w:sz="4" w:space="0" w:color="auto"/>
            </w:tcBorders>
            <w:shd w:val="clear" w:color="auto" w:fill="FFFFFF"/>
            <w:hideMark/>
          </w:tcPr>
          <w:p w14:paraId="13BCE03D" w14:textId="77777777" w:rsidR="006D5D39" w:rsidRPr="003E0B98" w:rsidRDefault="00C7505C" w:rsidP="004361AC">
            <w:pPr>
              <w:keepNext/>
              <w:rPr>
                <w:rFonts w:cs="Calibri"/>
                <w:bCs/>
                <w:iCs/>
                <w:lang w:val="es-ES"/>
              </w:rPr>
            </w:pPr>
            <w:r w:rsidRPr="003E0B98">
              <w:rPr>
                <w:color w:val="000000"/>
                <w:szCs w:val="22"/>
                <w:lang w:val="es-ES_tradnl"/>
              </w:rPr>
              <w:t xml:space="preserve">Cambio </w:t>
            </w:r>
            <w:r w:rsidR="006006F4" w:rsidRPr="003E0B98">
              <w:rPr>
                <w:color w:val="000000"/>
                <w:szCs w:val="22"/>
                <w:lang w:val="es-ES_tradnl"/>
              </w:rPr>
              <w:t>pro</w:t>
            </w:r>
            <w:r w:rsidRPr="003E0B98">
              <w:rPr>
                <w:color w:val="000000"/>
                <w:szCs w:val="22"/>
                <w:lang w:val="es-ES_tradnl"/>
              </w:rPr>
              <w:t xml:space="preserve">medio </w:t>
            </w:r>
            <w:r w:rsidR="008222CB" w:rsidRPr="003E0B98">
              <w:rPr>
                <w:color w:val="000000"/>
                <w:szCs w:val="22"/>
                <w:lang w:val="es-ES_tradnl"/>
              </w:rPr>
              <w:t>de</w:t>
            </w:r>
            <w:r w:rsidRPr="003E0B98">
              <w:rPr>
                <w:color w:val="000000"/>
                <w:szCs w:val="22"/>
                <w:lang w:val="es-ES_tradnl"/>
              </w:rPr>
              <w:t xml:space="preserve"> la AVMC desde el Mes 1 al Mes 24</w:t>
            </w:r>
            <w:r w:rsidRPr="003E0B98">
              <w:rPr>
                <w:bCs/>
                <w:iCs/>
                <w:color w:val="000000"/>
                <w:szCs w:val="22"/>
                <w:lang w:val="es-ES_tradnl"/>
              </w:rPr>
              <w:t xml:space="preserve"> (desviación estándar)</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FF3359D" w14:textId="77777777" w:rsidR="006D5D39" w:rsidRPr="003E0B98" w:rsidRDefault="002551CA" w:rsidP="004361AC">
            <w:pPr>
              <w:keepNext/>
              <w:jc w:val="center"/>
              <w:rPr>
                <w:rFonts w:cs="Calibri"/>
                <w:bCs/>
                <w:iCs/>
                <w:lang w:val="sv-SE"/>
              </w:rPr>
            </w:pPr>
            <w:r w:rsidRPr="003E0B98">
              <w:rPr>
                <w:rFonts w:cs="Calibri"/>
                <w:bCs/>
                <w:iCs/>
              </w:rPr>
              <w:t>6,</w:t>
            </w:r>
            <w:r w:rsidR="00F11E9B" w:rsidRPr="003E0B98">
              <w:rPr>
                <w:rFonts w:cs="Calibri"/>
                <w:bCs/>
                <w:iCs/>
              </w:rPr>
              <w:t>8 (6,</w:t>
            </w:r>
            <w:r w:rsidR="006D5D39" w:rsidRPr="003E0B98">
              <w:rPr>
                <w:rFonts w:cs="Calibri"/>
                <w:bCs/>
                <w:iCs/>
              </w:rPr>
              <w:t>0)</w:t>
            </w:r>
          </w:p>
        </w:tc>
        <w:tc>
          <w:tcPr>
            <w:tcW w:w="2304" w:type="dxa"/>
            <w:tcBorders>
              <w:top w:val="single" w:sz="4" w:space="0" w:color="auto"/>
              <w:left w:val="single" w:sz="4" w:space="0" w:color="auto"/>
              <w:bottom w:val="single" w:sz="4" w:space="0" w:color="auto"/>
              <w:right w:val="single" w:sz="2" w:space="0" w:color="auto"/>
            </w:tcBorders>
            <w:shd w:val="clear" w:color="auto" w:fill="FFFFFF"/>
            <w:vAlign w:val="center"/>
            <w:hideMark/>
          </w:tcPr>
          <w:p w14:paraId="405C9D61" w14:textId="77777777" w:rsidR="006D5D39" w:rsidRPr="003E0B98" w:rsidRDefault="00F11E9B" w:rsidP="004361AC">
            <w:pPr>
              <w:keepNext/>
              <w:jc w:val="center"/>
              <w:rPr>
                <w:rFonts w:cs="Calibri"/>
                <w:bCs/>
                <w:iCs/>
                <w:lang w:val="sv-SE"/>
              </w:rPr>
            </w:pPr>
            <w:r w:rsidRPr="003E0B98">
              <w:rPr>
                <w:rFonts w:cs="Calibri"/>
                <w:bCs/>
                <w:iCs/>
                <w:lang w:val="sv-SE"/>
              </w:rPr>
              <w:t>6,6 (7,</w:t>
            </w:r>
            <w:r w:rsidR="006D5D39" w:rsidRPr="003E0B98">
              <w:rPr>
                <w:rFonts w:cs="Calibri"/>
                <w:bCs/>
                <w:iCs/>
                <w:lang w:val="sv-SE"/>
              </w:rPr>
              <w:t>1)</w:t>
            </w:r>
          </w:p>
        </w:tc>
        <w:tc>
          <w:tcPr>
            <w:tcW w:w="2304" w:type="dxa"/>
            <w:tcBorders>
              <w:top w:val="single" w:sz="4" w:space="0" w:color="auto"/>
              <w:left w:val="single" w:sz="2" w:space="0" w:color="auto"/>
              <w:bottom w:val="single" w:sz="4" w:space="0" w:color="auto"/>
              <w:right w:val="single" w:sz="4" w:space="0" w:color="auto"/>
            </w:tcBorders>
            <w:shd w:val="clear" w:color="auto" w:fill="FFFFFF"/>
            <w:vAlign w:val="center"/>
            <w:hideMark/>
          </w:tcPr>
          <w:p w14:paraId="3C0E67CF" w14:textId="77777777" w:rsidR="006D5D39" w:rsidRPr="003E0B98" w:rsidRDefault="00F11E9B" w:rsidP="004361AC">
            <w:pPr>
              <w:keepNext/>
              <w:jc w:val="center"/>
              <w:rPr>
                <w:rFonts w:cs="Calibri"/>
                <w:bCs/>
                <w:iCs/>
                <w:lang w:val="sv-SE"/>
              </w:rPr>
            </w:pPr>
            <w:r w:rsidRPr="003E0B98">
              <w:rPr>
                <w:rFonts w:cs="Calibri"/>
                <w:bCs/>
                <w:iCs/>
              </w:rPr>
              <w:t>7,0 (6,</w:t>
            </w:r>
            <w:r w:rsidR="006D5D39" w:rsidRPr="003E0B98">
              <w:rPr>
                <w:rFonts w:cs="Calibri"/>
                <w:bCs/>
                <w:iCs/>
              </w:rPr>
              <w:t>4)</w:t>
            </w:r>
          </w:p>
        </w:tc>
      </w:tr>
      <w:tr w:rsidR="006D5D39" w:rsidRPr="003E0B98" w14:paraId="6FD10D64" w14:textId="77777777" w:rsidTr="001D4234">
        <w:trPr>
          <w:trHeight w:val="270"/>
        </w:trPr>
        <w:tc>
          <w:tcPr>
            <w:tcW w:w="2304" w:type="dxa"/>
            <w:tcBorders>
              <w:top w:val="single" w:sz="4" w:space="0" w:color="auto"/>
              <w:left w:val="single" w:sz="4" w:space="0" w:color="auto"/>
              <w:bottom w:val="single" w:sz="4" w:space="0" w:color="auto"/>
              <w:right w:val="single" w:sz="4" w:space="0" w:color="auto"/>
            </w:tcBorders>
            <w:shd w:val="clear" w:color="auto" w:fill="FFFFFF"/>
            <w:hideMark/>
          </w:tcPr>
          <w:p w14:paraId="1C3098D0" w14:textId="77777777" w:rsidR="006D5D39" w:rsidRPr="003E0B98" w:rsidRDefault="00C7505C" w:rsidP="004361AC">
            <w:pPr>
              <w:keepNext/>
              <w:rPr>
                <w:rFonts w:cs="Calibri"/>
                <w:bCs/>
                <w:iCs/>
                <w:lang w:val="es-ES"/>
              </w:rPr>
            </w:pPr>
            <w:r w:rsidRPr="003E0B98">
              <w:rPr>
                <w:color w:val="000000"/>
                <w:szCs w:val="22"/>
                <w:lang w:val="es-ES_tradnl"/>
              </w:rPr>
              <w:t xml:space="preserve">Cambio </w:t>
            </w:r>
            <w:r w:rsidR="006006F4" w:rsidRPr="003E0B98">
              <w:rPr>
                <w:color w:val="000000"/>
                <w:szCs w:val="22"/>
                <w:lang w:val="es-ES_tradnl"/>
              </w:rPr>
              <w:t>pro</w:t>
            </w:r>
            <w:r w:rsidRPr="003E0B98">
              <w:rPr>
                <w:color w:val="000000"/>
                <w:szCs w:val="22"/>
                <w:lang w:val="es-ES_tradnl"/>
              </w:rPr>
              <w:t xml:space="preserve">medio </w:t>
            </w:r>
            <w:r w:rsidR="008222CB" w:rsidRPr="003E0B98">
              <w:rPr>
                <w:color w:val="000000"/>
                <w:szCs w:val="22"/>
                <w:lang w:val="es-ES_tradnl"/>
              </w:rPr>
              <w:t>de</w:t>
            </w:r>
            <w:r w:rsidRPr="003E0B98">
              <w:rPr>
                <w:color w:val="000000"/>
                <w:szCs w:val="22"/>
                <w:lang w:val="es-ES_tradnl"/>
              </w:rPr>
              <w:t xml:space="preserve"> la AVMC</w:t>
            </w:r>
            <w:r w:rsidRPr="003E0B98">
              <w:rPr>
                <w:rFonts w:cs="Calibri"/>
                <w:bCs/>
                <w:iCs/>
                <w:lang w:val="es-ES"/>
              </w:rPr>
              <w:t xml:space="preserve"> al Mes 24 (</w:t>
            </w:r>
            <w:r w:rsidRPr="003E0B98">
              <w:rPr>
                <w:bCs/>
                <w:iCs/>
                <w:color w:val="000000"/>
                <w:szCs w:val="22"/>
                <w:lang w:val="es-ES_tradnl"/>
              </w:rPr>
              <w:t>desviación estándar</w:t>
            </w:r>
            <w:r w:rsidR="006D5D39" w:rsidRPr="003E0B98">
              <w:rPr>
                <w:rFonts w:cs="Calibri"/>
                <w:bCs/>
                <w:iCs/>
                <w:lang w:val="es-ES"/>
              </w:rPr>
              <w:t>)</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F631C70" w14:textId="77777777" w:rsidR="006D5D39" w:rsidRPr="003E0B98" w:rsidRDefault="00F11E9B" w:rsidP="004361AC">
            <w:pPr>
              <w:keepNext/>
              <w:jc w:val="center"/>
              <w:rPr>
                <w:rFonts w:cs="Calibri"/>
                <w:bCs/>
                <w:iCs/>
              </w:rPr>
            </w:pPr>
            <w:r w:rsidRPr="003E0B98">
              <w:rPr>
                <w:rFonts w:cs="Calibri"/>
                <w:bCs/>
                <w:iCs/>
              </w:rPr>
              <w:t>8,</w:t>
            </w:r>
            <w:r w:rsidR="006D5D39" w:rsidRPr="003E0B98">
              <w:rPr>
                <w:rFonts w:cs="Calibri"/>
                <w:bCs/>
                <w:iCs/>
              </w:rPr>
              <w:t>3 (8</w:t>
            </w:r>
            <w:r w:rsidRPr="003E0B98">
              <w:rPr>
                <w:rFonts w:cs="Calibri"/>
                <w:bCs/>
                <w:iCs/>
              </w:rPr>
              <w:t>,</w:t>
            </w:r>
            <w:r w:rsidR="006D5D39" w:rsidRPr="003E0B98">
              <w:rPr>
                <w:rFonts w:cs="Calibri"/>
                <w:bCs/>
                <w:iCs/>
              </w:rPr>
              <w:t>1)</w:t>
            </w:r>
          </w:p>
        </w:tc>
        <w:tc>
          <w:tcPr>
            <w:tcW w:w="2304" w:type="dxa"/>
            <w:tcBorders>
              <w:top w:val="single" w:sz="4" w:space="0" w:color="auto"/>
              <w:left w:val="single" w:sz="4" w:space="0" w:color="auto"/>
              <w:bottom w:val="single" w:sz="4" w:space="0" w:color="auto"/>
              <w:right w:val="single" w:sz="2" w:space="0" w:color="auto"/>
            </w:tcBorders>
            <w:shd w:val="clear" w:color="auto" w:fill="FFFFFF"/>
            <w:vAlign w:val="center"/>
            <w:hideMark/>
          </w:tcPr>
          <w:p w14:paraId="6846A2FE" w14:textId="77777777" w:rsidR="006D5D39" w:rsidRPr="003E0B98" w:rsidRDefault="00F11E9B" w:rsidP="004361AC">
            <w:pPr>
              <w:keepNext/>
              <w:jc w:val="center"/>
              <w:rPr>
                <w:rFonts w:cs="Calibri"/>
                <w:bCs/>
                <w:iCs/>
                <w:lang w:val="sv-SE"/>
              </w:rPr>
            </w:pPr>
            <w:r w:rsidRPr="003E0B98">
              <w:rPr>
                <w:rFonts w:cs="Calibri"/>
                <w:bCs/>
                <w:iCs/>
                <w:lang w:val="sv-SE"/>
              </w:rPr>
              <w:t>6,5 (10,</w:t>
            </w:r>
            <w:r w:rsidR="006D5D39" w:rsidRPr="003E0B98">
              <w:rPr>
                <w:rFonts w:cs="Calibri"/>
                <w:bCs/>
                <w:iCs/>
                <w:lang w:val="sv-SE"/>
              </w:rPr>
              <w:t>9)</w:t>
            </w:r>
          </w:p>
        </w:tc>
        <w:tc>
          <w:tcPr>
            <w:tcW w:w="2304" w:type="dxa"/>
            <w:tcBorders>
              <w:top w:val="single" w:sz="4" w:space="0" w:color="auto"/>
              <w:left w:val="single" w:sz="2" w:space="0" w:color="auto"/>
              <w:bottom w:val="single" w:sz="4" w:space="0" w:color="auto"/>
              <w:right w:val="single" w:sz="4" w:space="0" w:color="auto"/>
            </w:tcBorders>
            <w:shd w:val="clear" w:color="auto" w:fill="FFFFFF"/>
            <w:vAlign w:val="center"/>
            <w:hideMark/>
          </w:tcPr>
          <w:p w14:paraId="78E7CDDA" w14:textId="77777777" w:rsidR="006D5D39" w:rsidRPr="003E0B98" w:rsidRDefault="00F11E9B" w:rsidP="004361AC">
            <w:pPr>
              <w:keepNext/>
              <w:jc w:val="center"/>
              <w:rPr>
                <w:rFonts w:cs="Calibri"/>
                <w:bCs/>
                <w:iCs/>
                <w:lang w:val="sv-SE"/>
              </w:rPr>
            </w:pPr>
            <w:r w:rsidRPr="003E0B98">
              <w:rPr>
                <w:rFonts w:cs="Calibri"/>
                <w:bCs/>
                <w:iCs/>
                <w:lang w:val="sv-SE"/>
              </w:rPr>
              <w:t>8,1 (8,</w:t>
            </w:r>
            <w:r w:rsidR="006D5D39" w:rsidRPr="003E0B98">
              <w:rPr>
                <w:rFonts w:cs="Calibri"/>
                <w:bCs/>
                <w:iCs/>
                <w:lang w:val="sv-SE"/>
              </w:rPr>
              <w:t>5)</w:t>
            </w:r>
          </w:p>
        </w:tc>
      </w:tr>
      <w:tr w:rsidR="006D5D39" w:rsidRPr="003E0B98" w14:paraId="4CB9631A" w14:textId="77777777" w:rsidTr="001D4234">
        <w:trPr>
          <w:trHeight w:val="200"/>
        </w:trPr>
        <w:tc>
          <w:tcPr>
            <w:tcW w:w="2304" w:type="dxa"/>
            <w:tcBorders>
              <w:top w:val="single" w:sz="4" w:space="0" w:color="auto"/>
              <w:left w:val="single" w:sz="4" w:space="0" w:color="auto"/>
              <w:bottom w:val="single" w:sz="4" w:space="0" w:color="auto"/>
              <w:right w:val="single" w:sz="4" w:space="0" w:color="auto"/>
            </w:tcBorders>
            <w:shd w:val="clear" w:color="auto" w:fill="FFFFFF"/>
            <w:hideMark/>
          </w:tcPr>
          <w:p w14:paraId="41FBB66E" w14:textId="77777777" w:rsidR="006D5D39" w:rsidRPr="003E0B98" w:rsidRDefault="00683E42" w:rsidP="004361AC">
            <w:pPr>
              <w:keepNext/>
              <w:rPr>
                <w:rFonts w:cs="Calibri"/>
                <w:bCs/>
                <w:iCs/>
                <w:lang w:val="es-ES"/>
              </w:rPr>
            </w:pPr>
            <w:r w:rsidRPr="003E0B98">
              <w:rPr>
                <w:rFonts w:cs="Calibri"/>
                <w:bCs/>
                <w:iCs/>
                <w:lang w:val="es-ES"/>
              </w:rPr>
              <w:t>Ganancia de ≥15 letras o AVMC</w:t>
            </w:r>
            <w:r w:rsidR="006D5D39" w:rsidRPr="003E0B98">
              <w:rPr>
                <w:rFonts w:cs="Calibri"/>
                <w:bCs/>
                <w:iCs/>
                <w:lang w:val="es-ES"/>
              </w:rPr>
              <w:t xml:space="preserve"> </w:t>
            </w:r>
            <w:r w:rsidR="0063565E" w:rsidRPr="003E0B98">
              <w:rPr>
                <w:rFonts w:cs="Calibri"/>
                <w:bCs/>
                <w:iCs/>
                <w:lang w:val="es-ES"/>
              </w:rPr>
              <w:t>≥</w:t>
            </w:r>
            <w:r w:rsidRPr="003E0B98">
              <w:rPr>
                <w:rFonts w:cs="Calibri"/>
                <w:bCs/>
                <w:iCs/>
                <w:lang w:val="es-ES"/>
              </w:rPr>
              <w:t>84</w:t>
            </w:r>
            <w:r w:rsidR="00AD3F86" w:rsidRPr="003E0B98">
              <w:rPr>
                <w:rFonts w:cs="Calibri"/>
                <w:bCs/>
                <w:iCs/>
                <w:lang w:val="es-ES"/>
              </w:rPr>
              <w:t> </w:t>
            </w:r>
            <w:r w:rsidRPr="003E0B98">
              <w:rPr>
                <w:rFonts w:cs="Calibri"/>
                <w:bCs/>
                <w:iCs/>
                <w:lang w:val="es-ES"/>
              </w:rPr>
              <w:t>letras al Mes</w:t>
            </w:r>
            <w:r w:rsidR="006D5D39" w:rsidRPr="003E0B98">
              <w:rPr>
                <w:rFonts w:cs="Calibri"/>
                <w:bCs/>
                <w:iCs/>
                <w:lang w:val="es-ES"/>
              </w:rPr>
              <w:t> 24(%)</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0927299" w14:textId="77777777" w:rsidR="006D5D39" w:rsidRPr="003E0B98" w:rsidRDefault="00F11E9B" w:rsidP="004361AC">
            <w:pPr>
              <w:keepNext/>
              <w:jc w:val="center"/>
              <w:rPr>
                <w:rFonts w:cs="Calibri"/>
                <w:bCs/>
                <w:iCs/>
              </w:rPr>
            </w:pPr>
            <w:r w:rsidRPr="003E0B98">
              <w:rPr>
                <w:rFonts w:cs="Calibri"/>
                <w:bCs/>
                <w:iCs/>
                <w:lang w:val="sv-SE"/>
              </w:rPr>
              <w:t>25,</w:t>
            </w:r>
            <w:r w:rsidR="006D5D39" w:rsidRPr="003E0B98">
              <w:rPr>
                <w:rFonts w:cs="Calibri"/>
                <w:bCs/>
                <w:iCs/>
                <w:lang w:val="sv-SE"/>
              </w:rPr>
              <w:t>6</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D435337" w14:textId="77777777" w:rsidR="006D5D39" w:rsidRPr="003E0B98" w:rsidRDefault="00F11E9B" w:rsidP="004361AC">
            <w:pPr>
              <w:keepNext/>
              <w:jc w:val="center"/>
              <w:rPr>
                <w:rFonts w:cs="Calibri"/>
                <w:bCs/>
                <w:iCs/>
              </w:rPr>
            </w:pPr>
            <w:r w:rsidRPr="003E0B98">
              <w:rPr>
                <w:rFonts w:cs="Calibri"/>
                <w:bCs/>
                <w:iCs/>
                <w:lang w:val="sv-SE"/>
              </w:rPr>
              <w:t>28,</w:t>
            </w:r>
            <w:r w:rsidR="006D5D39" w:rsidRPr="003E0B98">
              <w:rPr>
                <w:rFonts w:cs="Calibri"/>
                <w:bCs/>
                <w:iCs/>
                <w:lang w:val="sv-SE"/>
              </w:rPr>
              <w:t>0</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ADC33BB" w14:textId="77777777" w:rsidR="006D5D39" w:rsidRPr="003E0B98" w:rsidRDefault="00F11E9B" w:rsidP="004361AC">
            <w:pPr>
              <w:keepNext/>
              <w:jc w:val="center"/>
              <w:rPr>
                <w:rFonts w:cs="Calibri"/>
                <w:bCs/>
                <w:iCs/>
              </w:rPr>
            </w:pPr>
            <w:r w:rsidRPr="003E0B98">
              <w:rPr>
                <w:rFonts w:cs="Calibri"/>
                <w:bCs/>
                <w:iCs/>
                <w:lang w:val="sv-SE"/>
              </w:rPr>
              <w:t>30,</w:t>
            </w:r>
            <w:r w:rsidR="006D5D39" w:rsidRPr="003E0B98">
              <w:rPr>
                <w:rFonts w:cs="Calibri"/>
                <w:bCs/>
                <w:iCs/>
                <w:lang w:val="sv-SE"/>
              </w:rPr>
              <w:t>8</w:t>
            </w:r>
          </w:p>
        </w:tc>
      </w:tr>
      <w:tr w:rsidR="008E1452" w:rsidRPr="003E0B98" w14:paraId="517AB3E5" w14:textId="77777777" w:rsidTr="001D4234">
        <w:trPr>
          <w:trHeight w:val="200"/>
        </w:trPr>
        <w:tc>
          <w:tcPr>
            <w:tcW w:w="2304" w:type="dxa"/>
            <w:tcBorders>
              <w:top w:val="single" w:sz="4" w:space="0" w:color="auto"/>
              <w:left w:val="single" w:sz="4" w:space="0" w:color="auto"/>
              <w:bottom w:val="single" w:sz="4" w:space="0" w:color="auto"/>
              <w:right w:val="single" w:sz="4" w:space="0" w:color="auto"/>
            </w:tcBorders>
            <w:shd w:val="clear" w:color="auto" w:fill="FFFFFF"/>
          </w:tcPr>
          <w:p w14:paraId="7F1BB1EF" w14:textId="77777777" w:rsidR="008E1452" w:rsidRPr="003E0B98" w:rsidRDefault="008E1452" w:rsidP="004361AC">
            <w:pPr>
              <w:keepNext/>
              <w:rPr>
                <w:rFonts w:cs="Calibri"/>
                <w:bCs/>
                <w:iCs/>
                <w:lang w:val="es-ES"/>
              </w:rPr>
            </w:pPr>
            <w:r w:rsidRPr="003E0B98">
              <w:rPr>
                <w:rFonts w:cs="Calibri"/>
                <w:bCs/>
                <w:iCs/>
                <w:lang w:val="es-ES"/>
              </w:rPr>
              <w:t xml:space="preserve">Número </w:t>
            </w:r>
            <w:r w:rsidR="00A72E17" w:rsidRPr="003E0B98">
              <w:rPr>
                <w:rFonts w:cs="Calibri"/>
                <w:bCs/>
                <w:iCs/>
                <w:lang w:val="es-ES"/>
              </w:rPr>
              <w:t>pro</w:t>
            </w:r>
            <w:r w:rsidRPr="003E0B98">
              <w:rPr>
                <w:rFonts w:cs="Calibri"/>
                <w:bCs/>
                <w:iCs/>
                <w:lang w:val="es-ES"/>
              </w:rPr>
              <w:t>medio de inyecciones (meses 0-23)</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tcPr>
          <w:p w14:paraId="648627B1" w14:textId="77777777" w:rsidR="008E1452" w:rsidRPr="003E0B98" w:rsidRDefault="008E1452" w:rsidP="004361AC">
            <w:pPr>
              <w:keepNext/>
              <w:jc w:val="center"/>
              <w:rPr>
                <w:rFonts w:cs="Calibri"/>
                <w:bCs/>
                <w:iCs/>
                <w:lang w:val="es-ES"/>
              </w:rPr>
            </w:pPr>
            <w:r w:rsidRPr="003E0B98">
              <w:rPr>
                <w:rFonts w:cs="Calibri"/>
                <w:bCs/>
                <w:iCs/>
                <w:lang w:val="es-ES"/>
              </w:rPr>
              <w:t>12,4</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tcPr>
          <w:p w14:paraId="09AD9389" w14:textId="77777777" w:rsidR="008E1452" w:rsidRPr="003E0B98" w:rsidRDefault="008E1452" w:rsidP="004361AC">
            <w:pPr>
              <w:keepNext/>
              <w:jc w:val="center"/>
              <w:rPr>
                <w:rFonts w:cs="Calibri"/>
                <w:bCs/>
                <w:iCs/>
                <w:lang w:val="sv-SE"/>
              </w:rPr>
            </w:pPr>
            <w:r w:rsidRPr="003E0B98">
              <w:rPr>
                <w:rFonts w:cs="Calibri"/>
                <w:bCs/>
                <w:iCs/>
                <w:lang w:val="sv-SE"/>
              </w:rPr>
              <w:t>12,8</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tcPr>
          <w:p w14:paraId="6301A743" w14:textId="77777777" w:rsidR="008E1452" w:rsidRPr="003E0B98" w:rsidRDefault="008E1452" w:rsidP="004361AC">
            <w:pPr>
              <w:keepNext/>
              <w:jc w:val="center"/>
              <w:rPr>
                <w:rFonts w:cs="Calibri"/>
                <w:bCs/>
                <w:iCs/>
                <w:lang w:val="sv-SE"/>
              </w:rPr>
            </w:pPr>
            <w:r w:rsidRPr="003E0B98">
              <w:rPr>
                <w:rFonts w:cs="Calibri"/>
                <w:bCs/>
                <w:iCs/>
                <w:lang w:val="sv-SE"/>
              </w:rPr>
              <w:t>10,7</w:t>
            </w:r>
          </w:p>
        </w:tc>
      </w:tr>
    </w:tbl>
    <w:p w14:paraId="6B542A03" w14:textId="77777777" w:rsidR="006D5D39" w:rsidRPr="003E0B98" w:rsidRDefault="006D5D39" w:rsidP="004361AC">
      <w:pPr>
        <w:rPr>
          <w:rFonts w:cs="Calibri"/>
          <w:bCs/>
          <w:iCs/>
          <w:lang w:val="es-ES"/>
        </w:rPr>
      </w:pPr>
      <w:proofErr w:type="spellStart"/>
      <w:r w:rsidRPr="003E0B98">
        <w:rPr>
          <w:rFonts w:cs="Calibri"/>
          <w:bCs/>
          <w:iCs/>
          <w:vertAlign w:val="superscript"/>
          <w:lang w:val="es-ES"/>
        </w:rPr>
        <w:t>a</w:t>
      </w:r>
      <w:r w:rsidRPr="003E0B98">
        <w:rPr>
          <w:rFonts w:cs="Calibri"/>
          <w:bCs/>
          <w:lang w:val="es-ES"/>
        </w:rPr>
        <w:t>p</w:t>
      </w:r>
      <w:proofErr w:type="spellEnd"/>
      <w:r w:rsidRPr="003E0B98">
        <w:rPr>
          <w:rFonts w:cs="Calibri"/>
          <w:bCs/>
          <w:lang w:val="es-ES"/>
        </w:rPr>
        <w:t>&lt;</w:t>
      </w:r>
      <w:r w:rsidRPr="003E0B98">
        <w:rPr>
          <w:rFonts w:cs="Calibri"/>
          <w:bCs/>
          <w:iCs/>
          <w:lang w:val="es-ES"/>
        </w:rPr>
        <w:t>0</w:t>
      </w:r>
      <w:r w:rsidR="00683E42" w:rsidRPr="003E0B98">
        <w:rPr>
          <w:rFonts w:cs="Calibri"/>
          <w:bCs/>
          <w:iCs/>
          <w:lang w:val="es-ES"/>
        </w:rPr>
        <w:t>,</w:t>
      </w:r>
      <w:r w:rsidRPr="003E0B98">
        <w:rPr>
          <w:rFonts w:cs="Calibri"/>
          <w:bCs/>
          <w:iCs/>
          <w:lang w:val="es-ES"/>
        </w:rPr>
        <w:t xml:space="preserve">0001 </w:t>
      </w:r>
      <w:r w:rsidR="00683E42" w:rsidRPr="003E0B98">
        <w:rPr>
          <w:rFonts w:cs="Calibri"/>
          <w:bCs/>
          <w:iCs/>
          <w:lang w:val="es-ES"/>
        </w:rPr>
        <w:t>para la valoración de no inferioridad a</w:t>
      </w:r>
      <w:r w:rsidRPr="003E0B98">
        <w:rPr>
          <w:rFonts w:cs="Calibri"/>
          <w:bCs/>
          <w:iCs/>
          <w:lang w:val="es-ES"/>
        </w:rPr>
        <w:t xml:space="preserve"> PRN</w:t>
      </w:r>
    </w:p>
    <w:p w14:paraId="16DC9C6B" w14:textId="77777777" w:rsidR="006D5D39" w:rsidRPr="003E0B98" w:rsidRDefault="006D5D39" w:rsidP="004361AC">
      <w:pPr>
        <w:rPr>
          <w:rFonts w:cs="Calibri"/>
          <w:bCs/>
          <w:iCs/>
          <w:lang w:val="es-ES"/>
        </w:rPr>
      </w:pPr>
    </w:p>
    <w:p w14:paraId="28697AEE" w14:textId="77777777" w:rsidR="000763C1" w:rsidRPr="003E0B98" w:rsidRDefault="00C85A99" w:rsidP="004361AC">
      <w:pPr>
        <w:autoSpaceDE w:val="0"/>
        <w:autoSpaceDN w:val="0"/>
        <w:adjustRightInd w:val="0"/>
        <w:rPr>
          <w:rFonts w:cs="Calibri"/>
          <w:bCs/>
          <w:iCs/>
          <w:lang w:val="es-ES"/>
        </w:rPr>
      </w:pPr>
      <w:r w:rsidRPr="003E0B98">
        <w:rPr>
          <w:rFonts w:cs="Calibri"/>
          <w:bCs/>
          <w:iCs/>
          <w:lang w:val="es-ES"/>
        </w:rPr>
        <w:t xml:space="preserve">En los ensayos en EMD, la mejora en la AVMC se acompañó de una reducción </w:t>
      </w:r>
      <w:r w:rsidR="007457BA" w:rsidRPr="003E0B98">
        <w:rPr>
          <w:rFonts w:cs="Calibri"/>
          <w:bCs/>
          <w:iCs/>
          <w:lang w:val="es-ES"/>
        </w:rPr>
        <w:t>en</w:t>
      </w:r>
      <w:r w:rsidRPr="003E0B98">
        <w:rPr>
          <w:rFonts w:cs="Calibri"/>
          <w:bCs/>
          <w:iCs/>
          <w:lang w:val="es-ES"/>
        </w:rPr>
        <w:t xml:space="preserve"> </w:t>
      </w:r>
      <w:r w:rsidR="001C1D1B" w:rsidRPr="003E0B98">
        <w:rPr>
          <w:rFonts w:cs="Calibri"/>
          <w:bCs/>
          <w:iCs/>
          <w:lang w:val="es-ES"/>
        </w:rPr>
        <w:t xml:space="preserve">el </w:t>
      </w:r>
      <w:r w:rsidRPr="003E0B98">
        <w:rPr>
          <w:rFonts w:cs="Calibri"/>
          <w:bCs/>
          <w:iCs/>
          <w:lang w:val="es-ES"/>
        </w:rPr>
        <w:t xml:space="preserve">tiempo </w:t>
      </w:r>
      <w:r w:rsidR="006F278E" w:rsidRPr="003E0B98">
        <w:rPr>
          <w:rFonts w:cs="Calibri"/>
          <w:bCs/>
          <w:iCs/>
          <w:lang w:val="es-ES"/>
        </w:rPr>
        <w:t>d</w:t>
      </w:r>
      <w:r w:rsidRPr="003E0B98">
        <w:rPr>
          <w:rFonts w:cs="Calibri"/>
          <w:bCs/>
          <w:iCs/>
          <w:lang w:val="es-ES"/>
        </w:rPr>
        <w:t xml:space="preserve">el </w:t>
      </w:r>
      <w:r w:rsidR="008D4DB0" w:rsidRPr="003E0B98">
        <w:rPr>
          <w:color w:val="000000"/>
          <w:szCs w:val="22"/>
          <w:lang w:val="es-ES_tradnl"/>
        </w:rPr>
        <w:t>GSCR</w:t>
      </w:r>
      <w:r w:rsidRPr="003E0B98">
        <w:rPr>
          <w:rFonts w:cs="Calibri"/>
          <w:bCs/>
          <w:iCs/>
          <w:lang w:val="es-ES"/>
        </w:rPr>
        <w:t xml:space="preserve"> medio en todos los grupos de tratamiento</w:t>
      </w:r>
      <w:r w:rsidR="006F278E" w:rsidRPr="003E0B98">
        <w:rPr>
          <w:rFonts w:cs="Calibri"/>
          <w:bCs/>
          <w:iCs/>
          <w:lang w:val="es-ES"/>
        </w:rPr>
        <w:t>.</w:t>
      </w:r>
    </w:p>
    <w:p w14:paraId="4124AF04" w14:textId="77777777" w:rsidR="00B95E93" w:rsidRPr="003E0B98" w:rsidRDefault="00B95E93" w:rsidP="004361AC">
      <w:pPr>
        <w:tabs>
          <w:tab w:val="clear" w:pos="567"/>
        </w:tabs>
        <w:spacing w:line="240" w:lineRule="auto"/>
        <w:rPr>
          <w:color w:val="000000"/>
          <w:szCs w:val="22"/>
          <w:lang w:val="es-ES"/>
        </w:rPr>
      </w:pPr>
    </w:p>
    <w:p w14:paraId="375B0432" w14:textId="7B431B74" w:rsidR="00B95E93" w:rsidRPr="003E0B98" w:rsidRDefault="00B95E93" w:rsidP="004361AC">
      <w:pPr>
        <w:keepNext/>
        <w:tabs>
          <w:tab w:val="clear" w:pos="567"/>
        </w:tabs>
        <w:spacing w:line="240" w:lineRule="auto"/>
        <w:rPr>
          <w:i/>
          <w:color w:val="000000"/>
          <w:szCs w:val="22"/>
          <w:u w:val="single"/>
          <w:lang w:val="es-ES"/>
        </w:rPr>
      </w:pPr>
      <w:r w:rsidRPr="003E0B98">
        <w:rPr>
          <w:i/>
          <w:color w:val="000000"/>
          <w:szCs w:val="22"/>
          <w:u w:val="single"/>
          <w:lang w:val="es-ES"/>
        </w:rPr>
        <w:t>Tratamiento de la RDP</w:t>
      </w:r>
    </w:p>
    <w:p w14:paraId="39BCC08A" w14:textId="35AEE93F" w:rsidR="00B95E93" w:rsidRPr="003E0B98" w:rsidRDefault="00B95E93" w:rsidP="004361AC">
      <w:pPr>
        <w:tabs>
          <w:tab w:val="clear" w:pos="567"/>
        </w:tabs>
        <w:spacing w:line="240" w:lineRule="auto"/>
        <w:rPr>
          <w:color w:val="000000"/>
          <w:szCs w:val="22"/>
          <w:lang w:val="es-ES"/>
        </w:rPr>
      </w:pPr>
      <w:r w:rsidRPr="003E0B98">
        <w:rPr>
          <w:color w:val="000000"/>
          <w:szCs w:val="22"/>
          <w:lang w:val="es-ES"/>
        </w:rPr>
        <w:t xml:space="preserve">La seguridad y eficacia clínicas de </w:t>
      </w:r>
      <w:proofErr w:type="spellStart"/>
      <w:r w:rsidRPr="003E0B98">
        <w:rPr>
          <w:color w:val="000000"/>
          <w:szCs w:val="22"/>
          <w:lang w:val="es-ES"/>
        </w:rPr>
        <w:t>Lucentis</w:t>
      </w:r>
      <w:proofErr w:type="spellEnd"/>
      <w:r w:rsidRPr="003E0B98">
        <w:rPr>
          <w:color w:val="000000"/>
          <w:szCs w:val="22"/>
          <w:lang w:val="es-ES"/>
        </w:rPr>
        <w:t xml:space="preserve"> en pacientes con RDP se han evaluado en el Protocolo S, que analizó el tratamiento con inyecciones intravítreas de 0,5 mg de </w:t>
      </w:r>
      <w:proofErr w:type="spellStart"/>
      <w:r w:rsidRPr="003E0B98">
        <w:rPr>
          <w:color w:val="000000"/>
          <w:szCs w:val="22"/>
          <w:lang w:val="es-ES"/>
        </w:rPr>
        <w:t>ranibizumab</w:t>
      </w:r>
      <w:proofErr w:type="spellEnd"/>
      <w:r w:rsidRPr="003E0B98">
        <w:rPr>
          <w:color w:val="000000"/>
          <w:szCs w:val="22"/>
          <w:lang w:val="es-ES"/>
        </w:rPr>
        <w:t xml:space="preserve"> en comparación con la fotocoagulación </w:t>
      </w:r>
      <w:proofErr w:type="spellStart"/>
      <w:r w:rsidRPr="003E0B98">
        <w:rPr>
          <w:color w:val="000000"/>
          <w:szCs w:val="22"/>
          <w:lang w:val="es-ES"/>
        </w:rPr>
        <w:t>panretiniana</w:t>
      </w:r>
      <w:proofErr w:type="spellEnd"/>
      <w:r w:rsidRPr="003E0B98">
        <w:rPr>
          <w:color w:val="000000"/>
          <w:szCs w:val="22"/>
          <w:lang w:val="es-ES"/>
        </w:rPr>
        <w:t xml:space="preserve"> (FPR). </w:t>
      </w:r>
      <w:r w:rsidR="007F5B29" w:rsidRPr="003E0B98">
        <w:rPr>
          <w:color w:val="000000"/>
          <w:szCs w:val="22"/>
          <w:lang w:val="es-ES"/>
        </w:rPr>
        <w:t>El objetivo primario fue el cambio medio de agudeza visual en el año 2. Además, e</w:t>
      </w:r>
      <w:r w:rsidRPr="003E0B98">
        <w:rPr>
          <w:color w:val="000000"/>
          <w:szCs w:val="22"/>
          <w:lang w:val="es-ES"/>
        </w:rPr>
        <w:t xml:space="preserve">l cambio en la gravedad de la </w:t>
      </w:r>
      <w:r w:rsidR="007F5B29" w:rsidRPr="003E0B98">
        <w:rPr>
          <w:color w:val="000000"/>
          <w:szCs w:val="22"/>
          <w:lang w:val="es-ES"/>
        </w:rPr>
        <w:t>retinopatía diabética (</w:t>
      </w:r>
      <w:r w:rsidRPr="003E0B98">
        <w:rPr>
          <w:color w:val="000000"/>
          <w:szCs w:val="22"/>
          <w:lang w:val="es-ES"/>
        </w:rPr>
        <w:t>RD</w:t>
      </w:r>
      <w:r w:rsidR="007F5B29" w:rsidRPr="003E0B98">
        <w:rPr>
          <w:color w:val="000000"/>
          <w:szCs w:val="22"/>
          <w:lang w:val="es-ES"/>
        </w:rPr>
        <w:t>)</w:t>
      </w:r>
      <w:r w:rsidRPr="003E0B98">
        <w:rPr>
          <w:color w:val="000000"/>
          <w:szCs w:val="22"/>
          <w:lang w:val="es-ES"/>
        </w:rPr>
        <w:t xml:space="preserve"> se evaluó en base a fotografías de fondo de ojo utilizando el</w:t>
      </w:r>
      <w:r w:rsidR="007F5B29" w:rsidRPr="003E0B98">
        <w:rPr>
          <w:color w:val="000000"/>
          <w:szCs w:val="22"/>
          <w:lang w:val="es-ES"/>
        </w:rPr>
        <w:t xml:space="preserve"> grado de severidad de la RD (DRSS)</w:t>
      </w:r>
      <w:r w:rsidRPr="003E0B98">
        <w:rPr>
          <w:color w:val="000000"/>
          <w:szCs w:val="22"/>
          <w:lang w:val="es-ES"/>
        </w:rPr>
        <w:t>.</w:t>
      </w:r>
    </w:p>
    <w:p w14:paraId="193347D3" w14:textId="77777777" w:rsidR="00B95E93" w:rsidRPr="003E0B98" w:rsidRDefault="00B95E93" w:rsidP="004361AC">
      <w:pPr>
        <w:tabs>
          <w:tab w:val="clear" w:pos="567"/>
        </w:tabs>
        <w:spacing w:line="240" w:lineRule="auto"/>
        <w:rPr>
          <w:color w:val="000000"/>
          <w:szCs w:val="22"/>
          <w:lang w:val="es-ES"/>
        </w:rPr>
      </w:pPr>
    </w:p>
    <w:p w14:paraId="5F572D63" w14:textId="2D973D2D" w:rsidR="00B95E93" w:rsidRPr="003E0B98" w:rsidRDefault="00B95E93" w:rsidP="004361AC">
      <w:pPr>
        <w:tabs>
          <w:tab w:val="clear" w:pos="567"/>
        </w:tabs>
        <w:spacing w:line="240" w:lineRule="auto"/>
        <w:rPr>
          <w:color w:val="000000"/>
          <w:szCs w:val="22"/>
          <w:lang w:val="es-ES"/>
        </w:rPr>
      </w:pPr>
      <w:r w:rsidRPr="003E0B98">
        <w:rPr>
          <w:color w:val="000000"/>
          <w:szCs w:val="22"/>
          <w:lang w:val="es-ES"/>
        </w:rPr>
        <w:t xml:space="preserve">El Protocolo S fue un estudio multicéntrico, aleatorizado, </w:t>
      </w:r>
      <w:r w:rsidRPr="003E0B98">
        <w:rPr>
          <w:color w:val="000000"/>
          <w:szCs w:val="22"/>
          <w:lang w:val="es-ES_tradnl"/>
        </w:rPr>
        <w:t>controlado con tratamiento activo</w:t>
      </w:r>
      <w:r w:rsidRPr="003E0B98">
        <w:rPr>
          <w:color w:val="000000"/>
          <w:szCs w:val="22"/>
          <w:lang w:val="es-ES"/>
        </w:rPr>
        <w:t>, de asignación paralela, de fase</w:t>
      </w:r>
      <w:r w:rsidR="003A34AB" w:rsidRPr="003E0B98">
        <w:rPr>
          <w:color w:val="000000"/>
          <w:szCs w:val="22"/>
          <w:lang w:val="es-ES"/>
        </w:rPr>
        <w:t> </w:t>
      </w:r>
      <w:r w:rsidRPr="003E0B98">
        <w:rPr>
          <w:color w:val="000000"/>
          <w:szCs w:val="22"/>
          <w:lang w:val="es-ES"/>
        </w:rPr>
        <w:t xml:space="preserve">III de no inferioridad en el que se incluyeron 305 pacientes (394 ojos en estudio) con RD proliferativa con o sin EMD al inicio del estudio. El estudio comparó las inyecciones intravítreas de 0,5 mg de </w:t>
      </w:r>
      <w:proofErr w:type="spellStart"/>
      <w:r w:rsidRPr="003E0B98">
        <w:rPr>
          <w:color w:val="000000"/>
          <w:szCs w:val="22"/>
          <w:lang w:val="es-ES"/>
        </w:rPr>
        <w:t>ranibizumab</w:t>
      </w:r>
      <w:proofErr w:type="spellEnd"/>
      <w:r w:rsidRPr="003E0B98">
        <w:rPr>
          <w:color w:val="000000"/>
          <w:szCs w:val="22"/>
          <w:lang w:val="es-ES"/>
        </w:rPr>
        <w:t xml:space="preserve"> con el tratamiento estándar con FPR. Un total de 191 ojos (48,5%) fueron asig</w:t>
      </w:r>
      <w:r w:rsidR="0001071A" w:rsidRPr="003E0B98">
        <w:rPr>
          <w:color w:val="000000"/>
          <w:szCs w:val="22"/>
          <w:lang w:val="es-ES"/>
        </w:rPr>
        <w:t xml:space="preserve">nados al azar a </w:t>
      </w:r>
      <w:proofErr w:type="spellStart"/>
      <w:r w:rsidR="0001071A" w:rsidRPr="003E0B98">
        <w:rPr>
          <w:color w:val="000000"/>
          <w:szCs w:val="22"/>
          <w:lang w:val="es-ES"/>
        </w:rPr>
        <w:t>ranibizumab</w:t>
      </w:r>
      <w:proofErr w:type="spellEnd"/>
      <w:r w:rsidR="0001071A" w:rsidRPr="003E0B98">
        <w:rPr>
          <w:color w:val="000000"/>
          <w:szCs w:val="22"/>
          <w:lang w:val="es-ES"/>
        </w:rPr>
        <w:t xml:space="preserve"> 0,</w:t>
      </w:r>
      <w:r w:rsidRPr="003E0B98">
        <w:rPr>
          <w:color w:val="000000"/>
          <w:szCs w:val="22"/>
          <w:lang w:val="es-ES"/>
        </w:rPr>
        <w:t xml:space="preserve">5 mg y 203 ojos (51,5%) fueron asignados al azar a FPR. Un total de 88 ojos (22,3%) tenían EMD basal: 42 (22,0%) y 46 (22,7%) ojos en los grupos </w:t>
      </w:r>
      <w:proofErr w:type="spellStart"/>
      <w:r w:rsidRPr="003E0B98">
        <w:rPr>
          <w:color w:val="000000"/>
          <w:szCs w:val="22"/>
          <w:lang w:val="es-ES"/>
        </w:rPr>
        <w:t>ranibizumab</w:t>
      </w:r>
      <w:proofErr w:type="spellEnd"/>
      <w:r w:rsidRPr="003E0B98">
        <w:rPr>
          <w:color w:val="000000"/>
          <w:szCs w:val="22"/>
          <w:lang w:val="es-ES"/>
        </w:rPr>
        <w:t xml:space="preserve"> y FPR, respectivamente.</w:t>
      </w:r>
    </w:p>
    <w:p w14:paraId="2E751099" w14:textId="5601F2BB" w:rsidR="00B95E93" w:rsidRPr="003E0B98" w:rsidRDefault="00B95E93" w:rsidP="004361AC">
      <w:pPr>
        <w:tabs>
          <w:tab w:val="clear" w:pos="567"/>
        </w:tabs>
        <w:spacing w:line="240" w:lineRule="auto"/>
        <w:rPr>
          <w:color w:val="000000"/>
          <w:szCs w:val="22"/>
          <w:lang w:val="es-ES"/>
        </w:rPr>
      </w:pPr>
    </w:p>
    <w:p w14:paraId="23C9E32D" w14:textId="5C6F097C" w:rsidR="001F1A80" w:rsidRPr="003E0B98" w:rsidRDefault="001F1A80" w:rsidP="004361AC">
      <w:pPr>
        <w:tabs>
          <w:tab w:val="clear" w:pos="567"/>
        </w:tabs>
        <w:spacing w:line="240" w:lineRule="auto"/>
        <w:rPr>
          <w:color w:val="000000"/>
          <w:szCs w:val="22"/>
          <w:lang w:val="es-ES"/>
        </w:rPr>
      </w:pPr>
      <w:r w:rsidRPr="003E0B98">
        <w:rPr>
          <w:color w:val="000000"/>
          <w:szCs w:val="22"/>
          <w:lang w:val="es-ES"/>
        </w:rPr>
        <w:t>En este estudio, el cambio medio de agudeza visual en el año 2 fue de +2,7</w:t>
      </w:r>
      <w:r w:rsidR="006D4E55" w:rsidRPr="003E0B98">
        <w:rPr>
          <w:color w:val="000000"/>
          <w:szCs w:val="22"/>
          <w:lang w:val="es-ES"/>
        </w:rPr>
        <w:t> </w:t>
      </w:r>
      <w:r w:rsidRPr="003E0B98">
        <w:rPr>
          <w:color w:val="000000"/>
          <w:szCs w:val="22"/>
          <w:lang w:val="es-ES"/>
        </w:rPr>
        <w:t xml:space="preserve">letras en el grupo de </w:t>
      </w:r>
      <w:proofErr w:type="spellStart"/>
      <w:r w:rsidRPr="003E0B98">
        <w:rPr>
          <w:color w:val="000000"/>
          <w:szCs w:val="22"/>
          <w:lang w:val="es-ES"/>
        </w:rPr>
        <w:t>ranibizumab</w:t>
      </w:r>
      <w:proofErr w:type="spellEnd"/>
      <w:r w:rsidRPr="003E0B98">
        <w:rPr>
          <w:color w:val="000000"/>
          <w:szCs w:val="22"/>
          <w:lang w:val="es-ES"/>
        </w:rPr>
        <w:t xml:space="preserve"> en comparación con -0,7</w:t>
      </w:r>
      <w:r w:rsidR="006D4E55" w:rsidRPr="003E0B98">
        <w:rPr>
          <w:color w:val="000000"/>
          <w:szCs w:val="22"/>
          <w:lang w:val="es-ES"/>
        </w:rPr>
        <w:t> </w:t>
      </w:r>
      <w:r w:rsidRPr="003E0B98">
        <w:rPr>
          <w:color w:val="000000"/>
          <w:szCs w:val="22"/>
          <w:lang w:val="es-ES"/>
        </w:rPr>
        <w:t>letras en el grupo de FPR. La diferencia en las medias de mínimos cuadrados fue de 3,5 letras (IC 95%: [0,2 a 6,7]).</w:t>
      </w:r>
    </w:p>
    <w:p w14:paraId="089E7467" w14:textId="77777777" w:rsidR="001F1A80" w:rsidRPr="003E0B98" w:rsidRDefault="001F1A80" w:rsidP="004361AC">
      <w:pPr>
        <w:tabs>
          <w:tab w:val="clear" w:pos="567"/>
        </w:tabs>
        <w:spacing w:line="240" w:lineRule="auto"/>
        <w:rPr>
          <w:color w:val="000000"/>
          <w:szCs w:val="22"/>
          <w:lang w:val="es-ES"/>
        </w:rPr>
      </w:pPr>
    </w:p>
    <w:p w14:paraId="5C0A8B0E" w14:textId="3FAC91A0" w:rsidR="00B95E93" w:rsidRPr="003E0B98" w:rsidRDefault="001F1A80" w:rsidP="004361AC">
      <w:pPr>
        <w:tabs>
          <w:tab w:val="clear" w:pos="567"/>
        </w:tabs>
        <w:spacing w:line="240" w:lineRule="auto"/>
        <w:rPr>
          <w:color w:val="000000"/>
          <w:szCs w:val="22"/>
          <w:lang w:val="es-ES"/>
        </w:rPr>
      </w:pPr>
      <w:r w:rsidRPr="003E0B98">
        <w:rPr>
          <w:color w:val="000000"/>
          <w:szCs w:val="22"/>
          <w:lang w:val="es-ES"/>
        </w:rPr>
        <w:t>Al año</w:t>
      </w:r>
      <w:r w:rsidR="006D4E55" w:rsidRPr="003E0B98">
        <w:rPr>
          <w:color w:val="000000"/>
          <w:szCs w:val="22"/>
          <w:lang w:val="es-ES"/>
        </w:rPr>
        <w:t> </w:t>
      </w:r>
      <w:r w:rsidRPr="003E0B98">
        <w:rPr>
          <w:color w:val="000000"/>
          <w:szCs w:val="22"/>
          <w:lang w:val="es-ES"/>
        </w:rPr>
        <w:t>1</w:t>
      </w:r>
      <w:r w:rsidR="00B95E93" w:rsidRPr="003E0B98">
        <w:rPr>
          <w:color w:val="000000"/>
          <w:szCs w:val="22"/>
          <w:lang w:val="es-ES"/>
        </w:rPr>
        <w:t xml:space="preserve">, el 41,8% de los ojos tuvo una mejora de ≥2 niveles en el DRSS cuando se trató con </w:t>
      </w:r>
      <w:proofErr w:type="spellStart"/>
      <w:r w:rsidR="00B95E93" w:rsidRPr="003E0B98">
        <w:rPr>
          <w:color w:val="000000"/>
          <w:szCs w:val="22"/>
          <w:lang w:val="es-ES"/>
        </w:rPr>
        <w:t>ranibizumab</w:t>
      </w:r>
      <w:proofErr w:type="spellEnd"/>
      <w:r w:rsidR="00B95E93" w:rsidRPr="003E0B98">
        <w:rPr>
          <w:color w:val="000000"/>
          <w:szCs w:val="22"/>
          <w:lang w:val="es-ES"/>
        </w:rPr>
        <w:t xml:space="preserve"> (n = 189) en comparación con el 14,6% de los ojos tratados con FPR (n = 199). La diferencia estimada entre </w:t>
      </w:r>
      <w:proofErr w:type="spellStart"/>
      <w:r w:rsidR="00B95E93" w:rsidRPr="003E0B98">
        <w:rPr>
          <w:color w:val="000000"/>
          <w:szCs w:val="22"/>
          <w:lang w:val="es-ES"/>
        </w:rPr>
        <w:t>ranibizumab</w:t>
      </w:r>
      <w:proofErr w:type="spellEnd"/>
      <w:r w:rsidR="00B95E93" w:rsidRPr="003E0B98">
        <w:rPr>
          <w:color w:val="000000"/>
          <w:szCs w:val="22"/>
          <w:lang w:val="es-ES"/>
        </w:rPr>
        <w:t xml:space="preserve"> y láser fue del 27,4% (IC del 95%: [18,9, 35,9]).</w:t>
      </w:r>
    </w:p>
    <w:p w14:paraId="1B85913F" w14:textId="77777777" w:rsidR="00B95E93" w:rsidRPr="003E0B98" w:rsidRDefault="00B95E93" w:rsidP="004361AC">
      <w:pPr>
        <w:tabs>
          <w:tab w:val="clear" w:pos="567"/>
        </w:tabs>
        <w:spacing w:line="240" w:lineRule="auto"/>
        <w:rPr>
          <w:color w:val="000000"/>
          <w:szCs w:val="22"/>
          <w:lang w:val="es-ES"/>
        </w:rPr>
      </w:pPr>
    </w:p>
    <w:p w14:paraId="6E21ECB5" w14:textId="10675F6A" w:rsidR="00B95E93" w:rsidRPr="003E0B98" w:rsidRDefault="00B95E93" w:rsidP="004361AC">
      <w:pPr>
        <w:keepNext/>
        <w:keepLines/>
        <w:tabs>
          <w:tab w:val="clear" w:pos="567"/>
          <w:tab w:val="left" w:pos="720"/>
        </w:tabs>
        <w:spacing w:line="240" w:lineRule="auto"/>
        <w:ind w:left="1134" w:hanging="1134"/>
        <w:rPr>
          <w:b/>
          <w:color w:val="000000"/>
          <w:lang w:val="es-ES"/>
        </w:rPr>
      </w:pPr>
      <w:r w:rsidRPr="003E0B98">
        <w:rPr>
          <w:b/>
          <w:color w:val="000000"/>
          <w:lang w:val="es-ES"/>
        </w:rPr>
        <w:t>Tabla 7</w:t>
      </w:r>
      <w:r w:rsidRPr="003E0B98">
        <w:rPr>
          <w:b/>
          <w:color w:val="000000"/>
          <w:lang w:val="es-ES"/>
        </w:rPr>
        <w:tab/>
      </w:r>
      <w:r w:rsidRPr="003E0B98">
        <w:rPr>
          <w:b/>
          <w:color w:val="000000"/>
          <w:lang w:val="es-ES"/>
        </w:rPr>
        <w:tab/>
        <w:t>Mejora o empeoramiento del DRSS de ≥2 o ≥3</w:t>
      </w:r>
      <w:r w:rsidR="003A34AB" w:rsidRPr="003E0B98">
        <w:rPr>
          <w:b/>
          <w:color w:val="000000"/>
          <w:lang w:val="es-ES"/>
        </w:rPr>
        <w:t> </w:t>
      </w:r>
      <w:r w:rsidRPr="003E0B98">
        <w:rPr>
          <w:b/>
          <w:color w:val="000000"/>
          <w:lang w:val="es-ES"/>
        </w:rPr>
        <w:t>niveles en el año 1 en el Protocolo S (Método LOCF)</w:t>
      </w:r>
    </w:p>
    <w:p w14:paraId="2682DF41" w14:textId="77777777" w:rsidR="00B95E93" w:rsidRPr="003E0B98" w:rsidRDefault="00B95E93" w:rsidP="004361AC">
      <w:pPr>
        <w:keepNext/>
        <w:keepLines/>
        <w:rPr>
          <w:lang w:val="es-ES"/>
        </w:rPr>
      </w:pPr>
    </w:p>
    <w:tbl>
      <w:tblPr>
        <w:tblW w:w="935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7"/>
        <w:gridCol w:w="2337"/>
        <w:gridCol w:w="2338"/>
        <w:gridCol w:w="2338"/>
      </w:tblGrid>
      <w:tr w:rsidR="00B95E93" w:rsidRPr="003E0B98" w14:paraId="18E62233" w14:textId="77777777" w:rsidTr="00D55E43">
        <w:tc>
          <w:tcPr>
            <w:tcW w:w="2337" w:type="dxa"/>
            <w:vMerge w:val="restart"/>
            <w:tcBorders>
              <w:top w:val="single" w:sz="4" w:space="0" w:color="auto"/>
              <w:left w:val="single" w:sz="4" w:space="0" w:color="auto"/>
              <w:bottom w:val="single" w:sz="4" w:space="0" w:color="auto"/>
              <w:right w:val="single" w:sz="4" w:space="0" w:color="auto"/>
            </w:tcBorders>
            <w:hideMark/>
          </w:tcPr>
          <w:p w14:paraId="05BB9210" w14:textId="77777777" w:rsidR="00B95E93" w:rsidRPr="003E0B98" w:rsidRDefault="00B95E93" w:rsidP="004361AC">
            <w:pPr>
              <w:keepNext/>
              <w:keepLines/>
              <w:rPr>
                <w:lang w:val="es-ES"/>
              </w:rPr>
            </w:pPr>
            <w:r w:rsidRPr="003E0B98">
              <w:rPr>
                <w:b/>
                <w:bCs/>
                <w:szCs w:val="22"/>
                <w:lang w:val="es-ES"/>
              </w:rPr>
              <w:t>Cambio categorizado desde el inicio</w:t>
            </w:r>
          </w:p>
        </w:tc>
        <w:tc>
          <w:tcPr>
            <w:tcW w:w="7013" w:type="dxa"/>
            <w:gridSpan w:val="3"/>
            <w:tcBorders>
              <w:top w:val="single" w:sz="4" w:space="0" w:color="auto"/>
              <w:left w:val="single" w:sz="4" w:space="0" w:color="auto"/>
              <w:bottom w:val="single" w:sz="4" w:space="0" w:color="auto"/>
              <w:right w:val="single" w:sz="4" w:space="0" w:color="auto"/>
            </w:tcBorders>
            <w:hideMark/>
          </w:tcPr>
          <w:p w14:paraId="07DF344D" w14:textId="77777777" w:rsidR="00B95E93" w:rsidRPr="003E0B98" w:rsidRDefault="00B95E93" w:rsidP="004361AC">
            <w:pPr>
              <w:keepNext/>
              <w:keepLines/>
              <w:jc w:val="center"/>
            </w:pPr>
            <w:r w:rsidRPr="003E0B98">
              <w:rPr>
                <w:b/>
                <w:bCs/>
                <w:szCs w:val="22"/>
                <w:lang w:val="de-CH"/>
              </w:rPr>
              <w:t>Protocolo S</w:t>
            </w:r>
          </w:p>
        </w:tc>
      </w:tr>
      <w:tr w:rsidR="00B95E93" w:rsidRPr="003E0B98" w14:paraId="449ACFBA" w14:textId="77777777" w:rsidTr="00D55E43">
        <w:tc>
          <w:tcPr>
            <w:tcW w:w="0" w:type="auto"/>
            <w:vMerge/>
            <w:tcBorders>
              <w:top w:val="single" w:sz="4" w:space="0" w:color="auto"/>
              <w:left w:val="single" w:sz="4" w:space="0" w:color="auto"/>
              <w:bottom w:val="single" w:sz="4" w:space="0" w:color="auto"/>
              <w:right w:val="single" w:sz="4" w:space="0" w:color="auto"/>
            </w:tcBorders>
            <w:vAlign w:val="center"/>
            <w:hideMark/>
          </w:tcPr>
          <w:p w14:paraId="4FBAC928" w14:textId="77777777" w:rsidR="00B95E93" w:rsidRPr="003E0B98" w:rsidRDefault="00B95E93" w:rsidP="004361AC">
            <w:pPr>
              <w:tabs>
                <w:tab w:val="clear" w:pos="567"/>
              </w:tabs>
              <w:spacing w:line="240" w:lineRule="auto"/>
            </w:pPr>
          </w:p>
        </w:tc>
        <w:tc>
          <w:tcPr>
            <w:tcW w:w="2337" w:type="dxa"/>
            <w:tcBorders>
              <w:top w:val="single" w:sz="4" w:space="0" w:color="auto"/>
              <w:left w:val="single" w:sz="4" w:space="0" w:color="auto"/>
              <w:bottom w:val="single" w:sz="4" w:space="0" w:color="auto"/>
              <w:right w:val="single" w:sz="4" w:space="0" w:color="auto"/>
            </w:tcBorders>
            <w:hideMark/>
          </w:tcPr>
          <w:p w14:paraId="4BC3DA13" w14:textId="77777777" w:rsidR="00B95E93" w:rsidRPr="003E0B98" w:rsidRDefault="00B95E93" w:rsidP="004361AC">
            <w:pPr>
              <w:pStyle w:val="Table"/>
              <w:keepNext/>
              <w:spacing w:before="0" w:after="0"/>
              <w:jc w:val="center"/>
              <w:rPr>
                <w:rFonts w:ascii="Times New Roman" w:hAnsi="Times New Roman"/>
                <w:b/>
                <w:bCs/>
                <w:sz w:val="22"/>
                <w:szCs w:val="22"/>
                <w:lang w:val="de-CH"/>
              </w:rPr>
            </w:pPr>
            <w:r w:rsidRPr="003E0B98">
              <w:rPr>
                <w:rFonts w:ascii="Times New Roman" w:hAnsi="Times New Roman"/>
                <w:b/>
                <w:bCs/>
                <w:sz w:val="22"/>
                <w:szCs w:val="22"/>
                <w:lang w:val="de-CH"/>
              </w:rPr>
              <w:t>Ranibizumab</w:t>
            </w:r>
          </w:p>
          <w:p w14:paraId="3391DCE0" w14:textId="77777777" w:rsidR="00B95E93" w:rsidRPr="003E0B98" w:rsidRDefault="00B95E93" w:rsidP="004361AC">
            <w:pPr>
              <w:pStyle w:val="Table"/>
              <w:keepNext/>
              <w:spacing w:before="0" w:after="0"/>
              <w:jc w:val="center"/>
              <w:rPr>
                <w:rFonts w:ascii="Times New Roman" w:hAnsi="Times New Roman"/>
                <w:b/>
                <w:bCs/>
                <w:sz w:val="22"/>
                <w:szCs w:val="22"/>
                <w:lang w:val="de-CH"/>
              </w:rPr>
            </w:pPr>
            <w:r w:rsidRPr="003E0B98">
              <w:rPr>
                <w:rFonts w:ascii="Times New Roman" w:hAnsi="Times New Roman"/>
                <w:b/>
                <w:bCs/>
                <w:sz w:val="22"/>
                <w:szCs w:val="22"/>
                <w:lang w:val="de-CH"/>
              </w:rPr>
              <w:t>0,5 mg</w:t>
            </w:r>
          </w:p>
          <w:p w14:paraId="7DD34C45" w14:textId="77777777" w:rsidR="00B95E93" w:rsidRPr="003E0B98" w:rsidRDefault="00B95E93" w:rsidP="004361AC">
            <w:pPr>
              <w:pStyle w:val="Table"/>
              <w:keepNext/>
              <w:spacing w:before="0" w:after="0"/>
              <w:jc w:val="center"/>
              <w:rPr>
                <w:rFonts w:ascii="Times New Roman" w:hAnsi="Times New Roman"/>
                <w:b/>
                <w:bCs/>
                <w:sz w:val="22"/>
                <w:szCs w:val="22"/>
                <w:lang w:val="de-CH"/>
              </w:rPr>
            </w:pPr>
            <w:r w:rsidRPr="003E0B98">
              <w:rPr>
                <w:rFonts w:ascii="Times New Roman" w:hAnsi="Times New Roman"/>
                <w:b/>
                <w:bCs/>
                <w:sz w:val="22"/>
                <w:szCs w:val="22"/>
                <w:lang w:val="de-CH"/>
              </w:rPr>
              <w:t>(N=189)</w:t>
            </w:r>
          </w:p>
        </w:tc>
        <w:tc>
          <w:tcPr>
            <w:tcW w:w="2338" w:type="dxa"/>
            <w:tcBorders>
              <w:top w:val="single" w:sz="4" w:space="0" w:color="auto"/>
              <w:left w:val="single" w:sz="4" w:space="0" w:color="auto"/>
              <w:bottom w:val="single" w:sz="4" w:space="0" w:color="auto"/>
              <w:right w:val="single" w:sz="4" w:space="0" w:color="auto"/>
            </w:tcBorders>
            <w:hideMark/>
          </w:tcPr>
          <w:p w14:paraId="2E21FD89" w14:textId="77777777" w:rsidR="00B95E93" w:rsidRPr="003E0B98" w:rsidRDefault="00B95E93" w:rsidP="004361AC">
            <w:pPr>
              <w:pStyle w:val="Table"/>
              <w:keepNext/>
              <w:spacing w:before="0" w:after="0"/>
              <w:jc w:val="center"/>
              <w:rPr>
                <w:rFonts w:ascii="Times New Roman" w:hAnsi="Times New Roman"/>
                <w:b/>
                <w:bCs/>
                <w:sz w:val="22"/>
                <w:szCs w:val="22"/>
                <w:lang w:val="de-CH"/>
              </w:rPr>
            </w:pPr>
            <w:r w:rsidRPr="003E0B98">
              <w:rPr>
                <w:rFonts w:ascii="Times New Roman" w:hAnsi="Times New Roman"/>
                <w:b/>
                <w:bCs/>
                <w:sz w:val="22"/>
                <w:szCs w:val="22"/>
                <w:lang w:val="de-CH"/>
              </w:rPr>
              <w:t>FPR</w:t>
            </w:r>
          </w:p>
          <w:p w14:paraId="69083E05" w14:textId="77777777" w:rsidR="00B95E93" w:rsidRPr="003E0B98" w:rsidRDefault="00B95E93" w:rsidP="004361AC">
            <w:pPr>
              <w:pStyle w:val="Table"/>
              <w:keepNext/>
              <w:spacing w:before="0" w:after="0"/>
              <w:jc w:val="center"/>
              <w:rPr>
                <w:rFonts w:ascii="Times New Roman" w:hAnsi="Times New Roman"/>
                <w:b/>
                <w:bCs/>
                <w:sz w:val="22"/>
                <w:szCs w:val="22"/>
                <w:lang w:val="de-CH"/>
              </w:rPr>
            </w:pPr>
            <w:r w:rsidRPr="003E0B98">
              <w:rPr>
                <w:rFonts w:ascii="Times New Roman" w:hAnsi="Times New Roman"/>
                <w:b/>
                <w:bCs/>
                <w:sz w:val="22"/>
                <w:szCs w:val="22"/>
                <w:lang w:val="de-CH"/>
              </w:rPr>
              <w:t>(N=199)</w:t>
            </w:r>
          </w:p>
        </w:tc>
        <w:tc>
          <w:tcPr>
            <w:tcW w:w="2338" w:type="dxa"/>
            <w:tcBorders>
              <w:top w:val="single" w:sz="4" w:space="0" w:color="auto"/>
              <w:left w:val="single" w:sz="4" w:space="0" w:color="auto"/>
              <w:bottom w:val="single" w:sz="4" w:space="0" w:color="auto"/>
              <w:right w:val="single" w:sz="4" w:space="0" w:color="auto"/>
            </w:tcBorders>
            <w:hideMark/>
          </w:tcPr>
          <w:p w14:paraId="7C402A11" w14:textId="77777777" w:rsidR="00B95E93" w:rsidRPr="003E0B98" w:rsidRDefault="00B95E93" w:rsidP="004361AC">
            <w:pPr>
              <w:pStyle w:val="Table"/>
              <w:keepNext/>
              <w:spacing w:before="0" w:after="0"/>
              <w:jc w:val="center"/>
              <w:rPr>
                <w:rFonts w:ascii="Times New Roman" w:hAnsi="Times New Roman"/>
                <w:b/>
                <w:bCs/>
                <w:sz w:val="22"/>
                <w:szCs w:val="22"/>
                <w:lang w:val="de-CH"/>
              </w:rPr>
            </w:pPr>
            <w:r w:rsidRPr="003E0B98">
              <w:rPr>
                <w:rFonts w:ascii="Times New Roman" w:hAnsi="Times New Roman"/>
                <w:b/>
                <w:bCs/>
                <w:sz w:val="22"/>
                <w:szCs w:val="22"/>
                <w:lang w:val="es-ES"/>
              </w:rPr>
              <w:t>Diferencia en proporción</w:t>
            </w:r>
            <w:r w:rsidRPr="003E0B98">
              <w:rPr>
                <w:rFonts w:ascii="Times New Roman" w:hAnsi="Times New Roman"/>
                <w:b/>
                <w:bCs/>
                <w:sz w:val="22"/>
                <w:szCs w:val="22"/>
              </w:rPr>
              <w:t xml:space="preserve"> (%), </w:t>
            </w:r>
            <w:r w:rsidRPr="003E0B98">
              <w:rPr>
                <w:rFonts w:ascii="Times New Roman" w:hAnsi="Times New Roman"/>
                <w:b/>
                <w:bCs/>
                <w:sz w:val="22"/>
                <w:szCs w:val="22"/>
                <w:lang w:val="es-ES"/>
              </w:rPr>
              <w:t>I</w:t>
            </w:r>
            <w:r w:rsidRPr="003E0B98">
              <w:rPr>
                <w:rFonts w:ascii="Times New Roman" w:hAnsi="Times New Roman"/>
                <w:b/>
                <w:bCs/>
                <w:sz w:val="22"/>
                <w:szCs w:val="22"/>
              </w:rPr>
              <w:t>C</w:t>
            </w:r>
          </w:p>
        </w:tc>
      </w:tr>
      <w:tr w:rsidR="00B95E93" w:rsidRPr="003E0B98" w14:paraId="1E1385F0" w14:textId="77777777" w:rsidTr="00D55E43">
        <w:tc>
          <w:tcPr>
            <w:tcW w:w="9350" w:type="dxa"/>
            <w:gridSpan w:val="4"/>
            <w:tcBorders>
              <w:top w:val="single" w:sz="4" w:space="0" w:color="auto"/>
              <w:left w:val="single" w:sz="4" w:space="0" w:color="auto"/>
              <w:bottom w:val="single" w:sz="4" w:space="0" w:color="auto"/>
              <w:right w:val="single" w:sz="4" w:space="0" w:color="auto"/>
            </w:tcBorders>
            <w:hideMark/>
          </w:tcPr>
          <w:p w14:paraId="021FEEA9" w14:textId="77E2DB51" w:rsidR="00B95E93" w:rsidRPr="003E0B98" w:rsidRDefault="00B95E93" w:rsidP="004361AC">
            <w:pPr>
              <w:keepNext/>
              <w:keepLines/>
            </w:pPr>
            <w:proofErr w:type="spellStart"/>
            <w:r w:rsidRPr="003E0B98">
              <w:rPr>
                <w:szCs w:val="22"/>
              </w:rPr>
              <w:t>Mejora</w:t>
            </w:r>
            <w:proofErr w:type="spellEnd"/>
            <w:r w:rsidRPr="003E0B98">
              <w:rPr>
                <w:szCs w:val="22"/>
              </w:rPr>
              <w:t xml:space="preserve"> de ≥2</w:t>
            </w:r>
            <w:r w:rsidR="003A34AB" w:rsidRPr="003E0B98">
              <w:rPr>
                <w:szCs w:val="22"/>
              </w:rPr>
              <w:t> </w:t>
            </w:r>
            <w:proofErr w:type="spellStart"/>
            <w:r w:rsidRPr="003E0B98">
              <w:rPr>
                <w:szCs w:val="22"/>
              </w:rPr>
              <w:t>niveles</w:t>
            </w:r>
            <w:proofErr w:type="spellEnd"/>
          </w:p>
        </w:tc>
      </w:tr>
      <w:tr w:rsidR="00B95E93" w:rsidRPr="003E0B98" w14:paraId="21019BE7" w14:textId="77777777" w:rsidTr="00D55E43">
        <w:tc>
          <w:tcPr>
            <w:tcW w:w="2337" w:type="dxa"/>
            <w:tcBorders>
              <w:top w:val="single" w:sz="4" w:space="0" w:color="auto"/>
              <w:left w:val="single" w:sz="4" w:space="0" w:color="auto"/>
              <w:bottom w:val="single" w:sz="4" w:space="0" w:color="auto"/>
              <w:right w:val="single" w:sz="4" w:space="0" w:color="auto"/>
            </w:tcBorders>
            <w:hideMark/>
          </w:tcPr>
          <w:p w14:paraId="6E061909" w14:textId="77777777" w:rsidR="00B95E93" w:rsidRPr="003E0B98" w:rsidRDefault="00B95E93" w:rsidP="004361AC">
            <w:pPr>
              <w:pStyle w:val="Table"/>
              <w:keepNext/>
              <w:spacing w:before="0" w:after="0"/>
              <w:ind w:left="284"/>
              <w:rPr>
                <w:rFonts w:ascii="Times New Roman" w:hAnsi="Times New Roman"/>
                <w:sz w:val="22"/>
                <w:szCs w:val="22"/>
              </w:rPr>
            </w:pPr>
            <w:r w:rsidRPr="003E0B98">
              <w:rPr>
                <w:rFonts w:ascii="Times New Roman" w:hAnsi="Times New Roman"/>
                <w:sz w:val="22"/>
                <w:szCs w:val="22"/>
              </w:rPr>
              <w:t>n (%)</w:t>
            </w:r>
          </w:p>
        </w:tc>
        <w:tc>
          <w:tcPr>
            <w:tcW w:w="2337" w:type="dxa"/>
            <w:tcBorders>
              <w:top w:val="single" w:sz="4" w:space="0" w:color="auto"/>
              <w:left w:val="single" w:sz="4" w:space="0" w:color="auto"/>
              <w:bottom w:val="single" w:sz="4" w:space="0" w:color="auto"/>
              <w:right w:val="single" w:sz="4" w:space="0" w:color="auto"/>
            </w:tcBorders>
            <w:hideMark/>
          </w:tcPr>
          <w:p w14:paraId="7AFB5EBC" w14:textId="77777777" w:rsidR="00B95E93" w:rsidRPr="003E0B98" w:rsidRDefault="00B95E93" w:rsidP="004361AC">
            <w:pPr>
              <w:pStyle w:val="Table"/>
              <w:keepNext/>
              <w:spacing w:before="0" w:after="0"/>
              <w:jc w:val="center"/>
              <w:rPr>
                <w:rFonts w:ascii="Times New Roman" w:hAnsi="Times New Roman"/>
                <w:sz w:val="22"/>
                <w:szCs w:val="22"/>
              </w:rPr>
            </w:pPr>
            <w:r w:rsidRPr="003E0B98">
              <w:rPr>
                <w:rFonts w:ascii="Times New Roman" w:hAnsi="Times New Roman"/>
                <w:sz w:val="22"/>
                <w:szCs w:val="22"/>
              </w:rPr>
              <w:t>79</w:t>
            </w:r>
          </w:p>
          <w:p w14:paraId="186E44DD" w14:textId="77777777" w:rsidR="00B95E93" w:rsidRPr="003E0B98" w:rsidRDefault="00B95E93" w:rsidP="004361AC">
            <w:pPr>
              <w:pStyle w:val="Table"/>
              <w:keepNext/>
              <w:spacing w:before="0" w:after="0"/>
              <w:jc w:val="center"/>
              <w:rPr>
                <w:rFonts w:ascii="Times New Roman" w:hAnsi="Times New Roman"/>
                <w:sz w:val="22"/>
                <w:szCs w:val="22"/>
              </w:rPr>
            </w:pPr>
            <w:r w:rsidRPr="003E0B98">
              <w:rPr>
                <w:rFonts w:ascii="Times New Roman" w:hAnsi="Times New Roman"/>
                <w:sz w:val="22"/>
                <w:szCs w:val="22"/>
              </w:rPr>
              <w:t>(41,8%)</w:t>
            </w:r>
          </w:p>
        </w:tc>
        <w:tc>
          <w:tcPr>
            <w:tcW w:w="2338" w:type="dxa"/>
            <w:tcBorders>
              <w:top w:val="single" w:sz="4" w:space="0" w:color="auto"/>
              <w:left w:val="single" w:sz="4" w:space="0" w:color="auto"/>
              <w:bottom w:val="single" w:sz="4" w:space="0" w:color="auto"/>
              <w:right w:val="single" w:sz="4" w:space="0" w:color="auto"/>
            </w:tcBorders>
            <w:hideMark/>
          </w:tcPr>
          <w:p w14:paraId="5954A1C8" w14:textId="77777777" w:rsidR="00B95E93" w:rsidRPr="003E0B98" w:rsidRDefault="00B95E93" w:rsidP="004361AC">
            <w:pPr>
              <w:pStyle w:val="Table"/>
              <w:keepNext/>
              <w:spacing w:before="0" w:after="0"/>
              <w:jc w:val="center"/>
              <w:rPr>
                <w:rFonts w:ascii="Times New Roman" w:hAnsi="Times New Roman"/>
                <w:sz w:val="22"/>
                <w:szCs w:val="22"/>
              </w:rPr>
            </w:pPr>
            <w:r w:rsidRPr="003E0B98">
              <w:rPr>
                <w:rFonts w:ascii="Times New Roman" w:hAnsi="Times New Roman"/>
                <w:sz w:val="22"/>
                <w:szCs w:val="22"/>
              </w:rPr>
              <w:t>29</w:t>
            </w:r>
          </w:p>
          <w:p w14:paraId="1ECF6B25" w14:textId="77777777" w:rsidR="00B95E93" w:rsidRPr="003E0B98" w:rsidRDefault="00B95E93" w:rsidP="004361AC">
            <w:pPr>
              <w:pStyle w:val="Table"/>
              <w:keepNext/>
              <w:spacing w:before="0" w:after="0"/>
              <w:jc w:val="center"/>
              <w:rPr>
                <w:rFonts w:ascii="Times New Roman" w:hAnsi="Times New Roman"/>
                <w:sz w:val="22"/>
                <w:szCs w:val="22"/>
              </w:rPr>
            </w:pPr>
            <w:r w:rsidRPr="003E0B98">
              <w:rPr>
                <w:rFonts w:ascii="Times New Roman" w:hAnsi="Times New Roman"/>
                <w:sz w:val="22"/>
                <w:szCs w:val="22"/>
              </w:rPr>
              <w:t>(14,6%)</w:t>
            </w:r>
          </w:p>
        </w:tc>
        <w:tc>
          <w:tcPr>
            <w:tcW w:w="2338" w:type="dxa"/>
            <w:tcBorders>
              <w:top w:val="single" w:sz="4" w:space="0" w:color="auto"/>
              <w:left w:val="single" w:sz="4" w:space="0" w:color="auto"/>
              <w:bottom w:val="single" w:sz="4" w:space="0" w:color="auto"/>
              <w:right w:val="single" w:sz="4" w:space="0" w:color="auto"/>
            </w:tcBorders>
            <w:hideMark/>
          </w:tcPr>
          <w:p w14:paraId="164E3D17" w14:textId="4E89822A" w:rsidR="00B95E93" w:rsidRPr="003E0B98" w:rsidRDefault="00B95E93" w:rsidP="004361AC">
            <w:pPr>
              <w:pStyle w:val="Table"/>
              <w:keepNext/>
              <w:spacing w:before="0" w:after="0"/>
              <w:jc w:val="center"/>
              <w:rPr>
                <w:rFonts w:ascii="Times New Roman" w:hAnsi="Times New Roman"/>
                <w:sz w:val="22"/>
                <w:szCs w:val="22"/>
              </w:rPr>
            </w:pPr>
            <w:r w:rsidRPr="003E0B98">
              <w:rPr>
                <w:rFonts w:ascii="Times New Roman" w:hAnsi="Times New Roman"/>
                <w:sz w:val="22"/>
                <w:szCs w:val="22"/>
              </w:rPr>
              <w:t>27,4</w:t>
            </w:r>
          </w:p>
          <w:p w14:paraId="528A5C3E" w14:textId="77777777" w:rsidR="00B95E93" w:rsidRPr="003E0B98" w:rsidRDefault="00B95E93" w:rsidP="004361AC">
            <w:pPr>
              <w:pStyle w:val="Table"/>
              <w:keepNext/>
              <w:spacing w:before="0" w:after="0"/>
              <w:jc w:val="center"/>
              <w:rPr>
                <w:rFonts w:ascii="Times New Roman" w:hAnsi="Times New Roman"/>
                <w:sz w:val="22"/>
                <w:szCs w:val="22"/>
              </w:rPr>
            </w:pPr>
            <w:r w:rsidRPr="003E0B98">
              <w:rPr>
                <w:rFonts w:ascii="Times New Roman" w:hAnsi="Times New Roman"/>
                <w:sz w:val="22"/>
                <w:szCs w:val="22"/>
              </w:rPr>
              <w:t>(18,9, 35</w:t>
            </w:r>
            <w:r w:rsidRPr="003E0B98">
              <w:rPr>
                <w:rFonts w:ascii="Times New Roman" w:hAnsi="Times New Roman"/>
                <w:sz w:val="22"/>
                <w:szCs w:val="22"/>
                <w:lang w:val="es-ES"/>
              </w:rPr>
              <w:t>,</w:t>
            </w:r>
            <w:r w:rsidRPr="003E0B98">
              <w:rPr>
                <w:rFonts w:ascii="Times New Roman" w:hAnsi="Times New Roman"/>
                <w:sz w:val="22"/>
                <w:szCs w:val="22"/>
              </w:rPr>
              <w:t>9)</w:t>
            </w:r>
          </w:p>
        </w:tc>
      </w:tr>
      <w:tr w:rsidR="00B95E93" w:rsidRPr="003E0B98" w14:paraId="4462420E" w14:textId="77777777" w:rsidTr="00D55E43">
        <w:tc>
          <w:tcPr>
            <w:tcW w:w="9350" w:type="dxa"/>
            <w:gridSpan w:val="4"/>
            <w:tcBorders>
              <w:top w:val="single" w:sz="4" w:space="0" w:color="auto"/>
              <w:left w:val="single" w:sz="4" w:space="0" w:color="auto"/>
              <w:bottom w:val="single" w:sz="4" w:space="0" w:color="auto"/>
              <w:right w:val="single" w:sz="4" w:space="0" w:color="auto"/>
            </w:tcBorders>
            <w:hideMark/>
          </w:tcPr>
          <w:p w14:paraId="55C6BD8A" w14:textId="0800DCFF" w:rsidR="00B95E93" w:rsidRPr="003E0B98" w:rsidRDefault="00B95E93" w:rsidP="004361AC">
            <w:pPr>
              <w:keepNext/>
              <w:keepLines/>
            </w:pPr>
            <w:proofErr w:type="spellStart"/>
            <w:r w:rsidRPr="003E0B98">
              <w:rPr>
                <w:szCs w:val="22"/>
              </w:rPr>
              <w:t>Mejora</w:t>
            </w:r>
            <w:proofErr w:type="spellEnd"/>
            <w:r w:rsidRPr="003E0B98">
              <w:rPr>
                <w:szCs w:val="22"/>
              </w:rPr>
              <w:t xml:space="preserve"> de ≥3</w:t>
            </w:r>
            <w:r w:rsidR="003A34AB" w:rsidRPr="003E0B98">
              <w:rPr>
                <w:szCs w:val="22"/>
              </w:rPr>
              <w:t> </w:t>
            </w:r>
            <w:proofErr w:type="spellStart"/>
            <w:r w:rsidRPr="003E0B98">
              <w:rPr>
                <w:szCs w:val="22"/>
              </w:rPr>
              <w:t>niveles</w:t>
            </w:r>
            <w:proofErr w:type="spellEnd"/>
          </w:p>
        </w:tc>
      </w:tr>
      <w:tr w:rsidR="00B95E93" w:rsidRPr="003E0B98" w14:paraId="296B52EE" w14:textId="77777777" w:rsidTr="00D55E43">
        <w:tc>
          <w:tcPr>
            <w:tcW w:w="2337" w:type="dxa"/>
            <w:tcBorders>
              <w:top w:val="single" w:sz="4" w:space="0" w:color="auto"/>
              <w:left w:val="single" w:sz="4" w:space="0" w:color="auto"/>
              <w:bottom w:val="single" w:sz="4" w:space="0" w:color="auto"/>
              <w:right w:val="single" w:sz="4" w:space="0" w:color="auto"/>
            </w:tcBorders>
            <w:hideMark/>
          </w:tcPr>
          <w:p w14:paraId="088CF4A5" w14:textId="77777777" w:rsidR="00B95E93" w:rsidRPr="003E0B98" w:rsidRDefault="00B95E93" w:rsidP="004361AC">
            <w:pPr>
              <w:pStyle w:val="Table"/>
              <w:keepNext/>
              <w:spacing w:before="0" w:after="0"/>
              <w:ind w:left="284"/>
              <w:rPr>
                <w:rFonts w:ascii="Times New Roman" w:hAnsi="Times New Roman"/>
                <w:sz w:val="22"/>
                <w:szCs w:val="22"/>
              </w:rPr>
            </w:pPr>
            <w:r w:rsidRPr="003E0B98">
              <w:rPr>
                <w:rFonts w:ascii="Times New Roman" w:hAnsi="Times New Roman"/>
                <w:sz w:val="22"/>
                <w:szCs w:val="22"/>
              </w:rPr>
              <w:t>n (%)</w:t>
            </w:r>
          </w:p>
        </w:tc>
        <w:tc>
          <w:tcPr>
            <w:tcW w:w="2337" w:type="dxa"/>
            <w:tcBorders>
              <w:top w:val="single" w:sz="4" w:space="0" w:color="auto"/>
              <w:left w:val="single" w:sz="4" w:space="0" w:color="auto"/>
              <w:bottom w:val="single" w:sz="4" w:space="0" w:color="auto"/>
              <w:right w:val="single" w:sz="4" w:space="0" w:color="auto"/>
            </w:tcBorders>
            <w:hideMark/>
          </w:tcPr>
          <w:p w14:paraId="22922473" w14:textId="77777777" w:rsidR="00B95E93" w:rsidRPr="003E0B98" w:rsidRDefault="00B95E93" w:rsidP="004361AC">
            <w:pPr>
              <w:pStyle w:val="Table"/>
              <w:keepNext/>
              <w:spacing w:before="0" w:after="0"/>
              <w:jc w:val="center"/>
              <w:rPr>
                <w:rFonts w:ascii="Times New Roman" w:hAnsi="Times New Roman"/>
                <w:sz w:val="22"/>
                <w:szCs w:val="22"/>
              </w:rPr>
            </w:pPr>
            <w:r w:rsidRPr="003E0B98">
              <w:rPr>
                <w:rFonts w:ascii="Times New Roman" w:hAnsi="Times New Roman"/>
                <w:sz w:val="22"/>
                <w:szCs w:val="22"/>
              </w:rPr>
              <w:t>54</w:t>
            </w:r>
          </w:p>
          <w:p w14:paraId="5B8D26B1" w14:textId="77777777" w:rsidR="00B95E93" w:rsidRPr="003E0B98" w:rsidRDefault="00B95E93" w:rsidP="004361AC">
            <w:pPr>
              <w:pStyle w:val="Table"/>
              <w:keepNext/>
              <w:spacing w:before="0" w:after="0"/>
              <w:jc w:val="center"/>
              <w:rPr>
                <w:rFonts w:ascii="Times New Roman" w:hAnsi="Times New Roman"/>
                <w:sz w:val="22"/>
                <w:szCs w:val="22"/>
              </w:rPr>
            </w:pPr>
            <w:r w:rsidRPr="003E0B98">
              <w:rPr>
                <w:rFonts w:ascii="Times New Roman" w:hAnsi="Times New Roman"/>
                <w:sz w:val="22"/>
                <w:szCs w:val="22"/>
              </w:rPr>
              <w:t>(28</w:t>
            </w:r>
            <w:r w:rsidRPr="003E0B98">
              <w:rPr>
                <w:rFonts w:ascii="Times New Roman" w:hAnsi="Times New Roman"/>
                <w:sz w:val="22"/>
                <w:szCs w:val="22"/>
                <w:lang w:val="es-ES"/>
              </w:rPr>
              <w:t>,</w:t>
            </w:r>
            <w:r w:rsidRPr="003E0B98">
              <w:rPr>
                <w:rFonts w:ascii="Times New Roman" w:hAnsi="Times New Roman"/>
                <w:sz w:val="22"/>
                <w:szCs w:val="22"/>
              </w:rPr>
              <w:t>6%)</w:t>
            </w:r>
          </w:p>
        </w:tc>
        <w:tc>
          <w:tcPr>
            <w:tcW w:w="2338" w:type="dxa"/>
            <w:tcBorders>
              <w:top w:val="single" w:sz="4" w:space="0" w:color="auto"/>
              <w:left w:val="single" w:sz="4" w:space="0" w:color="auto"/>
              <w:bottom w:val="single" w:sz="4" w:space="0" w:color="auto"/>
              <w:right w:val="single" w:sz="4" w:space="0" w:color="auto"/>
            </w:tcBorders>
            <w:hideMark/>
          </w:tcPr>
          <w:p w14:paraId="5112491D" w14:textId="77777777" w:rsidR="00B95E93" w:rsidRPr="003E0B98" w:rsidRDefault="00B95E93" w:rsidP="004361AC">
            <w:pPr>
              <w:pStyle w:val="Table"/>
              <w:keepNext/>
              <w:spacing w:before="0" w:after="0"/>
              <w:jc w:val="center"/>
              <w:rPr>
                <w:rFonts w:ascii="Times New Roman" w:hAnsi="Times New Roman"/>
                <w:sz w:val="22"/>
                <w:szCs w:val="22"/>
              </w:rPr>
            </w:pPr>
            <w:r w:rsidRPr="003E0B98">
              <w:rPr>
                <w:rFonts w:ascii="Times New Roman" w:hAnsi="Times New Roman"/>
                <w:sz w:val="22"/>
                <w:szCs w:val="22"/>
              </w:rPr>
              <w:t>6</w:t>
            </w:r>
          </w:p>
          <w:p w14:paraId="458BBE31" w14:textId="77777777" w:rsidR="00B95E93" w:rsidRPr="003E0B98" w:rsidRDefault="00B95E93" w:rsidP="004361AC">
            <w:pPr>
              <w:pStyle w:val="Table"/>
              <w:keepNext/>
              <w:spacing w:before="0" w:after="0"/>
              <w:jc w:val="center"/>
              <w:rPr>
                <w:rFonts w:ascii="Times New Roman" w:hAnsi="Times New Roman"/>
                <w:sz w:val="22"/>
                <w:szCs w:val="22"/>
              </w:rPr>
            </w:pPr>
            <w:r w:rsidRPr="003E0B98">
              <w:rPr>
                <w:rFonts w:ascii="Times New Roman" w:hAnsi="Times New Roman"/>
                <w:sz w:val="22"/>
                <w:szCs w:val="22"/>
              </w:rPr>
              <w:t>(3</w:t>
            </w:r>
            <w:r w:rsidRPr="003E0B98">
              <w:rPr>
                <w:rFonts w:ascii="Times New Roman" w:hAnsi="Times New Roman"/>
                <w:sz w:val="22"/>
                <w:szCs w:val="22"/>
                <w:lang w:val="es-ES"/>
              </w:rPr>
              <w:t>,</w:t>
            </w:r>
            <w:r w:rsidRPr="003E0B98">
              <w:rPr>
                <w:rFonts w:ascii="Times New Roman" w:hAnsi="Times New Roman"/>
                <w:sz w:val="22"/>
                <w:szCs w:val="22"/>
              </w:rPr>
              <w:t>0%)</w:t>
            </w:r>
          </w:p>
        </w:tc>
        <w:tc>
          <w:tcPr>
            <w:tcW w:w="2338" w:type="dxa"/>
            <w:tcBorders>
              <w:top w:val="single" w:sz="4" w:space="0" w:color="auto"/>
              <w:left w:val="single" w:sz="4" w:space="0" w:color="auto"/>
              <w:bottom w:val="single" w:sz="4" w:space="0" w:color="auto"/>
              <w:right w:val="single" w:sz="4" w:space="0" w:color="auto"/>
            </w:tcBorders>
            <w:hideMark/>
          </w:tcPr>
          <w:p w14:paraId="1D0C43C8" w14:textId="190AF4AB" w:rsidR="00B95E93" w:rsidRPr="003E0B98" w:rsidRDefault="00B95E93" w:rsidP="004361AC">
            <w:pPr>
              <w:pStyle w:val="Table"/>
              <w:keepNext/>
              <w:spacing w:before="0" w:after="0"/>
              <w:jc w:val="center"/>
              <w:rPr>
                <w:rFonts w:ascii="Times New Roman" w:hAnsi="Times New Roman"/>
                <w:sz w:val="22"/>
                <w:szCs w:val="22"/>
              </w:rPr>
            </w:pPr>
            <w:r w:rsidRPr="003E0B98">
              <w:rPr>
                <w:rFonts w:ascii="Times New Roman" w:hAnsi="Times New Roman"/>
                <w:sz w:val="22"/>
                <w:szCs w:val="22"/>
              </w:rPr>
              <w:t>25,7</w:t>
            </w:r>
          </w:p>
          <w:p w14:paraId="7A910B4C" w14:textId="77777777" w:rsidR="00B95E93" w:rsidRPr="003E0B98" w:rsidRDefault="00B95E93" w:rsidP="004361AC">
            <w:pPr>
              <w:pStyle w:val="Table"/>
              <w:keepNext/>
              <w:spacing w:before="0" w:after="0"/>
              <w:jc w:val="center"/>
              <w:rPr>
                <w:rFonts w:ascii="Times New Roman" w:hAnsi="Times New Roman"/>
                <w:sz w:val="22"/>
                <w:szCs w:val="22"/>
              </w:rPr>
            </w:pPr>
            <w:r w:rsidRPr="003E0B98">
              <w:rPr>
                <w:rFonts w:ascii="Times New Roman" w:hAnsi="Times New Roman"/>
                <w:sz w:val="22"/>
                <w:szCs w:val="22"/>
              </w:rPr>
              <w:t>(18,9, 32,6)</w:t>
            </w:r>
          </w:p>
        </w:tc>
      </w:tr>
      <w:tr w:rsidR="00B95E93" w:rsidRPr="003E0B98" w14:paraId="19FBE13D" w14:textId="77777777" w:rsidTr="00D55E43">
        <w:tc>
          <w:tcPr>
            <w:tcW w:w="9350" w:type="dxa"/>
            <w:gridSpan w:val="4"/>
            <w:tcBorders>
              <w:top w:val="single" w:sz="4" w:space="0" w:color="auto"/>
              <w:left w:val="single" w:sz="4" w:space="0" w:color="auto"/>
              <w:bottom w:val="single" w:sz="4" w:space="0" w:color="auto"/>
              <w:right w:val="single" w:sz="4" w:space="0" w:color="auto"/>
            </w:tcBorders>
            <w:hideMark/>
          </w:tcPr>
          <w:p w14:paraId="155932BB" w14:textId="5283247C" w:rsidR="00B95E93" w:rsidRPr="003E0B98" w:rsidRDefault="00B95E93" w:rsidP="004361AC">
            <w:pPr>
              <w:pStyle w:val="Table"/>
              <w:keepNext/>
              <w:spacing w:before="0" w:after="0"/>
              <w:rPr>
                <w:rFonts w:ascii="Times New Roman" w:hAnsi="Times New Roman"/>
                <w:sz w:val="22"/>
                <w:szCs w:val="22"/>
              </w:rPr>
            </w:pPr>
            <w:r w:rsidRPr="003E0B98">
              <w:rPr>
                <w:rFonts w:ascii="Times New Roman" w:hAnsi="Times New Roman"/>
                <w:sz w:val="22"/>
                <w:szCs w:val="22"/>
                <w:lang w:val="es-ES"/>
              </w:rPr>
              <w:t xml:space="preserve">Empeoramiento de </w:t>
            </w:r>
            <w:r w:rsidRPr="003E0B98">
              <w:rPr>
                <w:rFonts w:ascii="Times New Roman" w:hAnsi="Times New Roman"/>
                <w:sz w:val="22"/>
                <w:szCs w:val="22"/>
              </w:rPr>
              <w:t>≥2</w:t>
            </w:r>
            <w:r w:rsidR="003A34AB" w:rsidRPr="003E0B98">
              <w:rPr>
                <w:rFonts w:ascii="Times New Roman" w:hAnsi="Times New Roman"/>
                <w:sz w:val="22"/>
                <w:szCs w:val="22"/>
                <w:lang w:val="es-ES"/>
              </w:rPr>
              <w:t> </w:t>
            </w:r>
            <w:r w:rsidRPr="003E0B98">
              <w:rPr>
                <w:rFonts w:ascii="Times New Roman" w:hAnsi="Times New Roman"/>
                <w:sz w:val="22"/>
                <w:szCs w:val="22"/>
                <w:lang w:val="es-ES"/>
              </w:rPr>
              <w:t>niveles</w:t>
            </w:r>
          </w:p>
        </w:tc>
      </w:tr>
      <w:tr w:rsidR="00B95E93" w:rsidRPr="003E0B98" w14:paraId="57F41090" w14:textId="77777777" w:rsidTr="00D55E43">
        <w:tc>
          <w:tcPr>
            <w:tcW w:w="2337" w:type="dxa"/>
            <w:tcBorders>
              <w:top w:val="single" w:sz="4" w:space="0" w:color="auto"/>
              <w:left w:val="single" w:sz="4" w:space="0" w:color="auto"/>
              <w:bottom w:val="single" w:sz="4" w:space="0" w:color="auto"/>
              <w:right w:val="single" w:sz="4" w:space="0" w:color="auto"/>
            </w:tcBorders>
            <w:hideMark/>
          </w:tcPr>
          <w:p w14:paraId="6EFCA890" w14:textId="77777777" w:rsidR="00B95E93" w:rsidRPr="003E0B98" w:rsidRDefault="00B95E93" w:rsidP="004361AC">
            <w:pPr>
              <w:pStyle w:val="Table"/>
              <w:keepNext/>
              <w:spacing w:before="0" w:after="0"/>
              <w:ind w:left="284"/>
              <w:rPr>
                <w:rFonts w:ascii="Times New Roman" w:hAnsi="Times New Roman"/>
                <w:sz w:val="22"/>
                <w:szCs w:val="22"/>
              </w:rPr>
            </w:pPr>
            <w:r w:rsidRPr="003E0B98">
              <w:rPr>
                <w:rFonts w:ascii="Times New Roman" w:hAnsi="Times New Roman"/>
                <w:sz w:val="22"/>
                <w:szCs w:val="22"/>
              </w:rPr>
              <w:t>n (%)</w:t>
            </w:r>
          </w:p>
        </w:tc>
        <w:tc>
          <w:tcPr>
            <w:tcW w:w="2337" w:type="dxa"/>
            <w:tcBorders>
              <w:top w:val="single" w:sz="4" w:space="0" w:color="auto"/>
              <w:left w:val="single" w:sz="4" w:space="0" w:color="auto"/>
              <w:bottom w:val="single" w:sz="4" w:space="0" w:color="auto"/>
              <w:right w:val="single" w:sz="4" w:space="0" w:color="auto"/>
            </w:tcBorders>
            <w:hideMark/>
          </w:tcPr>
          <w:p w14:paraId="6DDBA07C" w14:textId="77777777" w:rsidR="00B95E93" w:rsidRPr="003E0B98" w:rsidRDefault="00B95E93" w:rsidP="004361AC">
            <w:pPr>
              <w:pStyle w:val="Table"/>
              <w:keepNext/>
              <w:spacing w:before="0" w:after="0"/>
              <w:jc w:val="center"/>
              <w:rPr>
                <w:rFonts w:ascii="Times New Roman" w:hAnsi="Times New Roman"/>
                <w:sz w:val="22"/>
                <w:szCs w:val="22"/>
              </w:rPr>
            </w:pPr>
            <w:r w:rsidRPr="003E0B98">
              <w:rPr>
                <w:rFonts w:ascii="Times New Roman" w:hAnsi="Times New Roman"/>
                <w:sz w:val="22"/>
                <w:szCs w:val="22"/>
              </w:rPr>
              <w:t>3</w:t>
            </w:r>
          </w:p>
          <w:p w14:paraId="1DA89EC6" w14:textId="77777777" w:rsidR="00B95E93" w:rsidRPr="003E0B98" w:rsidRDefault="00B95E93" w:rsidP="004361AC">
            <w:pPr>
              <w:pStyle w:val="Table"/>
              <w:keepNext/>
              <w:spacing w:before="0" w:after="0"/>
              <w:jc w:val="center"/>
              <w:rPr>
                <w:rFonts w:ascii="Times New Roman" w:hAnsi="Times New Roman"/>
                <w:sz w:val="22"/>
                <w:szCs w:val="22"/>
              </w:rPr>
            </w:pPr>
            <w:r w:rsidRPr="003E0B98">
              <w:rPr>
                <w:rFonts w:ascii="Times New Roman" w:hAnsi="Times New Roman"/>
                <w:sz w:val="22"/>
                <w:szCs w:val="22"/>
              </w:rPr>
              <w:t>(1,6%)</w:t>
            </w:r>
          </w:p>
        </w:tc>
        <w:tc>
          <w:tcPr>
            <w:tcW w:w="2338" w:type="dxa"/>
            <w:tcBorders>
              <w:top w:val="single" w:sz="4" w:space="0" w:color="auto"/>
              <w:left w:val="single" w:sz="4" w:space="0" w:color="auto"/>
              <w:bottom w:val="single" w:sz="4" w:space="0" w:color="auto"/>
              <w:right w:val="single" w:sz="4" w:space="0" w:color="auto"/>
            </w:tcBorders>
            <w:hideMark/>
          </w:tcPr>
          <w:p w14:paraId="68DFD0CB" w14:textId="77777777" w:rsidR="00B95E93" w:rsidRPr="003E0B98" w:rsidRDefault="00B95E93" w:rsidP="004361AC">
            <w:pPr>
              <w:pStyle w:val="Table"/>
              <w:keepNext/>
              <w:spacing w:before="0" w:after="0"/>
              <w:jc w:val="center"/>
              <w:rPr>
                <w:rFonts w:ascii="Times New Roman" w:hAnsi="Times New Roman"/>
                <w:sz w:val="22"/>
                <w:szCs w:val="22"/>
              </w:rPr>
            </w:pPr>
            <w:r w:rsidRPr="003E0B98">
              <w:rPr>
                <w:rFonts w:ascii="Times New Roman" w:hAnsi="Times New Roman"/>
                <w:sz w:val="22"/>
                <w:szCs w:val="22"/>
              </w:rPr>
              <w:t>23</w:t>
            </w:r>
          </w:p>
          <w:p w14:paraId="6D59E4CB" w14:textId="77777777" w:rsidR="00B95E93" w:rsidRPr="003E0B98" w:rsidRDefault="00B95E93" w:rsidP="004361AC">
            <w:pPr>
              <w:pStyle w:val="Table"/>
              <w:keepNext/>
              <w:spacing w:before="0" w:after="0"/>
              <w:jc w:val="center"/>
              <w:rPr>
                <w:rFonts w:ascii="Times New Roman" w:hAnsi="Times New Roman"/>
                <w:sz w:val="22"/>
                <w:szCs w:val="22"/>
              </w:rPr>
            </w:pPr>
            <w:r w:rsidRPr="003E0B98">
              <w:rPr>
                <w:rFonts w:ascii="Times New Roman" w:hAnsi="Times New Roman"/>
                <w:sz w:val="22"/>
                <w:szCs w:val="22"/>
              </w:rPr>
              <w:t>(11,6%)</w:t>
            </w:r>
          </w:p>
        </w:tc>
        <w:tc>
          <w:tcPr>
            <w:tcW w:w="2338" w:type="dxa"/>
            <w:tcBorders>
              <w:top w:val="single" w:sz="4" w:space="0" w:color="auto"/>
              <w:left w:val="single" w:sz="4" w:space="0" w:color="auto"/>
              <w:bottom w:val="single" w:sz="4" w:space="0" w:color="auto"/>
              <w:right w:val="single" w:sz="4" w:space="0" w:color="auto"/>
            </w:tcBorders>
            <w:hideMark/>
          </w:tcPr>
          <w:p w14:paraId="2CAB32EA" w14:textId="77777777" w:rsidR="00B95E93" w:rsidRPr="003E0B98" w:rsidRDefault="00B95E93" w:rsidP="004361AC">
            <w:pPr>
              <w:pStyle w:val="Table"/>
              <w:keepNext/>
              <w:spacing w:before="0" w:after="0"/>
              <w:jc w:val="center"/>
              <w:rPr>
                <w:rFonts w:ascii="Times New Roman" w:hAnsi="Times New Roman"/>
                <w:bCs/>
                <w:sz w:val="22"/>
                <w:szCs w:val="22"/>
              </w:rPr>
            </w:pPr>
            <w:r w:rsidRPr="003E0B98">
              <w:rPr>
                <w:rFonts w:ascii="Times New Roman" w:hAnsi="Times New Roman"/>
                <w:bCs/>
                <w:sz w:val="22"/>
                <w:szCs w:val="22"/>
              </w:rPr>
              <w:noBreakHyphen/>
              <w:t>9,9</w:t>
            </w:r>
          </w:p>
          <w:p w14:paraId="3ECCF587" w14:textId="77777777" w:rsidR="00B95E93" w:rsidRPr="003E0B98" w:rsidRDefault="00B95E93" w:rsidP="004361AC">
            <w:pPr>
              <w:pStyle w:val="Table"/>
              <w:keepNext/>
              <w:spacing w:before="0" w:after="0"/>
              <w:jc w:val="center"/>
              <w:rPr>
                <w:rFonts w:ascii="Times New Roman" w:hAnsi="Times New Roman"/>
                <w:sz w:val="22"/>
                <w:szCs w:val="22"/>
              </w:rPr>
            </w:pPr>
            <w:r w:rsidRPr="003E0B98">
              <w:rPr>
                <w:rFonts w:ascii="Times New Roman" w:hAnsi="Times New Roman"/>
                <w:bCs/>
                <w:sz w:val="22"/>
                <w:szCs w:val="22"/>
              </w:rPr>
              <w:t>(</w:t>
            </w:r>
            <w:r w:rsidRPr="003E0B98">
              <w:rPr>
                <w:rFonts w:ascii="Times New Roman" w:hAnsi="Times New Roman"/>
                <w:bCs/>
                <w:sz w:val="22"/>
                <w:szCs w:val="22"/>
              </w:rPr>
              <w:noBreakHyphen/>
              <w:t xml:space="preserve">14,7, </w:t>
            </w:r>
            <w:r w:rsidRPr="003E0B98">
              <w:rPr>
                <w:rFonts w:ascii="Times New Roman" w:hAnsi="Times New Roman"/>
                <w:bCs/>
                <w:sz w:val="22"/>
                <w:szCs w:val="22"/>
              </w:rPr>
              <w:noBreakHyphen/>
              <w:t>5,2)</w:t>
            </w:r>
          </w:p>
        </w:tc>
      </w:tr>
      <w:tr w:rsidR="00B95E93" w:rsidRPr="003E0B98" w14:paraId="40B83715" w14:textId="77777777" w:rsidTr="00D55E43">
        <w:tc>
          <w:tcPr>
            <w:tcW w:w="9350" w:type="dxa"/>
            <w:gridSpan w:val="4"/>
            <w:tcBorders>
              <w:top w:val="single" w:sz="4" w:space="0" w:color="auto"/>
              <w:left w:val="single" w:sz="4" w:space="0" w:color="auto"/>
              <w:bottom w:val="single" w:sz="4" w:space="0" w:color="auto"/>
              <w:right w:val="single" w:sz="4" w:space="0" w:color="auto"/>
            </w:tcBorders>
            <w:hideMark/>
          </w:tcPr>
          <w:p w14:paraId="492C39F5" w14:textId="21645235" w:rsidR="00B95E93" w:rsidRPr="003E0B98" w:rsidRDefault="00B95E93" w:rsidP="004361AC">
            <w:pPr>
              <w:keepNext/>
              <w:keepLines/>
            </w:pPr>
            <w:proofErr w:type="spellStart"/>
            <w:r w:rsidRPr="003E0B98">
              <w:rPr>
                <w:szCs w:val="22"/>
              </w:rPr>
              <w:t>Empeoramiento</w:t>
            </w:r>
            <w:proofErr w:type="spellEnd"/>
            <w:r w:rsidRPr="003E0B98">
              <w:rPr>
                <w:szCs w:val="22"/>
              </w:rPr>
              <w:t xml:space="preserve"> de ≥3</w:t>
            </w:r>
            <w:r w:rsidR="003A34AB" w:rsidRPr="003E0B98">
              <w:rPr>
                <w:szCs w:val="22"/>
              </w:rPr>
              <w:t> </w:t>
            </w:r>
            <w:proofErr w:type="spellStart"/>
            <w:r w:rsidRPr="003E0B98">
              <w:rPr>
                <w:szCs w:val="22"/>
              </w:rPr>
              <w:t>niveles</w:t>
            </w:r>
            <w:proofErr w:type="spellEnd"/>
          </w:p>
        </w:tc>
      </w:tr>
      <w:tr w:rsidR="00B95E93" w:rsidRPr="003E0B98" w14:paraId="4D781B18" w14:textId="77777777" w:rsidTr="00D55E43">
        <w:tc>
          <w:tcPr>
            <w:tcW w:w="2337" w:type="dxa"/>
            <w:tcBorders>
              <w:top w:val="single" w:sz="4" w:space="0" w:color="auto"/>
              <w:left w:val="single" w:sz="4" w:space="0" w:color="auto"/>
              <w:bottom w:val="single" w:sz="4" w:space="0" w:color="auto"/>
              <w:right w:val="single" w:sz="4" w:space="0" w:color="auto"/>
            </w:tcBorders>
            <w:hideMark/>
          </w:tcPr>
          <w:p w14:paraId="7625FA9D" w14:textId="77777777" w:rsidR="00B95E93" w:rsidRPr="003E0B98" w:rsidRDefault="00B95E93" w:rsidP="004361AC">
            <w:pPr>
              <w:pStyle w:val="Table"/>
              <w:keepNext/>
              <w:spacing w:before="0" w:after="0"/>
              <w:ind w:left="284"/>
              <w:rPr>
                <w:rFonts w:ascii="Times New Roman" w:hAnsi="Times New Roman"/>
                <w:sz w:val="22"/>
                <w:szCs w:val="22"/>
              </w:rPr>
            </w:pPr>
            <w:r w:rsidRPr="003E0B98">
              <w:rPr>
                <w:rFonts w:ascii="Times New Roman" w:hAnsi="Times New Roman"/>
                <w:sz w:val="22"/>
                <w:szCs w:val="22"/>
              </w:rPr>
              <w:t>n (%)</w:t>
            </w:r>
          </w:p>
        </w:tc>
        <w:tc>
          <w:tcPr>
            <w:tcW w:w="2337" w:type="dxa"/>
            <w:tcBorders>
              <w:top w:val="single" w:sz="4" w:space="0" w:color="auto"/>
              <w:left w:val="single" w:sz="4" w:space="0" w:color="auto"/>
              <w:bottom w:val="single" w:sz="4" w:space="0" w:color="auto"/>
              <w:right w:val="single" w:sz="4" w:space="0" w:color="auto"/>
            </w:tcBorders>
            <w:hideMark/>
          </w:tcPr>
          <w:p w14:paraId="2A0C5F02" w14:textId="77777777" w:rsidR="00B95E93" w:rsidRPr="003E0B98" w:rsidRDefault="00B95E93" w:rsidP="004361AC">
            <w:pPr>
              <w:pStyle w:val="Table"/>
              <w:keepNext/>
              <w:spacing w:before="0" w:after="0"/>
              <w:jc w:val="center"/>
              <w:rPr>
                <w:rFonts w:ascii="Times New Roman" w:hAnsi="Times New Roman"/>
                <w:sz w:val="22"/>
                <w:szCs w:val="22"/>
              </w:rPr>
            </w:pPr>
            <w:r w:rsidRPr="003E0B98">
              <w:rPr>
                <w:rFonts w:ascii="Times New Roman" w:hAnsi="Times New Roman"/>
                <w:sz w:val="22"/>
                <w:szCs w:val="22"/>
              </w:rPr>
              <w:t>1</w:t>
            </w:r>
          </w:p>
          <w:p w14:paraId="37A5A0E0" w14:textId="77777777" w:rsidR="00B95E93" w:rsidRPr="003E0B98" w:rsidRDefault="00B95E93" w:rsidP="004361AC">
            <w:pPr>
              <w:pStyle w:val="Table"/>
              <w:keepNext/>
              <w:spacing w:before="0" w:after="0"/>
              <w:jc w:val="center"/>
              <w:rPr>
                <w:rFonts w:ascii="Times New Roman" w:hAnsi="Times New Roman"/>
                <w:sz w:val="22"/>
                <w:szCs w:val="22"/>
              </w:rPr>
            </w:pPr>
            <w:r w:rsidRPr="003E0B98">
              <w:rPr>
                <w:rFonts w:ascii="Times New Roman" w:hAnsi="Times New Roman"/>
                <w:sz w:val="22"/>
                <w:szCs w:val="22"/>
              </w:rPr>
              <w:t>(0,5%)</w:t>
            </w:r>
          </w:p>
        </w:tc>
        <w:tc>
          <w:tcPr>
            <w:tcW w:w="2338" w:type="dxa"/>
            <w:tcBorders>
              <w:top w:val="single" w:sz="4" w:space="0" w:color="auto"/>
              <w:left w:val="single" w:sz="4" w:space="0" w:color="auto"/>
              <w:bottom w:val="single" w:sz="4" w:space="0" w:color="auto"/>
              <w:right w:val="single" w:sz="4" w:space="0" w:color="auto"/>
            </w:tcBorders>
            <w:hideMark/>
          </w:tcPr>
          <w:p w14:paraId="68198059" w14:textId="77777777" w:rsidR="00B95E93" w:rsidRPr="003E0B98" w:rsidRDefault="00B95E93" w:rsidP="004361AC">
            <w:pPr>
              <w:pStyle w:val="Table"/>
              <w:keepNext/>
              <w:spacing w:before="0" w:after="0"/>
              <w:jc w:val="center"/>
              <w:rPr>
                <w:rFonts w:ascii="Times New Roman" w:hAnsi="Times New Roman"/>
                <w:sz w:val="22"/>
                <w:szCs w:val="22"/>
              </w:rPr>
            </w:pPr>
            <w:r w:rsidRPr="003E0B98">
              <w:rPr>
                <w:rFonts w:ascii="Times New Roman" w:hAnsi="Times New Roman"/>
                <w:sz w:val="22"/>
                <w:szCs w:val="22"/>
              </w:rPr>
              <w:t>8</w:t>
            </w:r>
          </w:p>
          <w:p w14:paraId="355DC168" w14:textId="77777777" w:rsidR="00B95E93" w:rsidRPr="003E0B98" w:rsidRDefault="00B95E93" w:rsidP="004361AC">
            <w:pPr>
              <w:pStyle w:val="Table"/>
              <w:keepNext/>
              <w:spacing w:before="0" w:after="0"/>
              <w:jc w:val="center"/>
              <w:rPr>
                <w:rFonts w:ascii="Times New Roman" w:hAnsi="Times New Roman"/>
                <w:sz w:val="22"/>
                <w:szCs w:val="22"/>
              </w:rPr>
            </w:pPr>
            <w:r w:rsidRPr="003E0B98">
              <w:rPr>
                <w:rFonts w:ascii="Times New Roman" w:hAnsi="Times New Roman"/>
                <w:sz w:val="22"/>
                <w:szCs w:val="22"/>
              </w:rPr>
              <w:t>(4,0%)</w:t>
            </w:r>
          </w:p>
        </w:tc>
        <w:tc>
          <w:tcPr>
            <w:tcW w:w="2338" w:type="dxa"/>
            <w:tcBorders>
              <w:top w:val="single" w:sz="4" w:space="0" w:color="auto"/>
              <w:left w:val="single" w:sz="4" w:space="0" w:color="auto"/>
              <w:bottom w:val="single" w:sz="4" w:space="0" w:color="auto"/>
              <w:right w:val="single" w:sz="4" w:space="0" w:color="auto"/>
            </w:tcBorders>
            <w:hideMark/>
          </w:tcPr>
          <w:p w14:paraId="68D17BE9" w14:textId="52CF9504" w:rsidR="00B95E93" w:rsidRPr="003E0B98" w:rsidRDefault="00B95E93" w:rsidP="004361AC">
            <w:pPr>
              <w:pStyle w:val="Table"/>
              <w:keepNext/>
              <w:spacing w:before="0" w:after="0"/>
              <w:jc w:val="center"/>
              <w:rPr>
                <w:rFonts w:ascii="Times New Roman" w:hAnsi="Times New Roman"/>
                <w:bCs/>
                <w:sz w:val="22"/>
                <w:szCs w:val="22"/>
              </w:rPr>
            </w:pPr>
            <w:r w:rsidRPr="003E0B98">
              <w:rPr>
                <w:rFonts w:ascii="Times New Roman" w:hAnsi="Times New Roman"/>
                <w:bCs/>
                <w:sz w:val="22"/>
                <w:szCs w:val="22"/>
              </w:rPr>
              <w:noBreakHyphen/>
              <w:t>3,4</w:t>
            </w:r>
          </w:p>
          <w:p w14:paraId="478B7E46" w14:textId="77777777" w:rsidR="00B95E93" w:rsidRPr="003E0B98" w:rsidRDefault="00B95E93" w:rsidP="004361AC">
            <w:pPr>
              <w:pStyle w:val="Table"/>
              <w:keepNext/>
              <w:spacing w:before="0" w:after="0"/>
              <w:jc w:val="center"/>
              <w:rPr>
                <w:rFonts w:ascii="Times New Roman" w:hAnsi="Times New Roman"/>
                <w:sz w:val="22"/>
                <w:szCs w:val="22"/>
              </w:rPr>
            </w:pPr>
            <w:r w:rsidRPr="003E0B98">
              <w:rPr>
                <w:rFonts w:ascii="Times New Roman" w:hAnsi="Times New Roman"/>
                <w:bCs/>
                <w:sz w:val="22"/>
                <w:szCs w:val="22"/>
              </w:rPr>
              <w:t>(</w:t>
            </w:r>
            <w:r w:rsidRPr="003E0B98">
              <w:rPr>
                <w:rFonts w:ascii="Times New Roman" w:hAnsi="Times New Roman"/>
                <w:bCs/>
                <w:sz w:val="22"/>
                <w:szCs w:val="22"/>
              </w:rPr>
              <w:noBreakHyphen/>
              <w:t xml:space="preserve">6,3, </w:t>
            </w:r>
            <w:r w:rsidRPr="003E0B98">
              <w:rPr>
                <w:rFonts w:ascii="Times New Roman" w:hAnsi="Times New Roman"/>
                <w:bCs/>
                <w:sz w:val="22"/>
                <w:szCs w:val="22"/>
              </w:rPr>
              <w:noBreakHyphen/>
              <w:t>0,5)</w:t>
            </w:r>
          </w:p>
        </w:tc>
      </w:tr>
      <w:tr w:rsidR="00B95E93" w:rsidRPr="003C169A" w14:paraId="08407A39" w14:textId="77777777" w:rsidTr="00D55E43">
        <w:tc>
          <w:tcPr>
            <w:tcW w:w="9350" w:type="dxa"/>
            <w:gridSpan w:val="4"/>
            <w:tcBorders>
              <w:top w:val="single" w:sz="4" w:space="0" w:color="auto"/>
              <w:left w:val="single" w:sz="4" w:space="0" w:color="auto"/>
              <w:bottom w:val="single" w:sz="4" w:space="0" w:color="auto"/>
              <w:right w:val="single" w:sz="4" w:space="0" w:color="auto"/>
            </w:tcBorders>
            <w:hideMark/>
          </w:tcPr>
          <w:p w14:paraId="13B4557E" w14:textId="77777777" w:rsidR="00B95E93" w:rsidRPr="003E0B98" w:rsidRDefault="00B95E93" w:rsidP="004361AC">
            <w:pPr>
              <w:rPr>
                <w:lang w:val="es-ES"/>
              </w:rPr>
            </w:pPr>
            <w:r w:rsidRPr="003E0B98">
              <w:rPr>
                <w:lang w:val="es-ES"/>
              </w:rPr>
              <w:t xml:space="preserve">DRSS = </w:t>
            </w:r>
            <w:r w:rsidRPr="003E0B98">
              <w:rPr>
                <w:rFonts w:cs="Calibri"/>
                <w:bCs/>
                <w:iCs/>
                <w:lang w:val="es-ES"/>
              </w:rPr>
              <w:t>grado de severidad de la retinopatía diabética</w:t>
            </w:r>
            <w:r w:rsidRPr="003E0B98">
              <w:rPr>
                <w:lang w:val="es-ES"/>
              </w:rPr>
              <w:t>, n = Número de pacientes que cumplieron la condición en la visita, N = número total de ojos en estudio.</w:t>
            </w:r>
          </w:p>
        </w:tc>
      </w:tr>
    </w:tbl>
    <w:p w14:paraId="2C9DA012" w14:textId="77777777" w:rsidR="00B95E93" w:rsidRPr="003E0B98" w:rsidRDefault="00B95E93" w:rsidP="004361AC">
      <w:pPr>
        <w:tabs>
          <w:tab w:val="clear" w:pos="567"/>
          <w:tab w:val="left" w:pos="720"/>
        </w:tabs>
        <w:spacing w:line="240" w:lineRule="auto"/>
        <w:rPr>
          <w:color w:val="000000"/>
          <w:lang w:val="es-ES"/>
        </w:rPr>
      </w:pPr>
    </w:p>
    <w:p w14:paraId="36129154" w14:textId="6D914EB6" w:rsidR="00B95E93" w:rsidRPr="003E0B98" w:rsidRDefault="00B95E93" w:rsidP="004361AC">
      <w:pPr>
        <w:tabs>
          <w:tab w:val="clear" w:pos="567"/>
        </w:tabs>
        <w:spacing w:line="240" w:lineRule="auto"/>
        <w:rPr>
          <w:color w:val="000000"/>
          <w:szCs w:val="22"/>
          <w:lang w:val="es-ES"/>
        </w:rPr>
      </w:pPr>
      <w:r w:rsidRPr="003E0B98">
        <w:rPr>
          <w:color w:val="000000"/>
          <w:szCs w:val="22"/>
          <w:lang w:val="es-ES"/>
        </w:rPr>
        <w:t>Al año 1</w:t>
      </w:r>
      <w:r w:rsidR="00005A6E" w:rsidRPr="003E0B98">
        <w:rPr>
          <w:color w:val="000000"/>
          <w:szCs w:val="22"/>
          <w:lang w:val="es-ES"/>
        </w:rPr>
        <w:t> </w:t>
      </w:r>
      <w:r w:rsidRPr="003E0B98">
        <w:rPr>
          <w:color w:val="000000"/>
          <w:szCs w:val="22"/>
          <w:lang w:val="es-ES"/>
        </w:rPr>
        <w:t xml:space="preserve">del grupo tratado con </w:t>
      </w:r>
      <w:proofErr w:type="spellStart"/>
      <w:r w:rsidRPr="003E0B98">
        <w:rPr>
          <w:color w:val="000000"/>
          <w:szCs w:val="22"/>
          <w:lang w:val="es-ES"/>
        </w:rPr>
        <w:t>ranibizumab</w:t>
      </w:r>
      <w:proofErr w:type="spellEnd"/>
      <w:r w:rsidRPr="003E0B98">
        <w:rPr>
          <w:color w:val="000000"/>
          <w:szCs w:val="22"/>
          <w:lang w:val="es-ES"/>
        </w:rPr>
        <w:t xml:space="preserve"> en el Protocolo S, la mejora de ≥2 niveles en DRSS fue consistente en ojos sin EMD (39,9%) y con EMD basal (48,8%).</w:t>
      </w:r>
    </w:p>
    <w:p w14:paraId="015E259A" w14:textId="77777777" w:rsidR="00B95E93" w:rsidRPr="003E0B98" w:rsidRDefault="00B95E93" w:rsidP="004361AC">
      <w:pPr>
        <w:tabs>
          <w:tab w:val="clear" w:pos="567"/>
        </w:tabs>
        <w:spacing w:line="240" w:lineRule="auto"/>
        <w:rPr>
          <w:color w:val="000000"/>
          <w:szCs w:val="22"/>
          <w:lang w:val="es-ES"/>
        </w:rPr>
      </w:pPr>
    </w:p>
    <w:p w14:paraId="13D52F82" w14:textId="28525E9B" w:rsidR="00B95E93" w:rsidRPr="003E0B98" w:rsidRDefault="00B95E93" w:rsidP="004361AC">
      <w:pPr>
        <w:tabs>
          <w:tab w:val="clear" w:pos="567"/>
        </w:tabs>
        <w:spacing w:line="240" w:lineRule="auto"/>
        <w:rPr>
          <w:color w:val="000000"/>
          <w:szCs w:val="22"/>
          <w:lang w:val="es-ES"/>
        </w:rPr>
      </w:pPr>
      <w:r w:rsidRPr="003E0B98">
        <w:rPr>
          <w:color w:val="000000"/>
          <w:szCs w:val="22"/>
          <w:lang w:val="es-ES"/>
        </w:rPr>
        <w:t xml:space="preserve">Un análisis de </w:t>
      </w:r>
      <w:r w:rsidR="00C03990" w:rsidRPr="003E0B98">
        <w:rPr>
          <w:color w:val="000000"/>
          <w:szCs w:val="22"/>
          <w:lang w:val="es-ES"/>
        </w:rPr>
        <w:t xml:space="preserve">los </w:t>
      </w:r>
      <w:r w:rsidRPr="003E0B98">
        <w:rPr>
          <w:color w:val="000000"/>
          <w:szCs w:val="22"/>
          <w:lang w:val="es-ES"/>
        </w:rPr>
        <w:t>datos de</w:t>
      </w:r>
      <w:r w:rsidR="00C03990" w:rsidRPr="003E0B98">
        <w:rPr>
          <w:color w:val="000000"/>
          <w:szCs w:val="22"/>
          <w:lang w:val="es-ES"/>
        </w:rPr>
        <w:t>l año 2</w:t>
      </w:r>
      <w:r w:rsidR="00005A6E" w:rsidRPr="003E0B98">
        <w:rPr>
          <w:color w:val="000000"/>
          <w:szCs w:val="22"/>
          <w:lang w:val="es-ES"/>
        </w:rPr>
        <w:t> </w:t>
      </w:r>
      <w:r w:rsidRPr="003E0B98">
        <w:rPr>
          <w:color w:val="000000"/>
          <w:szCs w:val="22"/>
          <w:lang w:val="es-ES"/>
        </w:rPr>
        <w:t xml:space="preserve">del Protocolo S demostró que el 42,3% (n = 80) de los ojos en el grupo tratado con </w:t>
      </w:r>
      <w:proofErr w:type="spellStart"/>
      <w:r w:rsidRPr="003E0B98">
        <w:rPr>
          <w:color w:val="000000"/>
          <w:szCs w:val="22"/>
          <w:lang w:val="es-ES"/>
        </w:rPr>
        <w:t>ranibizumab</w:t>
      </w:r>
      <w:proofErr w:type="spellEnd"/>
      <w:r w:rsidRPr="003E0B98">
        <w:rPr>
          <w:color w:val="000000"/>
          <w:szCs w:val="22"/>
          <w:lang w:val="es-ES"/>
        </w:rPr>
        <w:t xml:space="preserve"> tuvo una mejora de ≥2 niveles en el DRSS desde el inicio en comparación con el 23,1% (n = 46) de los ojos en el grupo FPR. En el grupo tratado con </w:t>
      </w:r>
      <w:proofErr w:type="spellStart"/>
      <w:r w:rsidRPr="003E0B98">
        <w:rPr>
          <w:color w:val="000000"/>
          <w:szCs w:val="22"/>
          <w:lang w:val="es-ES"/>
        </w:rPr>
        <w:t>ranibizumab</w:t>
      </w:r>
      <w:proofErr w:type="spellEnd"/>
      <w:r w:rsidRPr="003E0B98">
        <w:rPr>
          <w:color w:val="000000"/>
          <w:szCs w:val="22"/>
          <w:lang w:val="es-ES"/>
        </w:rPr>
        <w:t xml:space="preserve"> se observó una mejora de ≥2 niveles en DRSS desde el inicio en el 58,5% (n = 24) de los ojos con EMD inicial y el 37,8% (n = 56) de los ojos sin EMD.</w:t>
      </w:r>
    </w:p>
    <w:p w14:paraId="14697D73" w14:textId="77777777" w:rsidR="007F5B29" w:rsidRPr="003E0B98" w:rsidRDefault="007F5B29" w:rsidP="004361AC">
      <w:pPr>
        <w:autoSpaceDE w:val="0"/>
        <w:autoSpaceDN w:val="0"/>
        <w:adjustRightInd w:val="0"/>
        <w:rPr>
          <w:rFonts w:cs="Calibri"/>
          <w:bCs/>
          <w:iCs/>
          <w:lang w:val="es-ES"/>
        </w:rPr>
      </w:pPr>
    </w:p>
    <w:p w14:paraId="73974CFA" w14:textId="4F4B0D60" w:rsidR="007F5B29" w:rsidRPr="003E0B98" w:rsidRDefault="007F5B29" w:rsidP="004361AC">
      <w:pPr>
        <w:autoSpaceDE w:val="0"/>
        <w:autoSpaceDN w:val="0"/>
        <w:adjustRightInd w:val="0"/>
        <w:rPr>
          <w:rFonts w:cs="Calibri"/>
          <w:bCs/>
          <w:iCs/>
          <w:lang w:val="es-ES"/>
        </w:rPr>
      </w:pPr>
      <w:r w:rsidRPr="003E0B98">
        <w:rPr>
          <w:rFonts w:cs="Calibri"/>
          <w:bCs/>
          <w:iCs/>
          <w:lang w:val="es-ES"/>
        </w:rPr>
        <w:t xml:space="preserve">El </w:t>
      </w:r>
      <w:r w:rsidR="00EA766B" w:rsidRPr="003E0B98">
        <w:rPr>
          <w:rFonts w:cs="Calibri"/>
          <w:bCs/>
          <w:iCs/>
          <w:lang w:val="es-ES"/>
        </w:rPr>
        <w:t>DRSS</w:t>
      </w:r>
      <w:r w:rsidRPr="003E0B98">
        <w:rPr>
          <w:rFonts w:cs="Calibri"/>
          <w:bCs/>
          <w:iCs/>
          <w:lang w:val="es-ES"/>
        </w:rPr>
        <w:t xml:space="preserve"> se valoró </w:t>
      </w:r>
      <w:r w:rsidR="00005A6E" w:rsidRPr="003E0B98">
        <w:rPr>
          <w:rFonts w:cs="Calibri"/>
          <w:bCs/>
          <w:iCs/>
          <w:lang w:val="es-ES"/>
        </w:rPr>
        <w:t xml:space="preserve">también </w:t>
      </w:r>
      <w:r w:rsidRPr="003E0B98">
        <w:rPr>
          <w:rFonts w:cs="Calibri"/>
          <w:bCs/>
          <w:iCs/>
          <w:lang w:val="es-ES"/>
        </w:rPr>
        <w:t>en tres ensayos distintos Fase III en EMD, controlados con tratamiento activo (</w:t>
      </w:r>
      <w:proofErr w:type="spellStart"/>
      <w:r w:rsidRPr="003E0B98">
        <w:rPr>
          <w:rFonts w:cs="Calibri"/>
          <w:bCs/>
          <w:iCs/>
          <w:szCs w:val="22"/>
          <w:lang w:val="es-ES"/>
        </w:rPr>
        <w:t>ranibizumab</w:t>
      </w:r>
      <w:proofErr w:type="spellEnd"/>
      <w:r w:rsidRPr="003E0B98">
        <w:rPr>
          <w:rFonts w:cs="Calibri"/>
          <w:bCs/>
          <w:iCs/>
          <w:szCs w:val="22"/>
          <w:lang w:val="es-ES"/>
        </w:rPr>
        <w:t xml:space="preserve"> 0,5 mg PRN frente a láser) que incluyeron un total de 875 pacientes, de los cuales un 75% aproximadamente eran de origen asiático. En un metaanálisis de estos estudios, el 48,4% de los 315 pacientes con puntuaciones de DRSS graduables en el subgrupo de pacientes con retinopatía diabética no proliferativa (RDNP) moderadamente grave o de mayor severidad al inicio, tuvieron una mejora de ≥2 niveles en la DRSS al Mes 12 con el tratamiento con </w:t>
      </w:r>
      <w:proofErr w:type="spellStart"/>
      <w:r w:rsidRPr="003E0B98">
        <w:rPr>
          <w:rFonts w:cs="Calibri"/>
          <w:bCs/>
          <w:iCs/>
          <w:szCs w:val="22"/>
          <w:lang w:val="es-ES"/>
        </w:rPr>
        <w:t>ranibizumab</w:t>
      </w:r>
      <w:proofErr w:type="spellEnd"/>
      <w:r w:rsidRPr="003E0B98">
        <w:rPr>
          <w:rFonts w:cs="Calibri"/>
          <w:bCs/>
          <w:iCs/>
          <w:szCs w:val="22"/>
          <w:lang w:val="es-ES"/>
        </w:rPr>
        <w:t xml:space="preserve"> (n=192) frente al 14,6% de los pacientes tratados con láser (n=123). La diferencia estimada entre </w:t>
      </w:r>
      <w:proofErr w:type="spellStart"/>
      <w:r w:rsidRPr="003E0B98">
        <w:rPr>
          <w:szCs w:val="22"/>
          <w:lang w:val="es-ES"/>
        </w:rPr>
        <w:t>ranibizumab</w:t>
      </w:r>
      <w:proofErr w:type="spellEnd"/>
      <w:r w:rsidRPr="003E0B98">
        <w:rPr>
          <w:szCs w:val="22"/>
          <w:lang w:val="es-ES"/>
        </w:rPr>
        <w:t xml:space="preserve"> y láser fue del 29,9% (IC del 95%: [20,0, 39,7]). En </w:t>
      </w:r>
      <w:r w:rsidRPr="003E0B98">
        <w:rPr>
          <w:rFonts w:cs="Calibri"/>
          <w:bCs/>
          <w:iCs/>
          <w:szCs w:val="22"/>
          <w:lang w:val="es-ES"/>
        </w:rPr>
        <w:t xml:space="preserve">los 405 pacientes con puntuaciones de DRSS graduables y con una RDNP de gravedad moderada o menor, se observó una mejora de ≥2 niveles en la DRSS en el </w:t>
      </w:r>
      <w:r w:rsidRPr="003E0B98">
        <w:rPr>
          <w:szCs w:val="22"/>
          <w:lang w:val="es-ES"/>
        </w:rPr>
        <w:t xml:space="preserve">1,4% y 0,9% de los pacientes en los grupos </w:t>
      </w:r>
      <w:proofErr w:type="spellStart"/>
      <w:r w:rsidRPr="003E0B98">
        <w:rPr>
          <w:szCs w:val="22"/>
          <w:lang w:val="es-ES"/>
        </w:rPr>
        <w:t>ranibizumab</w:t>
      </w:r>
      <w:proofErr w:type="spellEnd"/>
      <w:r w:rsidRPr="003E0B98">
        <w:rPr>
          <w:szCs w:val="22"/>
          <w:lang w:val="es-ES"/>
        </w:rPr>
        <w:t xml:space="preserve"> y láser, respectivamente.</w:t>
      </w:r>
    </w:p>
    <w:p w14:paraId="590A7FB3" w14:textId="77777777" w:rsidR="002E5034" w:rsidRPr="003E0B98" w:rsidRDefault="002E5034" w:rsidP="004361AC">
      <w:pPr>
        <w:tabs>
          <w:tab w:val="clear" w:pos="567"/>
        </w:tabs>
        <w:spacing w:line="240" w:lineRule="auto"/>
        <w:rPr>
          <w:color w:val="000000"/>
          <w:szCs w:val="22"/>
          <w:lang w:val="es-ES"/>
        </w:rPr>
      </w:pPr>
    </w:p>
    <w:p w14:paraId="02D1D1BE" w14:textId="77777777" w:rsidR="002E5034" w:rsidRPr="003E0B98" w:rsidRDefault="002E5034" w:rsidP="004361AC">
      <w:pPr>
        <w:keepNext/>
        <w:tabs>
          <w:tab w:val="clear" w:pos="567"/>
        </w:tabs>
        <w:spacing w:line="240" w:lineRule="auto"/>
        <w:rPr>
          <w:i/>
          <w:color w:val="000000"/>
          <w:szCs w:val="22"/>
          <w:u w:val="single"/>
          <w:lang w:val="es-ES_tradnl"/>
        </w:rPr>
      </w:pPr>
      <w:r w:rsidRPr="003E0B98">
        <w:rPr>
          <w:i/>
          <w:color w:val="000000"/>
          <w:szCs w:val="22"/>
          <w:u w:val="single"/>
          <w:lang w:val="es-ES_tradnl"/>
        </w:rPr>
        <w:t xml:space="preserve">Tratamiento de la </w:t>
      </w:r>
      <w:r w:rsidRPr="003E0B98">
        <w:rPr>
          <w:i/>
          <w:color w:val="000000"/>
          <w:szCs w:val="22"/>
          <w:u w:val="single"/>
          <w:lang w:val="es-ES"/>
        </w:rPr>
        <w:t>alteración</w:t>
      </w:r>
      <w:r w:rsidRPr="003E0B98">
        <w:rPr>
          <w:i/>
          <w:color w:val="000000"/>
          <w:szCs w:val="22"/>
          <w:u w:val="single"/>
          <w:lang w:val="es-ES_tradnl"/>
        </w:rPr>
        <w:t xml:space="preserve"> visual debida al edema macular secundario a OVR</w:t>
      </w:r>
    </w:p>
    <w:p w14:paraId="46682616" w14:textId="77777777" w:rsidR="002E5034" w:rsidRPr="003E0B98" w:rsidRDefault="002E5034" w:rsidP="004361AC">
      <w:pPr>
        <w:tabs>
          <w:tab w:val="clear" w:pos="567"/>
        </w:tabs>
        <w:spacing w:line="240" w:lineRule="auto"/>
        <w:rPr>
          <w:color w:val="000000"/>
          <w:szCs w:val="22"/>
          <w:lang w:val="es-ES_tradnl"/>
        </w:rPr>
      </w:pPr>
      <w:r w:rsidRPr="003E0B98">
        <w:rPr>
          <w:color w:val="000000"/>
          <w:szCs w:val="22"/>
          <w:lang w:val="es-ES_tradnl"/>
        </w:rPr>
        <w:t xml:space="preserve">La seguridad y eficacia clínicas de </w:t>
      </w:r>
      <w:proofErr w:type="spellStart"/>
      <w:r w:rsidRPr="003E0B98">
        <w:rPr>
          <w:color w:val="000000"/>
          <w:szCs w:val="22"/>
          <w:lang w:val="es-ES_tradnl"/>
        </w:rPr>
        <w:t>Lucentis</w:t>
      </w:r>
      <w:proofErr w:type="spellEnd"/>
      <w:r w:rsidRPr="003E0B98">
        <w:rPr>
          <w:color w:val="000000"/>
          <w:szCs w:val="22"/>
          <w:lang w:val="es-ES_tradnl"/>
        </w:rPr>
        <w:t xml:space="preserve"> en pacientes con </w:t>
      </w:r>
      <w:r w:rsidRPr="003E0B98">
        <w:rPr>
          <w:color w:val="000000"/>
          <w:szCs w:val="22"/>
          <w:lang w:val="es-ES"/>
        </w:rPr>
        <w:t>alteración</w:t>
      </w:r>
      <w:r w:rsidRPr="003E0B98">
        <w:rPr>
          <w:color w:val="000000"/>
          <w:szCs w:val="22"/>
          <w:lang w:val="es-ES_tradnl"/>
        </w:rPr>
        <w:t xml:space="preserve"> visual debida al edema macular secundario a OVR se han evaluado en los ensayos BRAVO y CRUISE, controlados, aleatorizados, doble ciego que reclutaron sujetos con ORVR (n=397) y con OVCR (n=392), respectivamente. En ambos ensayos, los sujetos recibieron o bien </w:t>
      </w:r>
      <w:proofErr w:type="spellStart"/>
      <w:r w:rsidRPr="003E0B98">
        <w:rPr>
          <w:color w:val="000000"/>
          <w:szCs w:val="22"/>
          <w:lang w:val="es-ES_tradnl"/>
        </w:rPr>
        <w:t>ranibizumab</w:t>
      </w:r>
      <w:proofErr w:type="spellEnd"/>
      <w:r w:rsidRPr="003E0B98">
        <w:rPr>
          <w:color w:val="000000"/>
          <w:szCs w:val="22"/>
          <w:lang w:val="es-ES_tradnl"/>
        </w:rPr>
        <w:t xml:space="preserve"> 0,3 mg o 0,5 mg o inyecciones simuladas. Después de 6 meses, los pacientes en los grupos control con inyección simulada cambiaron a </w:t>
      </w:r>
      <w:proofErr w:type="spellStart"/>
      <w:r w:rsidRPr="003E0B98">
        <w:rPr>
          <w:color w:val="000000"/>
          <w:szCs w:val="22"/>
          <w:lang w:val="es-ES_tradnl"/>
        </w:rPr>
        <w:t>ranibizumab</w:t>
      </w:r>
      <w:proofErr w:type="spellEnd"/>
      <w:r w:rsidRPr="003E0B98">
        <w:rPr>
          <w:color w:val="000000"/>
          <w:szCs w:val="22"/>
          <w:lang w:val="es-ES_tradnl"/>
        </w:rPr>
        <w:t xml:space="preserve"> 0,5 mg.</w:t>
      </w:r>
    </w:p>
    <w:p w14:paraId="2489FF73" w14:textId="77777777" w:rsidR="002E5034" w:rsidRPr="003E0B98" w:rsidRDefault="002E5034" w:rsidP="004361AC">
      <w:pPr>
        <w:tabs>
          <w:tab w:val="clear" w:pos="567"/>
        </w:tabs>
        <w:spacing w:line="240" w:lineRule="auto"/>
        <w:rPr>
          <w:color w:val="000000"/>
          <w:szCs w:val="22"/>
          <w:lang w:val="es-ES_tradnl"/>
        </w:rPr>
      </w:pPr>
    </w:p>
    <w:p w14:paraId="5D19A702" w14:textId="453DCB09" w:rsidR="002E5034" w:rsidRPr="003E0B98" w:rsidRDefault="002E5034" w:rsidP="004361AC">
      <w:pPr>
        <w:tabs>
          <w:tab w:val="clear" w:pos="567"/>
        </w:tabs>
        <w:spacing w:line="240" w:lineRule="auto"/>
        <w:rPr>
          <w:color w:val="000000"/>
          <w:szCs w:val="22"/>
          <w:lang w:val="es-ES_tradnl"/>
        </w:rPr>
      </w:pPr>
      <w:r w:rsidRPr="003E0B98">
        <w:rPr>
          <w:color w:val="000000"/>
          <w:szCs w:val="22"/>
          <w:lang w:val="es-ES_tradnl"/>
        </w:rPr>
        <w:t>En la Tabla </w:t>
      </w:r>
      <w:r w:rsidR="000B452F" w:rsidRPr="003E0B98">
        <w:rPr>
          <w:color w:val="000000"/>
          <w:szCs w:val="22"/>
          <w:lang w:val="es-ES_tradnl"/>
        </w:rPr>
        <w:t>8</w:t>
      </w:r>
      <w:r w:rsidRPr="003E0B98">
        <w:rPr>
          <w:color w:val="000000"/>
          <w:szCs w:val="22"/>
          <w:lang w:val="es-ES_tradnl"/>
        </w:rPr>
        <w:t xml:space="preserve"> y las Figuras </w:t>
      </w:r>
      <w:r w:rsidR="00010537" w:rsidRPr="003E0B98">
        <w:rPr>
          <w:color w:val="000000"/>
          <w:szCs w:val="22"/>
          <w:lang w:val="es-ES_tradnl"/>
        </w:rPr>
        <w:t>5</w:t>
      </w:r>
      <w:r w:rsidRPr="003E0B98">
        <w:rPr>
          <w:color w:val="000000"/>
          <w:szCs w:val="22"/>
          <w:lang w:val="es-ES_tradnl"/>
        </w:rPr>
        <w:t xml:space="preserve"> y </w:t>
      </w:r>
      <w:r w:rsidR="00010537" w:rsidRPr="003E0B98">
        <w:rPr>
          <w:color w:val="000000"/>
          <w:szCs w:val="22"/>
          <w:lang w:val="es-ES_tradnl"/>
        </w:rPr>
        <w:t>6</w:t>
      </w:r>
      <w:r w:rsidRPr="003E0B98">
        <w:rPr>
          <w:color w:val="000000"/>
          <w:szCs w:val="22"/>
          <w:lang w:val="es-ES_tradnl"/>
        </w:rPr>
        <w:t xml:space="preserve"> se resumen los resultados clave de los ensayos BRAVO y CRUISE.</w:t>
      </w:r>
    </w:p>
    <w:p w14:paraId="3C28D576" w14:textId="77777777" w:rsidR="002E5034" w:rsidRPr="003E0B98" w:rsidRDefault="002E5034" w:rsidP="004361AC">
      <w:pPr>
        <w:tabs>
          <w:tab w:val="clear" w:pos="567"/>
        </w:tabs>
        <w:spacing w:line="240" w:lineRule="auto"/>
        <w:rPr>
          <w:bCs/>
          <w:szCs w:val="22"/>
          <w:lang w:val="es-ES_tradnl"/>
        </w:rPr>
      </w:pPr>
    </w:p>
    <w:p w14:paraId="0591F2A0" w14:textId="6EA2E3A5" w:rsidR="002E5034" w:rsidRPr="003E0B98" w:rsidRDefault="002E5034" w:rsidP="004361AC">
      <w:pPr>
        <w:keepNext/>
        <w:tabs>
          <w:tab w:val="clear" w:pos="567"/>
        </w:tabs>
        <w:spacing w:line="240" w:lineRule="auto"/>
        <w:ind w:left="1134" w:hanging="1134"/>
        <w:rPr>
          <w:b/>
          <w:color w:val="000000"/>
          <w:lang w:val="es-ES_tradnl"/>
        </w:rPr>
      </w:pPr>
      <w:r w:rsidRPr="003E0B98">
        <w:rPr>
          <w:b/>
          <w:color w:val="000000"/>
          <w:lang w:val="es-ES_tradnl"/>
        </w:rPr>
        <w:t>Tabla </w:t>
      </w:r>
      <w:r w:rsidR="000B452F" w:rsidRPr="003E0B98">
        <w:rPr>
          <w:b/>
          <w:color w:val="000000"/>
          <w:lang w:val="es-ES_tradnl"/>
        </w:rPr>
        <w:t>8</w:t>
      </w:r>
      <w:r w:rsidRPr="003E0B98">
        <w:rPr>
          <w:b/>
          <w:color w:val="000000"/>
          <w:lang w:val="es-ES_tradnl"/>
        </w:rPr>
        <w:tab/>
        <w:t>Resultados a los Meses 6 y 12 (BRAVO</w:t>
      </w:r>
      <w:r w:rsidR="008E1452" w:rsidRPr="003E0B98">
        <w:rPr>
          <w:b/>
          <w:color w:val="000000"/>
          <w:lang w:val="es-ES_tradnl"/>
        </w:rPr>
        <w:t xml:space="preserve"> y CRUISE</w:t>
      </w:r>
      <w:r w:rsidRPr="003E0B98">
        <w:rPr>
          <w:b/>
          <w:color w:val="000000"/>
          <w:lang w:val="es-ES_tradnl"/>
        </w:rPr>
        <w:t>)</w:t>
      </w:r>
    </w:p>
    <w:p w14:paraId="4B15A709" w14:textId="77777777" w:rsidR="002E5034" w:rsidRPr="003E0B98" w:rsidRDefault="002E5034" w:rsidP="004361AC">
      <w:pPr>
        <w:keepNext/>
        <w:tabs>
          <w:tab w:val="clear" w:pos="567"/>
        </w:tabs>
        <w:spacing w:line="240" w:lineRule="auto"/>
        <w:rPr>
          <w:color w:val="000000"/>
          <w:lang w:val="es-ES_trad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7"/>
        <w:gridCol w:w="1940"/>
        <w:gridCol w:w="1302"/>
        <w:gridCol w:w="1940"/>
        <w:gridCol w:w="1302"/>
      </w:tblGrid>
      <w:tr w:rsidR="00F54DA3" w:rsidRPr="003E0B98" w14:paraId="22A15771" w14:textId="77777777" w:rsidTr="00F54DA3">
        <w:tc>
          <w:tcPr>
            <w:tcW w:w="1517" w:type="pct"/>
          </w:tcPr>
          <w:p w14:paraId="18B5E5FB" w14:textId="77777777" w:rsidR="00F54DA3" w:rsidRPr="003E0B98" w:rsidRDefault="00F54DA3" w:rsidP="004361AC">
            <w:pPr>
              <w:keepNext/>
              <w:tabs>
                <w:tab w:val="clear" w:pos="567"/>
              </w:tabs>
              <w:spacing w:line="240" w:lineRule="auto"/>
              <w:rPr>
                <w:i/>
                <w:color w:val="000000"/>
                <w:lang w:val="es-ES_tradnl"/>
              </w:rPr>
            </w:pPr>
          </w:p>
        </w:tc>
        <w:tc>
          <w:tcPr>
            <w:tcW w:w="1857" w:type="pct"/>
            <w:gridSpan w:val="2"/>
          </w:tcPr>
          <w:p w14:paraId="15447C44" w14:textId="77777777" w:rsidR="00F54DA3" w:rsidRPr="003E0B98" w:rsidRDefault="008E1452" w:rsidP="004361AC">
            <w:pPr>
              <w:keepNext/>
              <w:tabs>
                <w:tab w:val="clear" w:pos="567"/>
              </w:tabs>
              <w:spacing w:line="240" w:lineRule="auto"/>
              <w:jc w:val="center"/>
              <w:rPr>
                <w:b/>
                <w:bCs/>
                <w:color w:val="000000"/>
                <w:lang w:val="en-US"/>
              </w:rPr>
            </w:pPr>
            <w:r w:rsidRPr="003E0B98">
              <w:rPr>
                <w:b/>
                <w:bCs/>
                <w:color w:val="000000"/>
                <w:lang w:val="en-US"/>
              </w:rPr>
              <w:t>BRAVO</w:t>
            </w:r>
          </w:p>
        </w:tc>
        <w:tc>
          <w:tcPr>
            <w:tcW w:w="1626" w:type="pct"/>
            <w:gridSpan w:val="2"/>
          </w:tcPr>
          <w:p w14:paraId="7F600B60" w14:textId="77777777" w:rsidR="00F54DA3" w:rsidRPr="003E0B98" w:rsidRDefault="008E1452" w:rsidP="004361AC">
            <w:pPr>
              <w:keepNext/>
              <w:tabs>
                <w:tab w:val="clear" w:pos="567"/>
              </w:tabs>
              <w:spacing w:line="240" w:lineRule="auto"/>
              <w:jc w:val="center"/>
              <w:rPr>
                <w:b/>
                <w:bCs/>
                <w:color w:val="000000"/>
                <w:lang w:val="en-US"/>
              </w:rPr>
            </w:pPr>
            <w:r w:rsidRPr="003E0B98">
              <w:rPr>
                <w:b/>
                <w:bCs/>
                <w:color w:val="000000"/>
                <w:lang w:val="en-US"/>
              </w:rPr>
              <w:t>CRUISE</w:t>
            </w:r>
          </w:p>
        </w:tc>
      </w:tr>
      <w:tr w:rsidR="00F54DA3" w:rsidRPr="003E0B98" w14:paraId="3EFA7475" w14:textId="77777777" w:rsidTr="00FF2CF4">
        <w:tc>
          <w:tcPr>
            <w:tcW w:w="1517" w:type="pct"/>
          </w:tcPr>
          <w:p w14:paraId="22A43D61" w14:textId="77777777" w:rsidR="00F54DA3" w:rsidRPr="003E0B98" w:rsidRDefault="00F54DA3" w:rsidP="004361AC">
            <w:pPr>
              <w:keepNext/>
              <w:tabs>
                <w:tab w:val="clear" w:pos="567"/>
              </w:tabs>
              <w:spacing w:line="240" w:lineRule="auto"/>
              <w:rPr>
                <w:i/>
                <w:color w:val="000000"/>
                <w:lang w:val="es-ES_tradnl"/>
              </w:rPr>
            </w:pPr>
          </w:p>
        </w:tc>
        <w:tc>
          <w:tcPr>
            <w:tcW w:w="1044" w:type="pct"/>
          </w:tcPr>
          <w:p w14:paraId="11D375FA" w14:textId="77777777" w:rsidR="00F54DA3" w:rsidRPr="003E0B98" w:rsidRDefault="00F54DA3" w:rsidP="004361AC">
            <w:pPr>
              <w:keepNext/>
              <w:tabs>
                <w:tab w:val="clear" w:pos="567"/>
              </w:tabs>
              <w:spacing w:line="240" w:lineRule="auto"/>
              <w:jc w:val="center"/>
              <w:rPr>
                <w:b/>
                <w:bCs/>
                <w:color w:val="000000"/>
                <w:lang w:val="es-ES_tradnl"/>
              </w:rPr>
            </w:pPr>
            <w:r w:rsidRPr="003E0B98">
              <w:rPr>
                <w:b/>
                <w:bCs/>
                <w:color w:val="000000"/>
                <w:lang w:val="es-ES_tradnl"/>
              </w:rPr>
              <w:t>Tratamiento simulado/</w:t>
            </w:r>
            <w:proofErr w:type="spellStart"/>
            <w:r w:rsidRPr="003E0B98">
              <w:rPr>
                <w:b/>
                <w:bCs/>
                <w:color w:val="000000"/>
                <w:lang w:val="es-ES_tradnl"/>
              </w:rPr>
              <w:t>Lucentis</w:t>
            </w:r>
            <w:proofErr w:type="spellEnd"/>
            <w:r w:rsidRPr="003E0B98">
              <w:rPr>
                <w:b/>
                <w:bCs/>
                <w:color w:val="000000"/>
                <w:lang w:val="es-ES_tradnl"/>
              </w:rPr>
              <w:t xml:space="preserve"> 0,5 mg</w:t>
            </w:r>
          </w:p>
          <w:p w14:paraId="7861B316" w14:textId="77777777" w:rsidR="00F54DA3" w:rsidRPr="003E0B98" w:rsidRDefault="00F54DA3" w:rsidP="004361AC">
            <w:pPr>
              <w:keepNext/>
              <w:tabs>
                <w:tab w:val="clear" w:pos="567"/>
              </w:tabs>
              <w:spacing w:line="240" w:lineRule="auto"/>
              <w:jc w:val="center"/>
              <w:rPr>
                <w:b/>
                <w:bCs/>
                <w:i/>
                <w:color w:val="000000"/>
                <w:lang w:val="es-ES_tradnl"/>
              </w:rPr>
            </w:pPr>
            <w:r w:rsidRPr="003E0B98">
              <w:rPr>
                <w:b/>
                <w:bCs/>
                <w:color w:val="000000"/>
                <w:lang w:val="es-ES_tradnl"/>
              </w:rPr>
              <w:t>(n=132)</w:t>
            </w:r>
          </w:p>
        </w:tc>
        <w:tc>
          <w:tcPr>
            <w:tcW w:w="813" w:type="pct"/>
          </w:tcPr>
          <w:p w14:paraId="572046D5" w14:textId="77777777" w:rsidR="00F54DA3" w:rsidRPr="003E0B98" w:rsidRDefault="00F54DA3" w:rsidP="004361AC">
            <w:pPr>
              <w:keepNext/>
              <w:tabs>
                <w:tab w:val="clear" w:pos="567"/>
              </w:tabs>
              <w:spacing w:line="240" w:lineRule="auto"/>
              <w:jc w:val="center"/>
              <w:rPr>
                <w:b/>
                <w:bCs/>
                <w:color w:val="000000"/>
                <w:lang w:val="en-US"/>
              </w:rPr>
            </w:pPr>
            <w:r w:rsidRPr="003E0B98">
              <w:rPr>
                <w:b/>
                <w:bCs/>
                <w:color w:val="000000"/>
                <w:lang w:val="en-US"/>
              </w:rPr>
              <w:t>Lucentis 0,5 mg</w:t>
            </w:r>
          </w:p>
          <w:p w14:paraId="0C4A2C54" w14:textId="77777777" w:rsidR="00F54DA3" w:rsidRPr="003E0B98" w:rsidRDefault="00F54DA3" w:rsidP="004361AC">
            <w:pPr>
              <w:keepNext/>
              <w:tabs>
                <w:tab w:val="clear" w:pos="567"/>
              </w:tabs>
              <w:spacing w:line="240" w:lineRule="auto"/>
              <w:jc w:val="center"/>
              <w:rPr>
                <w:b/>
                <w:bCs/>
                <w:i/>
                <w:color w:val="000000"/>
                <w:lang w:val="en-US"/>
              </w:rPr>
            </w:pPr>
            <w:r w:rsidRPr="003E0B98">
              <w:rPr>
                <w:b/>
                <w:bCs/>
                <w:color w:val="000000"/>
                <w:lang w:val="en-US"/>
              </w:rPr>
              <w:t>(n=131)</w:t>
            </w:r>
          </w:p>
        </w:tc>
        <w:tc>
          <w:tcPr>
            <w:tcW w:w="813" w:type="pct"/>
          </w:tcPr>
          <w:p w14:paraId="149348EB" w14:textId="77777777" w:rsidR="008E1452" w:rsidRPr="003E0B98" w:rsidRDefault="008E1452" w:rsidP="004361AC">
            <w:pPr>
              <w:keepNext/>
              <w:tabs>
                <w:tab w:val="clear" w:pos="567"/>
              </w:tabs>
              <w:spacing w:line="240" w:lineRule="auto"/>
              <w:jc w:val="center"/>
              <w:rPr>
                <w:b/>
                <w:bCs/>
                <w:color w:val="000000"/>
                <w:lang w:val="es-ES_tradnl"/>
              </w:rPr>
            </w:pPr>
            <w:r w:rsidRPr="003E0B98">
              <w:rPr>
                <w:b/>
                <w:bCs/>
                <w:color w:val="000000"/>
                <w:lang w:val="es-ES_tradnl"/>
              </w:rPr>
              <w:t>Tratamiento simulado/</w:t>
            </w:r>
            <w:proofErr w:type="spellStart"/>
            <w:r w:rsidRPr="003E0B98">
              <w:rPr>
                <w:b/>
                <w:bCs/>
                <w:color w:val="000000"/>
                <w:lang w:val="es-ES_tradnl"/>
              </w:rPr>
              <w:t>Lucentis</w:t>
            </w:r>
            <w:proofErr w:type="spellEnd"/>
            <w:r w:rsidRPr="003E0B98">
              <w:rPr>
                <w:b/>
                <w:bCs/>
                <w:color w:val="000000"/>
                <w:lang w:val="es-ES_tradnl"/>
              </w:rPr>
              <w:t xml:space="preserve"> 0,5 mg</w:t>
            </w:r>
          </w:p>
          <w:p w14:paraId="71610DE6" w14:textId="77777777" w:rsidR="00F54DA3" w:rsidRPr="003E0B98" w:rsidRDefault="008E1452" w:rsidP="004361AC">
            <w:pPr>
              <w:keepNext/>
              <w:tabs>
                <w:tab w:val="clear" w:pos="567"/>
              </w:tabs>
              <w:spacing w:line="240" w:lineRule="auto"/>
              <w:jc w:val="center"/>
              <w:rPr>
                <w:b/>
                <w:bCs/>
                <w:color w:val="000000"/>
                <w:lang w:val="es-ES"/>
              </w:rPr>
            </w:pPr>
            <w:r w:rsidRPr="003E0B98">
              <w:rPr>
                <w:b/>
                <w:bCs/>
                <w:color w:val="000000"/>
                <w:lang w:val="es-ES_tradnl"/>
              </w:rPr>
              <w:t>(n=130)</w:t>
            </w:r>
          </w:p>
        </w:tc>
        <w:tc>
          <w:tcPr>
            <w:tcW w:w="813" w:type="pct"/>
          </w:tcPr>
          <w:p w14:paraId="335F290A" w14:textId="77777777" w:rsidR="008E1452" w:rsidRPr="003E0B98" w:rsidRDefault="008E1452" w:rsidP="004361AC">
            <w:pPr>
              <w:keepNext/>
              <w:tabs>
                <w:tab w:val="clear" w:pos="567"/>
              </w:tabs>
              <w:spacing w:line="240" w:lineRule="auto"/>
              <w:jc w:val="center"/>
              <w:rPr>
                <w:b/>
                <w:bCs/>
                <w:color w:val="000000"/>
                <w:lang w:val="en-US"/>
              </w:rPr>
            </w:pPr>
            <w:r w:rsidRPr="003E0B98">
              <w:rPr>
                <w:b/>
                <w:bCs/>
                <w:color w:val="000000"/>
                <w:lang w:val="en-US"/>
              </w:rPr>
              <w:t>Lucentis 0,5 mg</w:t>
            </w:r>
          </w:p>
          <w:p w14:paraId="64B64178" w14:textId="77777777" w:rsidR="00F54DA3" w:rsidRPr="003E0B98" w:rsidRDefault="008E1452" w:rsidP="004361AC">
            <w:pPr>
              <w:keepNext/>
              <w:tabs>
                <w:tab w:val="clear" w:pos="567"/>
              </w:tabs>
              <w:spacing w:line="240" w:lineRule="auto"/>
              <w:jc w:val="center"/>
              <w:rPr>
                <w:b/>
                <w:bCs/>
                <w:color w:val="000000"/>
                <w:lang w:val="es-ES"/>
              </w:rPr>
            </w:pPr>
            <w:r w:rsidRPr="003E0B98">
              <w:rPr>
                <w:b/>
                <w:bCs/>
                <w:color w:val="000000"/>
                <w:lang w:val="en-US"/>
              </w:rPr>
              <w:t>(n=130)</w:t>
            </w:r>
          </w:p>
        </w:tc>
      </w:tr>
      <w:tr w:rsidR="00F54DA3" w:rsidRPr="003E0B98" w14:paraId="321DA955" w14:textId="77777777" w:rsidTr="00FF2CF4">
        <w:tc>
          <w:tcPr>
            <w:tcW w:w="1517" w:type="pct"/>
          </w:tcPr>
          <w:p w14:paraId="29527A82" w14:textId="77777777" w:rsidR="00F54DA3" w:rsidRPr="003E0B98" w:rsidRDefault="00F54DA3" w:rsidP="004361AC">
            <w:pPr>
              <w:keepNext/>
              <w:tabs>
                <w:tab w:val="clear" w:pos="567"/>
              </w:tabs>
              <w:spacing w:line="240" w:lineRule="auto"/>
              <w:rPr>
                <w:color w:val="000000"/>
                <w:lang w:val="es-ES_tradnl"/>
              </w:rPr>
            </w:pPr>
            <w:r w:rsidRPr="003E0B98">
              <w:rPr>
                <w:color w:val="000000"/>
                <w:szCs w:val="22"/>
                <w:lang w:val="es-ES_tradnl"/>
              </w:rPr>
              <w:t xml:space="preserve">Cambio </w:t>
            </w:r>
            <w:r w:rsidR="006006F4" w:rsidRPr="003E0B98">
              <w:rPr>
                <w:color w:val="000000"/>
                <w:szCs w:val="22"/>
                <w:lang w:val="es-ES_tradnl"/>
              </w:rPr>
              <w:t>pro</w:t>
            </w:r>
            <w:r w:rsidRPr="003E0B98">
              <w:rPr>
                <w:color w:val="000000"/>
                <w:szCs w:val="22"/>
                <w:lang w:val="es-ES_tradnl"/>
              </w:rPr>
              <w:t xml:space="preserve">medio </w:t>
            </w:r>
            <w:r w:rsidR="008222CB" w:rsidRPr="003E0B98">
              <w:rPr>
                <w:color w:val="000000"/>
                <w:szCs w:val="22"/>
                <w:lang w:val="es-ES_tradnl"/>
              </w:rPr>
              <w:t>de</w:t>
            </w:r>
            <w:r w:rsidRPr="003E0B98">
              <w:rPr>
                <w:color w:val="000000"/>
                <w:szCs w:val="22"/>
                <w:lang w:val="es-ES_tradnl"/>
              </w:rPr>
              <w:t xml:space="preserve"> la agudeza visual al Mes 6</w:t>
            </w:r>
            <w:r w:rsidRPr="003E0B98">
              <w:rPr>
                <w:color w:val="000000"/>
                <w:szCs w:val="22"/>
                <w:vertAlign w:val="superscript"/>
                <w:lang w:val="es-ES_tradnl"/>
              </w:rPr>
              <w:t>a</w:t>
            </w:r>
            <w:r w:rsidRPr="003E0B98">
              <w:rPr>
                <w:color w:val="000000"/>
                <w:szCs w:val="22"/>
                <w:lang w:val="es-ES_tradnl"/>
              </w:rPr>
              <w:t xml:space="preserve"> (letras) (desviación estándar) (variable primaria)</w:t>
            </w:r>
          </w:p>
        </w:tc>
        <w:tc>
          <w:tcPr>
            <w:tcW w:w="1044" w:type="pct"/>
          </w:tcPr>
          <w:p w14:paraId="5C328413" w14:textId="77777777" w:rsidR="00F54DA3" w:rsidRPr="003E0B98" w:rsidRDefault="00F54DA3" w:rsidP="004361AC">
            <w:pPr>
              <w:keepNext/>
              <w:tabs>
                <w:tab w:val="clear" w:pos="567"/>
              </w:tabs>
              <w:spacing w:line="240" w:lineRule="auto"/>
              <w:jc w:val="center"/>
              <w:rPr>
                <w:color w:val="000000"/>
                <w:lang w:val="es-ES_tradnl"/>
              </w:rPr>
            </w:pPr>
            <w:r w:rsidRPr="003E0B98">
              <w:rPr>
                <w:color w:val="000000"/>
                <w:lang w:val="es-ES_tradnl"/>
              </w:rPr>
              <w:t>7,3 (13,0)</w:t>
            </w:r>
          </w:p>
        </w:tc>
        <w:tc>
          <w:tcPr>
            <w:tcW w:w="813" w:type="pct"/>
          </w:tcPr>
          <w:p w14:paraId="1901A53F" w14:textId="77777777" w:rsidR="00F54DA3" w:rsidRPr="003E0B98" w:rsidRDefault="00F54DA3" w:rsidP="004361AC">
            <w:pPr>
              <w:keepNext/>
              <w:tabs>
                <w:tab w:val="clear" w:pos="567"/>
              </w:tabs>
              <w:spacing w:line="240" w:lineRule="auto"/>
              <w:jc w:val="center"/>
              <w:rPr>
                <w:color w:val="000000"/>
                <w:lang w:val="es-ES_tradnl"/>
              </w:rPr>
            </w:pPr>
            <w:r w:rsidRPr="003E0B98">
              <w:rPr>
                <w:color w:val="000000"/>
                <w:lang w:val="es-ES_tradnl"/>
              </w:rPr>
              <w:t>18,3 (13,2)</w:t>
            </w:r>
          </w:p>
        </w:tc>
        <w:tc>
          <w:tcPr>
            <w:tcW w:w="813" w:type="pct"/>
          </w:tcPr>
          <w:p w14:paraId="6F2D1B47" w14:textId="77777777" w:rsidR="00F54DA3" w:rsidRPr="003E0B98" w:rsidRDefault="008E1452" w:rsidP="004361AC">
            <w:pPr>
              <w:keepNext/>
              <w:tabs>
                <w:tab w:val="clear" w:pos="567"/>
              </w:tabs>
              <w:spacing w:line="240" w:lineRule="auto"/>
              <w:jc w:val="center"/>
              <w:rPr>
                <w:color w:val="000000"/>
                <w:lang w:val="es-ES_tradnl"/>
              </w:rPr>
            </w:pPr>
            <w:r w:rsidRPr="003E0B98">
              <w:rPr>
                <w:color w:val="000000"/>
                <w:lang w:val="en-US"/>
              </w:rPr>
              <w:t>0,8 (16,2)</w:t>
            </w:r>
          </w:p>
        </w:tc>
        <w:tc>
          <w:tcPr>
            <w:tcW w:w="813" w:type="pct"/>
          </w:tcPr>
          <w:p w14:paraId="307C783E" w14:textId="77777777" w:rsidR="00F54DA3" w:rsidRPr="003E0B98" w:rsidRDefault="008E1452" w:rsidP="004361AC">
            <w:pPr>
              <w:keepNext/>
              <w:tabs>
                <w:tab w:val="clear" w:pos="567"/>
              </w:tabs>
              <w:spacing w:line="240" w:lineRule="auto"/>
              <w:jc w:val="center"/>
              <w:rPr>
                <w:color w:val="000000"/>
                <w:lang w:val="es-ES_tradnl"/>
              </w:rPr>
            </w:pPr>
            <w:r w:rsidRPr="003E0B98">
              <w:rPr>
                <w:color w:val="000000"/>
                <w:lang w:val="en-US"/>
              </w:rPr>
              <w:t>14,9 (13,2)</w:t>
            </w:r>
          </w:p>
        </w:tc>
      </w:tr>
      <w:tr w:rsidR="00F54DA3" w:rsidRPr="003E0B98" w14:paraId="13805619" w14:textId="77777777" w:rsidTr="00FF2CF4">
        <w:tc>
          <w:tcPr>
            <w:tcW w:w="1517" w:type="pct"/>
          </w:tcPr>
          <w:p w14:paraId="36F5EE4F" w14:textId="77777777" w:rsidR="00F54DA3" w:rsidRPr="003E0B98" w:rsidRDefault="00F54DA3" w:rsidP="004361AC">
            <w:pPr>
              <w:keepNext/>
              <w:tabs>
                <w:tab w:val="clear" w:pos="567"/>
              </w:tabs>
              <w:spacing w:line="240" w:lineRule="auto"/>
              <w:rPr>
                <w:color w:val="000000"/>
                <w:lang w:val="es-ES_tradnl"/>
              </w:rPr>
            </w:pPr>
            <w:r w:rsidRPr="003E0B98">
              <w:rPr>
                <w:color w:val="000000"/>
                <w:szCs w:val="22"/>
                <w:lang w:val="es-ES_tradnl"/>
              </w:rPr>
              <w:t xml:space="preserve">Cambio </w:t>
            </w:r>
            <w:r w:rsidR="006006F4" w:rsidRPr="003E0B98">
              <w:rPr>
                <w:color w:val="000000"/>
                <w:szCs w:val="22"/>
                <w:lang w:val="es-ES_tradnl"/>
              </w:rPr>
              <w:t>pro</w:t>
            </w:r>
            <w:r w:rsidRPr="003E0B98">
              <w:rPr>
                <w:color w:val="000000"/>
                <w:szCs w:val="22"/>
                <w:lang w:val="es-ES_tradnl"/>
              </w:rPr>
              <w:t xml:space="preserve">medio </w:t>
            </w:r>
            <w:r w:rsidR="008222CB" w:rsidRPr="003E0B98">
              <w:rPr>
                <w:color w:val="000000"/>
                <w:szCs w:val="22"/>
                <w:lang w:val="es-ES_tradnl"/>
              </w:rPr>
              <w:t>de</w:t>
            </w:r>
            <w:r w:rsidRPr="003E0B98">
              <w:rPr>
                <w:color w:val="000000"/>
                <w:szCs w:val="22"/>
                <w:lang w:val="es-ES_tradnl"/>
              </w:rPr>
              <w:t xml:space="preserve"> la AVMC al Mes 12 (letras) (desviación estándar)</w:t>
            </w:r>
          </w:p>
        </w:tc>
        <w:tc>
          <w:tcPr>
            <w:tcW w:w="1044" w:type="pct"/>
          </w:tcPr>
          <w:p w14:paraId="13C40AAB" w14:textId="77777777" w:rsidR="00F54DA3" w:rsidRPr="003E0B98" w:rsidRDefault="00F54DA3" w:rsidP="004361AC">
            <w:pPr>
              <w:keepNext/>
              <w:tabs>
                <w:tab w:val="clear" w:pos="567"/>
              </w:tabs>
              <w:spacing w:line="240" w:lineRule="auto"/>
              <w:jc w:val="center"/>
              <w:rPr>
                <w:color w:val="000000"/>
                <w:lang w:val="es-ES_tradnl"/>
              </w:rPr>
            </w:pPr>
            <w:r w:rsidRPr="003E0B98">
              <w:rPr>
                <w:color w:val="000000"/>
                <w:lang w:val="es-ES_tradnl"/>
              </w:rPr>
              <w:t>12,1 (14,4)</w:t>
            </w:r>
          </w:p>
        </w:tc>
        <w:tc>
          <w:tcPr>
            <w:tcW w:w="813" w:type="pct"/>
          </w:tcPr>
          <w:p w14:paraId="62D9FDE9" w14:textId="77777777" w:rsidR="00F54DA3" w:rsidRPr="003E0B98" w:rsidRDefault="00F54DA3" w:rsidP="004361AC">
            <w:pPr>
              <w:keepNext/>
              <w:tabs>
                <w:tab w:val="clear" w:pos="567"/>
              </w:tabs>
              <w:spacing w:line="240" w:lineRule="auto"/>
              <w:jc w:val="center"/>
              <w:rPr>
                <w:color w:val="000000"/>
                <w:lang w:val="es-ES_tradnl"/>
              </w:rPr>
            </w:pPr>
            <w:r w:rsidRPr="003E0B98">
              <w:rPr>
                <w:color w:val="000000"/>
                <w:lang w:val="es-ES_tradnl"/>
              </w:rPr>
              <w:t>18,3 (14,6)</w:t>
            </w:r>
          </w:p>
        </w:tc>
        <w:tc>
          <w:tcPr>
            <w:tcW w:w="813" w:type="pct"/>
          </w:tcPr>
          <w:p w14:paraId="5FEED1E6" w14:textId="77777777" w:rsidR="00F54DA3" w:rsidRPr="003E0B98" w:rsidRDefault="008E1452" w:rsidP="004361AC">
            <w:pPr>
              <w:keepNext/>
              <w:tabs>
                <w:tab w:val="clear" w:pos="567"/>
              </w:tabs>
              <w:spacing w:line="240" w:lineRule="auto"/>
              <w:jc w:val="center"/>
              <w:rPr>
                <w:color w:val="000000"/>
                <w:lang w:val="es-ES_tradnl"/>
              </w:rPr>
            </w:pPr>
            <w:r w:rsidRPr="003E0B98">
              <w:rPr>
                <w:color w:val="000000"/>
                <w:lang w:val="en-US"/>
              </w:rPr>
              <w:t>7,3 (15,9)</w:t>
            </w:r>
          </w:p>
        </w:tc>
        <w:tc>
          <w:tcPr>
            <w:tcW w:w="813" w:type="pct"/>
          </w:tcPr>
          <w:p w14:paraId="67F740DD" w14:textId="77777777" w:rsidR="00F54DA3" w:rsidRPr="003E0B98" w:rsidRDefault="008E1452" w:rsidP="004361AC">
            <w:pPr>
              <w:keepNext/>
              <w:tabs>
                <w:tab w:val="clear" w:pos="567"/>
              </w:tabs>
              <w:spacing w:line="240" w:lineRule="auto"/>
              <w:jc w:val="center"/>
              <w:rPr>
                <w:color w:val="000000"/>
                <w:lang w:val="es-ES_tradnl"/>
              </w:rPr>
            </w:pPr>
            <w:r w:rsidRPr="003E0B98">
              <w:rPr>
                <w:color w:val="000000"/>
                <w:lang w:val="en-US"/>
              </w:rPr>
              <w:t>13,9 (14,2)</w:t>
            </w:r>
          </w:p>
        </w:tc>
      </w:tr>
      <w:tr w:rsidR="00F54DA3" w:rsidRPr="003E0B98" w14:paraId="39FEC127" w14:textId="77777777" w:rsidTr="00FF2CF4">
        <w:tc>
          <w:tcPr>
            <w:tcW w:w="1517" w:type="pct"/>
          </w:tcPr>
          <w:p w14:paraId="3D73C191" w14:textId="77777777" w:rsidR="00F54DA3" w:rsidRPr="003E0B98" w:rsidRDefault="00F54DA3" w:rsidP="004361AC">
            <w:pPr>
              <w:keepNext/>
              <w:tabs>
                <w:tab w:val="clear" w:pos="567"/>
              </w:tabs>
              <w:spacing w:line="240" w:lineRule="auto"/>
              <w:rPr>
                <w:color w:val="000000"/>
                <w:lang w:val="es-ES_tradnl"/>
              </w:rPr>
            </w:pPr>
            <w:r w:rsidRPr="003E0B98">
              <w:rPr>
                <w:color w:val="000000"/>
                <w:szCs w:val="22"/>
                <w:lang w:val="es-ES_tradnl"/>
              </w:rPr>
              <w:t>Ganancia de ≥15 letras en agudeza visual al Mes 6</w:t>
            </w:r>
            <w:r w:rsidRPr="003E0B98">
              <w:rPr>
                <w:color w:val="000000"/>
                <w:szCs w:val="22"/>
                <w:vertAlign w:val="superscript"/>
                <w:lang w:val="es-ES_tradnl"/>
              </w:rPr>
              <w:t>a</w:t>
            </w:r>
            <w:r w:rsidRPr="003E0B98">
              <w:rPr>
                <w:color w:val="000000"/>
                <w:szCs w:val="22"/>
                <w:lang w:val="es-ES_tradnl"/>
              </w:rPr>
              <w:t xml:space="preserve"> (%)</w:t>
            </w:r>
          </w:p>
        </w:tc>
        <w:tc>
          <w:tcPr>
            <w:tcW w:w="1044" w:type="pct"/>
          </w:tcPr>
          <w:p w14:paraId="1CD5B244" w14:textId="77777777" w:rsidR="00F54DA3" w:rsidRPr="003E0B98" w:rsidRDefault="00F54DA3" w:rsidP="004361AC">
            <w:pPr>
              <w:keepNext/>
              <w:tabs>
                <w:tab w:val="clear" w:pos="567"/>
              </w:tabs>
              <w:spacing w:line="240" w:lineRule="auto"/>
              <w:jc w:val="center"/>
              <w:rPr>
                <w:color w:val="000000"/>
                <w:lang w:val="en-US"/>
              </w:rPr>
            </w:pPr>
            <w:r w:rsidRPr="003E0B98">
              <w:rPr>
                <w:color w:val="000000"/>
                <w:lang w:val="en-US"/>
              </w:rPr>
              <w:t>28,8</w:t>
            </w:r>
          </w:p>
        </w:tc>
        <w:tc>
          <w:tcPr>
            <w:tcW w:w="813" w:type="pct"/>
          </w:tcPr>
          <w:p w14:paraId="4D24A555" w14:textId="77777777" w:rsidR="00F54DA3" w:rsidRPr="003E0B98" w:rsidRDefault="00F54DA3" w:rsidP="004361AC">
            <w:pPr>
              <w:keepNext/>
              <w:tabs>
                <w:tab w:val="clear" w:pos="567"/>
              </w:tabs>
              <w:spacing w:line="240" w:lineRule="auto"/>
              <w:jc w:val="center"/>
              <w:rPr>
                <w:color w:val="000000"/>
                <w:lang w:val="en-US"/>
              </w:rPr>
            </w:pPr>
            <w:r w:rsidRPr="003E0B98">
              <w:rPr>
                <w:color w:val="000000"/>
                <w:lang w:val="en-US"/>
              </w:rPr>
              <w:t>61,1</w:t>
            </w:r>
          </w:p>
        </w:tc>
        <w:tc>
          <w:tcPr>
            <w:tcW w:w="813" w:type="pct"/>
          </w:tcPr>
          <w:p w14:paraId="11E7846D" w14:textId="77777777" w:rsidR="00F54DA3" w:rsidRPr="003E0B98" w:rsidRDefault="008E1452" w:rsidP="004361AC">
            <w:pPr>
              <w:keepNext/>
              <w:tabs>
                <w:tab w:val="clear" w:pos="567"/>
              </w:tabs>
              <w:spacing w:line="240" w:lineRule="auto"/>
              <w:jc w:val="center"/>
              <w:rPr>
                <w:color w:val="000000"/>
                <w:lang w:val="en-US"/>
              </w:rPr>
            </w:pPr>
            <w:r w:rsidRPr="003E0B98">
              <w:rPr>
                <w:color w:val="000000"/>
                <w:lang w:val="en-US"/>
              </w:rPr>
              <w:t>16,9</w:t>
            </w:r>
          </w:p>
        </w:tc>
        <w:tc>
          <w:tcPr>
            <w:tcW w:w="813" w:type="pct"/>
          </w:tcPr>
          <w:p w14:paraId="79CFF534" w14:textId="77777777" w:rsidR="00F54DA3" w:rsidRPr="003E0B98" w:rsidRDefault="008E1452" w:rsidP="004361AC">
            <w:pPr>
              <w:keepNext/>
              <w:tabs>
                <w:tab w:val="clear" w:pos="567"/>
              </w:tabs>
              <w:spacing w:line="240" w:lineRule="auto"/>
              <w:jc w:val="center"/>
              <w:rPr>
                <w:color w:val="000000"/>
                <w:lang w:val="en-US"/>
              </w:rPr>
            </w:pPr>
            <w:r w:rsidRPr="003E0B98">
              <w:rPr>
                <w:color w:val="000000"/>
                <w:lang w:val="en-US"/>
              </w:rPr>
              <w:t>47,7</w:t>
            </w:r>
          </w:p>
        </w:tc>
      </w:tr>
      <w:tr w:rsidR="00F54DA3" w:rsidRPr="003E0B98" w14:paraId="1A96E2B0" w14:textId="77777777" w:rsidTr="00FF2CF4">
        <w:tc>
          <w:tcPr>
            <w:tcW w:w="1517" w:type="pct"/>
          </w:tcPr>
          <w:p w14:paraId="7D44D958" w14:textId="77777777" w:rsidR="00F54DA3" w:rsidRPr="003E0B98" w:rsidRDefault="00F54DA3" w:rsidP="004361AC">
            <w:pPr>
              <w:keepNext/>
              <w:tabs>
                <w:tab w:val="clear" w:pos="567"/>
              </w:tabs>
              <w:spacing w:line="240" w:lineRule="auto"/>
              <w:rPr>
                <w:color w:val="000000"/>
                <w:lang w:val="es-ES_tradnl"/>
              </w:rPr>
            </w:pPr>
            <w:r w:rsidRPr="003E0B98">
              <w:rPr>
                <w:color w:val="000000"/>
                <w:szCs w:val="22"/>
                <w:lang w:val="es-ES_tradnl"/>
              </w:rPr>
              <w:t>Ganancia de ≥15 letras en agudeza visual al Mes 12</w:t>
            </w:r>
            <w:r w:rsidRPr="003E0B98">
              <w:rPr>
                <w:color w:val="000000"/>
                <w:lang w:val="es-ES_tradnl"/>
              </w:rPr>
              <w:t xml:space="preserve"> (%)</w:t>
            </w:r>
          </w:p>
        </w:tc>
        <w:tc>
          <w:tcPr>
            <w:tcW w:w="1044" w:type="pct"/>
          </w:tcPr>
          <w:p w14:paraId="5552FF8D" w14:textId="77777777" w:rsidR="00F54DA3" w:rsidRPr="003E0B98" w:rsidRDefault="00F54DA3" w:rsidP="004361AC">
            <w:pPr>
              <w:keepNext/>
              <w:tabs>
                <w:tab w:val="clear" w:pos="567"/>
              </w:tabs>
              <w:spacing w:line="240" w:lineRule="auto"/>
              <w:jc w:val="center"/>
              <w:rPr>
                <w:color w:val="000000"/>
                <w:lang w:val="en-US"/>
              </w:rPr>
            </w:pPr>
            <w:r w:rsidRPr="003E0B98">
              <w:rPr>
                <w:color w:val="000000"/>
                <w:lang w:val="en-US"/>
              </w:rPr>
              <w:t>43,9</w:t>
            </w:r>
          </w:p>
        </w:tc>
        <w:tc>
          <w:tcPr>
            <w:tcW w:w="813" w:type="pct"/>
          </w:tcPr>
          <w:p w14:paraId="6C22A45A" w14:textId="77777777" w:rsidR="00F54DA3" w:rsidRPr="003E0B98" w:rsidRDefault="00F54DA3" w:rsidP="004361AC">
            <w:pPr>
              <w:keepNext/>
              <w:tabs>
                <w:tab w:val="clear" w:pos="567"/>
              </w:tabs>
              <w:spacing w:line="240" w:lineRule="auto"/>
              <w:jc w:val="center"/>
              <w:rPr>
                <w:color w:val="000000"/>
                <w:lang w:val="en-US"/>
              </w:rPr>
            </w:pPr>
            <w:r w:rsidRPr="003E0B98">
              <w:rPr>
                <w:color w:val="000000"/>
                <w:lang w:val="en-US"/>
              </w:rPr>
              <w:t>60,3</w:t>
            </w:r>
          </w:p>
        </w:tc>
        <w:tc>
          <w:tcPr>
            <w:tcW w:w="813" w:type="pct"/>
          </w:tcPr>
          <w:p w14:paraId="080812A0" w14:textId="77777777" w:rsidR="00F54DA3" w:rsidRPr="003E0B98" w:rsidRDefault="008E1452" w:rsidP="004361AC">
            <w:pPr>
              <w:keepNext/>
              <w:tabs>
                <w:tab w:val="clear" w:pos="567"/>
              </w:tabs>
              <w:spacing w:line="240" w:lineRule="auto"/>
              <w:jc w:val="center"/>
              <w:rPr>
                <w:color w:val="000000"/>
                <w:lang w:val="en-US"/>
              </w:rPr>
            </w:pPr>
            <w:r w:rsidRPr="003E0B98">
              <w:rPr>
                <w:color w:val="000000"/>
                <w:lang w:val="en-US"/>
              </w:rPr>
              <w:t>33,1</w:t>
            </w:r>
          </w:p>
        </w:tc>
        <w:tc>
          <w:tcPr>
            <w:tcW w:w="813" w:type="pct"/>
          </w:tcPr>
          <w:p w14:paraId="38BF3667" w14:textId="77777777" w:rsidR="00F54DA3" w:rsidRPr="003E0B98" w:rsidRDefault="008E1452" w:rsidP="004361AC">
            <w:pPr>
              <w:keepNext/>
              <w:tabs>
                <w:tab w:val="clear" w:pos="567"/>
              </w:tabs>
              <w:spacing w:line="240" w:lineRule="auto"/>
              <w:jc w:val="center"/>
              <w:rPr>
                <w:color w:val="000000"/>
                <w:lang w:val="en-US"/>
              </w:rPr>
            </w:pPr>
            <w:r w:rsidRPr="003E0B98">
              <w:rPr>
                <w:color w:val="000000"/>
                <w:lang w:val="en-US"/>
              </w:rPr>
              <w:t>50,8</w:t>
            </w:r>
          </w:p>
        </w:tc>
      </w:tr>
      <w:tr w:rsidR="00F54DA3" w:rsidRPr="003E0B98" w14:paraId="49CD7445" w14:textId="77777777" w:rsidTr="00FF2CF4">
        <w:tc>
          <w:tcPr>
            <w:tcW w:w="1517" w:type="pct"/>
          </w:tcPr>
          <w:p w14:paraId="2983488A" w14:textId="77777777" w:rsidR="00F54DA3" w:rsidRPr="003E0B98" w:rsidRDefault="00F54DA3" w:rsidP="004361AC">
            <w:pPr>
              <w:keepNext/>
              <w:tabs>
                <w:tab w:val="clear" w:pos="567"/>
              </w:tabs>
              <w:spacing w:line="240" w:lineRule="auto"/>
              <w:rPr>
                <w:color w:val="000000"/>
                <w:lang w:val="es-ES_tradnl"/>
              </w:rPr>
            </w:pPr>
            <w:r w:rsidRPr="003E0B98">
              <w:rPr>
                <w:color w:val="000000"/>
                <w:lang w:val="es-ES_tradnl"/>
              </w:rPr>
              <w:t>Proporción (%) que recibió rescate con láser en 12 meses</w:t>
            </w:r>
          </w:p>
        </w:tc>
        <w:tc>
          <w:tcPr>
            <w:tcW w:w="1044" w:type="pct"/>
          </w:tcPr>
          <w:p w14:paraId="2C829E5D" w14:textId="77777777" w:rsidR="00F54DA3" w:rsidRPr="003E0B98" w:rsidRDefault="00F54DA3" w:rsidP="004361AC">
            <w:pPr>
              <w:keepNext/>
              <w:tabs>
                <w:tab w:val="clear" w:pos="567"/>
              </w:tabs>
              <w:spacing w:line="240" w:lineRule="auto"/>
              <w:jc w:val="center"/>
              <w:rPr>
                <w:color w:val="000000"/>
                <w:lang w:val="es-ES_tradnl"/>
              </w:rPr>
            </w:pPr>
            <w:r w:rsidRPr="003E0B98">
              <w:rPr>
                <w:color w:val="000000"/>
                <w:lang w:val="es-ES_tradnl"/>
              </w:rPr>
              <w:t>61,4</w:t>
            </w:r>
          </w:p>
        </w:tc>
        <w:tc>
          <w:tcPr>
            <w:tcW w:w="813" w:type="pct"/>
          </w:tcPr>
          <w:p w14:paraId="2A023386" w14:textId="77777777" w:rsidR="00F54DA3" w:rsidRPr="003E0B98" w:rsidRDefault="00F54DA3" w:rsidP="004361AC">
            <w:pPr>
              <w:keepNext/>
              <w:tabs>
                <w:tab w:val="clear" w:pos="567"/>
              </w:tabs>
              <w:spacing w:line="240" w:lineRule="auto"/>
              <w:jc w:val="center"/>
              <w:rPr>
                <w:color w:val="000000"/>
                <w:lang w:val="es-ES_tradnl"/>
              </w:rPr>
            </w:pPr>
            <w:r w:rsidRPr="003E0B98">
              <w:rPr>
                <w:color w:val="000000"/>
                <w:lang w:val="es-ES_tradnl"/>
              </w:rPr>
              <w:t>34,4</w:t>
            </w:r>
          </w:p>
        </w:tc>
        <w:tc>
          <w:tcPr>
            <w:tcW w:w="813" w:type="pct"/>
          </w:tcPr>
          <w:p w14:paraId="317F5813" w14:textId="77777777" w:rsidR="00F54DA3" w:rsidRPr="003E0B98" w:rsidRDefault="008E1452" w:rsidP="004361AC">
            <w:pPr>
              <w:keepNext/>
              <w:tabs>
                <w:tab w:val="clear" w:pos="567"/>
              </w:tabs>
              <w:spacing w:line="240" w:lineRule="auto"/>
              <w:jc w:val="center"/>
              <w:rPr>
                <w:color w:val="000000"/>
                <w:lang w:val="es-ES_tradnl"/>
              </w:rPr>
            </w:pPr>
            <w:r w:rsidRPr="003E0B98">
              <w:rPr>
                <w:color w:val="000000"/>
                <w:lang w:val="en-US"/>
              </w:rPr>
              <w:t>NA</w:t>
            </w:r>
          </w:p>
        </w:tc>
        <w:tc>
          <w:tcPr>
            <w:tcW w:w="813" w:type="pct"/>
          </w:tcPr>
          <w:p w14:paraId="7D6293CF" w14:textId="77777777" w:rsidR="00F54DA3" w:rsidRPr="003E0B98" w:rsidRDefault="008E1452" w:rsidP="004361AC">
            <w:pPr>
              <w:keepNext/>
              <w:tabs>
                <w:tab w:val="clear" w:pos="567"/>
              </w:tabs>
              <w:spacing w:line="240" w:lineRule="auto"/>
              <w:jc w:val="center"/>
              <w:rPr>
                <w:color w:val="000000"/>
                <w:lang w:val="es-ES_tradnl"/>
              </w:rPr>
            </w:pPr>
            <w:r w:rsidRPr="003E0B98">
              <w:rPr>
                <w:color w:val="000000"/>
                <w:lang w:val="en-US"/>
              </w:rPr>
              <w:t>NA</w:t>
            </w:r>
          </w:p>
        </w:tc>
      </w:tr>
    </w:tbl>
    <w:p w14:paraId="69F24F82" w14:textId="77777777" w:rsidR="002E5034" w:rsidRPr="003E0B98" w:rsidRDefault="002E5034" w:rsidP="004361AC">
      <w:pPr>
        <w:tabs>
          <w:tab w:val="clear" w:pos="567"/>
        </w:tabs>
        <w:spacing w:line="240" w:lineRule="auto"/>
        <w:rPr>
          <w:color w:val="000000"/>
          <w:lang w:val="es-ES_tradnl"/>
        </w:rPr>
      </w:pPr>
      <w:r w:rsidRPr="003E0B98">
        <w:rPr>
          <w:color w:val="000000"/>
          <w:szCs w:val="22"/>
          <w:vertAlign w:val="superscript"/>
          <w:lang w:val="es-ES_tradnl"/>
        </w:rPr>
        <w:t>a</w:t>
      </w:r>
      <w:r w:rsidRPr="003E0B98">
        <w:rPr>
          <w:color w:val="000000"/>
          <w:szCs w:val="22"/>
          <w:lang w:val="es-ES_tradnl"/>
        </w:rPr>
        <w:t xml:space="preserve"> p&lt;0,0001</w:t>
      </w:r>
      <w:r w:rsidR="00F47EB5" w:rsidRPr="003E0B98">
        <w:rPr>
          <w:color w:val="000000"/>
          <w:szCs w:val="22"/>
          <w:lang w:val="es-ES_tradnl"/>
        </w:rPr>
        <w:t xml:space="preserve"> para ambos ensayos</w:t>
      </w:r>
    </w:p>
    <w:p w14:paraId="0FE12345" w14:textId="77777777" w:rsidR="002E5034" w:rsidRPr="003E0B98" w:rsidRDefault="002E5034" w:rsidP="004361AC">
      <w:pPr>
        <w:tabs>
          <w:tab w:val="clear" w:pos="567"/>
        </w:tabs>
        <w:spacing w:line="240" w:lineRule="auto"/>
        <w:ind w:left="1134" w:hanging="1134"/>
        <w:rPr>
          <w:color w:val="000000"/>
          <w:lang w:val="es-ES_tradnl"/>
        </w:rPr>
      </w:pPr>
    </w:p>
    <w:p w14:paraId="4B12B6E7" w14:textId="77777777" w:rsidR="002E5034" w:rsidRPr="003E0B98" w:rsidRDefault="002E5034" w:rsidP="004361AC">
      <w:pPr>
        <w:keepNext/>
        <w:tabs>
          <w:tab w:val="clear" w:pos="567"/>
        </w:tabs>
        <w:spacing w:line="240" w:lineRule="auto"/>
        <w:ind w:left="1134" w:hanging="1134"/>
        <w:rPr>
          <w:b/>
          <w:color w:val="000000"/>
          <w:lang w:val="es-ES_tradnl"/>
        </w:rPr>
      </w:pPr>
      <w:r w:rsidRPr="003E0B98">
        <w:rPr>
          <w:b/>
          <w:color w:val="000000"/>
          <w:lang w:val="es-ES_tradnl"/>
        </w:rPr>
        <w:t>Figura </w:t>
      </w:r>
      <w:r w:rsidR="00010537" w:rsidRPr="003E0B98">
        <w:rPr>
          <w:b/>
          <w:color w:val="000000"/>
          <w:lang w:val="es-ES_tradnl"/>
        </w:rPr>
        <w:t>5</w:t>
      </w:r>
      <w:r w:rsidRPr="003E0B98">
        <w:rPr>
          <w:b/>
          <w:color w:val="000000"/>
          <w:lang w:val="es-ES_tradnl"/>
        </w:rPr>
        <w:tab/>
        <w:t xml:space="preserve">Cambio </w:t>
      </w:r>
      <w:r w:rsidR="006006F4" w:rsidRPr="003E0B98">
        <w:rPr>
          <w:b/>
          <w:color w:val="000000"/>
          <w:lang w:val="es-ES_tradnl"/>
        </w:rPr>
        <w:t>pro</w:t>
      </w:r>
      <w:r w:rsidRPr="003E0B98">
        <w:rPr>
          <w:b/>
          <w:color w:val="000000"/>
          <w:lang w:val="es-ES_tradnl"/>
        </w:rPr>
        <w:t xml:space="preserve">medio </w:t>
      </w:r>
      <w:r w:rsidR="008222CB" w:rsidRPr="003E0B98">
        <w:rPr>
          <w:b/>
          <w:color w:val="000000"/>
          <w:lang w:val="es-ES_tradnl"/>
        </w:rPr>
        <w:t>de</w:t>
      </w:r>
      <w:r w:rsidRPr="003E0B98">
        <w:rPr>
          <w:b/>
          <w:color w:val="000000"/>
          <w:lang w:val="es-ES_tradnl"/>
        </w:rPr>
        <w:t xml:space="preserve"> la AVMC desde el inicio en el tiempo hasta el Mes 6 y el Mes 12 (BRAVO)</w:t>
      </w:r>
    </w:p>
    <w:p w14:paraId="27FF9589" w14:textId="77777777" w:rsidR="00C57283" w:rsidRPr="003E0B98" w:rsidRDefault="00C57283" w:rsidP="004361AC">
      <w:pPr>
        <w:keepNext/>
        <w:keepLines/>
        <w:tabs>
          <w:tab w:val="clear" w:pos="567"/>
        </w:tabs>
        <w:spacing w:line="240" w:lineRule="auto"/>
        <w:rPr>
          <w:color w:val="000000"/>
          <w:lang w:val="es-ES_tradnl"/>
        </w:rPr>
      </w:pPr>
    </w:p>
    <w:p w14:paraId="1318658A" w14:textId="2495E94C" w:rsidR="00C57283" w:rsidRPr="003E0B98" w:rsidRDefault="00B77443" w:rsidP="004361AC">
      <w:pPr>
        <w:tabs>
          <w:tab w:val="clear" w:pos="567"/>
        </w:tabs>
        <w:spacing w:line="240" w:lineRule="auto"/>
        <w:rPr>
          <w:color w:val="000000"/>
          <w:lang w:val="es-ES_tradnl"/>
        </w:rPr>
      </w:pPr>
      <w:r w:rsidRPr="003E0B98">
        <w:rPr>
          <w:noProof/>
          <w:lang w:val="es-ES" w:eastAsia="es-ES"/>
        </w:rPr>
        <w:drawing>
          <wp:inline distT="0" distB="0" distL="0" distR="0" wp14:anchorId="2623DABC" wp14:editId="58E5CC94">
            <wp:extent cx="5760085" cy="4110355"/>
            <wp:effectExtent l="0" t="0" r="0" b="444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60085" cy="4110355"/>
                    </a:xfrm>
                    <a:prstGeom prst="rect">
                      <a:avLst/>
                    </a:prstGeom>
                  </pic:spPr>
                </pic:pic>
              </a:graphicData>
            </a:graphic>
          </wp:inline>
        </w:drawing>
      </w:r>
    </w:p>
    <w:p w14:paraId="29FC1E86" w14:textId="77777777" w:rsidR="00C57283" w:rsidRPr="003E0B98" w:rsidRDefault="00C57283" w:rsidP="004361AC">
      <w:pPr>
        <w:tabs>
          <w:tab w:val="clear" w:pos="567"/>
        </w:tabs>
        <w:spacing w:line="240" w:lineRule="auto"/>
        <w:rPr>
          <w:color w:val="000000"/>
          <w:lang w:val="es-ES_tradnl"/>
        </w:rPr>
      </w:pPr>
    </w:p>
    <w:p w14:paraId="482BC7C8" w14:textId="77777777" w:rsidR="002E5034" w:rsidRPr="003E0B98" w:rsidRDefault="002E5034" w:rsidP="004361AC">
      <w:pPr>
        <w:keepNext/>
        <w:keepLines/>
        <w:tabs>
          <w:tab w:val="clear" w:pos="567"/>
        </w:tabs>
        <w:spacing w:line="240" w:lineRule="auto"/>
        <w:ind w:left="1134" w:hanging="1134"/>
        <w:rPr>
          <w:b/>
          <w:color w:val="000000"/>
          <w:lang w:val="es-ES_tradnl"/>
        </w:rPr>
      </w:pPr>
      <w:r w:rsidRPr="003E0B98">
        <w:rPr>
          <w:b/>
          <w:color w:val="000000"/>
          <w:lang w:val="es-ES_tradnl"/>
        </w:rPr>
        <w:t>Figura </w:t>
      </w:r>
      <w:r w:rsidR="00010537" w:rsidRPr="003E0B98">
        <w:rPr>
          <w:b/>
          <w:color w:val="000000"/>
          <w:lang w:val="es-ES_tradnl"/>
        </w:rPr>
        <w:t>6</w:t>
      </w:r>
      <w:r w:rsidRPr="003E0B98">
        <w:rPr>
          <w:b/>
          <w:color w:val="000000"/>
          <w:lang w:val="es-ES_tradnl"/>
        </w:rPr>
        <w:tab/>
        <w:t xml:space="preserve">Cambio </w:t>
      </w:r>
      <w:r w:rsidR="006006F4" w:rsidRPr="003E0B98">
        <w:rPr>
          <w:b/>
          <w:color w:val="000000"/>
          <w:lang w:val="es-ES_tradnl"/>
        </w:rPr>
        <w:t>pro</w:t>
      </w:r>
      <w:r w:rsidRPr="003E0B98">
        <w:rPr>
          <w:b/>
          <w:color w:val="000000"/>
          <w:lang w:val="es-ES_tradnl"/>
        </w:rPr>
        <w:t xml:space="preserve">medio </w:t>
      </w:r>
      <w:r w:rsidR="008222CB" w:rsidRPr="003E0B98">
        <w:rPr>
          <w:b/>
          <w:color w:val="000000"/>
          <w:lang w:val="es-ES_tradnl"/>
        </w:rPr>
        <w:t>de</w:t>
      </w:r>
      <w:r w:rsidRPr="003E0B98">
        <w:rPr>
          <w:b/>
          <w:color w:val="000000"/>
          <w:lang w:val="es-ES_tradnl"/>
        </w:rPr>
        <w:t xml:space="preserve"> la AVMC desde el inicio en el tiempo hasta el Mes 6 y el Mes 12 (CRUISE)</w:t>
      </w:r>
    </w:p>
    <w:p w14:paraId="529C19F9" w14:textId="77777777" w:rsidR="002E5034" w:rsidRPr="003E0B98" w:rsidRDefault="002E5034" w:rsidP="004361AC">
      <w:pPr>
        <w:keepNext/>
        <w:keepLines/>
        <w:tabs>
          <w:tab w:val="clear" w:pos="567"/>
        </w:tabs>
        <w:spacing w:line="240" w:lineRule="auto"/>
        <w:rPr>
          <w:color w:val="000000"/>
          <w:lang w:val="es-ES_tradnl"/>
        </w:rPr>
      </w:pPr>
    </w:p>
    <w:p w14:paraId="499D48E3" w14:textId="74C43FD4" w:rsidR="00C64FB5" w:rsidRPr="003E0B98" w:rsidRDefault="00085326" w:rsidP="004361AC">
      <w:pPr>
        <w:tabs>
          <w:tab w:val="clear" w:pos="567"/>
        </w:tabs>
        <w:spacing w:line="240" w:lineRule="auto"/>
        <w:rPr>
          <w:szCs w:val="22"/>
          <w:lang w:val="es-ES_tradnl"/>
        </w:rPr>
      </w:pPr>
      <w:r w:rsidRPr="003E0B98">
        <w:rPr>
          <w:noProof/>
          <w:lang w:val="es-ES" w:eastAsia="es-ES"/>
        </w:rPr>
        <w:drawing>
          <wp:inline distT="0" distB="0" distL="0" distR="0" wp14:anchorId="27D1A992" wp14:editId="5AC8A143">
            <wp:extent cx="5760085" cy="4247515"/>
            <wp:effectExtent l="0" t="0" r="0" b="63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60085" cy="4247515"/>
                    </a:xfrm>
                    <a:prstGeom prst="rect">
                      <a:avLst/>
                    </a:prstGeom>
                  </pic:spPr>
                </pic:pic>
              </a:graphicData>
            </a:graphic>
          </wp:inline>
        </w:drawing>
      </w:r>
    </w:p>
    <w:p w14:paraId="320207BB" w14:textId="77777777" w:rsidR="00C64FB5" w:rsidRPr="003E0B98" w:rsidRDefault="00C64FB5" w:rsidP="004361AC">
      <w:pPr>
        <w:tabs>
          <w:tab w:val="clear" w:pos="567"/>
        </w:tabs>
        <w:spacing w:line="240" w:lineRule="auto"/>
        <w:rPr>
          <w:szCs w:val="22"/>
          <w:lang w:val="es-ES_tradnl"/>
        </w:rPr>
      </w:pPr>
    </w:p>
    <w:p w14:paraId="12EF4D8E" w14:textId="77777777" w:rsidR="002E5034" w:rsidRPr="003E0B98" w:rsidRDefault="002E5034" w:rsidP="004361AC">
      <w:pPr>
        <w:tabs>
          <w:tab w:val="clear" w:pos="567"/>
        </w:tabs>
        <w:spacing w:line="240" w:lineRule="auto"/>
        <w:rPr>
          <w:color w:val="000000"/>
          <w:lang w:val="es-ES_tradnl"/>
        </w:rPr>
      </w:pPr>
      <w:r w:rsidRPr="003E0B98">
        <w:rPr>
          <w:szCs w:val="22"/>
          <w:lang w:val="es-ES_tradnl"/>
        </w:rPr>
        <w:t>En ambos estudios, la mejora de la visión se acompañó de una reducción continua y significativa del edema macular medido según el grosor central de la retina</w:t>
      </w:r>
      <w:r w:rsidRPr="003E0B98">
        <w:rPr>
          <w:color w:val="000000"/>
          <w:lang w:val="es-ES_tradnl"/>
        </w:rPr>
        <w:t>.</w:t>
      </w:r>
    </w:p>
    <w:p w14:paraId="017EF20B" w14:textId="77777777" w:rsidR="002E5034" w:rsidRPr="003E0B98" w:rsidRDefault="002E5034" w:rsidP="004361AC">
      <w:pPr>
        <w:tabs>
          <w:tab w:val="clear" w:pos="567"/>
        </w:tabs>
        <w:spacing w:line="240" w:lineRule="auto"/>
        <w:rPr>
          <w:color w:val="000000"/>
          <w:lang w:val="es-ES_tradnl"/>
        </w:rPr>
      </w:pPr>
    </w:p>
    <w:p w14:paraId="7E183EF9" w14:textId="1E97C245" w:rsidR="002E5034" w:rsidRPr="003E0B98" w:rsidRDefault="002E5034" w:rsidP="004361AC">
      <w:pPr>
        <w:tabs>
          <w:tab w:val="clear" w:pos="567"/>
        </w:tabs>
        <w:spacing w:line="240" w:lineRule="auto"/>
        <w:rPr>
          <w:bCs/>
          <w:szCs w:val="22"/>
          <w:lang w:val="es-ES_tradnl"/>
        </w:rPr>
      </w:pPr>
      <w:r w:rsidRPr="003E0B98">
        <w:rPr>
          <w:bCs/>
          <w:szCs w:val="22"/>
          <w:lang w:val="es-ES_tradnl"/>
        </w:rPr>
        <w:t xml:space="preserve">En pacientes con </w:t>
      </w:r>
      <w:r w:rsidRPr="003E0B98">
        <w:rPr>
          <w:color w:val="000000"/>
          <w:szCs w:val="22"/>
          <w:lang w:val="es-ES_tradnl"/>
        </w:rPr>
        <w:t xml:space="preserve">OVCR (CRUISE y ensayo de extensión HORIZON): </w:t>
      </w:r>
      <w:r w:rsidR="007422FC" w:rsidRPr="003E0B98">
        <w:rPr>
          <w:color w:val="000000"/>
          <w:szCs w:val="22"/>
          <w:lang w:val="es-ES_tradnl"/>
        </w:rPr>
        <w:t>L</w:t>
      </w:r>
      <w:r w:rsidRPr="003E0B98">
        <w:rPr>
          <w:color w:val="000000"/>
          <w:szCs w:val="22"/>
          <w:lang w:val="es-ES_tradnl"/>
        </w:rPr>
        <w:t xml:space="preserve">os sujetos tratados con tratamiento simulado en los primeros 6 meses </w:t>
      </w:r>
      <w:r w:rsidR="007422FC" w:rsidRPr="003E0B98">
        <w:rPr>
          <w:color w:val="000000"/>
          <w:szCs w:val="22"/>
          <w:lang w:val="es-ES_tradnl"/>
        </w:rPr>
        <w:t>que</w:t>
      </w:r>
      <w:r w:rsidRPr="003E0B98">
        <w:rPr>
          <w:color w:val="000000"/>
          <w:szCs w:val="22"/>
          <w:lang w:val="es-ES_tradnl"/>
        </w:rPr>
        <w:t xml:space="preserve"> posteriormente </w:t>
      </w:r>
      <w:r w:rsidR="007422FC" w:rsidRPr="003E0B98">
        <w:rPr>
          <w:color w:val="000000"/>
          <w:szCs w:val="22"/>
          <w:lang w:val="es-ES_tradnl"/>
        </w:rPr>
        <w:t>recibieron</w:t>
      </w:r>
      <w:r w:rsidRPr="003E0B98">
        <w:rPr>
          <w:color w:val="000000"/>
          <w:szCs w:val="22"/>
          <w:lang w:val="es-ES_tradnl"/>
        </w:rPr>
        <w:t xml:space="preserve"> </w:t>
      </w:r>
      <w:proofErr w:type="spellStart"/>
      <w:r w:rsidRPr="003E0B98">
        <w:rPr>
          <w:color w:val="000000"/>
          <w:szCs w:val="22"/>
          <w:lang w:val="es-ES_tradnl"/>
        </w:rPr>
        <w:t>ranibizumab</w:t>
      </w:r>
      <w:proofErr w:type="spellEnd"/>
      <w:r w:rsidR="007422FC" w:rsidRPr="003E0B98">
        <w:rPr>
          <w:color w:val="000000"/>
          <w:szCs w:val="22"/>
          <w:lang w:val="es-ES_tradnl"/>
        </w:rPr>
        <w:t>,</w:t>
      </w:r>
      <w:r w:rsidRPr="003E0B98">
        <w:rPr>
          <w:color w:val="000000"/>
          <w:szCs w:val="22"/>
          <w:lang w:val="es-ES_tradnl"/>
        </w:rPr>
        <w:t xml:space="preserve"> no alcanzaron ganancias comparables en </w:t>
      </w:r>
      <w:r w:rsidR="001B5726">
        <w:rPr>
          <w:color w:val="000000"/>
          <w:szCs w:val="22"/>
          <w:lang w:val="es-ES_tradnl"/>
        </w:rPr>
        <w:t>agudeza visual</w:t>
      </w:r>
      <w:r w:rsidRPr="003E0B98">
        <w:rPr>
          <w:color w:val="000000"/>
          <w:szCs w:val="22"/>
          <w:lang w:val="es-ES_tradnl"/>
        </w:rPr>
        <w:t xml:space="preserve"> </w:t>
      </w:r>
      <w:r w:rsidR="007422FC" w:rsidRPr="003E0B98">
        <w:rPr>
          <w:color w:val="000000"/>
          <w:szCs w:val="22"/>
          <w:lang w:val="es-ES_tradnl"/>
        </w:rPr>
        <w:t xml:space="preserve">en el Mes 24 </w:t>
      </w:r>
      <w:r w:rsidRPr="003E0B98">
        <w:rPr>
          <w:color w:val="000000"/>
          <w:lang w:val="es-ES_tradnl"/>
        </w:rPr>
        <w:t xml:space="preserve">(~6 letras) en comparación con los sujetos </w:t>
      </w:r>
      <w:r w:rsidRPr="003E0B98">
        <w:rPr>
          <w:color w:val="000000"/>
          <w:szCs w:val="22"/>
          <w:lang w:val="es-ES_tradnl"/>
        </w:rPr>
        <w:t xml:space="preserve">tratados con </w:t>
      </w:r>
      <w:proofErr w:type="spellStart"/>
      <w:r w:rsidRPr="003E0B98">
        <w:rPr>
          <w:color w:val="000000"/>
          <w:szCs w:val="22"/>
          <w:lang w:val="es-ES_tradnl"/>
        </w:rPr>
        <w:t>ranibizumab</w:t>
      </w:r>
      <w:proofErr w:type="spellEnd"/>
      <w:r w:rsidRPr="003E0B98">
        <w:rPr>
          <w:color w:val="000000"/>
          <w:szCs w:val="22"/>
          <w:lang w:val="es-ES_tradnl"/>
        </w:rPr>
        <w:t xml:space="preserve"> desde el inicio del ensayo (</w:t>
      </w:r>
      <w:r w:rsidRPr="003E0B98">
        <w:rPr>
          <w:color w:val="000000"/>
          <w:lang w:val="es-ES_tradnl"/>
        </w:rPr>
        <w:t>~12 letras).</w:t>
      </w:r>
    </w:p>
    <w:p w14:paraId="0334D265" w14:textId="77777777" w:rsidR="002E5034" w:rsidRPr="003E0B98" w:rsidRDefault="002E5034" w:rsidP="004361AC">
      <w:pPr>
        <w:tabs>
          <w:tab w:val="clear" w:pos="567"/>
        </w:tabs>
        <w:spacing w:line="240" w:lineRule="auto"/>
        <w:rPr>
          <w:bCs/>
          <w:szCs w:val="22"/>
          <w:lang w:val="es-ES_tradnl"/>
        </w:rPr>
      </w:pPr>
    </w:p>
    <w:p w14:paraId="1C7815FB" w14:textId="77777777" w:rsidR="002E5034" w:rsidRPr="003E0B98" w:rsidRDefault="0080334E" w:rsidP="004361AC">
      <w:pPr>
        <w:tabs>
          <w:tab w:val="clear" w:pos="567"/>
        </w:tabs>
        <w:spacing w:line="240" w:lineRule="auto"/>
        <w:rPr>
          <w:szCs w:val="22"/>
          <w:lang w:val="es-ES_tradnl"/>
        </w:rPr>
      </w:pPr>
      <w:r w:rsidRPr="003E0B98">
        <w:rPr>
          <w:rFonts w:cs="Calibri"/>
          <w:lang w:val="es-ES"/>
        </w:rPr>
        <w:t xml:space="preserve">En el tratamiento con </w:t>
      </w:r>
      <w:proofErr w:type="spellStart"/>
      <w:r w:rsidRPr="003E0B98">
        <w:rPr>
          <w:rFonts w:cs="Calibri"/>
          <w:lang w:val="es-ES"/>
        </w:rPr>
        <w:t>ranibizumab</w:t>
      </w:r>
      <w:proofErr w:type="spellEnd"/>
      <w:r w:rsidRPr="003E0B98">
        <w:rPr>
          <w:rFonts w:cs="Calibri"/>
          <w:lang w:val="es-ES"/>
        </w:rPr>
        <w:t xml:space="preserve"> se observaron beneficios </w:t>
      </w:r>
      <w:r w:rsidRPr="003E0B98">
        <w:rPr>
          <w:szCs w:val="22"/>
          <w:lang w:val="es-ES"/>
        </w:rPr>
        <w:t xml:space="preserve">notificados por el mismo paciente estadísticamente significativos en las subescalas </w:t>
      </w:r>
      <w:r w:rsidR="00F32EE7" w:rsidRPr="003E0B98">
        <w:rPr>
          <w:szCs w:val="22"/>
          <w:lang w:val="es-ES_tradnl"/>
        </w:rPr>
        <w:t>relativas a la actividad de cerca y de lejos</w:t>
      </w:r>
      <w:r w:rsidR="00F32EE7" w:rsidRPr="003E0B98">
        <w:rPr>
          <w:szCs w:val="22"/>
          <w:lang w:val="es-ES"/>
        </w:rPr>
        <w:t xml:space="preserve"> </w:t>
      </w:r>
      <w:r w:rsidRPr="003E0B98">
        <w:rPr>
          <w:szCs w:val="22"/>
          <w:lang w:val="es-ES"/>
        </w:rPr>
        <w:t xml:space="preserve">respecto al grupo control, medidos según el </w:t>
      </w:r>
      <w:r w:rsidRPr="003E0B98">
        <w:rPr>
          <w:szCs w:val="22"/>
          <w:lang w:val="es-ES_tradnl"/>
        </w:rPr>
        <w:t>NEI VFQ-25.</w:t>
      </w:r>
    </w:p>
    <w:p w14:paraId="45EFF4E2" w14:textId="77777777" w:rsidR="002E5034" w:rsidRPr="003E0B98" w:rsidRDefault="002E5034" w:rsidP="004361AC">
      <w:pPr>
        <w:tabs>
          <w:tab w:val="clear" w:pos="567"/>
        </w:tabs>
        <w:spacing w:line="240" w:lineRule="auto"/>
        <w:rPr>
          <w:bCs/>
          <w:szCs w:val="22"/>
          <w:lang w:val="es-ES_tradnl"/>
        </w:rPr>
      </w:pPr>
    </w:p>
    <w:p w14:paraId="21926383" w14:textId="77777777" w:rsidR="00C12EE1" w:rsidRPr="003E0B98" w:rsidRDefault="000259B7" w:rsidP="004361AC">
      <w:pPr>
        <w:tabs>
          <w:tab w:val="clear" w:pos="567"/>
        </w:tabs>
        <w:spacing w:line="240" w:lineRule="auto"/>
        <w:rPr>
          <w:color w:val="000000"/>
          <w:szCs w:val="22"/>
          <w:lang w:val="es-ES_tradnl"/>
        </w:rPr>
      </w:pPr>
      <w:r w:rsidRPr="003E0B98">
        <w:rPr>
          <w:color w:val="000000"/>
          <w:szCs w:val="22"/>
          <w:lang w:val="es-ES_tradnl"/>
        </w:rPr>
        <w:t xml:space="preserve">La seguridad y eficacia clínicas de </w:t>
      </w:r>
      <w:proofErr w:type="spellStart"/>
      <w:r w:rsidRPr="003E0B98">
        <w:rPr>
          <w:color w:val="000000"/>
          <w:szCs w:val="22"/>
          <w:lang w:val="es-ES_tradnl"/>
        </w:rPr>
        <w:t>Lucentis</w:t>
      </w:r>
      <w:proofErr w:type="spellEnd"/>
      <w:r w:rsidRPr="003E0B98">
        <w:rPr>
          <w:color w:val="000000"/>
          <w:szCs w:val="22"/>
          <w:lang w:val="es-ES_tradnl"/>
        </w:rPr>
        <w:t xml:space="preserve"> a largo plazo (24 meses) en pacientes con </w:t>
      </w:r>
      <w:r w:rsidRPr="003E0B98">
        <w:rPr>
          <w:color w:val="000000"/>
          <w:szCs w:val="22"/>
          <w:lang w:val="es-ES"/>
        </w:rPr>
        <w:t>alteración</w:t>
      </w:r>
      <w:r w:rsidRPr="003E0B98">
        <w:rPr>
          <w:color w:val="000000"/>
          <w:szCs w:val="22"/>
          <w:lang w:val="es-ES_tradnl"/>
        </w:rPr>
        <w:t xml:space="preserve"> visual debida al edema macular secundario a OVR se </w:t>
      </w:r>
      <w:r w:rsidR="00A11C06" w:rsidRPr="003E0B98">
        <w:rPr>
          <w:color w:val="000000"/>
          <w:szCs w:val="22"/>
          <w:lang w:val="es-ES_tradnl"/>
        </w:rPr>
        <w:t xml:space="preserve">evaluaron en los ensayos </w:t>
      </w:r>
      <w:r w:rsidR="00A11C06" w:rsidRPr="003E0B98">
        <w:rPr>
          <w:color w:val="000000"/>
          <w:lang w:val="es-ES"/>
        </w:rPr>
        <w:t xml:space="preserve">BRIGHTER (BRVO) y CRYSTAL (CRVO). </w:t>
      </w:r>
      <w:r w:rsidR="00CB7805" w:rsidRPr="003E0B98">
        <w:rPr>
          <w:color w:val="000000"/>
          <w:lang w:val="es-ES"/>
        </w:rPr>
        <w:t xml:space="preserve">En ambos ensayos, los sujetos recibieron </w:t>
      </w:r>
      <w:proofErr w:type="spellStart"/>
      <w:r w:rsidR="00DD3CE1" w:rsidRPr="003E0B98">
        <w:rPr>
          <w:color w:val="000000"/>
          <w:lang w:val="es-ES"/>
        </w:rPr>
        <w:t>ranibizumab</w:t>
      </w:r>
      <w:proofErr w:type="spellEnd"/>
      <w:r w:rsidR="00DD3CE1" w:rsidRPr="003E0B98">
        <w:rPr>
          <w:color w:val="000000"/>
          <w:lang w:val="es-ES"/>
        </w:rPr>
        <w:t xml:space="preserve"> </w:t>
      </w:r>
      <w:r w:rsidR="005139F6" w:rsidRPr="003E0B98">
        <w:rPr>
          <w:color w:val="000000"/>
          <w:lang w:val="es-ES"/>
        </w:rPr>
        <w:t xml:space="preserve">0,5 mg </w:t>
      </w:r>
      <w:r w:rsidR="00DD3CE1" w:rsidRPr="003E0B98">
        <w:rPr>
          <w:color w:val="000000"/>
          <w:lang w:val="es-ES"/>
        </w:rPr>
        <w:t xml:space="preserve">en un </w:t>
      </w:r>
      <w:proofErr w:type="spellStart"/>
      <w:r w:rsidR="00DD3CE1" w:rsidRPr="003E0B98">
        <w:rPr>
          <w:color w:val="000000"/>
          <w:lang w:val="es-ES"/>
        </w:rPr>
        <w:t>regimen</w:t>
      </w:r>
      <w:proofErr w:type="spellEnd"/>
      <w:r w:rsidR="00DD3CE1" w:rsidRPr="003E0B98">
        <w:rPr>
          <w:color w:val="000000"/>
          <w:lang w:val="es-ES"/>
        </w:rPr>
        <w:t xml:space="preserve"> de dosificación PRN que obedece a criterios de estabilización individualizados</w:t>
      </w:r>
      <w:r w:rsidRPr="003E0B98">
        <w:rPr>
          <w:color w:val="000000"/>
          <w:szCs w:val="22"/>
          <w:lang w:val="es-ES_tradnl"/>
        </w:rPr>
        <w:t>.</w:t>
      </w:r>
      <w:r w:rsidR="004561A3" w:rsidRPr="003E0B98">
        <w:rPr>
          <w:color w:val="000000"/>
          <w:szCs w:val="22"/>
          <w:lang w:val="es-ES_tradnl"/>
        </w:rPr>
        <w:t xml:space="preserve"> </w:t>
      </w:r>
      <w:r w:rsidR="004561A3" w:rsidRPr="003E0B98">
        <w:rPr>
          <w:color w:val="000000"/>
          <w:lang w:val="es-ES"/>
        </w:rPr>
        <w:t>BRIGHTER</w:t>
      </w:r>
      <w:r w:rsidR="004561A3" w:rsidRPr="003E0B98">
        <w:rPr>
          <w:color w:val="000000"/>
          <w:szCs w:val="22"/>
          <w:lang w:val="es-ES_tradnl"/>
        </w:rPr>
        <w:t xml:space="preserve"> era un ensayo aleatorizado con 3 grupos controlado con tratamiento activo que comparaba </w:t>
      </w:r>
      <w:proofErr w:type="spellStart"/>
      <w:r w:rsidR="004561A3" w:rsidRPr="003E0B98">
        <w:rPr>
          <w:color w:val="000000"/>
          <w:szCs w:val="22"/>
          <w:lang w:val="es-ES_tradnl"/>
        </w:rPr>
        <w:t>ranibizumab</w:t>
      </w:r>
      <w:proofErr w:type="spellEnd"/>
      <w:r w:rsidR="004561A3" w:rsidRPr="003E0B98">
        <w:rPr>
          <w:color w:val="000000"/>
          <w:szCs w:val="22"/>
          <w:lang w:val="es-ES_tradnl"/>
        </w:rPr>
        <w:t xml:space="preserve"> 0,5 mg administrado en monoterapia</w:t>
      </w:r>
      <w:r w:rsidR="00C12EE1" w:rsidRPr="003E0B98">
        <w:rPr>
          <w:color w:val="000000"/>
          <w:szCs w:val="22"/>
          <w:lang w:val="es-ES_tradnl"/>
        </w:rPr>
        <w:t xml:space="preserve"> </w:t>
      </w:r>
      <w:r w:rsidR="004561A3" w:rsidRPr="003E0B98">
        <w:rPr>
          <w:color w:val="000000"/>
          <w:szCs w:val="22"/>
          <w:lang w:val="es-ES_tradnl"/>
        </w:rPr>
        <w:t xml:space="preserve">o en combinación </w:t>
      </w:r>
      <w:r w:rsidR="00C12EE1" w:rsidRPr="003E0B98">
        <w:rPr>
          <w:color w:val="000000"/>
          <w:szCs w:val="22"/>
          <w:lang w:val="es-ES_tradnl"/>
        </w:rPr>
        <w:t xml:space="preserve">con fotocoagulación con láser adjunta frente a fotocoagulación con láser sola. Después de 6 meses, los sujetos en el grupo del láser podían recibir </w:t>
      </w:r>
      <w:proofErr w:type="spellStart"/>
      <w:r w:rsidR="00C12EE1" w:rsidRPr="003E0B98">
        <w:rPr>
          <w:color w:val="000000"/>
          <w:szCs w:val="22"/>
          <w:lang w:val="es-ES_tradnl"/>
        </w:rPr>
        <w:t>ranibizumab</w:t>
      </w:r>
      <w:proofErr w:type="spellEnd"/>
      <w:r w:rsidR="00C12EE1" w:rsidRPr="003E0B98">
        <w:rPr>
          <w:color w:val="000000"/>
          <w:szCs w:val="22"/>
          <w:lang w:val="es-ES_tradnl"/>
        </w:rPr>
        <w:t xml:space="preserve"> 0,5 mg. CRYSTAL era un ensayo de un grupo</w:t>
      </w:r>
      <w:r w:rsidR="00AA059F" w:rsidRPr="003E0B98">
        <w:rPr>
          <w:color w:val="000000"/>
          <w:szCs w:val="22"/>
          <w:lang w:val="es-ES_tradnl"/>
        </w:rPr>
        <w:t xml:space="preserve"> único con </w:t>
      </w:r>
      <w:proofErr w:type="spellStart"/>
      <w:r w:rsidR="00AA059F" w:rsidRPr="003E0B98">
        <w:rPr>
          <w:color w:val="000000"/>
          <w:szCs w:val="22"/>
          <w:lang w:val="es-ES_tradnl"/>
        </w:rPr>
        <w:t>ranibizumab</w:t>
      </w:r>
      <w:proofErr w:type="spellEnd"/>
      <w:r w:rsidR="00AA059F" w:rsidRPr="003E0B98">
        <w:rPr>
          <w:color w:val="000000"/>
          <w:szCs w:val="22"/>
          <w:lang w:val="es-ES_tradnl"/>
        </w:rPr>
        <w:t xml:space="preserve"> 0,5 mg en monoterapia.</w:t>
      </w:r>
    </w:p>
    <w:p w14:paraId="0800512A" w14:textId="77777777" w:rsidR="00CB7805" w:rsidRPr="003E0B98" w:rsidRDefault="00CB7805" w:rsidP="004361AC">
      <w:pPr>
        <w:tabs>
          <w:tab w:val="clear" w:pos="567"/>
        </w:tabs>
        <w:spacing w:line="240" w:lineRule="auto"/>
        <w:rPr>
          <w:color w:val="000000"/>
          <w:szCs w:val="22"/>
          <w:lang w:val="es-ES_tradnl"/>
        </w:rPr>
      </w:pPr>
    </w:p>
    <w:p w14:paraId="0F36710F" w14:textId="7A0426CD" w:rsidR="00AA059F" w:rsidRPr="003E0B98" w:rsidRDefault="00AA059F" w:rsidP="004361AC">
      <w:pPr>
        <w:tabs>
          <w:tab w:val="clear" w:pos="567"/>
        </w:tabs>
        <w:spacing w:line="240" w:lineRule="auto"/>
        <w:rPr>
          <w:color w:val="000000"/>
          <w:szCs w:val="22"/>
          <w:lang w:val="es-ES_tradnl"/>
        </w:rPr>
      </w:pPr>
      <w:r w:rsidRPr="003E0B98">
        <w:rPr>
          <w:color w:val="000000"/>
          <w:szCs w:val="22"/>
          <w:lang w:val="es-ES_tradnl"/>
        </w:rPr>
        <w:t>En la Tabla </w:t>
      </w:r>
      <w:r w:rsidR="000B452F" w:rsidRPr="003E0B98">
        <w:rPr>
          <w:color w:val="000000"/>
          <w:szCs w:val="22"/>
          <w:lang w:val="es-ES_tradnl"/>
        </w:rPr>
        <w:t>9</w:t>
      </w:r>
      <w:r w:rsidRPr="003E0B98">
        <w:rPr>
          <w:color w:val="000000"/>
          <w:szCs w:val="22"/>
          <w:lang w:val="es-ES_tradnl"/>
        </w:rPr>
        <w:t xml:space="preserve"> se muestran los resultados clave de los ensayos </w:t>
      </w:r>
      <w:r w:rsidRPr="003E0B98">
        <w:rPr>
          <w:color w:val="000000"/>
          <w:lang w:val="es-ES"/>
        </w:rPr>
        <w:t xml:space="preserve">BRIGHTER y </w:t>
      </w:r>
      <w:r w:rsidRPr="003E0B98">
        <w:rPr>
          <w:color w:val="000000"/>
          <w:szCs w:val="22"/>
          <w:lang w:val="es-ES_tradnl"/>
        </w:rPr>
        <w:t>CRYSTAL.</w:t>
      </w:r>
    </w:p>
    <w:p w14:paraId="369BF3CA" w14:textId="77777777" w:rsidR="00CB7805" w:rsidRPr="003E0B98" w:rsidRDefault="00CB7805" w:rsidP="004361AC">
      <w:pPr>
        <w:tabs>
          <w:tab w:val="clear" w:pos="567"/>
        </w:tabs>
        <w:spacing w:line="240" w:lineRule="auto"/>
        <w:rPr>
          <w:color w:val="000000"/>
          <w:lang w:val="es-ES"/>
        </w:rPr>
      </w:pPr>
    </w:p>
    <w:p w14:paraId="17E44DB9" w14:textId="0C517C0A" w:rsidR="00CB7805" w:rsidRPr="003E0B98" w:rsidRDefault="00CB7805" w:rsidP="004361AC">
      <w:pPr>
        <w:keepNext/>
        <w:keepLines/>
        <w:tabs>
          <w:tab w:val="clear" w:pos="567"/>
        </w:tabs>
        <w:spacing w:line="240" w:lineRule="auto"/>
        <w:rPr>
          <w:b/>
          <w:color w:val="000000"/>
          <w:lang w:val="es-ES"/>
        </w:rPr>
      </w:pPr>
      <w:r w:rsidRPr="003E0B98">
        <w:rPr>
          <w:b/>
          <w:color w:val="000000"/>
          <w:lang w:val="es-ES"/>
        </w:rPr>
        <w:t>Tabla </w:t>
      </w:r>
      <w:r w:rsidR="000B452F" w:rsidRPr="003E0B98">
        <w:rPr>
          <w:b/>
          <w:color w:val="000000"/>
          <w:lang w:val="es-ES"/>
        </w:rPr>
        <w:t>9</w:t>
      </w:r>
      <w:r w:rsidRPr="003E0B98">
        <w:rPr>
          <w:b/>
          <w:color w:val="000000"/>
          <w:lang w:val="es-ES"/>
        </w:rPr>
        <w:tab/>
      </w:r>
      <w:r w:rsidR="0033510C" w:rsidRPr="003E0B98">
        <w:rPr>
          <w:b/>
          <w:color w:val="000000"/>
          <w:lang w:val="es-ES_tradnl"/>
        </w:rPr>
        <w:t>Resultados a los Meses 6 y 24 (</w:t>
      </w:r>
      <w:r w:rsidR="00AA059F" w:rsidRPr="003E0B98">
        <w:rPr>
          <w:b/>
          <w:color w:val="000000"/>
          <w:lang w:val="es-ES"/>
        </w:rPr>
        <w:t>BRIGHTER y</w:t>
      </w:r>
      <w:r w:rsidRPr="003E0B98">
        <w:rPr>
          <w:b/>
          <w:color w:val="000000"/>
          <w:lang w:val="es-ES"/>
        </w:rPr>
        <w:t xml:space="preserve"> CRYSTAL)</w:t>
      </w:r>
    </w:p>
    <w:p w14:paraId="2C8674AC" w14:textId="77777777" w:rsidR="00CB7805" w:rsidRPr="003E0B98" w:rsidRDefault="00CB7805" w:rsidP="004361AC">
      <w:pPr>
        <w:keepNext/>
        <w:keepLines/>
        <w:tabs>
          <w:tab w:val="clear" w:pos="567"/>
        </w:tabs>
        <w:spacing w:line="240" w:lineRule="auto"/>
        <w:rPr>
          <w:color w:val="00000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9"/>
        <w:gridCol w:w="1805"/>
        <w:gridCol w:w="1805"/>
        <w:gridCol w:w="1799"/>
        <w:gridCol w:w="1823"/>
      </w:tblGrid>
      <w:tr w:rsidR="00CB7805" w:rsidRPr="003E0B98" w14:paraId="2FFEFD5F" w14:textId="77777777" w:rsidTr="008E3F58">
        <w:trPr>
          <w:cantSplit/>
        </w:trPr>
        <w:tc>
          <w:tcPr>
            <w:tcW w:w="1857" w:type="dxa"/>
          </w:tcPr>
          <w:p w14:paraId="3D36A262" w14:textId="77777777" w:rsidR="00CB7805" w:rsidRPr="003E0B98" w:rsidRDefault="00CB7805" w:rsidP="004361AC">
            <w:pPr>
              <w:keepNext/>
              <w:keepLines/>
              <w:tabs>
                <w:tab w:val="clear" w:pos="567"/>
              </w:tabs>
              <w:spacing w:line="240" w:lineRule="auto"/>
              <w:jc w:val="center"/>
              <w:rPr>
                <w:b/>
                <w:bCs/>
                <w:color w:val="000000"/>
                <w:szCs w:val="22"/>
                <w:lang w:val="es-ES"/>
              </w:rPr>
            </w:pPr>
          </w:p>
        </w:tc>
        <w:tc>
          <w:tcPr>
            <w:tcW w:w="5572" w:type="dxa"/>
            <w:gridSpan w:val="3"/>
          </w:tcPr>
          <w:p w14:paraId="74005068" w14:textId="77777777" w:rsidR="00CB7805" w:rsidRPr="003E0B98" w:rsidRDefault="00CB7805" w:rsidP="004361AC">
            <w:pPr>
              <w:keepNext/>
              <w:keepLines/>
              <w:tabs>
                <w:tab w:val="clear" w:pos="567"/>
              </w:tabs>
              <w:spacing w:line="240" w:lineRule="auto"/>
              <w:jc w:val="center"/>
              <w:rPr>
                <w:b/>
                <w:bCs/>
                <w:color w:val="000000"/>
                <w:szCs w:val="22"/>
                <w:lang w:val="en-US"/>
              </w:rPr>
            </w:pPr>
            <w:r w:rsidRPr="003E0B98">
              <w:rPr>
                <w:b/>
                <w:bCs/>
                <w:color w:val="000000"/>
                <w:szCs w:val="22"/>
                <w:lang w:val="en-US"/>
              </w:rPr>
              <w:t>BRIGHTER</w:t>
            </w:r>
          </w:p>
        </w:tc>
        <w:tc>
          <w:tcPr>
            <w:tcW w:w="1858" w:type="dxa"/>
          </w:tcPr>
          <w:p w14:paraId="4B199892" w14:textId="77777777" w:rsidR="00CB7805" w:rsidRPr="003E0B98" w:rsidRDefault="00CB7805" w:rsidP="004361AC">
            <w:pPr>
              <w:keepNext/>
              <w:keepLines/>
              <w:tabs>
                <w:tab w:val="clear" w:pos="567"/>
              </w:tabs>
              <w:spacing w:line="240" w:lineRule="auto"/>
              <w:jc w:val="center"/>
              <w:rPr>
                <w:b/>
                <w:bCs/>
                <w:color w:val="000000"/>
                <w:szCs w:val="22"/>
                <w:lang w:val="en-US"/>
              </w:rPr>
            </w:pPr>
            <w:r w:rsidRPr="003E0B98">
              <w:rPr>
                <w:b/>
                <w:bCs/>
                <w:color w:val="000000"/>
                <w:szCs w:val="22"/>
                <w:lang w:val="en-US"/>
              </w:rPr>
              <w:t>CRYSTAL</w:t>
            </w:r>
          </w:p>
        </w:tc>
      </w:tr>
      <w:tr w:rsidR="00CB7805" w:rsidRPr="003E0B98" w14:paraId="51D36BE3" w14:textId="77777777" w:rsidTr="008E3F58">
        <w:trPr>
          <w:cantSplit/>
        </w:trPr>
        <w:tc>
          <w:tcPr>
            <w:tcW w:w="1857" w:type="dxa"/>
          </w:tcPr>
          <w:p w14:paraId="644AE14D" w14:textId="77777777" w:rsidR="00CB7805" w:rsidRPr="003E0B98" w:rsidRDefault="00CB7805" w:rsidP="004361AC">
            <w:pPr>
              <w:keepNext/>
              <w:keepLines/>
              <w:tabs>
                <w:tab w:val="clear" w:pos="567"/>
              </w:tabs>
              <w:spacing w:line="240" w:lineRule="auto"/>
              <w:jc w:val="center"/>
              <w:rPr>
                <w:color w:val="000000"/>
                <w:vertAlign w:val="superscript"/>
                <w:lang w:val="en-US"/>
              </w:rPr>
            </w:pPr>
          </w:p>
        </w:tc>
        <w:tc>
          <w:tcPr>
            <w:tcW w:w="1857" w:type="dxa"/>
          </w:tcPr>
          <w:p w14:paraId="27B2453B" w14:textId="77777777" w:rsidR="00CB7805" w:rsidRPr="003E0B98" w:rsidRDefault="00AC1E5F" w:rsidP="004361AC">
            <w:pPr>
              <w:keepNext/>
              <w:keepLines/>
              <w:tabs>
                <w:tab w:val="clear" w:pos="567"/>
              </w:tabs>
              <w:spacing w:line="240" w:lineRule="auto"/>
              <w:jc w:val="center"/>
              <w:rPr>
                <w:color w:val="000000"/>
                <w:lang w:val="en-US"/>
              </w:rPr>
            </w:pPr>
            <w:r w:rsidRPr="003E0B98">
              <w:rPr>
                <w:color w:val="000000"/>
                <w:lang w:val="en-US"/>
              </w:rPr>
              <w:t>Lucentis 0,</w:t>
            </w:r>
            <w:r w:rsidR="00CB7805" w:rsidRPr="003E0B98">
              <w:rPr>
                <w:color w:val="000000"/>
                <w:lang w:val="en-US"/>
              </w:rPr>
              <w:t>5 mg</w:t>
            </w:r>
          </w:p>
          <w:p w14:paraId="7D169E61" w14:textId="77777777" w:rsidR="00CB7805" w:rsidRPr="003E0B98" w:rsidRDefault="00CB7805" w:rsidP="004361AC">
            <w:pPr>
              <w:keepNext/>
              <w:keepLines/>
              <w:tabs>
                <w:tab w:val="clear" w:pos="567"/>
              </w:tabs>
              <w:spacing w:line="240" w:lineRule="auto"/>
              <w:jc w:val="center"/>
              <w:rPr>
                <w:color w:val="000000"/>
                <w:vertAlign w:val="superscript"/>
                <w:lang w:val="en-US"/>
              </w:rPr>
            </w:pPr>
            <w:r w:rsidRPr="003E0B98">
              <w:rPr>
                <w:color w:val="000000"/>
                <w:lang w:val="en-US"/>
              </w:rPr>
              <w:t>N=180</w:t>
            </w:r>
          </w:p>
        </w:tc>
        <w:tc>
          <w:tcPr>
            <w:tcW w:w="1857" w:type="dxa"/>
          </w:tcPr>
          <w:p w14:paraId="67C6E70C" w14:textId="77777777" w:rsidR="00CB7805" w:rsidRPr="003E0B98" w:rsidRDefault="00AC1E5F" w:rsidP="004361AC">
            <w:pPr>
              <w:keepNext/>
              <w:keepLines/>
              <w:tabs>
                <w:tab w:val="clear" w:pos="567"/>
              </w:tabs>
              <w:spacing w:line="240" w:lineRule="auto"/>
              <w:jc w:val="center"/>
              <w:rPr>
                <w:color w:val="000000"/>
                <w:lang w:val="en-US"/>
              </w:rPr>
            </w:pPr>
            <w:r w:rsidRPr="003E0B98">
              <w:rPr>
                <w:color w:val="000000"/>
                <w:lang w:val="en-US"/>
              </w:rPr>
              <w:t>Lucentis 0</w:t>
            </w:r>
            <w:r w:rsidR="0033510C" w:rsidRPr="003E0B98">
              <w:rPr>
                <w:color w:val="000000"/>
                <w:lang w:val="en-US"/>
              </w:rPr>
              <w:t>,</w:t>
            </w:r>
            <w:r w:rsidR="00CB7805" w:rsidRPr="003E0B98">
              <w:rPr>
                <w:color w:val="000000"/>
                <w:lang w:val="en-US"/>
              </w:rPr>
              <w:t>5 mg</w:t>
            </w:r>
            <w:r w:rsidRPr="003E0B98">
              <w:rPr>
                <w:color w:val="000000"/>
                <w:lang w:val="en-US"/>
              </w:rPr>
              <w:t xml:space="preserve"> + </w:t>
            </w:r>
            <w:proofErr w:type="spellStart"/>
            <w:r w:rsidRPr="003E0B98">
              <w:rPr>
                <w:color w:val="000000"/>
                <w:lang w:val="en-US"/>
              </w:rPr>
              <w:t>Lá</w:t>
            </w:r>
            <w:r w:rsidR="00CB7805" w:rsidRPr="003E0B98">
              <w:rPr>
                <w:color w:val="000000"/>
                <w:lang w:val="en-US"/>
              </w:rPr>
              <w:t>ser</w:t>
            </w:r>
            <w:proofErr w:type="spellEnd"/>
          </w:p>
          <w:p w14:paraId="549AA248" w14:textId="77777777" w:rsidR="00CB7805" w:rsidRPr="003E0B98" w:rsidRDefault="00CB7805" w:rsidP="004361AC">
            <w:pPr>
              <w:keepNext/>
              <w:keepLines/>
              <w:tabs>
                <w:tab w:val="clear" w:pos="567"/>
              </w:tabs>
              <w:spacing w:line="240" w:lineRule="auto"/>
              <w:jc w:val="center"/>
              <w:rPr>
                <w:color w:val="000000"/>
                <w:vertAlign w:val="superscript"/>
                <w:lang w:val="en-US"/>
              </w:rPr>
            </w:pPr>
            <w:r w:rsidRPr="003E0B98">
              <w:rPr>
                <w:color w:val="000000"/>
                <w:lang w:val="en-US"/>
              </w:rPr>
              <w:t>N=178</w:t>
            </w:r>
          </w:p>
        </w:tc>
        <w:tc>
          <w:tcPr>
            <w:tcW w:w="1858" w:type="dxa"/>
          </w:tcPr>
          <w:p w14:paraId="4B5085B6" w14:textId="77777777" w:rsidR="00CB7805" w:rsidRPr="003E0B98" w:rsidRDefault="00AC1E5F" w:rsidP="004361AC">
            <w:pPr>
              <w:keepNext/>
              <w:keepLines/>
              <w:tabs>
                <w:tab w:val="clear" w:pos="567"/>
              </w:tabs>
              <w:spacing w:line="240" w:lineRule="auto"/>
              <w:jc w:val="center"/>
              <w:rPr>
                <w:color w:val="000000"/>
                <w:lang w:val="en-US"/>
              </w:rPr>
            </w:pPr>
            <w:r w:rsidRPr="003E0B98">
              <w:rPr>
                <w:color w:val="000000"/>
                <w:lang w:val="en-US"/>
              </w:rPr>
              <w:t>Lá</w:t>
            </w:r>
            <w:r w:rsidR="00CB7805" w:rsidRPr="003E0B98">
              <w:rPr>
                <w:color w:val="000000"/>
                <w:lang w:val="en-US"/>
              </w:rPr>
              <w:t>ser*</w:t>
            </w:r>
          </w:p>
          <w:p w14:paraId="6B2683FC" w14:textId="77777777" w:rsidR="00CB7805" w:rsidRPr="003E0B98" w:rsidRDefault="00CB7805" w:rsidP="004361AC">
            <w:pPr>
              <w:keepNext/>
              <w:keepLines/>
              <w:tabs>
                <w:tab w:val="clear" w:pos="567"/>
              </w:tabs>
              <w:spacing w:line="240" w:lineRule="auto"/>
              <w:jc w:val="center"/>
              <w:rPr>
                <w:color w:val="000000"/>
                <w:vertAlign w:val="superscript"/>
                <w:lang w:val="en-US"/>
              </w:rPr>
            </w:pPr>
            <w:r w:rsidRPr="003E0B98">
              <w:rPr>
                <w:color w:val="000000"/>
                <w:lang w:val="en-US"/>
              </w:rPr>
              <w:t>N=90</w:t>
            </w:r>
          </w:p>
        </w:tc>
        <w:tc>
          <w:tcPr>
            <w:tcW w:w="1858" w:type="dxa"/>
          </w:tcPr>
          <w:p w14:paraId="3FA257D4" w14:textId="77777777" w:rsidR="00CB7805" w:rsidRPr="003E0B98" w:rsidRDefault="0033510C" w:rsidP="004361AC">
            <w:pPr>
              <w:keepNext/>
              <w:keepLines/>
              <w:tabs>
                <w:tab w:val="clear" w:pos="567"/>
              </w:tabs>
              <w:spacing w:line="240" w:lineRule="auto"/>
              <w:jc w:val="center"/>
              <w:rPr>
                <w:color w:val="000000"/>
                <w:lang w:val="en-US"/>
              </w:rPr>
            </w:pPr>
            <w:r w:rsidRPr="003E0B98">
              <w:rPr>
                <w:color w:val="000000"/>
                <w:lang w:val="en-US"/>
              </w:rPr>
              <w:t>Lucentis 0,</w:t>
            </w:r>
            <w:r w:rsidR="00CB7805" w:rsidRPr="003E0B98">
              <w:rPr>
                <w:color w:val="000000"/>
                <w:lang w:val="en-US"/>
              </w:rPr>
              <w:t>5 mg</w:t>
            </w:r>
          </w:p>
          <w:p w14:paraId="52102E77" w14:textId="77777777" w:rsidR="00CB7805" w:rsidRPr="003E0B98" w:rsidRDefault="00CB7805" w:rsidP="004361AC">
            <w:pPr>
              <w:keepNext/>
              <w:keepLines/>
              <w:tabs>
                <w:tab w:val="clear" w:pos="567"/>
              </w:tabs>
              <w:spacing w:line="240" w:lineRule="auto"/>
              <w:jc w:val="center"/>
              <w:rPr>
                <w:color w:val="000000"/>
                <w:vertAlign w:val="superscript"/>
                <w:lang w:val="en-US"/>
              </w:rPr>
            </w:pPr>
            <w:r w:rsidRPr="003E0B98">
              <w:rPr>
                <w:color w:val="000000"/>
                <w:lang w:val="en-US"/>
              </w:rPr>
              <w:t>N=356</w:t>
            </w:r>
          </w:p>
        </w:tc>
      </w:tr>
      <w:tr w:rsidR="00CB7805" w:rsidRPr="003E0B98" w14:paraId="653878C7" w14:textId="77777777" w:rsidTr="008E3F58">
        <w:trPr>
          <w:cantSplit/>
        </w:trPr>
        <w:tc>
          <w:tcPr>
            <w:tcW w:w="1857" w:type="dxa"/>
          </w:tcPr>
          <w:p w14:paraId="36DEC971" w14:textId="77777777" w:rsidR="00CB7805" w:rsidRPr="003E0B98" w:rsidRDefault="002C17B5" w:rsidP="004361AC">
            <w:pPr>
              <w:keepNext/>
              <w:keepLines/>
              <w:tabs>
                <w:tab w:val="clear" w:pos="567"/>
              </w:tabs>
              <w:spacing w:line="240" w:lineRule="auto"/>
              <w:rPr>
                <w:color w:val="000000"/>
                <w:vertAlign w:val="superscript"/>
                <w:lang w:val="es-ES"/>
              </w:rPr>
            </w:pPr>
            <w:r w:rsidRPr="003E0B98">
              <w:rPr>
                <w:color w:val="000000"/>
                <w:szCs w:val="22"/>
                <w:lang w:val="es-ES_tradnl"/>
              </w:rPr>
              <w:t xml:space="preserve">Cambio </w:t>
            </w:r>
            <w:r w:rsidR="006006F4" w:rsidRPr="003E0B98">
              <w:rPr>
                <w:color w:val="000000"/>
                <w:szCs w:val="22"/>
                <w:lang w:val="es-ES_tradnl"/>
              </w:rPr>
              <w:t>pro</w:t>
            </w:r>
            <w:r w:rsidRPr="003E0B98">
              <w:rPr>
                <w:color w:val="000000"/>
                <w:szCs w:val="22"/>
                <w:lang w:val="es-ES_tradnl"/>
              </w:rPr>
              <w:t xml:space="preserve">medio </w:t>
            </w:r>
            <w:r w:rsidR="008222CB" w:rsidRPr="003E0B98">
              <w:rPr>
                <w:color w:val="000000"/>
                <w:szCs w:val="22"/>
                <w:lang w:val="es-ES_tradnl"/>
              </w:rPr>
              <w:t>de</w:t>
            </w:r>
            <w:r w:rsidRPr="003E0B98">
              <w:rPr>
                <w:color w:val="000000"/>
                <w:szCs w:val="22"/>
                <w:lang w:val="es-ES_tradnl"/>
              </w:rPr>
              <w:t xml:space="preserve"> la AVMC</w:t>
            </w:r>
            <w:r w:rsidRPr="003E0B98">
              <w:rPr>
                <w:rFonts w:cs="Calibri"/>
                <w:bCs/>
                <w:iCs/>
                <w:lang w:val="es-ES"/>
              </w:rPr>
              <w:t xml:space="preserve"> al Mes </w:t>
            </w:r>
            <w:r w:rsidR="00CB7805" w:rsidRPr="003E0B98">
              <w:rPr>
                <w:color w:val="000000"/>
                <w:lang w:val="es-ES"/>
              </w:rPr>
              <w:t>6</w:t>
            </w:r>
            <w:r w:rsidR="00CB7805" w:rsidRPr="003E0B98">
              <w:rPr>
                <w:color w:val="000000"/>
                <w:vertAlign w:val="superscript"/>
                <w:lang w:val="es-ES"/>
              </w:rPr>
              <w:t>a</w:t>
            </w:r>
            <w:r w:rsidRPr="003E0B98">
              <w:rPr>
                <w:color w:val="000000"/>
                <w:lang w:val="es-ES"/>
              </w:rPr>
              <w:t xml:space="preserve"> (letras</w:t>
            </w:r>
            <w:r w:rsidR="00CB7805" w:rsidRPr="003E0B98">
              <w:rPr>
                <w:color w:val="000000"/>
                <w:lang w:val="es-ES"/>
              </w:rPr>
              <w:t>) (</w:t>
            </w:r>
            <w:r w:rsidRPr="003E0B98">
              <w:rPr>
                <w:bCs/>
                <w:iCs/>
                <w:color w:val="000000"/>
                <w:szCs w:val="22"/>
                <w:lang w:val="es-ES_tradnl"/>
              </w:rPr>
              <w:t>desviación estándar</w:t>
            </w:r>
            <w:r w:rsidRPr="003E0B98">
              <w:rPr>
                <w:rFonts w:cs="Calibri"/>
                <w:bCs/>
                <w:iCs/>
                <w:lang w:val="es-ES"/>
              </w:rPr>
              <w:t>)</w:t>
            </w:r>
          </w:p>
        </w:tc>
        <w:tc>
          <w:tcPr>
            <w:tcW w:w="1857" w:type="dxa"/>
            <w:vAlign w:val="center"/>
          </w:tcPr>
          <w:p w14:paraId="1BE2D60F" w14:textId="77777777" w:rsidR="00CB7805" w:rsidRPr="003E0B98" w:rsidRDefault="00CB7805" w:rsidP="004361AC">
            <w:pPr>
              <w:keepNext/>
              <w:keepLines/>
              <w:tabs>
                <w:tab w:val="clear" w:pos="567"/>
              </w:tabs>
              <w:spacing w:line="240" w:lineRule="auto"/>
              <w:jc w:val="center"/>
              <w:rPr>
                <w:color w:val="000000"/>
                <w:lang w:val="en-US"/>
              </w:rPr>
            </w:pPr>
            <w:r w:rsidRPr="003E0B98">
              <w:rPr>
                <w:color w:val="000000"/>
                <w:lang w:val="en-US"/>
              </w:rPr>
              <w:t>+</w:t>
            </w:r>
            <w:r w:rsidR="0033510C" w:rsidRPr="003E0B98">
              <w:rPr>
                <w:color w:val="000000"/>
                <w:lang w:val="en-US"/>
              </w:rPr>
              <w:t>14,</w:t>
            </w:r>
            <w:r w:rsidRPr="003E0B98">
              <w:rPr>
                <w:color w:val="000000"/>
                <w:lang w:val="en-US"/>
              </w:rPr>
              <w:t>8</w:t>
            </w:r>
          </w:p>
          <w:p w14:paraId="683AC767" w14:textId="77777777" w:rsidR="00CB7805" w:rsidRPr="003E0B98" w:rsidRDefault="0033510C" w:rsidP="004361AC">
            <w:pPr>
              <w:keepNext/>
              <w:keepLines/>
              <w:tabs>
                <w:tab w:val="clear" w:pos="567"/>
              </w:tabs>
              <w:spacing w:line="240" w:lineRule="auto"/>
              <w:jc w:val="center"/>
              <w:rPr>
                <w:color w:val="000000"/>
                <w:vertAlign w:val="superscript"/>
                <w:lang w:val="en-US"/>
              </w:rPr>
            </w:pPr>
            <w:r w:rsidRPr="003E0B98">
              <w:rPr>
                <w:color w:val="000000"/>
                <w:lang w:val="en-US"/>
              </w:rPr>
              <w:t>(10,</w:t>
            </w:r>
            <w:r w:rsidR="00CB7805" w:rsidRPr="003E0B98">
              <w:rPr>
                <w:color w:val="000000"/>
                <w:lang w:val="en-US"/>
              </w:rPr>
              <w:t>7)</w:t>
            </w:r>
          </w:p>
        </w:tc>
        <w:tc>
          <w:tcPr>
            <w:tcW w:w="1857" w:type="dxa"/>
            <w:vAlign w:val="center"/>
          </w:tcPr>
          <w:p w14:paraId="32009EF9" w14:textId="77777777" w:rsidR="00CB7805" w:rsidRPr="003E0B98" w:rsidRDefault="00CB7805" w:rsidP="004361AC">
            <w:pPr>
              <w:keepNext/>
              <w:keepLines/>
              <w:tabs>
                <w:tab w:val="clear" w:pos="567"/>
              </w:tabs>
              <w:spacing w:line="240" w:lineRule="auto"/>
              <w:jc w:val="center"/>
              <w:rPr>
                <w:color w:val="000000"/>
                <w:lang w:val="en-US"/>
              </w:rPr>
            </w:pPr>
            <w:r w:rsidRPr="003E0B98">
              <w:rPr>
                <w:color w:val="000000"/>
                <w:lang w:val="en-US"/>
              </w:rPr>
              <w:t>+</w:t>
            </w:r>
            <w:r w:rsidR="0033510C" w:rsidRPr="003E0B98">
              <w:rPr>
                <w:color w:val="000000"/>
                <w:lang w:val="en-US"/>
              </w:rPr>
              <w:t>14,</w:t>
            </w:r>
            <w:r w:rsidRPr="003E0B98">
              <w:rPr>
                <w:color w:val="000000"/>
                <w:lang w:val="en-US"/>
              </w:rPr>
              <w:t>8</w:t>
            </w:r>
          </w:p>
          <w:p w14:paraId="5CDF8727" w14:textId="77777777" w:rsidR="00CB7805" w:rsidRPr="003E0B98" w:rsidRDefault="0033510C" w:rsidP="004361AC">
            <w:pPr>
              <w:keepNext/>
              <w:keepLines/>
              <w:tabs>
                <w:tab w:val="clear" w:pos="567"/>
              </w:tabs>
              <w:spacing w:line="240" w:lineRule="auto"/>
              <w:jc w:val="center"/>
              <w:rPr>
                <w:color w:val="000000"/>
                <w:vertAlign w:val="superscript"/>
                <w:lang w:val="en-US"/>
              </w:rPr>
            </w:pPr>
            <w:r w:rsidRPr="003E0B98">
              <w:rPr>
                <w:color w:val="000000"/>
                <w:lang w:val="en-US"/>
              </w:rPr>
              <w:t>(11,</w:t>
            </w:r>
            <w:r w:rsidR="00CB7805" w:rsidRPr="003E0B98">
              <w:rPr>
                <w:color w:val="000000"/>
                <w:lang w:val="en-US"/>
              </w:rPr>
              <w:t>13)</w:t>
            </w:r>
          </w:p>
        </w:tc>
        <w:tc>
          <w:tcPr>
            <w:tcW w:w="1858" w:type="dxa"/>
            <w:vAlign w:val="center"/>
          </w:tcPr>
          <w:p w14:paraId="0650D510" w14:textId="77777777" w:rsidR="00CB7805" w:rsidRPr="003E0B98" w:rsidRDefault="00CB7805" w:rsidP="004361AC">
            <w:pPr>
              <w:keepNext/>
              <w:keepLines/>
              <w:tabs>
                <w:tab w:val="clear" w:pos="567"/>
              </w:tabs>
              <w:spacing w:line="240" w:lineRule="auto"/>
              <w:jc w:val="center"/>
              <w:rPr>
                <w:color w:val="000000"/>
                <w:lang w:val="en-US"/>
              </w:rPr>
            </w:pPr>
            <w:r w:rsidRPr="003E0B98">
              <w:rPr>
                <w:color w:val="000000"/>
                <w:lang w:val="en-US"/>
              </w:rPr>
              <w:t>+</w:t>
            </w:r>
            <w:r w:rsidR="0033510C" w:rsidRPr="003E0B98">
              <w:rPr>
                <w:color w:val="000000"/>
                <w:lang w:val="en-US"/>
              </w:rPr>
              <w:t>6,</w:t>
            </w:r>
            <w:r w:rsidRPr="003E0B98">
              <w:rPr>
                <w:color w:val="000000"/>
                <w:lang w:val="en-US"/>
              </w:rPr>
              <w:t>0</w:t>
            </w:r>
          </w:p>
          <w:p w14:paraId="660A7DE2" w14:textId="77777777" w:rsidR="00CB7805" w:rsidRPr="003E0B98" w:rsidRDefault="00CB7805" w:rsidP="004361AC">
            <w:pPr>
              <w:keepNext/>
              <w:keepLines/>
              <w:tabs>
                <w:tab w:val="clear" w:pos="567"/>
              </w:tabs>
              <w:spacing w:line="240" w:lineRule="auto"/>
              <w:jc w:val="center"/>
              <w:rPr>
                <w:color w:val="000000"/>
                <w:vertAlign w:val="superscript"/>
                <w:lang w:val="en-US"/>
              </w:rPr>
            </w:pPr>
            <w:r w:rsidRPr="003E0B98">
              <w:rPr>
                <w:color w:val="000000"/>
                <w:lang w:val="en-US"/>
              </w:rPr>
              <w:t>(14</w:t>
            </w:r>
            <w:r w:rsidR="0033510C" w:rsidRPr="003E0B98">
              <w:rPr>
                <w:color w:val="000000"/>
                <w:lang w:val="en-US"/>
              </w:rPr>
              <w:t>,</w:t>
            </w:r>
            <w:r w:rsidRPr="003E0B98">
              <w:rPr>
                <w:color w:val="000000"/>
                <w:lang w:val="en-US"/>
              </w:rPr>
              <w:t>27)</w:t>
            </w:r>
          </w:p>
        </w:tc>
        <w:tc>
          <w:tcPr>
            <w:tcW w:w="1858" w:type="dxa"/>
            <w:vAlign w:val="center"/>
          </w:tcPr>
          <w:p w14:paraId="3B8C3459" w14:textId="77777777" w:rsidR="00CB7805" w:rsidRPr="003E0B98" w:rsidRDefault="00CB7805" w:rsidP="004361AC">
            <w:pPr>
              <w:keepNext/>
              <w:keepLines/>
              <w:tabs>
                <w:tab w:val="clear" w:pos="567"/>
              </w:tabs>
              <w:spacing w:line="240" w:lineRule="auto"/>
              <w:jc w:val="center"/>
              <w:rPr>
                <w:color w:val="000000"/>
                <w:lang w:val="en-US"/>
              </w:rPr>
            </w:pPr>
            <w:r w:rsidRPr="003E0B98">
              <w:rPr>
                <w:color w:val="000000"/>
                <w:lang w:val="en-US"/>
              </w:rPr>
              <w:t>+12</w:t>
            </w:r>
            <w:r w:rsidR="0033510C" w:rsidRPr="003E0B98">
              <w:rPr>
                <w:color w:val="000000"/>
                <w:lang w:val="en-US"/>
              </w:rPr>
              <w:t>,</w:t>
            </w:r>
            <w:r w:rsidRPr="003E0B98">
              <w:rPr>
                <w:color w:val="000000"/>
                <w:lang w:val="en-US"/>
              </w:rPr>
              <w:t>0</w:t>
            </w:r>
          </w:p>
          <w:p w14:paraId="0CC10DBB" w14:textId="77777777" w:rsidR="00CB7805" w:rsidRPr="003E0B98" w:rsidRDefault="00CB7805" w:rsidP="004361AC">
            <w:pPr>
              <w:keepNext/>
              <w:keepLines/>
              <w:tabs>
                <w:tab w:val="clear" w:pos="567"/>
              </w:tabs>
              <w:spacing w:line="240" w:lineRule="auto"/>
              <w:jc w:val="center"/>
              <w:rPr>
                <w:color w:val="000000"/>
                <w:vertAlign w:val="superscript"/>
                <w:lang w:val="en-US"/>
              </w:rPr>
            </w:pPr>
            <w:r w:rsidRPr="003E0B98">
              <w:rPr>
                <w:color w:val="000000"/>
                <w:lang w:val="en-US"/>
              </w:rPr>
              <w:t>(13</w:t>
            </w:r>
            <w:r w:rsidR="0033510C" w:rsidRPr="003E0B98">
              <w:rPr>
                <w:color w:val="000000"/>
                <w:lang w:val="en-US"/>
              </w:rPr>
              <w:t>,</w:t>
            </w:r>
            <w:r w:rsidRPr="003E0B98">
              <w:rPr>
                <w:color w:val="000000"/>
                <w:lang w:val="en-US"/>
              </w:rPr>
              <w:t>95)</w:t>
            </w:r>
          </w:p>
        </w:tc>
      </w:tr>
      <w:tr w:rsidR="00CB7805" w:rsidRPr="003E0B98" w14:paraId="4CB6FCE8" w14:textId="77777777" w:rsidTr="008E3F58">
        <w:trPr>
          <w:cantSplit/>
        </w:trPr>
        <w:tc>
          <w:tcPr>
            <w:tcW w:w="1857" w:type="dxa"/>
          </w:tcPr>
          <w:p w14:paraId="427E4CD3" w14:textId="77777777" w:rsidR="00CB7805" w:rsidRPr="003E0B98" w:rsidRDefault="002C17B5" w:rsidP="004361AC">
            <w:pPr>
              <w:keepNext/>
              <w:keepLines/>
              <w:tabs>
                <w:tab w:val="clear" w:pos="567"/>
              </w:tabs>
              <w:spacing w:line="240" w:lineRule="auto"/>
              <w:rPr>
                <w:color w:val="000000"/>
                <w:vertAlign w:val="superscript"/>
                <w:lang w:val="es-ES"/>
              </w:rPr>
            </w:pPr>
            <w:r w:rsidRPr="003E0B98">
              <w:rPr>
                <w:color w:val="000000"/>
                <w:szCs w:val="22"/>
                <w:lang w:val="es-ES_tradnl"/>
              </w:rPr>
              <w:t xml:space="preserve">Cambio </w:t>
            </w:r>
            <w:r w:rsidR="006006F4" w:rsidRPr="003E0B98">
              <w:rPr>
                <w:color w:val="000000"/>
                <w:szCs w:val="22"/>
                <w:lang w:val="es-ES_tradnl"/>
              </w:rPr>
              <w:t>pro</w:t>
            </w:r>
            <w:r w:rsidRPr="003E0B98">
              <w:rPr>
                <w:color w:val="000000"/>
                <w:szCs w:val="22"/>
                <w:lang w:val="es-ES_tradnl"/>
              </w:rPr>
              <w:t xml:space="preserve">medio </w:t>
            </w:r>
            <w:r w:rsidR="008222CB" w:rsidRPr="003E0B98">
              <w:rPr>
                <w:color w:val="000000"/>
                <w:szCs w:val="22"/>
                <w:lang w:val="es-ES_tradnl"/>
              </w:rPr>
              <w:t>de</w:t>
            </w:r>
            <w:r w:rsidRPr="003E0B98">
              <w:rPr>
                <w:color w:val="000000"/>
                <w:szCs w:val="22"/>
                <w:lang w:val="es-ES_tradnl"/>
              </w:rPr>
              <w:t xml:space="preserve"> la AVMC</w:t>
            </w:r>
            <w:r w:rsidRPr="003E0B98">
              <w:rPr>
                <w:rFonts w:cs="Calibri"/>
                <w:bCs/>
                <w:iCs/>
                <w:lang w:val="es-ES"/>
              </w:rPr>
              <w:t xml:space="preserve"> al</w:t>
            </w:r>
            <w:r w:rsidRPr="003E0B98">
              <w:rPr>
                <w:color w:val="000000"/>
                <w:lang w:val="es-ES"/>
              </w:rPr>
              <w:t xml:space="preserve"> </w:t>
            </w:r>
            <w:r w:rsidR="00CB7805" w:rsidRPr="003E0B98">
              <w:rPr>
                <w:color w:val="000000"/>
                <w:lang w:val="es-ES"/>
              </w:rPr>
              <w:t>M</w:t>
            </w:r>
            <w:r w:rsidRPr="003E0B98">
              <w:rPr>
                <w:color w:val="000000"/>
                <w:lang w:val="es-ES"/>
              </w:rPr>
              <w:t>es</w:t>
            </w:r>
            <w:r w:rsidR="00CB7805" w:rsidRPr="003E0B98">
              <w:rPr>
                <w:color w:val="000000"/>
                <w:lang w:val="es-ES"/>
              </w:rPr>
              <w:t> 24</w:t>
            </w:r>
            <w:r w:rsidR="00CB7805" w:rsidRPr="003E0B98">
              <w:rPr>
                <w:color w:val="000000"/>
                <w:vertAlign w:val="superscript"/>
                <w:lang w:val="es-ES"/>
              </w:rPr>
              <w:t>b</w:t>
            </w:r>
            <w:r w:rsidR="00CB7805" w:rsidRPr="003E0B98">
              <w:rPr>
                <w:color w:val="000000"/>
                <w:lang w:val="es-ES"/>
              </w:rPr>
              <w:t xml:space="preserve"> (let</w:t>
            </w:r>
            <w:r w:rsidRPr="003E0B98">
              <w:rPr>
                <w:color w:val="000000"/>
                <w:lang w:val="es-ES"/>
              </w:rPr>
              <w:t>ra</w:t>
            </w:r>
            <w:r w:rsidR="00CB7805" w:rsidRPr="003E0B98">
              <w:rPr>
                <w:color w:val="000000"/>
                <w:lang w:val="es-ES"/>
              </w:rPr>
              <w:t>s) (</w:t>
            </w:r>
            <w:r w:rsidRPr="003E0B98">
              <w:rPr>
                <w:bCs/>
                <w:iCs/>
                <w:color w:val="000000"/>
                <w:szCs w:val="22"/>
                <w:lang w:val="es-ES_tradnl"/>
              </w:rPr>
              <w:t>desviación estándar</w:t>
            </w:r>
            <w:r w:rsidR="00CB7805" w:rsidRPr="003E0B98">
              <w:rPr>
                <w:color w:val="000000"/>
                <w:lang w:val="es-ES"/>
              </w:rPr>
              <w:t>)</w:t>
            </w:r>
          </w:p>
        </w:tc>
        <w:tc>
          <w:tcPr>
            <w:tcW w:w="1857" w:type="dxa"/>
            <w:vAlign w:val="center"/>
          </w:tcPr>
          <w:p w14:paraId="02560F07" w14:textId="77777777" w:rsidR="00CB7805" w:rsidRPr="003E0B98" w:rsidRDefault="00CB7805" w:rsidP="004361AC">
            <w:pPr>
              <w:keepNext/>
              <w:keepLines/>
              <w:tabs>
                <w:tab w:val="clear" w:pos="567"/>
              </w:tabs>
              <w:spacing w:line="240" w:lineRule="auto"/>
              <w:jc w:val="center"/>
              <w:rPr>
                <w:color w:val="000000"/>
                <w:lang w:val="en-US"/>
              </w:rPr>
            </w:pPr>
            <w:r w:rsidRPr="003E0B98">
              <w:rPr>
                <w:color w:val="000000"/>
                <w:lang w:val="en-US"/>
              </w:rPr>
              <w:t>+15</w:t>
            </w:r>
            <w:r w:rsidR="0033510C" w:rsidRPr="003E0B98">
              <w:rPr>
                <w:color w:val="000000"/>
                <w:lang w:val="en-US"/>
              </w:rPr>
              <w:t>,</w:t>
            </w:r>
            <w:r w:rsidRPr="003E0B98">
              <w:rPr>
                <w:color w:val="000000"/>
                <w:lang w:val="en-US"/>
              </w:rPr>
              <w:t>5</w:t>
            </w:r>
          </w:p>
          <w:p w14:paraId="3A8B20E3" w14:textId="77777777" w:rsidR="00CB7805" w:rsidRPr="003E0B98" w:rsidRDefault="00CB7805" w:rsidP="004361AC">
            <w:pPr>
              <w:keepNext/>
              <w:keepLines/>
              <w:tabs>
                <w:tab w:val="clear" w:pos="567"/>
              </w:tabs>
              <w:spacing w:line="240" w:lineRule="auto"/>
              <w:jc w:val="center"/>
              <w:rPr>
                <w:color w:val="000000"/>
                <w:vertAlign w:val="superscript"/>
                <w:lang w:val="en-US"/>
              </w:rPr>
            </w:pPr>
            <w:r w:rsidRPr="003E0B98">
              <w:rPr>
                <w:color w:val="000000"/>
                <w:lang w:val="en-US"/>
              </w:rPr>
              <w:t>(13</w:t>
            </w:r>
            <w:r w:rsidR="0033510C" w:rsidRPr="003E0B98">
              <w:rPr>
                <w:color w:val="000000"/>
                <w:lang w:val="en-US"/>
              </w:rPr>
              <w:t>,</w:t>
            </w:r>
            <w:r w:rsidRPr="003E0B98">
              <w:rPr>
                <w:color w:val="000000"/>
                <w:lang w:val="en-US"/>
              </w:rPr>
              <w:t>91)</w:t>
            </w:r>
          </w:p>
        </w:tc>
        <w:tc>
          <w:tcPr>
            <w:tcW w:w="1857" w:type="dxa"/>
            <w:vAlign w:val="center"/>
          </w:tcPr>
          <w:p w14:paraId="067977CB" w14:textId="77777777" w:rsidR="00CB7805" w:rsidRPr="003E0B98" w:rsidRDefault="00CB7805" w:rsidP="004361AC">
            <w:pPr>
              <w:keepNext/>
              <w:keepLines/>
              <w:tabs>
                <w:tab w:val="clear" w:pos="567"/>
              </w:tabs>
              <w:spacing w:line="240" w:lineRule="auto"/>
              <w:jc w:val="center"/>
              <w:rPr>
                <w:color w:val="000000"/>
                <w:lang w:val="en-US"/>
              </w:rPr>
            </w:pPr>
            <w:r w:rsidRPr="003E0B98">
              <w:rPr>
                <w:color w:val="000000"/>
                <w:lang w:val="en-US"/>
              </w:rPr>
              <w:t>+17</w:t>
            </w:r>
            <w:r w:rsidR="0033510C" w:rsidRPr="003E0B98">
              <w:rPr>
                <w:color w:val="000000"/>
                <w:lang w:val="en-US"/>
              </w:rPr>
              <w:t>,</w:t>
            </w:r>
            <w:r w:rsidRPr="003E0B98">
              <w:rPr>
                <w:color w:val="000000"/>
                <w:lang w:val="en-US"/>
              </w:rPr>
              <w:t>3</w:t>
            </w:r>
          </w:p>
          <w:p w14:paraId="7CF54A42" w14:textId="77777777" w:rsidR="00CB7805" w:rsidRPr="003E0B98" w:rsidRDefault="00CB7805" w:rsidP="004361AC">
            <w:pPr>
              <w:keepNext/>
              <w:keepLines/>
              <w:tabs>
                <w:tab w:val="clear" w:pos="567"/>
              </w:tabs>
              <w:spacing w:line="240" w:lineRule="auto"/>
              <w:jc w:val="center"/>
              <w:rPr>
                <w:color w:val="000000"/>
                <w:vertAlign w:val="superscript"/>
                <w:lang w:val="en-US"/>
              </w:rPr>
            </w:pPr>
            <w:r w:rsidRPr="003E0B98">
              <w:rPr>
                <w:color w:val="000000"/>
                <w:lang w:val="en-US"/>
              </w:rPr>
              <w:t>(12</w:t>
            </w:r>
            <w:r w:rsidR="0033510C" w:rsidRPr="003E0B98">
              <w:rPr>
                <w:color w:val="000000"/>
                <w:lang w:val="en-US"/>
              </w:rPr>
              <w:t>,</w:t>
            </w:r>
            <w:r w:rsidRPr="003E0B98">
              <w:rPr>
                <w:color w:val="000000"/>
                <w:lang w:val="en-US"/>
              </w:rPr>
              <w:t>61)</w:t>
            </w:r>
          </w:p>
        </w:tc>
        <w:tc>
          <w:tcPr>
            <w:tcW w:w="1858" w:type="dxa"/>
            <w:vAlign w:val="center"/>
          </w:tcPr>
          <w:p w14:paraId="692EC9EC" w14:textId="77777777" w:rsidR="00CB7805" w:rsidRPr="003E0B98" w:rsidRDefault="00CB7805" w:rsidP="004361AC">
            <w:pPr>
              <w:keepNext/>
              <w:keepLines/>
              <w:tabs>
                <w:tab w:val="clear" w:pos="567"/>
              </w:tabs>
              <w:spacing w:line="240" w:lineRule="auto"/>
              <w:jc w:val="center"/>
              <w:rPr>
                <w:color w:val="000000"/>
                <w:lang w:val="en-US"/>
              </w:rPr>
            </w:pPr>
            <w:r w:rsidRPr="003E0B98">
              <w:rPr>
                <w:color w:val="000000"/>
                <w:lang w:val="en-US"/>
              </w:rPr>
              <w:t>+11</w:t>
            </w:r>
            <w:r w:rsidR="0033510C" w:rsidRPr="003E0B98">
              <w:rPr>
                <w:color w:val="000000"/>
                <w:lang w:val="en-US"/>
              </w:rPr>
              <w:t>,</w:t>
            </w:r>
            <w:r w:rsidRPr="003E0B98">
              <w:rPr>
                <w:color w:val="000000"/>
                <w:lang w:val="en-US"/>
              </w:rPr>
              <w:t>6</w:t>
            </w:r>
          </w:p>
          <w:p w14:paraId="43055DFE" w14:textId="77777777" w:rsidR="00CB7805" w:rsidRPr="003E0B98" w:rsidRDefault="00CB7805" w:rsidP="004361AC">
            <w:pPr>
              <w:keepNext/>
              <w:keepLines/>
              <w:tabs>
                <w:tab w:val="clear" w:pos="567"/>
              </w:tabs>
              <w:spacing w:line="240" w:lineRule="auto"/>
              <w:jc w:val="center"/>
              <w:rPr>
                <w:color w:val="000000"/>
                <w:vertAlign w:val="superscript"/>
                <w:lang w:val="en-US"/>
              </w:rPr>
            </w:pPr>
            <w:r w:rsidRPr="003E0B98">
              <w:rPr>
                <w:color w:val="000000"/>
                <w:lang w:val="en-US"/>
              </w:rPr>
              <w:t>(16</w:t>
            </w:r>
            <w:r w:rsidR="0033510C" w:rsidRPr="003E0B98">
              <w:rPr>
                <w:color w:val="000000"/>
                <w:lang w:val="en-US"/>
              </w:rPr>
              <w:t>,</w:t>
            </w:r>
            <w:r w:rsidRPr="003E0B98">
              <w:rPr>
                <w:color w:val="000000"/>
                <w:lang w:val="en-US"/>
              </w:rPr>
              <w:t>09)</w:t>
            </w:r>
          </w:p>
        </w:tc>
        <w:tc>
          <w:tcPr>
            <w:tcW w:w="1858" w:type="dxa"/>
            <w:vAlign w:val="center"/>
          </w:tcPr>
          <w:p w14:paraId="3FF3AB65" w14:textId="77777777" w:rsidR="00CB7805" w:rsidRPr="003E0B98" w:rsidRDefault="00CB7805" w:rsidP="004361AC">
            <w:pPr>
              <w:keepNext/>
              <w:keepLines/>
              <w:tabs>
                <w:tab w:val="clear" w:pos="567"/>
              </w:tabs>
              <w:spacing w:line="240" w:lineRule="auto"/>
              <w:jc w:val="center"/>
              <w:rPr>
                <w:color w:val="000000"/>
                <w:lang w:val="en-US"/>
              </w:rPr>
            </w:pPr>
            <w:r w:rsidRPr="003E0B98">
              <w:rPr>
                <w:color w:val="000000"/>
                <w:lang w:val="en-US"/>
              </w:rPr>
              <w:t>+12</w:t>
            </w:r>
            <w:r w:rsidR="0033510C" w:rsidRPr="003E0B98">
              <w:rPr>
                <w:color w:val="000000"/>
                <w:lang w:val="en-US"/>
              </w:rPr>
              <w:t>,</w:t>
            </w:r>
            <w:r w:rsidRPr="003E0B98">
              <w:rPr>
                <w:color w:val="000000"/>
                <w:lang w:val="en-US"/>
              </w:rPr>
              <w:t>1</w:t>
            </w:r>
          </w:p>
          <w:p w14:paraId="02031E88" w14:textId="77777777" w:rsidR="00CB7805" w:rsidRPr="003E0B98" w:rsidRDefault="00CB7805" w:rsidP="004361AC">
            <w:pPr>
              <w:keepNext/>
              <w:keepLines/>
              <w:tabs>
                <w:tab w:val="clear" w:pos="567"/>
              </w:tabs>
              <w:spacing w:line="240" w:lineRule="auto"/>
              <w:jc w:val="center"/>
              <w:rPr>
                <w:color w:val="000000"/>
                <w:vertAlign w:val="superscript"/>
                <w:lang w:val="en-US"/>
              </w:rPr>
            </w:pPr>
            <w:r w:rsidRPr="003E0B98">
              <w:rPr>
                <w:color w:val="000000"/>
                <w:lang w:val="en-US"/>
              </w:rPr>
              <w:t>(18</w:t>
            </w:r>
            <w:r w:rsidR="0033510C" w:rsidRPr="003E0B98">
              <w:rPr>
                <w:color w:val="000000"/>
                <w:lang w:val="en-US"/>
              </w:rPr>
              <w:t>,</w:t>
            </w:r>
            <w:r w:rsidRPr="003E0B98">
              <w:rPr>
                <w:color w:val="000000"/>
                <w:lang w:val="en-US"/>
              </w:rPr>
              <w:t>60)</w:t>
            </w:r>
          </w:p>
        </w:tc>
      </w:tr>
      <w:tr w:rsidR="00CB7805" w:rsidRPr="003E0B98" w14:paraId="3305B2C5" w14:textId="77777777" w:rsidTr="008E3F58">
        <w:trPr>
          <w:cantSplit/>
        </w:trPr>
        <w:tc>
          <w:tcPr>
            <w:tcW w:w="1857" w:type="dxa"/>
          </w:tcPr>
          <w:p w14:paraId="23111E49" w14:textId="77777777" w:rsidR="00CB7805" w:rsidRPr="003E0B98" w:rsidRDefault="00D10C21" w:rsidP="004361AC">
            <w:pPr>
              <w:keepNext/>
              <w:keepLines/>
              <w:tabs>
                <w:tab w:val="clear" w:pos="567"/>
              </w:tabs>
              <w:spacing w:line="240" w:lineRule="auto"/>
              <w:rPr>
                <w:color w:val="000000"/>
                <w:lang w:val="es-ES"/>
              </w:rPr>
            </w:pPr>
            <w:r w:rsidRPr="003E0B98">
              <w:rPr>
                <w:color w:val="000000"/>
                <w:szCs w:val="22"/>
                <w:lang w:val="es-ES_tradnl"/>
              </w:rPr>
              <w:t>Ganancia de ≥15 letras en</w:t>
            </w:r>
            <w:r w:rsidRPr="003E0B98">
              <w:rPr>
                <w:color w:val="000000"/>
                <w:lang w:val="es-ES"/>
              </w:rPr>
              <w:t xml:space="preserve"> </w:t>
            </w:r>
            <w:r w:rsidRPr="003E0B98">
              <w:rPr>
                <w:color w:val="000000"/>
                <w:szCs w:val="22"/>
                <w:lang w:val="es-ES_tradnl"/>
              </w:rPr>
              <w:t>AVMC</w:t>
            </w:r>
            <w:r w:rsidRPr="003E0B98">
              <w:rPr>
                <w:color w:val="000000"/>
                <w:lang w:val="es-ES"/>
              </w:rPr>
              <w:t xml:space="preserve"> al</w:t>
            </w:r>
            <w:r w:rsidR="00CB7805" w:rsidRPr="003E0B98">
              <w:rPr>
                <w:color w:val="000000"/>
                <w:lang w:val="es-ES"/>
              </w:rPr>
              <w:t xml:space="preserve"> M</w:t>
            </w:r>
            <w:r w:rsidRPr="003E0B98">
              <w:rPr>
                <w:color w:val="000000"/>
                <w:lang w:val="es-ES"/>
              </w:rPr>
              <w:t>es</w:t>
            </w:r>
            <w:r w:rsidR="00CB7805" w:rsidRPr="003E0B98">
              <w:rPr>
                <w:color w:val="000000"/>
                <w:lang w:val="es-ES"/>
              </w:rPr>
              <w:t> 24 (%)</w:t>
            </w:r>
          </w:p>
        </w:tc>
        <w:tc>
          <w:tcPr>
            <w:tcW w:w="1857" w:type="dxa"/>
            <w:vAlign w:val="center"/>
          </w:tcPr>
          <w:p w14:paraId="62C3A45E" w14:textId="77777777" w:rsidR="00CB7805" w:rsidRPr="003E0B98" w:rsidRDefault="00CB7805" w:rsidP="004361AC">
            <w:pPr>
              <w:keepNext/>
              <w:keepLines/>
              <w:tabs>
                <w:tab w:val="clear" w:pos="567"/>
              </w:tabs>
              <w:spacing w:line="240" w:lineRule="auto"/>
              <w:jc w:val="center"/>
              <w:rPr>
                <w:color w:val="000000"/>
                <w:lang w:val="en-US"/>
              </w:rPr>
            </w:pPr>
            <w:r w:rsidRPr="003E0B98">
              <w:rPr>
                <w:color w:val="000000"/>
                <w:lang w:val="en-US"/>
              </w:rPr>
              <w:t>52</w:t>
            </w:r>
            <w:r w:rsidR="0033510C" w:rsidRPr="003E0B98">
              <w:rPr>
                <w:color w:val="000000"/>
                <w:lang w:val="en-US"/>
              </w:rPr>
              <w:t>,</w:t>
            </w:r>
            <w:r w:rsidRPr="003E0B98">
              <w:rPr>
                <w:color w:val="000000"/>
                <w:lang w:val="en-US"/>
              </w:rPr>
              <w:t>8</w:t>
            </w:r>
          </w:p>
        </w:tc>
        <w:tc>
          <w:tcPr>
            <w:tcW w:w="1857" w:type="dxa"/>
            <w:vAlign w:val="center"/>
          </w:tcPr>
          <w:p w14:paraId="06859FCA" w14:textId="77777777" w:rsidR="00CB7805" w:rsidRPr="003E0B98" w:rsidRDefault="00CB7805" w:rsidP="004361AC">
            <w:pPr>
              <w:keepNext/>
              <w:keepLines/>
              <w:tabs>
                <w:tab w:val="clear" w:pos="567"/>
              </w:tabs>
              <w:spacing w:line="240" w:lineRule="auto"/>
              <w:jc w:val="center"/>
              <w:rPr>
                <w:color w:val="000000"/>
                <w:lang w:val="en-US"/>
              </w:rPr>
            </w:pPr>
            <w:r w:rsidRPr="003E0B98">
              <w:rPr>
                <w:color w:val="000000"/>
                <w:lang w:val="en-US"/>
              </w:rPr>
              <w:t>59</w:t>
            </w:r>
            <w:r w:rsidR="0033510C" w:rsidRPr="003E0B98">
              <w:rPr>
                <w:color w:val="000000"/>
                <w:lang w:val="en-US"/>
              </w:rPr>
              <w:t>,</w:t>
            </w:r>
            <w:r w:rsidRPr="003E0B98">
              <w:rPr>
                <w:color w:val="000000"/>
                <w:lang w:val="en-US"/>
              </w:rPr>
              <w:t>6</w:t>
            </w:r>
          </w:p>
        </w:tc>
        <w:tc>
          <w:tcPr>
            <w:tcW w:w="1858" w:type="dxa"/>
            <w:vAlign w:val="center"/>
          </w:tcPr>
          <w:p w14:paraId="4F4FC29A" w14:textId="77777777" w:rsidR="00CB7805" w:rsidRPr="003E0B98" w:rsidRDefault="00CB7805" w:rsidP="004361AC">
            <w:pPr>
              <w:keepNext/>
              <w:keepLines/>
              <w:tabs>
                <w:tab w:val="clear" w:pos="567"/>
              </w:tabs>
              <w:spacing w:line="240" w:lineRule="auto"/>
              <w:jc w:val="center"/>
              <w:rPr>
                <w:color w:val="000000"/>
                <w:vertAlign w:val="superscript"/>
                <w:lang w:val="en-US"/>
              </w:rPr>
            </w:pPr>
            <w:r w:rsidRPr="003E0B98">
              <w:rPr>
                <w:color w:val="000000"/>
                <w:lang w:val="en-US"/>
              </w:rPr>
              <w:t>43</w:t>
            </w:r>
            <w:r w:rsidR="0033510C" w:rsidRPr="003E0B98">
              <w:rPr>
                <w:color w:val="000000"/>
                <w:lang w:val="en-US"/>
              </w:rPr>
              <w:t>,</w:t>
            </w:r>
            <w:r w:rsidRPr="003E0B98">
              <w:rPr>
                <w:color w:val="000000"/>
                <w:lang w:val="en-US"/>
              </w:rPr>
              <w:t>3</w:t>
            </w:r>
          </w:p>
        </w:tc>
        <w:tc>
          <w:tcPr>
            <w:tcW w:w="1858" w:type="dxa"/>
            <w:vAlign w:val="center"/>
          </w:tcPr>
          <w:p w14:paraId="41E96CF4" w14:textId="77777777" w:rsidR="00CB7805" w:rsidRPr="003E0B98" w:rsidRDefault="00CB7805" w:rsidP="004361AC">
            <w:pPr>
              <w:keepNext/>
              <w:keepLines/>
              <w:tabs>
                <w:tab w:val="clear" w:pos="567"/>
              </w:tabs>
              <w:spacing w:line="240" w:lineRule="auto"/>
              <w:jc w:val="center"/>
              <w:rPr>
                <w:color w:val="000000"/>
                <w:vertAlign w:val="superscript"/>
                <w:lang w:val="en-US"/>
              </w:rPr>
            </w:pPr>
            <w:r w:rsidRPr="003E0B98">
              <w:rPr>
                <w:color w:val="000000"/>
                <w:lang w:val="en-US"/>
              </w:rPr>
              <w:t>49</w:t>
            </w:r>
            <w:r w:rsidR="0033510C" w:rsidRPr="003E0B98">
              <w:rPr>
                <w:color w:val="000000"/>
                <w:lang w:val="en-US"/>
              </w:rPr>
              <w:t>,</w:t>
            </w:r>
            <w:r w:rsidRPr="003E0B98">
              <w:rPr>
                <w:color w:val="000000"/>
                <w:lang w:val="en-US"/>
              </w:rPr>
              <w:t>2</w:t>
            </w:r>
          </w:p>
        </w:tc>
      </w:tr>
      <w:tr w:rsidR="00CB7805" w:rsidRPr="003E0B98" w14:paraId="54F26967" w14:textId="77777777" w:rsidTr="008E3F58">
        <w:trPr>
          <w:cantSplit/>
        </w:trPr>
        <w:tc>
          <w:tcPr>
            <w:tcW w:w="1857" w:type="dxa"/>
          </w:tcPr>
          <w:p w14:paraId="7CA7F925" w14:textId="77777777" w:rsidR="00CB7805" w:rsidRPr="003E0B98" w:rsidRDefault="00D10C21" w:rsidP="004361AC">
            <w:pPr>
              <w:keepNext/>
              <w:keepLines/>
              <w:tabs>
                <w:tab w:val="clear" w:pos="567"/>
              </w:tabs>
              <w:spacing w:line="240" w:lineRule="auto"/>
              <w:rPr>
                <w:color w:val="000000"/>
                <w:lang w:val="es-ES"/>
              </w:rPr>
            </w:pPr>
            <w:r w:rsidRPr="003E0B98">
              <w:rPr>
                <w:rFonts w:cs="Calibri"/>
                <w:bCs/>
                <w:iCs/>
                <w:lang w:val="es-ES"/>
              </w:rPr>
              <w:t xml:space="preserve">Número </w:t>
            </w:r>
            <w:r w:rsidR="00A72E17" w:rsidRPr="003E0B98">
              <w:rPr>
                <w:rFonts w:cs="Calibri"/>
                <w:bCs/>
                <w:iCs/>
                <w:lang w:val="es-ES"/>
              </w:rPr>
              <w:t>pro</w:t>
            </w:r>
            <w:r w:rsidRPr="003E0B98">
              <w:rPr>
                <w:rFonts w:cs="Calibri"/>
                <w:bCs/>
                <w:iCs/>
                <w:lang w:val="es-ES"/>
              </w:rPr>
              <w:t xml:space="preserve">medio de inyecciones </w:t>
            </w:r>
            <w:r w:rsidR="00CB7805" w:rsidRPr="003E0B98">
              <w:rPr>
                <w:color w:val="000000"/>
                <w:lang w:val="es-ES"/>
              </w:rPr>
              <w:t>(</w:t>
            </w:r>
            <w:r w:rsidRPr="003E0B98">
              <w:rPr>
                <w:bCs/>
                <w:iCs/>
                <w:color w:val="000000"/>
                <w:szCs w:val="22"/>
                <w:lang w:val="es-ES_tradnl"/>
              </w:rPr>
              <w:t>desviación estándar</w:t>
            </w:r>
            <w:r w:rsidR="00CB7805" w:rsidRPr="003E0B98">
              <w:rPr>
                <w:color w:val="000000"/>
                <w:lang w:val="es-ES"/>
              </w:rPr>
              <w:t xml:space="preserve">) </w:t>
            </w:r>
            <w:r w:rsidR="00CB7805" w:rsidRPr="003E0B98">
              <w:rPr>
                <w:rFonts w:cs="Calibri"/>
                <w:bCs/>
                <w:iCs/>
                <w:lang w:val="es-ES"/>
              </w:rPr>
              <w:t>(M</w:t>
            </w:r>
            <w:r w:rsidRPr="003E0B98">
              <w:rPr>
                <w:rFonts w:cs="Calibri"/>
                <w:bCs/>
                <w:iCs/>
                <w:lang w:val="es-ES"/>
              </w:rPr>
              <w:t>ese</w:t>
            </w:r>
            <w:r w:rsidR="00CB7805" w:rsidRPr="003E0B98">
              <w:rPr>
                <w:rFonts w:cs="Calibri"/>
                <w:bCs/>
                <w:iCs/>
                <w:lang w:val="es-ES"/>
              </w:rPr>
              <w:t>s 0</w:t>
            </w:r>
            <w:r w:rsidR="00CB7805" w:rsidRPr="003E0B98">
              <w:rPr>
                <w:rFonts w:cs="Calibri"/>
                <w:bCs/>
                <w:iCs/>
                <w:lang w:val="es-ES"/>
              </w:rPr>
              <w:noBreakHyphen/>
              <w:t>23)</w:t>
            </w:r>
          </w:p>
        </w:tc>
        <w:tc>
          <w:tcPr>
            <w:tcW w:w="1857" w:type="dxa"/>
            <w:vAlign w:val="center"/>
          </w:tcPr>
          <w:p w14:paraId="530DE884" w14:textId="77777777" w:rsidR="00CB7805" w:rsidRPr="003E0B98" w:rsidRDefault="00CB7805" w:rsidP="004361AC">
            <w:pPr>
              <w:keepNext/>
              <w:keepLines/>
              <w:tabs>
                <w:tab w:val="clear" w:pos="567"/>
              </w:tabs>
              <w:spacing w:line="240" w:lineRule="auto"/>
              <w:jc w:val="center"/>
              <w:rPr>
                <w:color w:val="000000"/>
                <w:lang w:val="en-US"/>
              </w:rPr>
            </w:pPr>
            <w:r w:rsidRPr="003E0B98">
              <w:rPr>
                <w:color w:val="000000"/>
                <w:lang w:val="en-US"/>
              </w:rPr>
              <w:t>11</w:t>
            </w:r>
            <w:r w:rsidR="0033510C" w:rsidRPr="003E0B98">
              <w:rPr>
                <w:color w:val="000000"/>
                <w:lang w:val="en-US"/>
              </w:rPr>
              <w:t>,</w:t>
            </w:r>
            <w:r w:rsidRPr="003E0B98">
              <w:rPr>
                <w:color w:val="000000"/>
                <w:lang w:val="en-US"/>
              </w:rPr>
              <w:t>4</w:t>
            </w:r>
          </w:p>
          <w:p w14:paraId="579DF554" w14:textId="77777777" w:rsidR="00CB7805" w:rsidRPr="003E0B98" w:rsidRDefault="00CB7805" w:rsidP="004361AC">
            <w:pPr>
              <w:keepNext/>
              <w:keepLines/>
              <w:tabs>
                <w:tab w:val="clear" w:pos="567"/>
              </w:tabs>
              <w:spacing w:line="240" w:lineRule="auto"/>
              <w:jc w:val="center"/>
              <w:rPr>
                <w:color w:val="000000"/>
                <w:lang w:val="en-US"/>
              </w:rPr>
            </w:pPr>
            <w:r w:rsidRPr="003E0B98">
              <w:rPr>
                <w:color w:val="000000"/>
                <w:lang w:val="en-US"/>
              </w:rPr>
              <w:t>(5</w:t>
            </w:r>
            <w:r w:rsidR="0033510C" w:rsidRPr="003E0B98">
              <w:rPr>
                <w:color w:val="000000"/>
                <w:lang w:val="en-US"/>
              </w:rPr>
              <w:t>,</w:t>
            </w:r>
            <w:r w:rsidRPr="003E0B98">
              <w:rPr>
                <w:color w:val="000000"/>
                <w:lang w:val="en-US"/>
              </w:rPr>
              <w:t>81)</w:t>
            </w:r>
          </w:p>
        </w:tc>
        <w:tc>
          <w:tcPr>
            <w:tcW w:w="1857" w:type="dxa"/>
            <w:vAlign w:val="center"/>
          </w:tcPr>
          <w:p w14:paraId="61D98E80" w14:textId="77777777" w:rsidR="00CB7805" w:rsidRPr="003E0B98" w:rsidRDefault="00CB7805" w:rsidP="004361AC">
            <w:pPr>
              <w:keepNext/>
              <w:keepLines/>
              <w:tabs>
                <w:tab w:val="clear" w:pos="567"/>
              </w:tabs>
              <w:spacing w:line="240" w:lineRule="auto"/>
              <w:jc w:val="center"/>
              <w:rPr>
                <w:color w:val="000000"/>
                <w:lang w:val="en-US"/>
              </w:rPr>
            </w:pPr>
            <w:r w:rsidRPr="003E0B98">
              <w:rPr>
                <w:color w:val="000000"/>
                <w:lang w:val="en-US"/>
              </w:rPr>
              <w:t>11</w:t>
            </w:r>
            <w:r w:rsidR="0033510C" w:rsidRPr="003E0B98">
              <w:rPr>
                <w:color w:val="000000"/>
                <w:lang w:val="en-US"/>
              </w:rPr>
              <w:t>,</w:t>
            </w:r>
            <w:r w:rsidRPr="003E0B98">
              <w:rPr>
                <w:color w:val="000000"/>
                <w:lang w:val="en-US"/>
              </w:rPr>
              <w:t>3 (6</w:t>
            </w:r>
            <w:r w:rsidR="0033510C" w:rsidRPr="003E0B98">
              <w:rPr>
                <w:color w:val="000000"/>
                <w:lang w:val="en-US"/>
              </w:rPr>
              <w:t>,</w:t>
            </w:r>
            <w:r w:rsidRPr="003E0B98">
              <w:rPr>
                <w:color w:val="000000"/>
                <w:lang w:val="en-US"/>
              </w:rPr>
              <w:t>02)</w:t>
            </w:r>
          </w:p>
        </w:tc>
        <w:tc>
          <w:tcPr>
            <w:tcW w:w="1858" w:type="dxa"/>
            <w:vAlign w:val="center"/>
          </w:tcPr>
          <w:p w14:paraId="723CAF6C" w14:textId="77777777" w:rsidR="00CB7805" w:rsidRPr="003E0B98" w:rsidRDefault="00CB7805" w:rsidP="004361AC">
            <w:pPr>
              <w:keepNext/>
              <w:keepLines/>
              <w:tabs>
                <w:tab w:val="clear" w:pos="567"/>
              </w:tabs>
              <w:spacing w:line="240" w:lineRule="auto"/>
              <w:jc w:val="center"/>
              <w:rPr>
                <w:color w:val="000000"/>
                <w:vertAlign w:val="superscript"/>
                <w:lang w:val="en-US"/>
              </w:rPr>
            </w:pPr>
            <w:r w:rsidRPr="003E0B98">
              <w:rPr>
                <w:color w:val="000000"/>
                <w:lang w:val="en-US"/>
              </w:rPr>
              <w:t>NA</w:t>
            </w:r>
          </w:p>
        </w:tc>
        <w:tc>
          <w:tcPr>
            <w:tcW w:w="1858" w:type="dxa"/>
            <w:vAlign w:val="center"/>
          </w:tcPr>
          <w:p w14:paraId="1D22A3CB" w14:textId="77777777" w:rsidR="00CB7805" w:rsidRPr="003E0B98" w:rsidRDefault="00CB7805" w:rsidP="004361AC">
            <w:pPr>
              <w:keepNext/>
              <w:keepLines/>
              <w:tabs>
                <w:tab w:val="clear" w:pos="567"/>
              </w:tabs>
              <w:spacing w:line="240" w:lineRule="auto"/>
              <w:jc w:val="center"/>
              <w:rPr>
                <w:color w:val="000000"/>
                <w:vertAlign w:val="superscript"/>
                <w:lang w:val="en-US"/>
              </w:rPr>
            </w:pPr>
            <w:r w:rsidRPr="003E0B98">
              <w:rPr>
                <w:color w:val="000000"/>
                <w:lang w:val="en-US"/>
              </w:rPr>
              <w:t>13</w:t>
            </w:r>
            <w:r w:rsidR="0033510C" w:rsidRPr="003E0B98">
              <w:rPr>
                <w:color w:val="000000"/>
                <w:lang w:val="en-US"/>
              </w:rPr>
              <w:t>,</w:t>
            </w:r>
            <w:r w:rsidRPr="003E0B98">
              <w:rPr>
                <w:color w:val="000000"/>
                <w:lang w:val="en-US"/>
              </w:rPr>
              <w:t>1 (6</w:t>
            </w:r>
            <w:r w:rsidR="0033510C" w:rsidRPr="003E0B98">
              <w:rPr>
                <w:color w:val="000000"/>
                <w:lang w:val="en-US"/>
              </w:rPr>
              <w:t>,</w:t>
            </w:r>
            <w:r w:rsidRPr="003E0B98">
              <w:rPr>
                <w:color w:val="000000"/>
                <w:lang w:val="en-US"/>
              </w:rPr>
              <w:t>39)</w:t>
            </w:r>
          </w:p>
        </w:tc>
      </w:tr>
      <w:tr w:rsidR="00CB7805" w:rsidRPr="003C169A" w14:paraId="5757E091" w14:textId="77777777" w:rsidTr="008E3F58">
        <w:trPr>
          <w:cantSplit/>
        </w:trPr>
        <w:tc>
          <w:tcPr>
            <w:tcW w:w="9287" w:type="dxa"/>
            <w:gridSpan w:val="5"/>
          </w:tcPr>
          <w:p w14:paraId="72C27945" w14:textId="77777777" w:rsidR="00CB7805" w:rsidRPr="003E0B98" w:rsidRDefault="00CB7805" w:rsidP="004361AC">
            <w:pPr>
              <w:keepLines/>
              <w:tabs>
                <w:tab w:val="clear" w:pos="567"/>
              </w:tabs>
              <w:spacing w:line="240" w:lineRule="auto"/>
              <w:ind w:left="567" w:hanging="567"/>
              <w:rPr>
                <w:color w:val="000000"/>
                <w:lang w:val="es-ES"/>
              </w:rPr>
            </w:pPr>
            <w:r w:rsidRPr="003E0B98">
              <w:rPr>
                <w:color w:val="000000"/>
                <w:vertAlign w:val="superscript"/>
                <w:lang w:val="es-ES"/>
              </w:rPr>
              <w:t>a</w:t>
            </w:r>
            <w:r w:rsidRPr="003E0B98">
              <w:rPr>
                <w:color w:val="000000"/>
                <w:lang w:val="es-ES"/>
              </w:rPr>
              <w:tab/>
              <w:t>p&lt;0</w:t>
            </w:r>
            <w:r w:rsidR="0033510C" w:rsidRPr="003E0B98">
              <w:rPr>
                <w:color w:val="000000"/>
                <w:lang w:val="es-ES"/>
              </w:rPr>
              <w:t>,</w:t>
            </w:r>
            <w:r w:rsidRPr="003E0B98">
              <w:rPr>
                <w:color w:val="000000"/>
                <w:lang w:val="es-ES"/>
              </w:rPr>
              <w:t>0001</w:t>
            </w:r>
            <w:r w:rsidR="00D10C21" w:rsidRPr="003E0B98">
              <w:rPr>
                <w:color w:val="000000"/>
                <w:lang w:val="es-ES"/>
              </w:rPr>
              <w:t xml:space="preserve"> para ambas comparaciones en el ensayo </w:t>
            </w:r>
            <w:r w:rsidRPr="003E0B98">
              <w:rPr>
                <w:color w:val="000000"/>
                <w:lang w:val="es-ES"/>
              </w:rPr>
              <w:t>BRIGHTER a</w:t>
            </w:r>
            <w:r w:rsidR="00D10C21" w:rsidRPr="003E0B98">
              <w:rPr>
                <w:color w:val="000000"/>
                <w:lang w:val="es-ES"/>
              </w:rPr>
              <w:t>l</w:t>
            </w:r>
            <w:r w:rsidRPr="003E0B98">
              <w:rPr>
                <w:color w:val="000000"/>
                <w:lang w:val="es-ES"/>
              </w:rPr>
              <w:t xml:space="preserve"> M</w:t>
            </w:r>
            <w:r w:rsidR="00D10C21" w:rsidRPr="003E0B98">
              <w:rPr>
                <w:color w:val="000000"/>
                <w:lang w:val="es-ES"/>
              </w:rPr>
              <w:t xml:space="preserve">es 6: </w:t>
            </w:r>
            <w:proofErr w:type="spellStart"/>
            <w:r w:rsidR="00D10C21" w:rsidRPr="003E0B98">
              <w:rPr>
                <w:color w:val="000000"/>
                <w:lang w:val="es-ES"/>
              </w:rPr>
              <w:t>Lucentis</w:t>
            </w:r>
            <w:proofErr w:type="spellEnd"/>
            <w:r w:rsidR="00D10C21" w:rsidRPr="003E0B98">
              <w:rPr>
                <w:color w:val="000000"/>
                <w:lang w:val="es-ES"/>
              </w:rPr>
              <w:t xml:space="preserve"> 0,5 mg frente a Láser y</w:t>
            </w:r>
            <w:r w:rsidRPr="003E0B98">
              <w:rPr>
                <w:color w:val="000000"/>
                <w:lang w:val="es-ES"/>
              </w:rPr>
              <w:t xml:space="preserve"> </w:t>
            </w:r>
            <w:proofErr w:type="spellStart"/>
            <w:r w:rsidRPr="003E0B98">
              <w:rPr>
                <w:color w:val="000000"/>
                <w:lang w:val="es-ES"/>
              </w:rPr>
              <w:t>Lucentis</w:t>
            </w:r>
            <w:proofErr w:type="spellEnd"/>
            <w:r w:rsidRPr="003E0B98">
              <w:rPr>
                <w:color w:val="000000"/>
                <w:lang w:val="es-ES"/>
              </w:rPr>
              <w:t xml:space="preserve"> 0</w:t>
            </w:r>
            <w:r w:rsidR="0033510C" w:rsidRPr="003E0B98">
              <w:rPr>
                <w:color w:val="000000"/>
                <w:lang w:val="es-ES"/>
              </w:rPr>
              <w:t>,</w:t>
            </w:r>
            <w:r w:rsidR="00D10C21" w:rsidRPr="003E0B98">
              <w:rPr>
                <w:color w:val="000000"/>
                <w:lang w:val="es-ES"/>
              </w:rPr>
              <w:t>5 mg + Lá</w:t>
            </w:r>
            <w:r w:rsidRPr="003E0B98">
              <w:rPr>
                <w:color w:val="000000"/>
                <w:lang w:val="es-ES"/>
              </w:rPr>
              <w:t>se</w:t>
            </w:r>
            <w:r w:rsidR="00D10C21" w:rsidRPr="003E0B98">
              <w:rPr>
                <w:color w:val="000000"/>
                <w:lang w:val="es-ES"/>
              </w:rPr>
              <w:t>r frente a Lá</w:t>
            </w:r>
            <w:r w:rsidRPr="003E0B98">
              <w:rPr>
                <w:color w:val="000000"/>
                <w:lang w:val="es-ES"/>
              </w:rPr>
              <w:t>ser.</w:t>
            </w:r>
          </w:p>
          <w:p w14:paraId="29B338A4" w14:textId="77777777" w:rsidR="00CB7805" w:rsidRPr="003E0B98" w:rsidRDefault="00CB7805" w:rsidP="004361AC">
            <w:pPr>
              <w:keepLines/>
              <w:tabs>
                <w:tab w:val="clear" w:pos="567"/>
              </w:tabs>
              <w:spacing w:line="240" w:lineRule="auto"/>
              <w:ind w:left="567" w:hanging="567"/>
              <w:rPr>
                <w:color w:val="000000"/>
                <w:lang w:val="es-ES"/>
              </w:rPr>
            </w:pPr>
            <w:r w:rsidRPr="003E0B98">
              <w:rPr>
                <w:color w:val="000000"/>
                <w:vertAlign w:val="superscript"/>
                <w:lang w:val="es-ES"/>
              </w:rPr>
              <w:t>b</w:t>
            </w:r>
            <w:r w:rsidRPr="003E0B98">
              <w:rPr>
                <w:color w:val="000000"/>
                <w:lang w:val="es-ES"/>
              </w:rPr>
              <w:tab/>
              <w:t>p&lt;0</w:t>
            </w:r>
            <w:r w:rsidR="0033510C" w:rsidRPr="003E0B98">
              <w:rPr>
                <w:color w:val="000000"/>
                <w:lang w:val="es-ES"/>
              </w:rPr>
              <w:t>,</w:t>
            </w:r>
            <w:r w:rsidRPr="003E0B98">
              <w:rPr>
                <w:color w:val="000000"/>
                <w:lang w:val="es-ES"/>
              </w:rPr>
              <w:t>0001</w:t>
            </w:r>
            <w:r w:rsidR="0033510C" w:rsidRPr="003E0B98">
              <w:rPr>
                <w:color w:val="000000"/>
                <w:lang w:val="es-ES"/>
              </w:rPr>
              <w:t xml:space="preserve"> </w:t>
            </w:r>
            <w:r w:rsidR="002016A4" w:rsidRPr="003E0B98">
              <w:rPr>
                <w:color w:val="000000"/>
                <w:lang w:val="es-ES"/>
              </w:rPr>
              <w:t>para la hipótesis nula en el ensayo C</w:t>
            </w:r>
            <w:r w:rsidRPr="003E0B98">
              <w:rPr>
                <w:color w:val="000000"/>
                <w:lang w:val="es-ES"/>
              </w:rPr>
              <w:t xml:space="preserve">RYSTAL </w:t>
            </w:r>
            <w:r w:rsidR="002016A4" w:rsidRPr="003E0B98">
              <w:rPr>
                <w:color w:val="000000"/>
                <w:lang w:val="es-ES"/>
              </w:rPr>
              <w:t xml:space="preserve">en que el cambio </w:t>
            </w:r>
            <w:r w:rsidR="006006F4" w:rsidRPr="003E0B98">
              <w:rPr>
                <w:color w:val="000000"/>
                <w:lang w:val="es-ES"/>
              </w:rPr>
              <w:t>pro</w:t>
            </w:r>
            <w:r w:rsidR="002016A4" w:rsidRPr="003E0B98">
              <w:rPr>
                <w:color w:val="000000"/>
                <w:lang w:val="es-ES"/>
              </w:rPr>
              <w:t>medio al Mes</w:t>
            </w:r>
            <w:r w:rsidRPr="003E0B98">
              <w:rPr>
                <w:color w:val="000000"/>
                <w:lang w:val="es-ES"/>
              </w:rPr>
              <w:t xml:space="preserve"> 24 </w:t>
            </w:r>
            <w:r w:rsidR="002016A4" w:rsidRPr="003E0B98">
              <w:rPr>
                <w:color w:val="000000"/>
                <w:lang w:val="es-ES"/>
              </w:rPr>
              <w:t>desde el valor inicial es cero</w:t>
            </w:r>
            <w:r w:rsidRPr="003E0B98">
              <w:rPr>
                <w:color w:val="000000"/>
                <w:lang w:val="es-ES"/>
              </w:rPr>
              <w:t>.</w:t>
            </w:r>
          </w:p>
          <w:p w14:paraId="5B90A6B2" w14:textId="77777777" w:rsidR="00CB7805" w:rsidRPr="003E0B98" w:rsidDel="007C5466" w:rsidRDefault="00CB7805" w:rsidP="004361AC">
            <w:pPr>
              <w:keepLines/>
              <w:tabs>
                <w:tab w:val="clear" w:pos="567"/>
              </w:tabs>
              <w:spacing w:line="240" w:lineRule="auto"/>
              <w:ind w:left="567" w:hanging="567"/>
              <w:rPr>
                <w:color w:val="000000"/>
                <w:lang w:val="es-ES"/>
              </w:rPr>
            </w:pPr>
            <w:r w:rsidRPr="003E0B98">
              <w:rPr>
                <w:color w:val="000000"/>
                <w:lang w:val="es-ES"/>
              </w:rPr>
              <w:t>*</w:t>
            </w:r>
            <w:r w:rsidRPr="003E0B98">
              <w:rPr>
                <w:color w:val="000000"/>
                <w:lang w:val="es-ES"/>
              </w:rPr>
              <w:tab/>
            </w:r>
            <w:r w:rsidR="00FA6F16" w:rsidRPr="003E0B98">
              <w:rPr>
                <w:color w:val="000000"/>
                <w:lang w:val="es-ES"/>
              </w:rPr>
              <w:t>A partir del Mes 6</w:t>
            </w:r>
            <w:r w:rsidR="002016A4" w:rsidRPr="003E0B98">
              <w:rPr>
                <w:color w:val="000000"/>
                <w:lang w:val="es-ES"/>
              </w:rPr>
              <w:t xml:space="preserve"> se permitió el tratamiento con </w:t>
            </w:r>
            <w:proofErr w:type="spellStart"/>
            <w:r w:rsidR="002016A4" w:rsidRPr="003E0B98">
              <w:rPr>
                <w:color w:val="000000"/>
                <w:lang w:val="es-ES"/>
              </w:rPr>
              <w:t>ranibizumab</w:t>
            </w:r>
            <w:proofErr w:type="spellEnd"/>
            <w:r w:rsidR="002016A4" w:rsidRPr="003E0B98">
              <w:rPr>
                <w:color w:val="000000"/>
                <w:lang w:val="es-ES"/>
              </w:rPr>
              <w:t xml:space="preserve"> 0,5 mg (24 pacientes fueron tratados solo con láser</w:t>
            </w:r>
            <w:r w:rsidRPr="003E0B98">
              <w:rPr>
                <w:color w:val="000000"/>
                <w:lang w:val="es-ES"/>
              </w:rPr>
              <w:t>).</w:t>
            </w:r>
          </w:p>
        </w:tc>
      </w:tr>
    </w:tbl>
    <w:p w14:paraId="614EF5B6" w14:textId="77777777" w:rsidR="00CB7805" w:rsidRPr="003E0B98" w:rsidRDefault="00CB7805" w:rsidP="004361AC">
      <w:pPr>
        <w:tabs>
          <w:tab w:val="clear" w:pos="567"/>
        </w:tabs>
        <w:spacing w:line="240" w:lineRule="auto"/>
        <w:rPr>
          <w:color w:val="000000"/>
          <w:szCs w:val="22"/>
          <w:lang w:val="es-ES"/>
        </w:rPr>
      </w:pPr>
    </w:p>
    <w:p w14:paraId="2D353B8F" w14:textId="77777777" w:rsidR="00CB7805" w:rsidRPr="003E0B98" w:rsidRDefault="005E65AB" w:rsidP="004361AC">
      <w:pPr>
        <w:tabs>
          <w:tab w:val="clear" w:pos="567"/>
        </w:tabs>
        <w:spacing w:line="240" w:lineRule="auto"/>
        <w:rPr>
          <w:color w:val="000000"/>
          <w:lang w:val="es-ES"/>
        </w:rPr>
      </w:pPr>
      <w:r w:rsidRPr="003E0B98">
        <w:rPr>
          <w:color w:val="000000"/>
          <w:lang w:val="es-ES"/>
        </w:rPr>
        <w:t xml:space="preserve">En el ensayo BRIGHTER, </w:t>
      </w:r>
      <w:proofErr w:type="spellStart"/>
      <w:r w:rsidRPr="003E0B98">
        <w:rPr>
          <w:color w:val="000000"/>
          <w:lang w:val="es-ES"/>
        </w:rPr>
        <w:t>ranibizumab</w:t>
      </w:r>
      <w:proofErr w:type="spellEnd"/>
      <w:r w:rsidRPr="003E0B98">
        <w:rPr>
          <w:color w:val="000000"/>
          <w:lang w:val="es-ES"/>
        </w:rPr>
        <w:t xml:space="preserve"> 0,5 mg con terapia</w:t>
      </w:r>
      <w:r w:rsidRPr="003E0B98">
        <w:rPr>
          <w:color w:val="000000"/>
          <w:szCs w:val="22"/>
          <w:lang w:val="es-ES_tradnl"/>
        </w:rPr>
        <w:t xml:space="preserve"> con láser adjunta demostró no inferioridad c</w:t>
      </w:r>
      <w:r w:rsidR="00073A83" w:rsidRPr="003E0B98">
        <w:rPr>
          <w:color w:val="000000"/>
          <w:szCs w:val="22"/>
          <w:lang w:val="es-ES_tradnl"/>
        </w:rPr>
        <w:t>o</w:t>
      </w:r>
      <w:r w:rsidRPr="003E0B98">
        <w:rPr>
          <w:color w:val="000000"/>
          <w:szCs w:val="22"/>
          <w:lang w:val="es-ES_tradnl"/>
        </w:rPr>
        <w:t xml:space="preserve">mparado con </w:t>
      </w:r>
      <w:proofErr w:type="spellStart"/>
      <w:r w:rsidRPr="003E0B98">
        <w:rPr>
          <w:color w:val="000000"/>
          <w:lang w:val="es-ES"/>
        </w:rPr>
        <w:t>ranibizumab</w:t>
      </w:r>
      <w:proofErr w:type="spellEnd"/>
      <w:r w:rsidRPr="003E0B98">
        <w:rPr>
          <w:color w:val="000000"/>
          <w:lang w:val="es-ES"/>
        </w:rPr>
        <w:t xml:space="preserve"> en monoterapia desde el valor inicial hasta el Mes 24 (95% I</w:t>
      </w:r>
      <w:r w:rsidR="00073A83" w:rsidRPr="003E0B98">
        <w:rPr>
          <w:color w:val="000000"/>
          <w:lang w:val="es-ES"/>
        </w:rPr>
        <w:t>C</w:t>
      </w:r>
      <w:r w:rsidRPr="003E0B98">
        <w:rPr>
          <w:color w:val="000000"/>
          <w:lang w:val="es-ES"/>
        </w:rPr>
        <w:t xml:space="preserve"> -2,8, 1,4).</w:t>
      </w:r>
    </w:p>
    <w:p w14:paraId="6E3A9AC3" w14:textId="77777777" w:rsidR="005E65AB" w:rsidRPr="003E0B98" w:rsidRDefault="005E65AB" w:rsidP="004361AC">
      <w:pPr>
        <w:tabs>
          <w:tab w:val="clear" w:pos="567"/>
        </w:tabs>
        <w:spacing w:line="240" w:lineRule="auto"/>
        <w:rPr>
          <w:color w:val="000000"/>
          <w:lang w:val="es-ES"/>
        </w:rPr>
      </w:pPr>
    </w:p>
    <w:p w14:paraId="5950256C" w14:textId="77777777" w:rsidR="005E65AB" w:rsidRPr="003E0B98" w:rsidRDefault="005E65AB" w:rsidP="004361AC">
      <w:pPr>
        <w:tabs>
          <w:tab w:val="clear" w:pos="567"/>
        </w:tabs>
        <w:spacing w:line="240" w:lineRule="auto"/>
        <w:rPr>
          <w:color w:val="000000"/>
          <w:szCs w:val="22"/>
          <w:lang w:val="es-ES_tradnl"/>
        </w:rPr>
      </w:pPr>
      <w:r w:rsidRPr="003E0B98">
        <w:rPr>
          <w:color w:val="000000"/>
          <w:lang w:val="es-ES"/>
        </w:rPr>
        <w:t>En ambos ensayos, se observ</w:t>
      </w:r>
      <w:r w:rsidR="00AE65B9" w:rsidRPr="003E0B98">
        <w:rPr>
          <w:color w:val="000000"/>
          <w:lang w:val="es-ES"/>
        </w:rPr>
        <w:t xml:space="preserve">ó </w:t>
      </w:r>
      <w:r w:rsidR="003443E1" w:rsidRPr="003E0B98">
        <w:rPr>
          <w:color w:val="000000"/>
          <w:lang w:val="es-ES"/>
        </w:rPr>
        <w:t xml:space="preserve">en el Mes 1 </w:t>
      </w:r>
      <w:r w:rsidR="00AE65B9" w:rsidRPr="003E0B98">
        <w:rPr>
          <w:color w:val="000000"/>
          <w:lang w:val="es-ES"/>
        </w:rPr>
        <w:t>una reduc</w:t>
      </w:r>
      <w:r w:rsidRPr="003E0B98">
        <w:rPr>
          <w:color w:val="000000"/>
          <w:lang w:val="es-ES"/>
        </w:rPr>
        <w:t xml:space="preserve">ción rápida y estadísticamente significativa del </w:t>
      </w:r>
      <w:r w:rsidR="00AE65B9" w:rsidRPr="003E0B98">
        <w:rPr>
          <w:color w:val="000000"/>
          <w:szCs w:val="22"/>
          <w:lang w:val="es-ES_tradnl"/>
        </w:rPr>
        <w:t>grosor del subcampo central de la retina</w:t>
      </w:r>
      <w:r w:rsidR="003443E1" w:rsidRPr="003E0B98">
        <w:rPr>
          <w:color w:val="000000"/>
          <w:szCs w:val="22"/>
          <w:lang w:val="es-ES_tradnl"/>
        </w:rPr>
        <w:t xml:space="preserve"> </w:t>
      </w:r>
      <w:r w:rsidR="003443E1" w:rsidRPr="003E0B98">
        <w:rPr>
          <w:color w:val="000000"/>
          <w:lang w:val="es-ES"/>
        </w:rPr>
        <w:t>desde el valor inicial</w:t>
      </w:r>
      <w:r w:rsidR="00AE65B9" w:rsidRPr="003E0B98">
        <w:rPr>
          <w:color w:val="000000"/>
          <w:szCs w:val="22"/>
          <w:lang w:val="es-ES_tradnl"/>
        </w:rPr>
        <w:t>. Este efecto se mantuvo hasta el Mes 24.</w:t>
      </w:r>
    </w:p>
    <w:p w14:paraId="72B8805D" w14:textId="77777777" w:rsidR="002B7983" w:rsidRPr="003E0B98" w:rsidRDefault="002B7983" w:rsidP="004361AC">
      <w:pPr>
        <w:tabs>
          <w:tab w:val="clear" w:pos="567"/>
        </w:tabs>
        <w:spacing w:line="240" w:lineRule="auto"/>
        <w:rPr>
          <w:color w:val="000000"/>
          <w:szCs w:val="22"/>
          <w:lang w:val="es-ES_tradnl"/>
        </w:rPr>
      </w:pPr>
    </w:p>
    <w:p w14:paraId="2B2171B6" w14:textId="77777777" w:rsidR="00E9206A" w:rsidRPr="003E0B98" w:rsidRDefault="002B7983" w:rsidP="004361AC">
      <w:pPr>
        <w:tabs>
          <w:tab w:val="clear" w:pos="567"/>
        </w:tabs>
        <w:spacing w:line="240" w:lineRule="auto"/>
        <w:rPr>
          <w:lang w:val="es-ES"/>
        </w:rPr>
      </w:pPr>
      <w:r w:rsidRPr="003E0B98">
        <w:rPr>
          <w:color w:val="000000"/>
          <w:szCs w:val="22"/>
          <w:lang w:val="es-ES_tradnl"/>
        </w:rPr>
        <w:t xml:space="preserve">El efecto del tratamiento con </w:t>
      </w:r>
      <w:proofErr w:type="spellStart"/>
      <w:r w:rsidRPr="003E0B98">
        <w:rPr>
          <w:color w:val="000000"/>
          <w:szCs w:val="22"/>
          <w:lang w:val="es-ES_tradnl"/>
        </w:rPr>
        <w:t>ranibizumab</w:t>
      </w:r>
      <w:proofErr w:type="spellEnd"/>
      <w:r w:rsidRPr="003E0B98">
        <w:rPr>
          <w:color w:val="000000"/>
          <w:szCs w:val="22"/>
          <w:lang w:val="es-ES_tradnl"/>
        </w:rPr>
        <w:t xml:space="preserve"> fue </w:t>
      </w:r>
      <w:r w:rsidR="00E9206A" w:rsidRPr="003E0B98">
        <w:rPr>
          <w:color w:val="000000"/>
          <w:szCs w:val="22"/>
          <w:lang w:val="es-ES_tradnl"/>
        </w:rPr>
        <w:t>similar</w:t>
      </w:r>
      <w:r w:rsidRPr="003E0B98">
        <w:rPr>
          <w:color w:val="000000"/>
          <w:szCs w:val="22"/>
          <w:lang w:val="es-ES_tradnl"/>
        </w:rPr>
        <w:t xml:space="preserve"> </w:t>
      </w:r>
      <w:r w:rsidR="00221950" w:rsidRPr="003E0B98">
        <w:rPr>
          <w:color w:val="000000"/>
          <w:szCs w:val="22"/>
          <w:lang w:val="es-ES_tradnl"/>
        </w:rPr>
        <w:t xml:space="preserve">de forma </w:t>
      </w:r>
      <w:r w:rsidRPr="003E0B98">
        <w:rPr>
          <w:color w:val="000000"/>
          <w:szCs w:val="22"/>
          <w:lang w:val="es-ES_tradnl"/>
        </w:rPr>
        <w:t xml:space="preserve">independiente de la presencia de isquemia retiniana. En el ensayo </w:t>
      </w:r>
      <w:r w:rsidRPr="003E0B98">
        <w:rPr>
          <w:color w:val="000000"/>
          <w:lang w:val="es-ES"/>
        </w:rPr>
        <w:t xml:space="preserve">BRIGHTER, los pacientes que presentaban isquemia </w:t>
      </w:r>
      <w:r w:rsidRPr="003E0B98">
        <w:rPr>
          <w:lang w:val="es-ES"/>
        </w:rPr>
        <w:t>(N=46)</w:t>
      </w:r>
      <w:r w:rsidR="00E9206A" w:rsidRPr="003E0B98">
        <w:rPr>
          <w:color w:val="000000"/>
          <w:lang w:val="es-ES"/>
        </w:rPr>
        <w:t xml:space="preserve"> o</w:t>
      </w:r>
      <w:r w:rsidRPr="003E0B98">
        <w:rPr>
          <w:color w:val="000000"/>
          <w:lang w:val="es-ES"/>
        </w:rPr>
        <w:t xml:space="preserve"> los que no </w:t>
      </w:r>
      <w:r w:rsidR="00E9206A" w:rsidRPr="003E0B98">
        <w:rPr>
          <w:color w:val="000000"/>
          <w:lang w:val="es-ES"/>
        </w:rPr>
        <w:t xml:space="preserve">la presentaban </w:t>
      </w:r>
      <w:r w:rsidR="00E9206A" w:rsidRPr="003E0B98">
        <w:rPr>
          <w:lang w:val="es-ES"/>
        </w:rPr>
        <w:t xml:space="preserve">(N=133) y que fueron tratados con </w:t>
      </w:r>
      <w:proofErr w:type="spellStart"/>
      <w:r w:rsidR="00E9206A" w:rsidRPr="003E0B98">
        <w:rPr>
          <w:lang w:val="es-ES"/>
        </w:rPr>
        <w:t>ranibizumab</w:t>
      </w:r>
      <w:proofErr w:type="spellEnd"/>
      <w:r w:rsidR="00E9206A" w:rsidRPr="003E0B98">
        <w:rPr>
          <w:lang w:val="es-ES"/>
        </w:rPr>
        <w:t xml:space="preserve"> en monoterapia, tuvieron un cambio </w:t>
      </w:r>
      <w:r w:rsidR="006006F4" w:rsidRPr="003E0B98">
        <w:rPr>
          <w:lang w:val="es-ES"/>
        </w:rPr>
        <w:t>pro</w:t>
      </w:r>
      <w:r w:rsidR="00E9206A" w:rsidRPr="003E0B98">
        <w:rPr>
          <w:lang w:val="es-ES"/>
        </w:rPr>
        <w:t>medio desde el valor inicial de +15,3 y +15,6 letras respectivamente, en el Mes 24</w:t>
      </w:r>
      <w:r w:rsidR="00E9206A" w:rsidRPr="003E0B98">
        <w:rPr>
          <w:color w:val="000000"/>
          <w:lang w:val="es-ES"/>
        </w:rPr>
        <w:t>.</w:t>
      </w:r>
      <w:r w:rsidR="00284DE3" w:rsidRPr="003E0B98">
        <w:rPr>
          <w:color w:val="000000"/>
          <w:lang w:val="es-ES"/>
        </w:rPr>
        <w:t xml:space="preserve"> </w:t>
      </w:r>
      <w:r w:rsidR="00E9206A" w:rsidRPr="003E0B98">
        <w:rPr>
          <w:color w:val="000000"/>
          <w:szCs w:val="22"/>
          <w:lang w:val="es-ES_tradnl"/>
        </w:rPr>
        <w:t xml:space="preserve">En el ensayo </w:t>
      </w:r>
      <w:r w:rsidR="00E9206A" w:rsidRPr="003E0B98">
        <w:rPr>
          <w:color w:val="000000"/>
          <w:lang w:val="es-ES"/>
        </w:rPr>
        <w:t xml:space="preserve">CRYSTAL, los pacientes que presentaban isquemia </w:t>
      </w:r>
      <w:r w:rsidR="00E9206A" w:rsidRPr="003E0B98">
        <w:rPr>
          <w:lang w:val="es-ES"/>
        </w:rPr>
        <w:t>(N=53)</w:t>
      </w:r>
      <w:r w:rsidR="00E9206A" w:rsidRPr="003E0B98">
        <w:rPr>
          <w:color w:val="000000"/>
          <w:lang w:val="es-ES"/>
        </w:rPr>
        <w:t xml:space="preserve"> o los que no la presentaban </w:t>
      </w:r>
      <w:r w:rsidR="00E9206A" w:rsidRPr="003E0B98">
        <w:rPr>
          <w:lang w:val="es-ES"/>
        </w:rPr>
        <w:t xml:space="preserve">(N=300) y que fueron tratados con </w:t>
      </w:r>
      <w:proofErr w:type="spellStart"/>
      <w:r w:rsidR="00E9206A" w:rsidRPr="003E0B98">
        <w:rPr>
          <w:lang w:val="es-ES"/>
        </w:rPr>
        <w:t>ranibizumab</w:t>
      </w:r>
      <w:proofErr w:type="spellEnd"/>
      <w:r w:rsidR="00E9206A" w:rsidRPr="003E0B98">
        <w:rPr>
          <w:lang w:val="es-ES"/>
        </w:rPr>
        <w:t xml:space="preserve"> en monoterapia, tuvieron un cambio </w:t>
      </w:r>
      <w:r w:rsidR="006006F4" w:rsidRPr="003E0B98">
        <w:rPr>
          <w:lang w:val="es-ES"/>
        </w:rPr>
        <w:t>pro</w:t>
      </w:r>
      <w:r w:rsidR="00E9206A" w:rsidRPr="003E0B98">
        <w:rPr>
          <w:lang w:val="es-ES"/>
        </w:rPr>
        <w:t>medio desde el valor inicial de +15</w:t>
      </w:r>
      <w:r w:rsidR="003443E1" w:rsidRPr="003E0B98">
        <w:rPr>
          <w:lang w:val="es-ES"/>
        </w:rPr>
        <w:t>,0</w:t>
      </w:r>
      <w:r w:rsidR="00E9206A" w:rsidRPr="003E0B98">
        <w:rPr>
          <w:lang w:val="es-ES"/>
        </w:rPr>
        <w:t xml:space="preserve"> y +11,5 letras respectivamente.</w:t>
      </w:r>
    </w:p>
    <w:p w14:paraId="3D142BC2" w14:textId="77777777" w:rsidR="00E9206A" w:rsidRPr="003E0B98" w:rsidRDefault="00E9206A" w:rsidP="004361AC">
      <w:pPr>
        <w:tabs>
          <w:tab w:val="clear" w:pos="567"/>
        </w:tabs>
        <w:spacing w:line="240" w:lineRule="auto"/>
        <w:rPr>
          <w:lang w:val="es-ES"/>
        </w:rPr>
      </w:pPr>
    </w:p>
    <w:p w14:paraId="49DF86BF" w14:textId="77777777" w:rsidR="00E9206A" w:rsidRPr="003E0B98" w:rsidRDefault="006C6345" w:rsidP="004361AC">
      <w:pPr>
        <w:tabs>
          <w:tab w:val="clear" w:pos="567"/>
        </w:tabs>
        <w:spacing w:line="240" w:lineRule="auto"/>
        <w:rPr>
          <w:iCs/>
          <w:szCs w:val="22"/>
          <w:lang w:val="es-ES"/>
        </w:rPr>
      </w:pPr>
      <w:r w:rsidRPr="003E0B98">
        <w:rPr>
          <w:color w:val="000000"/>
          <w:lang w:val="es-ES"/>
        </w:rPr>
        <w:t xml:space="preserve">En todos los pacientes tratados con </w:t>
      </w:r>
      <w:proofErr w:type="spellStart"/>
      <w:r w:rsidRPr="003E0B98">
        <w:rPr>
          <w:lang w:val="es-ES"/>
        </w:rPr>
        <w:t>ranibizumab</w:t>
      </w:r>
      <w:proofErr w:type="spellEnd"/>
      <w:r w:rsidRPr="003E0B98">
        <w:rPr>
          <w:lang w:val="es-ES"/>
        </w:rPr>
        <w:t xml:space="preserve"> 0,5 mg en monoterapia</w:t>
      </w:r>
      <w:r w:rsidRPr="003E0B98">
        <w:rPr>
          <w:color w:val="000000"/>
          <w:lang w:val="es-ES"/>
        </w:rPr>
        <w:t xml:space="preserve"> se observó el efecto en términos de mejora visual en ambos ensayos BRIGHTER y CRYSTAL </w:t>
      </w:r>
      <w:r w:rsidR="00221950" w:rsidRPr="003E0B98">
        <w:rPr>
          <w:color w:val="000000"/>
          <w:lang w:val="es-ES"/>
        </w:rPr>
        <w:t xml:space="preserve">de forma </w:t>
      </w:r>
      <w:r w:rsidRPr="003E0B98">
        <w:rPr>
          <w:color w:val="000000"/>
          <w:lang w:val="es-ES"/>
        </w:rPr>
        <w:t>independiente de la duración de la enfermedad</w:t>
      </w:r>
      <w:r w:rsidR="003239FA" w:rsidRPr="003E0B98">
        <w:rPr>
          <w:color w:val="000000"/>
          <w:lang w:val="es-ES"/>
        </w:rPr>
        <w:t xml:space="preserve">. En pacientes con una duración de la enfermedad </w:t>
      </w:r>
      <w:r w:rsidR="003239FA" w:rsidRPr="003E0B98">
        <w:rPr>
          <w:iCs/>
          <w:szCs w:val="22"/>
          <w:lang w:val="es-ES"/>
        </w:rPr>
        <w:t xml:space="preserve">&lt;3 meses se observó un aumento en la agudeza visual </w:t>
      </w:r>
      <w:r w:rsidR="00F449E1" w:rsidRPr="003E0B98">
        <w:rPr>
          <w:iCs/>
          <w:szCs w:val="22"/>
          <w:lang w:val="es-ES"/>
        </w:rPr>
        <w:t>de 13,3 y 10,0 </w:t>
      </w:r>
      <w:r w:rsidR="003239FA" w:rsidRPr="003E0B98">
        <w:rPr>
          <w:iCs/>
          <w:szCs w:val="22"/>
          <w:lang w:val="es-ES"/>
        </w:rPr>
        <w:t xml:space="preserve">letras en el Mes 1; y 17,7 y 13,2 letras en el Mes 24 en </w:t>
      </w:r>
      <w:r w:rsidR="003239FA" w:rsidRPr="003E0B98">
        <w:rPr>
          <w:color w:val="000000"/>
          <w:lang w:val="es-ES"/>
        </w:rPr>
        <w:t xml:space="preserve">BRIGHTER y CRYSTAL respectivamente. En pacientes con una duración de la enfermedad </w:t>
      </w:r>
      <w:r w:rsidR="003239FA" w:rsidRPr="003E0B98">
        <w:rPr>
          <w:iCs/>
          <w:szCs w:val="22"/>
          <w:lang w:val="es-ES"/>
        </w:rPr>
        <w:t xml:space="preserve">≥12 meses, la ganancia de agudeza visual correspondiente fue de 8,6 y 8,4 letras en los respectivos ensayos. </w:t>
      </w:r>
      <w:r w:rsidR="00126F9C" w:rsidRPr="003E0B98">
        <w:rPr>
          <w:iCs/>
          <w:szCs w:val="22"/>
          <w:lang w:val="es-ES"/>
        </w:rPr>
        <w:t>Se d</w:t>
      </w:r>
      <w:r w:rsidR="00D6689C" w:rsidRPr="003E0B98">
        <w:rPr>
          <w:iCs/>
          <w:szCs w:val="22"/>
          <w:lang w:val="es-ES"/>
        </w:rPr>
        <w:t>ebe considerar el inicio del tratamiento en el momento del diagnóstico.</w:t>
      </w:r>
    </w:p>
    <w:p w14:paraId="1F411BFD" w14:textId="77777777" w:rsidR="00D6689C" w:rsidRPr="003E0B98" w:rsidRDefault="00D6689C" w:rsidP="004361AC">
      <w:pPr>
        <w:tabs>
          <w:tab w:val="clear" w:pos="567"/>
        </w:tabs>
        <w:spacing w:line="240" w:lineRule="auto"/>
        <w:rPr>
          <w:iCs/>
          <w:szCs w:val="22"/>
          <w:lang w:val="es-ES"/>
        </w:rPr>
      </w:pPr>
    </w:p>
    <w:p w14:paraId="1FDB8125" w14:textId="77777777" w:rsidR="00D6689C" w:rsidRPr="003E0B98" w:rsidRDefault="00D027FC" w:rsidP="004361AC">
      <w:pPr>
        <w:tabs>
          <w:tab w:val="clear" w:pos="567"/>
        </w:tabs>
        <w:spacing w:line="240" w:lineRule="auto"/>
        <w:rPr>
          <w:color w:val="000000"/>
          <w:lang w:val="es-ES"/>
        </w:rPr>
      </w:pPr>
      <w:r w:rsidRPr="003E0B98">
        <w:rPr>
          <w:szCs w:val="22"/>
          <w:lang w:val="es-ES_tradnl"/>
        </w:rPr>
        <w:t xml:space="preserve">El perfil de seguridad a largo plazo de </w:t>
      </w:r>
      <w:proofErr w:type="spellStart"/>
      <w:r w:rsidRPr="003E0B98">
        <w:rPr>
          <w:szCs w:val="22"/>
          <w:lang w:val="es-ES_tradnl"/>
        </w:rPr>
        <w:t>ranibizumab</w:t>
      </w:r>
      <w:proofErr w:type="spellEnd"/>
      <w:r w:rsidRPr="003E0B98">
        <w:rPr>
          <w:szCs w:val="22"/>
          <w:lang w:val="es-ES_tradnl"/>
        </w:rPr>
        <w:t xml:space="preserve"> observado en los ensayos de 24 meses es consistente con el perfil de seguridad de </w:t>
      </w:r>
      <w:proofErr w:type="spellStart"/>
      <w:r w:rsidRPr="003E0B98">
        <w:rPr>
          <w:szCs w:val="22"/>
          <w:lang w:val="es-ES_tradnl"/>
        </w:rPr>
        <w:t>Lucentis</w:t>
      </w:r>
      <w:proofErr w:type="spellEnd"/>
      <w:r w:rsidRPr="003E0B98">
        <w:rPr>
          <w:szCs w:val="22"/>
          <w:lang w:val="es-ES_tradnl"/>
        </w:rPr>
        <w:t xml:space="preserve"> conocido.</w:t>
      </w:r>
    </w:p>
    <w:p w14:paraId="42F61FD0" w14:textId="77777777" w:rsidR="005E65AB" w:rsidRPr="003E0B98" w:rsidRDefault="005E65AB" w:rsidP="004361AC">
      <w:pPr>
        <w:tabs>
          <w:tab w:val="clear" w:pos="567"/>
        </w:tabs>
        <w:spacing w:line="240" w:lineRule="auto"/>
        <w:rPr>
          <w:bCs/>
          <w:szCs w:val="22"/>
          <w:lang w:val="es-ES_tradnl"/>
        </w:rPr>
      </w:pPr>
    </w:p>
    <w:p w14:paraId="772F5151" w14:textId="77777777" w:rsidR="002E5034" w:rsidRPr="003E0B98" w:rsidRDefault="002E5034" w:rsidP="004361AC">
      <w:pPr>
        <w:keepNext/>
        <w:tabs>
          <w:tab w:val="clear" w:pos="567"/>
        </w:tabs>
        <w:spacing w:line="240" w:lineRule="auto"/>
        <w:rPr>
          <w:bCs/>
          <w:szCs w:val="22"/>
          <w:u w:val="single"/>
          <w:lang w:val="es-ES_tradnl"/>
        </w:rPr>
      </w:pPr>
      <w:r w:rsidRPr="003E0B98">
        <w:rPr>
          <w:bCs/>
          <w:szCs w:val="22"/>
          <w:u w:val="single"/>
          <w:lang w:val="es-ES_tradnl"/>
        </w:rPr>
        <w:t>Población pediátrica</w:t>
      </w:r>
    </w:p>
    <w:p w14:paraId="6D4F79B3" w14:textId="77777777" w:rsidR="00CB7A6D" w:rsidRPr="003E0B98" w:rsidRDefault="00CB7A6D" w:rsidP="004361AC">
      <w:pPr>
        <w:keepNext/>
        <w:tabs>
          <w:tab w:val="clear" w:pos="567"/>
        </w:tabs>
        <w:spacing w:line="240" w:lineRule="auto"/>
        <w:rPr>
          <w:bCs/>
          <w:szCs w:val="22"/>
          <w:lang w:val="es-ES_tradnl"/>
        </w:rPr>
      </w:pPr>
    </w:p>
    <w:p w14:paraId="1CFCA9D0" w14:textId="2D103EF6" w:rsidR="00AA2D3B" w:rsidRPr="003E0B98" w:rsidRDefault="00AA2D3B" w:rsidP="004361AC">
      <w:pPr>
        <w:keepNext/>
        <w:tabs>
          <w:tab w:val="clear" w:pos="567"/>
        </w:tabs>
        <w:spacing w:line="240" w:lineRule="auto"/>
        <w:rPr>
          <w:bCs/>
          <w:i/>
          <w:szCs w:val="22"/>
          <w:u w:val="single"/>
          <w:lang w:val="es-ES_tradnl"/>
        </w:rPr>
      </w:pPr>
      <w:r w:rsidRPr="003E0B98">
        <w:rPr>
          <w:bCs/>
          <w:i/>
          <w:szCs w:val="22"/>
          <w:u w:val="single"/>
          <w:lang w:val="es-ES_tradnl"/>
        </w:rPr>
        <w:t xml:space="preserve">Tratamiento de la </w:t>
      </w:r>
      <w:r w:rsidR="00153893" w:rsidRPr="003E0B98">
        <w:rPr>
          <w:bCs/>
          <w:i/>
          <w:szCs w:val="22"/>
          <w:u w:val="single"/>
          <w:lang w:val="es-ES_tradnl"/>
        </w:rPr>
        <w:t>R</w:t>
      </w:r>
      <w:r w:rsidR="00714C3D" w:rsidRPr="003E0B98">
        <w:rPr>
          <w:bCs/>
          <w:i/>
          <w:szCs w:val="22"/>
          <w:u w:val="single"/>
          <w:lang w:val="es-ES_tradnl"/>
        </w:rPr>
        <w:t>O</w:t>
      </w:r>
      <w:r w:rsidR="00153893" w:rsidRPr="003E0B98">
        <w:rPr>
          <w:bCs/>
          <w:i/>
          <w:szCs w:val="22"/>
          <w:u w:val="single"/>
          <w:lang w:val="es-ES_tradnl"/>
        </w:rPr>
        <w:t>P</w:t>
      </w:r>
      <w:r w:rsidRPr="003E0B98">
        <w:rPr>
          <w:bCs/>
          <w:i/>
          <w:szCs w:val="22"/>
          <w:u w:val="single"/>
          <w:lang w:val="es-ES_tradnl"/>
        </w:rPr>
        <w:t xml:space="preserve"> en recién nacidos </w:t>
      </w:r>
      <w:r w:rsidR="003400BD" w:rsidRPr="003E0B98">
        <w:rPr>
          <w:bCs/>
          <w:i/>
          <w:szCs w:val="22"/>
          <w:u w:val="single"/>
          <w:lang w:val="es-ES_tradnl"/>
        </w:rPr>
        <w:t>pretérmino</w:t>
      </w:r>
    </w:p>
    <w:p w14:paraId="240B45B0" w14:textId="634C271A" w:rsidR="002E5034" w:rsidRPr="003E0B98" w:rsidRDefault="00AA2D3B" w:rsidP="004361AC">
      <w:pPr>
        <w:tabs>
          <w:tab w:val="clear" w:pos="567"/>
        </w:tabs>
        <w:spacing w:line="240" w:lineRule="auto"/>
        <w:rPr>
          <w:bCs/>
          <w:szCs w:val="22"/>
          <w:lang w:val="es-ES"/>
        </w:rPr>
      </w:pPr>
      <w:r w:rsidRPr="003E0B98">
        <w:rPr>
          <w:bCs/>
          <w:szCs w:val="22"/>
          <w:lang w:val="es-ES"/>
        </w:rPr>
        <w:t xml:space="preserve">La seguridad clínica y la eficacia de </w:t>
      </w:r>
      <w:proofErr w:type="spellStart"/>
      <w:r w:rsidRPr="003E0B98">
        <w:rPr>
          <w:bCs/>
          <w:szCs w:val="22"/>
          <w:lang w:val="es-ES"/>
        </w:rPr>
        <w:t>Lucentis</w:t>
      </w:r>
      <w:proofErr w:type="spellEnd"/>
      <w:r w:rsidRPr="003E0B98">
        <w:rPr>
          <w:bCs/>
          <w:szCs w:val="22"/>
          <w:lang w:val="es-ES"/>
        </w:rPr>
        <w:t xml:space="preserve"> 0,2 mg para el tratamiento de la </w:t>
      </w:r>
      <w:r w:rsidR="00153893" w:rsidRPr="003E0B98">
        <w:rPr>
          <w:bCs/>
          <w:szCs w:val="22"/>
          <w:lang w:val="es-ES"/>
        </w:rPr>
        <w:t>R</w:t>
      </w:r>
      <w:r w:rsidR="00714C3D" w:rsidRPr="003E0B98">
        <w:rPr>
          <w:bCs/>
          <w:szCs w:val="22"/>
          <w:lang w:val="es-ES"/>
        </w:rPr>
        <w:t>O</w:t>
      </w:r>
      <w:r w:rsidR="00153893" w:rsidRPr="003E0B98">
        <w:rPr>
          <w:bCs/>
          <w:szCs w:val="22"/>
          <w:lang w:val="es-ES"/>
        </w:rPr>
        <w:t>P</w:t>
      </w:r>
      <w:r w:rsidRPr="003E0B98">
        <w:rPr>
          <w:bCs/>
          <w:szCs w:val="22"/>
          <w:lang w:val="es-ES"/>
        </w:rPr>
        <w:t xml:space="preserve"> en recién nacidos </w:t>
      </w:r>
      <w:r w:rsidR="003400BD" w:rsidRPr="003E0B98">
        <w:rPr>
          <w:bCs/>
          <w:szCs w:val="22"/>
          <w:lang w:val="es-ES"/>
        </w:rPr>
        <w:t>pretérmino</w:t>
      </w:r>
      <w:r w:rsidRPr="003E0B98">
        <w:rPr>
          <w:bCs/>
          <w:szCs w:val="22"/>
          <w:lang w:val="es-ES"/>
        </w:rPr>
        <w:t xml:space="preserve"> han sido evaluadas en base a los datos de 6</w:t>
      </w:r>
      <w:r w:rsidR="00BE5591" w:rsidRPr="003E0B98">
        <w:rPr>
          <w:bCs/>
          <w:szCs w:val="22"/>
          <w:lang w:val="es-ES"/>
        </w:rPr>
        <w:t> </w:t>
      </w:r>
      <w:r w:rsidRPr="003E0B98">
        <w:rPr>
          <w:bCs/>
          <w:szCs w:val="22"/>
          <w:lang w:val="es-ES"/>
        </w:rPr>
        <w:t xml:space="preserve">meses del estudio aleatorio, de 3 brazos, grupo de superioridad de grupos paralelos H2301 (RAINBOW), que fue diseñado para evaluar 0,2 mg y 0,1 mg de </w:t>
      </w:r>
      <w:proofErr w:type="spellStart"/>
      <w:r w:rsidRPr="003E0B98">
        <w:rPr>
          <w:bCs/>
          <w:szCs w:val="22"/>
          <w:lang w:val="es-ES"/>
        </w:rPr>
        <w:t>ranibizumab</w:t>
      </w:r>
      <w:proofErr w:type="spellEnd"/>
      <w:r w:rsidRPr="003E0B98">
        <w:rPr>
          <w:bCs/>
          <w:szCs w:val="22"/>
          <w:lang w:val="es-ES"/>
        </w:rPr>
        <w:t xml:space="preserve"> administrados como inyecciones intravítreas en comparación con la terapia con láser. Los pacientes elegibles tenían uno de los siguientes hallazgos retinianos en cada ojo:</w:t>
      </w:r>
    </w:p>
    <w:p w14:paraId="5F7D4275" w14:textId="77777777" w:rsidR="00AA2D3B" w:rsidRPr="003E0B98" w:rsidRDefault="00AA2D3B" w:rsidP="004361AC">
      <w:pPr>
        <w:numPr>
          <w:ilvl w:val="0"/>
          <w:numId w:val="16"/>
        </w:numPr>
        <w:tabs>
          <w:tab w:val="clear" w:pos="567"/>
        </w:tabs>
        <w:spacing w:line="240" w:lineRule="auto"/>
        <w:ind w:hanging="720"/>
        <w:rPr>
          <w:bCs/>
          <w:szCs w:val="22"/>
          <w:lang w:val="es-ES"/>
        </w:rPr>
      </w:pPr>
      <w:r w:rsidRPr="003E0B98">
        <w:rPr>
          <w:bCs/>
          <w:szCs w:val="22"/>
          <w:lang w:val="es-ES"/>
        </w:rPr>
        <w:t xml:space="preserve">Zona I, enfermedad en </w:t>
      </w:r>
      <w:proofErr w:type="spellStart"/>
      <w:proofErr w:type="gramStart"/>
      <w:r w:rsidRPr="003E0B98">
        <w:rPr>
          <w:bCs/>
          <w:szCs w:val="22"/>
          <w:lang w:val="es-ES"/>
        </w:rPr>
        <w:t>e</w:t>
      </w:r>
      <w:r w:rsidR="004B5AAE" w:rsidRPr="003E0B98">
        <w:rPr>
          <w:bCs/>
          <w:szCs w:val="22"/>
          <w:lang w:val="es-ES"/>
        </w:rPr>
        <w:t>stadío</w:t>
      </w:r>
      <w:proofErr w:type="spellEnd"/>
      <w:proofErr w:type="gramEnd"/>
      <w:r w:rsidRPr="003E0B98">
        <w:rPr>
          <w:bCs/>
          <w:szCs w:val="22"/>
          <w:lang w:val="es-ES"/>
        </w:rPr>
        <w:t> 1+, 2+, 3 o 3+, o</w:t>
      </w:r>
    </w:p>
    <w:p w14:paraId="636B7451" w14:textId="77777777" w:rsidR="00AA2D3B" w:rsidRPr="003E0B98" w:rsidRDefault="00AA2D3B" w:rsidP="004361AC">
      <w:pPr>
        <w:numPr>
          <w:ilvl w:val="0"/>
          <w:numId w:val="16"/>
        </w:numPr>
        <w:tabs>
          <w:tab w:val="clear" w:pos="567"/>
        </w:tabs>
        <w:spacing w:line="240" w:lineRule="auto"/>
        <w:ind w:hanging="720"/>
        <w:rPr>
          <w:bCs/>
          <w:szCs w:val="22"/>
          <w:lang w:val="es-ES"/>
        </w:rPr>
      </w:pPr>
      <w:r w:rsidRPr="003E0B98">
        <w:rPr>
          <w:bCs/>
          <w:szCs w:val="22"/>
          <w:lang w:val="es-ES"/>
        </w:rPr>
        <w:t xml:space="preserve">Zona II, enfermedad en </w:t>
      </w:r>
      <w:proofErr w:type="spellStart"/>
      <w:proofErr w:type="gramStart"/>
      <w:r w:rsidRPr="003E0B98">
        <w:rPr>
          <w:bCs/>
          <w:szCs w:val="22"/>
          <w:lang w:val="es-ES"/>
        </w:rPr>
        <w:t>e</w:t>
      </w:r>
      <w:r w:rsidR="004B5AAE" w:rsidRPr="003E0B98">
        <w:rPr>
          <w:bCs/>
          <w:szCs w:val="22"/>
          <w:lang w:val="es-ES"/>
        </w:rPr>
        <w:t>stadío</w:t>
      </w:r>
      <w:proofErr w:type="spellEnd"/>
      <w:proofErr w:type="gramEnd"/>
      <w:r w:rsidRPr="003E0B98">
        <w:rPr>
          <w:bCs/>
          <w:szCs w:val="22"/>
          <w:lang w:val="es-ES"/>
        </w:rPr>
        <w:t> 3+, o</w:t>
      </w:r>
    </w:p>
    <w:p w14:paraId="2C5A4442" w14:textId="7B84F213" w:rsidR="00AA2D3B" w:rsidRPr="003E0B98" w:rsidRDefault="00153893" w:rsidP="004361AC">
      <w:pPr>
        <w:numPr>
          <w:ilvl w:val="0"/>
          <w:numId w:val="16"/>
        </w:numPr>
        <w:tabs>
          <w:tab w:val="clear" w:pos="567"/>
        </w:tabs>
        <w:spacing w:line="240" w:lineRule="auto"/>
        <w:ind w:hanging="720"/>
        <w:rPr>
          <w:bCs/>
          <w:szCs w:val="22"/>
          <w:lang w:val="es-ES"/>
        </w:rPr>
      </w:pPr>
      <w:r w:rsidRPr="003E0B98">
        <w:rPr>
          <w:bCs/>
          <w:szCs w:val="22"/>
          <w:lang w:val="es-ES"/>
        </w:rPr>
        <w:t>R</w:t>
      </w:r>
      <w:r w:rsidR="00714C3D" w:rsidRPr="003E0B98">
        <w:rPr>
          <w:bCs/>
          <w:szCs w:val="22"/>
          <w:lang w:val="es-ES"/>
        </w:rPr>
        <w:t>O</w:t>
      </w:r>
      <w:r w:rsidRPr="003E0B98">
        <w:rPr>
          <w:bCs/>
          <w:szCs w:val="22"/>
          <w:lang w:val="es-ES"/>
        </w:rPr>
        <w:t>P</w:t>
      </w:r>
      <w:r w:rsidR="00AA2D3B" w:rsidRPr="003E0B98">
        <w:rPr>
          <w:bCs/>
          <w:szCs w:val="22"/>
          <w:lang w:val="es-ES"/>
        </w:rPr>
        <w:t xml:space="preserve"> agresiva posterior (AP)</w:t>
      </w:r>
    </w:p>
    <w:p w14:paraId="1DF962FB" w14:textId="77777777" w:rsidR="00AA2D3B" w:rsidRPr="003E0B98" w:rsidRDefault="00AA2D3B" w:rsidP="004361AC">
      <w:pPr>
        <w:tabs>
          <w:tab w:val="clear" w:pos="567"/>
        </w:tabs>
        <w:spacing w:line="240" w:lineRule="auto"/>
        <w:rPr>
          <w:bCs/>
          <w:szCs w:val="22"/>
          <w:lang w:val="es-ES"/>
        </w:rPr>
      </w:pPr>
    </w:p>
    <w:p w14:paraId="03570A35" w14:textId="77777777" w:rsidR="00AA2D3B" w:rsidRPr="003E0B98" w:rsidRDefault="00AA2D3B" w:rsidP="004361AC">
      <w:pPr>
        <w:tabs>
          <w:tab w:val="clear" w:pos="567"/>
        </w:tabs>
        <w:spacing w:line="240" w:lineRule="auto"/>
        <w:rPr>
          <w:bCs/>
          <w:szCs w:val="22"/>
          <w:lang w:val="es-ES"/>
        </w:rPr>
      </w:pPr>
      <w:r w:rsidRPr="003E0B98">
        <w:rPr>
          <w:bCs/>
          <w:szCs w:val="22"/>
          <w:lang w:val="es-ES"/>
        </w:rPr>
        <w:t xml:space="preserve">En este estudio, 225 pacientes fueron aleatorizados en una </w:t>
      </w:r>
      <w:r w:rsidR="007950ED" w:rsidRPr="003E0B98">
        <w:rPr>
          <w:bCs/>
          <w:szCs w:val="22"/>
          <w:lang w:val="es-ES"/>
        </w:rPr>
        <w:t>prop</w:t>
      </w:r>
      <w:r w:rsidRPr="003E0B98">
        <w:rPr>
          <w:bCs/>
          <w:szCs w:val="22"/>
          <w:lang w:val="es-ES"/>
        </w:rPr>
        <w:t xml:space="preserve">orción de 1:1:1 para recibir 0,2 mg de </w:t>
      </w:r>
      <w:proofErr w:type="spellStart"/>
      <w:r w:rsidRPr="003E0B98">
        <w:rPr>
          <w:bCs/>
          <w:szCs w:val="22"/>
          <w:lang w:val="es-ES"/>
        </w:rPr>
        <w:t>ranibizumab</w:t>
      </w:r>
      <w:proofErr w:type="spellEnd"/>
      <w:r w:rsidRPr="003E0B98">
        <w:rPr>
          <w:bCs/>
          <w:szCs w:val="22"/>
          <w:lang w:val="es-ES"/>
        </w:rPr>
        <w:t xml:space="preserve"> intravítreo (n=74), 0,1 mg (n=77) o terapia con láser (n=74).</w:t>
      </w:r>
    </w:p>
    <w:p w14:paraId="3D2F509F" w14:textId="77777777" w:rsidR="00AA2D3B" w:rsidRPr="003E0B98" w:rsidRDefault="00AA2D3B" w:rsidP="004361AC">
      <w:pPr>
        <w:tabs>
          <w:tab w:val="clear" w:pos="567"/>
        </w:tabs>
        <w:spacing w:line="240" w:lineRule="auto"/>
        <w:rPr>
          <w:bCs/>
          <w:szCs w:val="22"/>
          <w:lang w:val="es-ES"/>
        </w:rPr>
      </w:pPr>
    </w:p>
    <w:p w14:paraId="5B34B488" w14:textId="783A69F7" w:rsidR="00AA2D3B" w:rsidRPr="003E0B98" w:rsidRDefault="00AA2D3B" w:rsidP="004361AC">
      <w:pPr>
        <w:tabs>
          <w:tab w:val="clear" w:pos="567"/>
        </w:tabs>
        <w:spacing w:line="240" w:lineRule="auto"/>
        <w:rPr>
          <w:bCs/>
          <w:szCs w:val="22"/>
          <w:lang w:val="es-ES"/>
        </w:rPr>
      </w:pPr>
      <w:r w:rsidRPr="003E0B98">
        <w:rPr>
          <w:bCs/>
          <w:szCs w:val="22"/>
          <w:lang w:val="es-ES"/>
        </w:rPr>
        <w:t xml:space="preserve">El éxito del tratamiento, medido por la ausencia de </w:t>
      </w:r>
      <w:r w:rsidR="00153893" w:rsidRPr="003E0B98">
        <w:rPr>
          <w:bCs/>
          <w:szCs w:val="22"/>
          <w:lang w:val="es-ES"/>
        </w:rPr>
        <w:t>R</w:t>
      </w:r>
      <w:r w:rsidR="00714C3D" w:rsidRPr="003E0B98">
        <w:rPr>
          <w:bCs/>
          <w:szCs w:val="22"/>
          <w:lang w:val="es-ES"/>
        </w:rPr>
        <w:t>O</w:t>
      </w:r>
      <w:r w:rsidR="00153893" w:rsidRPr="003E0B98">
        <w:rPr>
          <w:bCs/>
          <w:szCs w:val="22"/>
          <w:lang w:val="es-ES"/>
        </w:rPr>
        <w:t>P</w:t>
      </w:r>
      <w:r w:rsidRPr="003E0B98">
        <w:rPr>
          <w:bCs/>
          <w:szCs w:val="22"/>
          <w:lang w:val="es-ES"/>
        </w:rPr>
        <w:t xml:space="preserve"> activa y la ausencia de resultados estructurales</w:t>
      </w:r>
      <w:r w:rsidR="00986417" w:rsidRPr="003E0B98">
        <w:rPr>
          <w:bCs/>
          <w:szCs w:val="22"/>
          <w:lang w:val="es-ES"/>
        </w:rPr>
        <w:t xml:space="preserve"> desfavorables en ambos ojos 24 </w:t>
      </w:r>
      <w:r w:rsidRPr="003E0B98">
        <w:rPr>
          <w:bCs/>
          <w:szCs w:val="22"/>
          <w:lang w:val="es-ES"/>
        </w:rPr>
        <w:t xml:space="preserve">semanas después del primer tratamiento del estudio, fue mayor con 0,2 mg de </w:t>
      </w:r>
      <w:proofErr w:type="spellStart"/>
      <w:r w:rsidRPr="003E0B98">
        <w:rPr>
          <w:bCs/>
          <w:szCs w:val="22"/>
          <w:lang w:val="es-ES"/>
        </w:rPr>
        <w:t>ranibizumab</w:t>
      </w:r>
      <w:proofErr w:type="spellEnd"/>
      <w:r w:rsidRPr="003E0B98">
        <w:rPr>
          <w:bCs/>
          <w:szCs w:val="22"/>
          <w:lang w:val="es-ES"/>
        </w:rPr>
        <w:t xml:space="preserve"> (80%) en comparación con la terapia con láser (66,2%) (ver Tabla </w:t>
      </w:r>
      <w:r w:rsidR="000B452F" w:rsidRPr="003E0B98">
        <w:rPr>
          <w:bCs/>
          <w:szCs w:val="22"/>
          <w:lang w:val="es-ES"/>
        </w:rPr>
        <w:t>10</w:t>
      </w:r>
      <w:r w:rsidRPr="003E0B98">
        <w:rPr>
          <w:bCs/>
          <w:szCs w:val="22"/>
          <w:lang w:val="es-ES"/>
        </w:rPr>
        <w:t xml:space="preserve">). La mayoría de los pacientes tratados con 0,2 mg de </w:t>
      </w:r>
      <w:proofErr w:type="spellStart"/>
      <w:r w:rsidRPr="003E0B98">
        <w:rPr>
          <w:bCs/>
          <w:szCs w:val="22"/>
          <w:lang w:val="es-ES"/>
        </w:rPr>
        <w:t>ranibizumab</w:t>
      </w:r>
      <w:proofErr w:type="spellEnd"/>
      <w:r w:rsidRPr="003E0B98">
        <w:rPr>
          <w:bCs/>
          <w:szCs w:val="22"/>
          <w:lang w:val="es-ES"/>
        </w:rPr>
        <w:t xml:space="preserve"> (78,1%) recibieron una única inyección por ojo.</w:t>
      </w:r>
    </w:p>
    <w:p w14:paraId="0FFEBE45" w14:textId="77777777" w:rsidR="00AA2D3B" w:rsidRPr="003E0B98" w:rsidRDefault="00AA2D3B" w:rsidP="004361AC">
      <w:pPr>
        <w:tabs>
          <w:tab w:val="clear" w:pos="567"/>
        </w:tabs>
        <w:spacing w:line="240" w:lineRule="auto"/>
        <w:rPr>
          <w:bCs/>
          <w:szCs w:val="22"/>
          <w:lang w:val="es-ES"/>
        </w:rPr>
      </w:pPr>
    </w:p>
    <w:p w14:paraId="3AD61005" w14:textId="74002BDA" w:rsidR="00CF164F" w:rsidRPr="003E0B98" w:rsidRDefault="00CF164F" w:rsidP="004361AC">
      <w:pPr>
        <w:keepNext/>
        <w:keepLines/>
        <w:tabs>
          <w:tab w:val="clear" w:pos="567"/>
        </w:tabs>
        <w:autoSpaceDE w:val="0"/>
        <w:autoSpaceDN w:val="0"/>
        <w:adjustRightInd w:val="0"/>
        <w:spacing w:line="240" w:lineRule="auto"/>
        <w:rPr>
          <w:b/>
          <w:color w:val="000000"/>
          <w:lang w:val="es-ES"/>
        </w:rPr>
      </w:pPr>
      <w:r w:rsidRPr="003E0B98">
        <w:rPr>
          <w:b/>
          <w:color w:val="000000"/>
          <w:lang w:val="es-ES"/>
        </w:rPr>
        <w:t>Tabla </w:t>
      </w:r>
      <w:r w:rsidR="000B452F" w:rsidRPr="003E0B98">
        <w:rPr>
          <w:b/>
          <w:color w:val="000000"/>
          <w:lang w:val="es-ES"/>
        </w:rPr>
        <w:t>10</w:t>
      </w:r>
      <w:r w:rsidRPr="003E0B98">
        <w:rPr>
          <w:b/>
          <w:color w:val="000000"/>
          <w:lang w:val="es-ES"/>
        </w:rPr>
        <w:tab/>
        <w:t>Resultados a la Semana 24</w:t>
      </w:r>
      <w:r w:rsidRPr="003E0B98">
        <w:rPr>
          <w:b/>
          <w:bCs/>
          <w:iCs/>
          <w:color w:val="000000"/>
          <w:szCs w:val="22"/>
          <w:lang w:val="es-ES"/>
        </w:rPr>
        <w:t xml:space="preserve"> (RAINBOW)</w:t>
      </w:r>
    </w:p>
    <w:p w14:paraId="41315713" w14:textId="77777777" w:rsidR="00CF164F" w:rsidRPr="003E0B98" w:rsidRDefault="00CF164F" w:rsidP="004361AC">
      <w:pPr>
        <w:keepNext/>
        <w:keepLines/>
        <w:tabs>
          <w:tab w:val="clear" w:pos="567"/>
        </w:tabs>
        <w:autoSpaceDE w:val="0"/>
        <w:autoSpaceDN w:val="0"/>
        <w:adjustRightInd w:val="0"/>
        <w:spacing w:line="240" w:lineRule="auto"/>
        <w:rPr>
          <w:bCs/>
          <w:iCs/>
          <w:color w:val="000000"/>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8"/>
        <w:gridCol w:w="1112"/>
        <w:gridCol w:w="1178"/>
        <w:gridCol w:w="1472"/>
        <w:gridCol w:w="1512"/>
        <w:gridCol w:w="1178"/>
        <w:gridCol w:w="1141"/>
      </w:tblGrid>
      <w:tr w:rsidR="00CF164F" w:rsidRPr="003E0B98" w14:paraId="185D8559" w14:textId="77777777" w:rsidTr="00A03865">
        <w:trPr>
          <w:trHeight w:val="452"/>
        </w:trPr>
        <w:tc>
          <w:tcPr>
            <w:tcW w:w="1498" w:type="dxa"/>
          </w:tcPr>
          <w:p w14:paraId="1CE643C7" w14:textId="77777777" w:rsidR="00CF164F" w:rsidRPr="003E0B98" w:rsidRDefault="00CF164F" w:rsidP="004361AC">
            <w:pPr>
              <w:pStyle w:val="Text"/>
              <w:keepNext/>
              <w:keepLines/>
              <w:spacing w:before="0"/>
              <w:rPr>
                <w:sz w:val="22"/>
                <w:szCs w:val="22"/>
              </w:rPr>
            </w:pPr>
          </w:p>
        </w:tc>
        <w:tc>
          <w:tcPr>
            <w:tcW w:w="2511" w:type="dxa"/>
            <w:gridSpan w:val="2"/>
          </w:tcPr>
          <w:p w14:paraId="48C2F4E5" w14:textId="77777777" w:rsidR="00CF164F" w:rsidRPr="003E0B98" w:rsidRDefault="00CF164F" w:rsidP="004361AC">
            <w:pPr>
              <w:pStyle w:val="Text"/>
              <w:keepNext/>
              <w:keepLines/>
              <w:spacing w:before="0"/>
              <w:jc w:val="center"/>
              <w:rPr>
                <w:sz w:val="22"/>
                <w:szCs w:val="22"/>
                <w:lang w:val="es-ES"/>
              </w:rPr>
            </w:pPr>
            <w:r w:rsidRPr="003E0B98">
              <w:rPr>
                <w:sz w:val="22"/>
                <w:szCs w:val="22"/>
                <w:lang w:val="es-ES"/>
              </w:rPr>
              <w:t>Éxito del tratamiento</w:t>
            </w:r>
          </w:p>
        </w:tc>
        <w:tc>
          <w:tcPr>
            <w:tcW w:w="5278" w:type="dxa"/>
            <w:gridSpan w:val="4"/>
          </w:tcPr>
          <w:p w14:paraId="7A39D998" w14:textId="77777777" w:rsidR="00CF164F" w:rsidRPr="003E0B98" w:rsidRDefault="00CF164F" w:rsidP="004361AC">
            <w:pPr>
              <w:pStyle w:val="Text"/>
              <w:keepNext/>
              <w:keepLines/>
              <w:spacing w:before="0"/>
              <w:jc w:val="center"/>
              <w:rPr>
                <w:sz w:val="22"/>
                <w:szCs w:val="22"/>
              </w:rPr>
            </w:pPr>
          </w:p>
        </w:tc>
      </w:tr>
      <w:tr w:rsidR="00CF164F" w:rsidRPr="003E0B98" w14:paraId="2DBC778A" w14:textId="77777777" w:rsidTr="00A03865">
        <w:tc>
          <w:tcPr>
            <w:tcW w:w="1498" w:type="dxa"/>
          </w:tcPr>
          <w:p w14:paraId="56D154D0" w14:textId="77777777" w:rsidR="00CF164F" w:rsidRPr="003E0B98" w:rsidRDefault="003C616B" w:rsidP="004361AC">
            <w:pPr>
              <w:pStyle w:val="Text"/>
              <w:keepNext/>
              <w:keepLines/>
              <w:spacing w:before="0"/>
              <w:rPr>
                <w:sz w:val="22"/>
                <w:szCs w:val="22"/>
                <w:lang w:val="es-ES"/>
              </w:rPr>
            </w:pPr>
            <w:r w:rsidRPr="003E0B98">
              <w:rPr>
                <w:sz w:val="22"/>
                <w:szCs w:val="22"/>
                <w:lang w:val="es-ES"/>
              </w:rPr>
              <w:t>Tratamiento</w:t>
            </w:r>
          </w:p>
        </w:tc>
        <w:tc>
          <w:tcPr>
            <w:tcW w:w="1248" w:type="dxa"/>
          </w:tcPr>
          <w:p w14:paraId="37AF9338" w14:textId="77777777" w:rsidR="00CF164F" w:rsidRPr="003E0B98" w:rsidRDefault="00CF164F" w:rsidP="004361AC">
            <w:pPr>
              <w:pStyle w:val="Text"/>
              <w:keepNext/>
              <w:keepLines/>
              <w:spacing w:before="0"/>
              <w:jc w:val="center"/>
              <w:rPr>
                <w:sz w:val="22"/>
                <w:szCs w:val="22"/>
              </w:rPr>
            </w:pPr>
            <w:r w:rsidRPr="003E0B98">
              <w:rPr>
                <w:sz w:val="22"/>
                <w:szCs w:val="22"/>
              </w:rPr>
              <w:t>n/M (%)</w:t>
            </w:r>
          </w:p>
        </w:tc>
        <w:tc>
          <w:tcPr>
            <w:tcW w:w="1263" w:type="dxa"/>
          </w:tcPr>
          <w:p w14:paraId="65AF9525" w14:textId="77777777" w:rsidR="00CF164F" w:rsidRPr="003E0B98" w:rsidRDefault="00CF164F" w:rsidP="004361AC">
            <w:pPr>
              <w:pStyle w:val="Text"/>
              <w:keepNext/>
              <w:keepLines/>
              <w:spacing w:before="0"/>
              <w:jc w:val="center"/>
              <w:rPr>
                <w:sz w:val="22"/>
                <w:szCs w:val="22"/>
              </w:rPr>
            </w:pPr>
            <w:r w:rsidRPr="003E0B98">
              <w:rPr>
                <w:sz w:val="22"/>
                <w:szCs w:val="22"/>
              </w:rPr>
              <w:t xml:space="preserve">95% </w:t>
            </w:r>
            <w:r w:rsidRPr="003E0B98">
              <w:rPr>
                <w:sz w:val="22"/>
                <w:szCs w:val="22"/>
                <w:lang w:val="es-ES"/>
              </w:rPr>
              <w:t>IC</w:t>
            </w:r>
          </w:p>
        </w:tc>
        <w:tc>
          <w:tcPr>
            <w:tcW w:w="1498" w:type="dxa"/>
          </w:tcPr>
          <w:p w14:paraId="1BF9A96D" w14:textId="77777777" w:rsidR="00CF164F" w:rsidRPr="003E0B98" w:rsidRDefault="00986417" w:rsidP="004361AC">
            <w:pPr>
              <w:pStyle w:val="Text"/>
              <w:keepNext/>
              <w:keepLines/>
              <w:spacing w:before="0"/>
              <w:jc w:val="center"/>
              <w:rPr>
                <w:sz w:val="22"/>
                <w:szCs w:val="22"/>
                <w:lang w:val="es-ES"/>
              </w:rPr>
            </w:pPr>
            <w:r w:rsidRPr="003E0B98">
              <w:rPr>
                <w:sz w:val="22"/>
                <w:szCs w:val="22"/>
                <w:lang w:val="es-ES"/>
              </w:rPr>
              <w:t>Comparación</w:t>
            </w:r>
          </w:p>
        </w:tc>
        <w:tc>
          <w:tcPr>
            <w:tcW w:w="1255" w:type="dxa"/>
          </w:tcPr>
          <w:p w14:paraId="53E56D2C" w14:textId="77777777" w:rsidR="00CF164F" w:rsidRPr="003E0B98" w:rsidRDefault="009F2314" w:rsidP="004361AC">
            <w:pPr>
              <w:pStyle w:val="Text"/>
              <w:keepNext/>
              <w:keepLines/>
              <w:spacing w:before="0"/>
              <w:jc w:val="center"/>
              <w:rPr>
                <w:sz w:val="22"/>
                <w:szCs w:val="22"/>
              </w:rPr>
            </w:pPr>
            <w:r w:rsidRPr="003E0B98">
              <w:rPr>
                <w:sz w:val="22"/>
                <w:szCs w:val="22"/>
                <w:lang w:val="es-ES"/>
              </w:rPr>
              <w:t>Cociente</w:t>
            </w:r>
            <w:r w:rsidR="00DC0050" w:rsidRPr="003E0B98">
              <w:rPr>
                <w:sz w:val="22"/>
                <w:szCs w:val="22"/>
                <w:lang w:val="es-ES"/>
              </w:rPr>
              <w:t xml:space="preserve"> de probabilidades</w:t>
            </w:r>
            <w:r w:rsidR="00CF164F" w:rsidRPr="003E0B98">
              <w:rPr>
                <w:sz w:val="22"/>
                <w:szCs w:val="22"/>
              </w:rPr>
              <w:t xml:space="preserve"> (OR)</w:t>
            </w:r>
            <w:r w:rsidR="00CF164F" w:rsidRPr="003E0B98">
              <w:rPr>
                <w:sz w:val="22"/>
                <w:szCs w:val="22"/>
                <w:vertAlign w:val="superscript"/>
              </w:rPr>
              <w:t>a</w:t>
            </w:r>
          </w:p>
        </w:tc>
        <w:tc>
          <w:tcPr>
            <w:tcW w:w="1264" w:type="dxa"/>
          </w:tcPr>
          <w:p w14:paraId="239A2221" w14:textId="77777777" w:rsidR="00CF164F" w:rsidRPr="003E0B98" w:rsidRDefault="00CF164F" w:rsidP="004361AC">
            <w:pPr>
              <w:pStyle w:val="Text"/>
              <w:keepNext/>
              <w:keepLines/>
              <w:spacing w:before="0"/>
              <w:jc w:val="center"/>
              <w:rPr>
                <w:sz w:val="22"/>
                <w:szCs w:val="22"/>
                <w:lang w:val="es-ES"/>
              </w:rPr>
            </w:pPr>
            <w:r w:rsidRPr="003E0B98">
              <w:rPr>
                <w:sz w:val="22"/>
                <w:szCs w:val="22"/>
              </w:rPr>
              <w:t>95% I</w:t>
            </w:r>
            <w:r w:rsidRPr="003E0B98">
              <w:rPr>
                <w:sz w:val="22"/>
                <w:szCs w:val="22"/>
                <w:lang w:val="es-ES"/>
              </w:rPr>
              <w:t>C</w:t>
            </w:r>
          </w:p>
        </w:tc>
        <w:tc>
          <w:tcPr>
            <w:tcW w:w="1261" w:type="dxa"/>
          </w:tcPr>
          <w:p w14:paraId="6B1C0A1A" w14:textId="77777777" w:rsidR="00CF164F" w:rsidRPr="003E0B98" w:rsidRDefault="00CF164F" w:rsidP="004361AC">
            <w:pPr>
              <w:pStyle w:val="Text"/>
              <w:keepNext/>
              <w:keepLines/>
              <w:spacing w:before="0"/>
              <w:jc w:val="center"/>
              <w:rPr>
                <w:sz w:val="22"/>
                <w:szCs w:val="22"/>
              </w:rPr>
            </w:pPr>
            <w:proofErr w:type="spellStart"/>
            <w:r w:rsidRPr="003E0B98">
              <w:rPr>
                <w:sz w:val="22"/>
                <w:szCs w:val="22"/>
              </w:rPr>
              <w:t>valor</w:t>
            </w:r>
            <w:proofErr w:type="spellEnd"/>
            <w:r w:rsidRPr="003E0B98">
              <w:rPr>
                <w:sz w:val="22"/>
                <w:szCs w:val="22"/>
              </w:rPr>
              <w:t xml:space="preserve"> </w:t>
            </w:r>
            <w:r w:rsidRPr="003E0B98">
              <w:rPr>
                <w:sz w:val="22"/>
                <w:szCs w:val="22"/>
                <w:lang w:val="es-ES"/>
              </w:rPr>
              <w:t>p</w:t>
            </w:r>
          </w:p>
        </w:tc>
      </w:tr>
      <w:tr w:rsidR="00CF164F" w:rsidRPr="003E0B98" w14:paraId="5CC06684" w14:textId="77777777" w:rsidTr="00A03865">
        <w:tc>
          <w:tcPr>
            <w:tcW w:w="1498" w:type="dxa"/>
          </w:tcPr>
          <w:p w14:paraId="3242B8C8" w14:textId="77777777" w:rsidR="00CF164F" w:rsidRPr="003E0B98" w:rsidRDefault="00CF164F" w:rsidP="004361AC">
            <w:pPr>
              <w:pStyle w:val="Text"/>
              <w:keepNext/>
              <w:keepLines/>
              <w:spacing w:before="0"/>
              <w:rPr>
                <w:sz w:val="22"/>
                <w:szCs w:val="22"/>
              </w:rPr>
            </w:pPr>
            <w:r w:rsidRPr="003E0B98">
              <w:rPr>
                <w:sz w:val="22"/>
                <w:szCs w:val="22"/>
              </w:rPr>
              <w:t>Ranibizumab 0,2</w:t>
            </w:r>
            <w:r w:rsidRPr="003E0B98">
              <w:rPr>
                <w:sz w:val="22"/>
                <w:szCs w:val="22"/>
                <w:lang w:eastAsia="en-US"/>
              </w:rPr>
              <w:t> </w:t>
            </w:r>
            <w:r w:rsidRPr="003E0B98">
              <w:rPr>
                <w:sz w:val="22"/>
                <w:szCs w:val="22"/>
              </w:rPr>
              <w:t>mg</w:t>
            </w:r>
          </w:p>
          <w:p w14:paraId="44B7ADB8" w14:textId="77777777" w:rsidR="00CF164F" w:rsidRPr="003E0B98" w:rsidRDefault="00CF164F" w:rsidP="004361AC">
            <w:pPr>
              <w:pStyle w:val="Text"/>
              <w:keepNext/>
              <w:keepLines/>
              <w:spacing w:before="0"/>
              <w:rPr>
                <w:sz w:val="22"/>
                <w:szCs w:val="22"/>
              </w:rPr>
            </w:pPr>
            <w:r w:rsidRPr="003E0B98">
              <w:rPr>
                <w:sz w:val="22"/>
                <w:szCs w:val="22"/>
              </w:rPr>
              <w:t>(N=74)</w:t>
            </w:r>
          </w:p>
        </w:tc>
        <w:tc>
          <w:tcPr>
            <w:tcW w:w="1248" w:type="dxa"/>
          </w:tcPr>
          <w:p w14:paraId="5590363F" w14:textId="77777777" w:rsidR="00CF164F" w:rsidRPr="003E0B98" w:rsidRDefault="00CF164F" w:rsidP="004361AC">
            <w:pPr>
              <w:pStyle w:val="Text"/>
              <w:keepNext/>
              <w:keepLines/>
              <w:spacing w:before="0"/>
              <w:jc w:val="center"/>
              <w:rPr>
                <w:sz w:val="22"/>
                <w:szCs w:val="22"/>
              </w:rPr>
            </w:pPr>
            <w:r w:rsidRPr="003E0B98">
              <w:rPr>
                <w:sz w:val="22"/>
                <w:szCs w:val="22"/>
              </w:rPr>
              <w:t>56/70 (80</w:t>
            </w:r>
            <w:r w:rsidRPr="003E0B98">
              <w:rPr>
                <w:sz w:val="22"/>
                <w:szCs w:val="22"/>
                <w:lang w:val="es-ES"/>
              </w:rPr>
              <w:t>,</w:t>
            </w:r>
            <w:r w:rsidRPr="003E0B98">
              <w:rPr>
                <w:sz w:val="22"/>
                <w:szCs w:val="22"/>
              </w:rPr>
              <w:t>0)</w:t>
            </w:r>
          </w:p>
        </w:tc>
        <w:tc>
          <w:tcPr>
            <w:tcW w:w="1263" w:type="dxa"/>
          </w:tcPr>
          <w:p w14:paraId="187DF6E4" w14:textId="77777777" w:rsidR="00CF164F" w:rsidRPr="003E0B98" w:rsidRDefault="00CF164F" w:rsidP="004361AC">
            <w:pPr>
              <w:pStyle w:val="Text"/>
              <w:keepNext/>
              <w:keepLines/>
              <w:spacing w:before="0"/>
              <w:jc w:val="center"/>
              <w:rPr>
                <w:sz w:val="22"/>
                <w:szCs w:val="22"/>
              </w:rPr>
            </w:pPr>
            <w:r w:rsidRPr="003E0B98">
              <w:rPr>
                <w:sz w:val="22"/>
                <w:szCs w:val="22"/>
              </w:rPr>
              <w:t>(0</w:t>
            </w:r>
            <w:r w:rsidRPr="003E0B98">
              <w:rPr>
                <w:sz w:val="22"/>
                <w:szCs w:val="22"/>
                <w:lang w:val="es-ES"/>
              </w:rPr>
              <w:t>,</w:t>
            </w:r>
            <w:r w:rsidRPr="003E0B98">
              <w:rPr>
                <w:sz w:val="22"/>
                <w:szCs w:val="22"/>
              </w:rPr>
              <w:t>6873, 0,8861)</w:t>
            </w:r>
          </w:p>
        </w:tc>
        <w:tc>
          <w:tcPr>
            <w:tcW w:w="1498" w:type="dxa"/>
          </w:tcPr>
          <w:p w14:paraId="337540CD" w14:textId="77777777" w:rsidR="00CF164F" w:rsidRPr="003E0B98" w:rsidRDefault="00CF164F" w:rsidP="004361AC">
            <w:pPr>
              <w:pStyle w:val="Text"/>
              <w:keepNext/>
              <w:keepLines/>
              <w:spacing w:before="0"/>
              <w:jc w:val="center"/>
              <w:rPr>
                <w:sz w:val="22"/>
                <w:szCs w:val="22"/>
              </w:rPr>
            </w:pPr>
            <w:r w:rsidRPr="003E0B98">
              <w:rPr>
                <w:sz w:val="22"/>
                <w:szCs w:val="22"/>
              </w:rPr>
              <w:t>Ranibizumab 0</w:t>
            </w:r>
            <w:r w:rsidRPr="003E0B98">
              <w:rPr>
                <w:sz w:val="22"/>
                <w:szCs w:val="22"/>
                <w:lang w:val="es-ES"/>
              </w:rPr>
              <w:t>,</w:t>
            </w:r>
            <w:r w:rsidRPr="003E0B98">
              <w:rPr>
                <w:sz w:val="22"/>
                <w:szCs w:val="22"/>
              </w:rPr>
              <w:t>2</w:t>
            </w:r>
            <w:r w:rsidRPr="003E0B98">
              <w:rPr>
                <w:sz w:val="22"/>
                <w:szCs w:val="22"/>
                <w:lang w:val="de-CH"/>
              </w:rPr>
              <w:t> </w:t>
            </w:r>
            <w:r w:rsidRPr="003E0B98">
              <w:rPr>
                <w:sz w:val="22"/>
                <w:szCs w:val="22"/>
              </w:rPr>
              <w:t xml:space="preserve">mg vs </w:t>
            </w:r>
            <w:r w:rsidRPr="003E0B98">
              <w:rPr>
                <w:sz w:val="22"/>
                <w:szCs w:val="22"/>
                <w:lang w:val="de-CH"/>
              </w:rPr>
              <w:t>l</w:t>
            </w:r>
            <w:r w:rsidRPr="003E0B98">
              <w:rPr>
                <w:sz w:val="22"/>
                <w:szCs w:val="22"/>
                <w:lang w:val="es-ES"/>
              </w:rPr>
              <w:t>á</w:t>
            </w:r>
            <w:r w:rsidRPr="003E0B98">
              <w:rPr>
                <w:sz w:val="22"/>
                <w:szCs w:val="22"/>
              </w:rPr>
              <w:t>ser</w:t>
            </w:r>
          </w:p>
        </w:tc>
        <w:tc>
          <w:tcPr>
            <w:tcW w:w="1255" w:type="dxa"/>
          </w:tcPr>
          <w:p w14:paraId="3443C640" w14:textId="77777777" w:rsidR="00CF164F" w:rsidRPr="003E0B98" w:rsidRDefault="00CF164F" w:rsidP="004361AC">
            <w:pPr>
              <w:pStyle w:val="Text"/>
              <w:keepNext/>
              <w:keepLines/>
              <w:spacing w:before="0"/>
              <w:jc w:val="center"/>
              <w:rPr>
                <w:sz w:val="22"/>
                <w:szCs w:val="22"/>
              </w:rPr>
            </w:pPr>
            <w:r w:rsidRPr="003E0B98">
              <w:rPr>
                <w:sz w:val="22"/>
                <w:szCs w:val="22"/>
              </w:rPr>
              <w:t>2</w:t>
            </w:r>
            <w:r w:rsidRPr="003E0B98">
              <w:rPr>
                <w:sz w:val="22"/>
                <w:szCs w:val="22"/>
                <w:lang w:val="es-ES"/>
              </w:rPr>
              <w:t>,</w:t>
            </w:r>
            <w:r w:rsidRPr="003E0B98">
              <w:rPr>
                <w:sz w:val="22"/>
                <w:szCs w:val="22"/>
              </w:rPr>
              <w:t>19</w:t>
            </w:r>
          </w:p>
        </w:tc>
        <w:tc>
          <w:tcPr>
            <w:tcW w:w="1264" w:type="dxa"/>
          </w:tcPr>
          <w:p w14:paraId="27194D8F" w14:textId="77777777" w:rsidR="00CF164F" w:rsidRPr="003E0B98" w:rsidRDefault="00CF164F" w:rsidP="004361AC">
            <w:pPr>
              <w:pStyle w:val="Text"/>
              <w:keepNext/>
              <w:keepLines/>
              <w:spacing w:before="0"/>
              <w:jc w:val="center"/>
              <w:rPr>
                <w:sz w:val="22"/>
                <w:szCs w:val="22"/>
              </w:rPr>
            </w:pPr>
            <w:r w:rsidRPr="003E0B98">
              <w:rPr>
                <w:sz w:val="22"/>
                <w:szCs w:val="22"/>
              </w:rPr>
              <w:t>(0,9932, 4,8235)</w:t>
            </w:r>
          </w:p>
        </w:tc>
        <w:tc>
          <w:tcPr>
            <w:tcW w:w="1261" w:type="dxa"/>
          </w:tcPr>
          <w:p w14:paraId="10C1254B" w14:textId="77777777" w:rsidR="00CF164F" w:rsidRPr="003E0B98" w:rsidRDefault="00CF164F" w:rsidP="004361AC">
            <w:pPr>
              <w:pStyle w:val="Text"/>
              <w:keepNext/>
              <w:keepLines/>
              <w:spacing w:before="0"/>
              <w:jc w:val="center"/>
              <w:rPr>
                <w:sz w:val="22"/>
                <w:szCs w:val="22"/>
              </w:rPr>
            </w:pPr>
            <w:r w:rsidRPr="003E0B98">
              <w:rPr>
                <w:sz w:val="22"/>
                <w:szCs w:val="22"/>
              </w:rPr>
              <w:t>0</w:t>
            </w:r>
            <w:r w:rsidRPr="003E0B98">
              <w:rPr>
                <w:sz w:val="22"/>
                <w:szCs w:val="22"/>
                <w:lang w:val="es-ES"/>
              </w:rPr>
              <w:t>,</w:t>
            </w:r>
            <w:r w:rsidRPr="003E0B98">
              <w:rPr>
                <w:sz w:val="22"/>
                <w:szCs w:val="22"/>
              </w:rPr>
              <w:t>0254</w:t>
            </w:r>
          </w:p>
        </w:tc>
      </w:tr>
      <w:tr w:rsidR="00CF164F" w:rsidRPr="003E0B98" w14:paraId="601401D4" w14:textId="77777777" w:rsidTr="00A03865">
        <w:tc>
          <w:tcPr>
            <w:tcW w:w="1498" w:type="dxa"/>
          </w:tcPr>
          <w:p w14:paraId="5C29BF9A" w14:textId="77777777" w:rsidR="00CF164F" w:rsidRPr="003E0B98" w:rsidRDefault="00CF164F" w:rsidP="004361AC">
            <w:pPr>
              <w:pStyle w:val="Text"/>
              <w:keepNext/>
              <w:keepLines/>
              <w:spacing w:before="0"/>
              <w:rPr>
                <w:sz w:val="22"/>
                <w:szCs w:val="22"/>
                <w:lang w:val="es-ES"/>
              </w:rPr>
            </w:pPr>
            <w:r w:rsidRPr="003E0B98">
              <w:rPr>
                <w:sz w:val="22"/>
                <w:szCs w:val="22"/>
                <w:lang w:val="es-ES"/>
              </w:rPr>
              <w:t>Terapia con láser</w:t>
            </w:r>
          </w:p>
          <w:p w14:paraId="48A85521" w14:textId="77777777" w:rsidR="00CF164F" w:rsidRPr="003E0B98" w:rsidRDefault="00CF164F" w:rsidP="004361AC">
            <w:pPr>
              <w:pStyle w:val="Text"/>
              <w:keepNext/>
              <w:keepLines/>
              <w:spacing w:before="0"/>
              <w:rPr>
                <w:sz w:val="22"/>
                <w:szCs w:val="22"/>
              </w:rPr>
            </w:pPr>
            <w:r w:rsidRPr="003E0B98">
              <w:rPr>
                <w:sz w:val="22"/>
                <w:szCs w:val="22"/>
              </w:rPr>
              <w:t>(N=74)</w:t>
            </w:r>
          </w:p>
        </w:tc>
        <w:tc>
          <w:tcPr>
            <w:tcW w:w="1248" w:type="dxa"/>
          </w:tcPr>
          <w:p w14:paraId="7CD6B930" w14:textId="77777777" w:rsidR="00CF164F" w:rsidRPr="003E0B98" w:rsidRDefault="00CF164F" w:rsidP="004361AC">
            <w:pPr>
              <w:pStyle w:val="Text"/>
              <w:keepNext/>
              <w:keepLines/>
              <w:spacing w:before="0"/>
              <w:jc w:val="center"/>
              <w:rPr>
                <w:sz w:val="22"/>
                <w:szCs w:val="22"/>
              </w:rPr>
            </w:pPr>
            <w:r w:rsidRPr="003E0B98">
              <w:rPr>
                <w:sz w:val="22"/>
                <w:szCs w:val="22"/>
              </w:rPr>
              <w:t>45/68 (66</w:t>
            </w:r>
            <w:r w:rsidRPr="003E0B98">
              <w:rPr>
                <w:sz w:val="22"/>
                <w:szCs w:val="22"/>
                <w:lang w:val="es-ES"/>
              </w:rPr>
              <w:t>,</w:t>
            </w:r>
            <w:r w:rsidRPr="003E0B98">
              <w:rPr>
                <w:sz w:val="22"/>
                <w:szCs w:val="22"/>
              </w:rPr>
              <w:t>2)</w:t>
            </w:r>
          </w:p>
        </w:tc>
        <w:tc>
          <w:tcPr>
            <w:tcW w:w="1263" w:type="dxa"/>
          </w:tcPr>
          <w:p w14:paraId="548B5D59" w14:textId="77777777" w:rsidR="00CF164F" w:rsidRPr="003E0B98" w:rsidRDefault="00CF164F" w:rsidP="004361AC">
            <w:pPr>
              <w:pStyle w:val="Text"/>
              <w:keepNext/>
              <w:keepLines/>
              <w:spacing w:before="0"/>
              <w:jc w:val="center"/>
              <w:rPr>
                <w:sz w:val="22"/>
                <w:szCs w:val="22"/>
              </w:rPr>
            </w:pPr>
            <w:r w:rsidRPr="003E0B98">
              <w:rPr>
                <w:sz w:val="22"/>
                <w:szCs w:val="22"/>
              </w:rPr>
              <w:t>(0</w:t>
            </w:r>
            <w:r w:rsidRPr="003E0B98">
              <w:rPr>
                <w:sz w:val="22"/>
                <w:szCs w:val="22"/>
                <w:lang w:val="es-ES"/>
              </w:rPr>
              <w:t>,</w:t>
            </w:r>
            <w:r w:rsidRPr="003E0B98">
              <w:rPr>
                <w:sz w:val="22"/>
                <w:szCs w:val="22"/>
              </w:rPr>
              <w:t>5368, 0,7721)</w:t>
            </w:r>
          </w:p>
        </w:tc>
        <w:tc>
          <w:tcPr>
            <w:tcW w:w="1498" w:type="dxa"/>
          </w:tcPr>
          <w:p w14:paraId="0189035E" w14:textId="77777777" w:rsidR="00CF164F" w:rsidRPr="003E0B98" w:rsidRDefault="00CF164F" w:rsidP="004361AC">
            <w:pPr>
              <w:pStyle w:val="Text"/>
              <w:keepNext/>
              <w:keepLines/>
              <w:spacing w:before="0"/>
              <w:jc w:val="center"/>
              <w:rPr>
                <w:sz w:val="22"/>
                <w:szCs w:val="22"/>
              </w:rPr>
            </w:pPr>
          </w:p>
        </w:tc>
        <w:tc>
          <w:tcPr>
            <w:tcW w:w="1255" w:type="dxa"/>
          </w:tcPr>
          <w:p w14:paraId="0052CD12" w14:textId="77777777" w:rsidR="00CF164F" w:rsidRPr="003E0B98" w:rsidRDefault="00CF164F" w:rsidP="004361AC">
            <w:pPr>
              <w:pStyle w:val="Text"/>
              <w:keepNext/>
              <w:keepLines/>
              <w:spacing w:before="0"/>
              <w:jc w:val="center"/>
              <w:rPr>
                <w:sz w:val="22"/>
                <w:szCs w:val="22"/>
              </w:rPr>
            </w:pPr>
          </w:p>
        </w:tc>
        <w:tc>
          <w:tcPr>
            <w:tcW w:w="1264" w:type="dxa"/>
          </w:tcPr>
          <w:p w14:paraId="0391ED8E" w14:textId="77777777" w:rsidR="00CF164F" w:rsidRPr="003E0B98" w:rsidRDefault="00CF164F" w:rsidP="004361AC">
            <w:pPr>
              <w:pStyle w:val="Text"/>
              <w:keepNext/>
              <w:keepLines/>
              <w:spacing w:before="0"/>
              <w:jc w:val="center"/>
              <w:rPr>
                <w:sz w:val="22"/>
                <w:szCs w:val="22"/>
              </w:rPr>
            </w:pPr>
          </w:p>
        </w:tc>
        <w:tc>
          <w:tcPr>
            <w:tcW w:w="1261" w:type="dxa"/>
          </w:tcPr>
          <w:p w14:paraId="1053208A" w14:textId="77777777" w:rsidR="00CF164F" w:rsidRPr="003E0B98" w:rsidRDefault="00CF164F" w:rsidP="004361AC">
            <w:pPr>
              <w:pStyle w:val="Text"/>
              <w:keepNext/>
              <w:keepLines/>
              <w:spacing w:before="0"/>
              <w:jc w:val="center"/>
              <w:rPr>
                <w:sz w:val="22"/>
                <w:szCs w:val="22"/>
              </w:rPr>
            </w:pPr>
          </w:p>
        </w:tc>
      </w:tr>
      <w:tr w:rsidR="00CF164F" w:rsidRPr="003C169A" w14:paraId="37A1CA44" w14:textId="77777777" w:rsidTr="00BE5591">
        <w:trPr>
          <w:trHeight w:val="2454"/>
        </w:trPr>
        <w:tc>
          <w:tcPr>
            <w:tcW w:w="9287" w:type="dxa"/>
            <w:gridSpan w:val="7"/>
          </w:tcPr>
          <w:p w14:paraId="7A9700F7" w14:textId="459F459A" w:rsidR="00CF164F" w:rsidRPr="003E0B98" w:rsidRDefault="00CF164F" w:rsidP="004361AC">
            <w:pPr>
              <w:pStyle w:val="Table"/>
              <w:keepNext/>
              <w:spacing w:before="0" w:after="0"/>
              <w:rPr>
                <w:rFonts w:ascii="Times New Roman" w:hAnsi="Times New Roman"/>
                <w:sz w:val="22"/>
                <w:szCs w:val="22"/>
                <w:lang w:val="es-ES"/>
              </w:rPr>
            </w:pPr>
            <w:r w:rsidRPr="003E0B98">
              <w:rPr>
                <w:rFonts w:ascii="Times New Roman" w:hAnsi="Times New Roman"/>
                <w:sz w:val="22"/>
                <w:szCs w:val="22"/>
                <w:lang w:val="es-ES"/>
              </w:rPr>
              <w:t xml:space="preserve">IC = intervalo de confianza, M = </w:t>
            </w:r>
            <w:r w:rsidR="009F2314" w:rsidRPr="003E0B98">
              <w:rPr>
                <w:rFonts w:ascii="Times New Roman" w:hAnsi="Times New Roman"/>
                <w:sz w:val="22"/>
                <w:szCs w:val="22"/>
                <w:lang w:val="es-ES"/>
              </w:rPr>
              <w:t xml:space="preserve">número total de pacientes con valor no perdido en el resultado de eficacia primaria (incluidos los valores imputados), n = número de pacientes con ausencia de </w:t>
            </w:r>
            <w:r w:rsidR="00153893" w:rsidRPr="003E0B98">
              <w:rPr>
                <w:rFonts w:ascii="Times New Roman" w:hAnsi="Times New Roman"/>
                <w:sz w:val="22"/>
                <w:szCs w:val="22"/>
                <w:lang w:val="es-ES"/>
              </w:rPr>
              <w:t>R</w:t>
            </w:r>
            <w:r w:rsidR="00440BE3" w:rsidRPr="003E0B98">
              <w:rPr>
                <w:rFonts w:ascii="Times New Roman" w:hAnsi="Times New Roman"/>
                <w:sz w:val="22"/>
                <w:szCs w:val="22"/>
                <w:lang w:val="es-ES"/>
              </w:rPr>
              <w:t>O</w:t>
            </w:r>
            <w:r w:rsidR="00153893" w:rsidRPr="003E0B98">
              <w:rPr>
                <w:rFonts w:ascii="Times New Roman" w:hAnsi="Times New Roman"/>
                <w:sz w:val="22"/>
                <w:szCs w:val="22"/>
                <w:lang w:val="es-ES"/>
              </w:rPr>
              <w:t>P</w:t>
            </w:r>
            <w:r w:rsidR="009F2314" w:rsidRPr="003E0B98">
              <w:rPr>
                <w:rFonts w:ascii="Times New Roman" w:hAnsi="Times New Roman"/>
                <w:sz w:val="22"/>
                <w:szCs w:val="22"/>
                <w:lang w:val="es-ES"/>
              </w:rPr>
              <w:t xml:space="preserve"> activa y ausencia de resultado estructural desfavorable en ambos ojos 24 semanas después del primer tratamiento del estudio (incluidos los valores imputados).</w:t>
            </w:r>
          </w:p>
          <w:p w14:paraId="0E0D0163" w14:textId="0A3E0515" w:rsidR="009F2314" w:rsidRPr="003E0B98" w:rsidRDefault="009F2314" w:rsidP="004361AC">
            <w:pPr>
              <w:pStyle w:val="Table"/>
              <w:keepNext/>
              <w:spacing w:before="0" w:after="0"/>
              <w:rPr>
                <w:rFonts w:ascii="Times New Roman" w:hAnsi="Times New Roman"/>
                <w:sz w:val="22"/>
                <w:szCs w:val="22"/>
                <w:lang w:val="es-ES"/>
              </w:rPr>
            </w:pPr>
            <w:r w:rsidRPr="003E0B98">
              <w:rPr>
                <w:rFonts w:ascii="Times New Roman" w:hAnsi="Times New Roman"/>
                <w:sz w:val="22"/>
                <w:szCs w:val="22"/>
                <w:lang w:val="es-ES"/>
              </w:rPr>
              <w:t xml:space="preserve">Si un paciente falleció o cambió el tratamiento del estudio antes de o en la semana 24, se consideró que el paciente tenía una </w:t>
            </w:r>
            <w:r w:rsidR="00153893" w:rsidRPr="003E0B98">
              <w:rPr>
                <w:rFonts w:ascii="Times New Roman" w:hAnsi="Times New Roman"/>
                <w:sz w:val="22"/>
                <w:szCs w:val="22"/>
                <w:lang w:val="es-ES"/>
              </w:rPr>
              <w:t>R</w:t>
            </w:r>
            <w:r w:rsidR="00440BE3" w:rsidRPr="003E0B98">
              <w:rPr>
                <w:rFonts w:ascii="Times New Roman" w:hAnsi="Times New Roman"/>
                <w:sz w:val="22"/>
                <w:szCs w:val="22"/>
                <w:lang w:val="es-ES"/>
              </w:rPr>
              <w:t>O</w:t>
            </w:r>
            <w:r w:rsidR="00153893" w:rsidRPr="003E0B98">
              <w:rPr>
                <w:rFonts w:ascii="Times New Roman" w:hAnsi="Times New Roman"/>
                <w:sz w:val="22"/>
                <w:szCs w:val="22"/>
                <w:lang w:val="es-ES"/>
              </w:rPr>
              <w:t>P</w:t>
            </w:r>
            <w:r w:rsidRPr="003E0B98">
              <w:rPr>
                <w:rFonts w:ascii="Times New Roman" w:hAnsi="Times New Roman"/>
                <w:sz w:val="22"/>
                <w:szCs w:val="22"/>
                <w:lang w:val="es-ES"/>
              </w:rPr>
              <w:t xml:space="preserve"> activa y resultados estructurales desfavorables en la semana 24.</w:t>
            </w:r>
          </w:p>
          <w:p w14:paraId="23FAFDF8" w14:textId="0855ABD5" w:rsidR="009F2314" w:rsidRPr="003E0B98" w:rsidRDefault="009F2314" w:rsidP="004361AC">
            <w:pPr>
              <w:pStyle w:val="Text"/>
              <w:keepNext/>
              <w:keepLines/>
              <w:spacing w:before="0"/>
              <w:ind w:left="567" w:hanging="567"/>
              <w:jc w:val="left"/>
              <w:rPr>
                <w:sz w:val="22"/>
                <w:szCs w:val="22"/>
                <w:lang w:val="es-ES"/>
              </w:rPr>
            </w:pPr>
            <w:r w:rsidRPr="003E0B98">
              <w:rPr>
                <w:sz w:val="22"/>
                <w:szCs w:val="22"/>
                <w:vertAlign w:val="superscript"/>
                <w:lang w:val="es-ES"/>
              </w:rPr>
              <w:t>a</w:t>
            </w:r>
            <w:r w:rsidRPr="003E0B98">
              <w:rPr>
                <w:sz w:val="22"/>
                <w:szCs w:val="22"/>
                <w:lang w:val="es-ES"/>
              </w:rPr>
              <w:tab/>
              <w:t xml:space="preserve">El cociente de probabilidades se calcula utilizando la prueba de </w:t>
            </w:r>
            <w:r w:rsidRPr="003E0B98">
              <w:rPr>
                <w:sz w:val="22"/>
                <w:szCs w:val="22"/>
              </w:rPr>
              <w:t>Cochran</w:t>
            </w:r>
            <w:r w:rsidRPr="003E0B98">
              <w:rPr>
                <w:sz w:val="22"/>
                <w:szCs w:val="22"/>
              </w:rPr>
              <w:noBreakHyphen/>
              <w:t>Mantel</w:t>
            </w:r>
            <w:r w:rsidRPr="003E0B98">
              <w:rPr>
                <w:sz w:val="22"/>
                <w:szCs w:val="22"/>
              </w:rPr>
              <w:noBreakHyphen/>
              <w:t>Haenszel</w:t>
            </w:r>
            <w:r w:rsidRPr="003E0B98">
              <w:rPr>
                <w:sz w:val="22"/>
                <w:szCs w:val="22"/>
                <w:lang w:val="es-ES"/>
              </w:rPr>
              <w:t xml:space="preserve"> con zona </w:t>
            </w:r>
            <w:r w:rsidR="00153893" w:rsidRPr="003E0B98">
              <w:rPr>
                <w:sz w:val="22"/>
                <w:szCs w:val="22"/>
                <w:lang w:val="es-ES"/>
              </w:rPr>
              <w:t>R</w:t>
            </w:r>
            <w:r w:rsidR="00440BE3" w:rsidRPr="003E0B98">
              <w:rPr>
                <w:sz w:val="22"/>
                <w:szCs w:val="22"/>
                <w:lang w:val="es-ES"/>
              </w:rPr>
              <w:t>O</w:t>
            </w:r>
            <w:r w:rsidR="00153893" w:rsidRPr="003E0B98">
              <w:rPr>
                <w:sz w:val="22"/>
                <w:szCs w:val="22"/>
                <w:lang w:val="es-ES"/>
              </w:rPr>
              <w:t>P</w:t>
            </w:r>
            <w:r w:rsidRPr="003E0B98">
              <w:rPr>
                <w:sz w:val="22"/>
                <w:szCs w:val="22"/>
                <w:lang w:val="es-ES"/>
              </w:rPr>
              <w:t xml:space="preserve"> en la línea de base (zona I y II; por CRF) como factor de estrato.</w:t>
            </w:r>
          </w:p>
          <w:p w14:paraId="6EEDE61D" w14:textId="77777777" w:rsidR="00CF164F" w:rsidRPr="003E0B98" w:rsidRDefault="009F2314" w:rsidP="004361AC">
            <w:pPr>
              <w:pStyle w:val="Text"/>
              <w:keepNext/>
              <w:keepLines/>
              <w:spacing w:before="0"/>
              <w:ind w:left="567" w:hanging="567"/>
              <w:jc w:val="left"/>
              <w:rPr>
                <w:sz w:val="22"/>
                <w:szCs w:val="22"/>
                <w:lang w:val="es-ES"/>
              </w:rPr>
            </w:pPr>
            <w:r w:rsidRPr="003E0B98">
              <w:rPr>
                <w:sz w:val="22"/>
                <w:szCs w:val="22"/>
                <w:vertAlign w:val="superscript"/>
              </w:rPr>
              <w:t>b</w:t>
            </w:r>
            <w:r w:rsidRPr="003E0B98">
              <w:rPr>
                <w:sz w:val="22"/>
                <w:szCs w:val="22"/>
                <w:vertAlign w:val="superscript"/>
              </w:rPr>
              <w:tab/>
            </w:r>
            <w:r w:rsidRPr="003E0B98">
              <w:rPr>
                <w:sz w:val="22"/>
                <w:szCs w:val="22"/>
                <w:lang w:val="es-ES"/>
              </w:rPr>
              <w:t xml:space="preserve">El valor para la comparación por pares es unilateral. Para el </w:t>
            </w:r>
            <w:r w:rsidR="00F46F31" w:rsidRPr="003E0B98">
              <w:rPr>
                <w:sz w:val="22"/>
                <w:szCs w:val="22"/>
                <w:lang w:val="es-ES"/>
              </w:rPr>
              <w:t>objetivo</w:t>
            </w:r>
            <w:r w:rsidRPr="003E0B98">
              <w:rPr>
                <w:sz w:val="22"/>
                <w:szCs w:val="22"/>
                <w:lang w:val="es-ES"/>
              </w:rPr>
              <w:t xml:space="preserve"> primario, el nivel de significación preespecificado para el</w:t>
            </w:r>
            <w:r w:rsidR="00F46F31" w:rsidRPr="003E0B98">
              <w:rPr>
                <w:sz w:val="22"/>
                <w:szCs w:val="22"/>
                <w:lang w:val="es-ES"/>
              </w:rPr>
              <w:t xml:space="preserve"> valor de p unilateral fue de 0,</w:t>
            </w:r>
            <w:r w:rsidRPr="003E0B98">
              <w:rPr>
                <w:sz w:val="22"/>
                <w:szCs w:val="22"/>
                <w:lang w:val="es-ES"/>
              </w:rPr>
              <w:t>025.</w:t>
            </w:r>
          </w:p>
        </w:tc>
      </w:tr>
    </w:tbl>
    <w:p w14:paraId="54D9638D" w14:textId="77777777" w:rsidR="00CF164F" w:rsidRPr="003E0B98" w:rsidRDefault="00CF164F" w:rsidP="004361AC">
      <w:pPr>
        <w:pStyle w:val="Text"/>
        <w:spacing w:before="0"/>
        <w:rPr>
          <w:bCs/>
          <w:iCs/>
          <w:color w:val="000000"/>
          <w:szCs w:val="22"/>
        </w:rPr>
      </w:pPr>
    </w:p>
    <w:p w14:paraId="32CCF1B0" w14:textId="77777777" w:rsidR="00CF164F" w:rsidRPr="003E0B98" w:rsidRDefault="00F46F31" w:rsidP="004361AC">
      <w:pPr>
        <w:tabs>
          <w:tab w:val="clear" w:pos="567"/>
        </w:tabs>
        <w:spacing w:line="240" w:lineRule="auto"/>
        <w:rPr>
          <w:bCs/>
          <w:szCs w:val="22"/>
          <w:lang w:val="es-ES"/>
        </w:rPr>
      </w:pPr>
      <w:r w:rsidRPr="003E0B98">
        <w:rPr>
          <w:bCs/>
          <w:szCs w:val="22"/>
          <w:lang w:val="es-ES"/>
        </w:rPr>
        <w:t>Durante las 24</w:t>
      </w:r>
      <w:r w:rsidR="00BE5591" w:rsidRPr="003E0B98">
        <w:rPr>
          <w:bCs/>
          <w:szCs w:val="22"/>
          <w:lang w:val="es-ES"/>
        </w:rPr>
        <w:t> </w:t>
      </w:r>
      <w:r w:rsidRPr="003E0B98">
        <w:rPr>
          <w:bCs/>
          <w:szCs w:val="22"/>
          <w:lang w:val="es-ES"/>
        </w:rPr>
        <w:t xml:space="preserve">semanas del estudio, menos pacientes en el grupo de </w:t>
      </w:r>
      <w:proofErr w:type="spellStart"/>
      <w:r w:rsidRPr="003E0B98">
        <w:rPr>
          <w:bCs/>
          <w:szCs w:val="22"/>
          <w:lang w:val="es-ES"/>
        </w:rPr>
        <w:t>ranibizumab</w:t>
      </w:r>
      <w:proofErr w:type="spellEnd"/>
      <w:r w:rsidRPr="003E0B98">
        <w:rPr>
          <w:bCs/>
          <w:szCs w:val="22"/>
          <w:lang w:val="es-ES"/>
        </w:rPr>
        <w:t xml:space="preserve"> 0,2 mg cambiaron a otra modalidad de tratamiento debido a la falta de respuesta en comparación con el grupo de láser (14,9% frente a 24,3%). Los resultados estructurales desfavorables fueron notificados con menos frecuencia para </w:t>
      </w:r>
      <w:proofErr w:type="spellStart"/>
      <w:r w:rsidRPr="003E0B98">
        <w:rPr>
          <w:bCs/>
          <w:szCs w:val="22"/>
          <w:lang w:val="es-ES"/>
        </w:rPr>
        <w:t>ranibizumab</w:t>
      </w:r>
      <w:proofErr w:type="spellEnd"/>
      <w:r w:rsidRPr="003E0B98">
        <w:rPr>
          <w:bCs/>
          <w:szCs w:val="22"/>
          <w:lang w:val="es-ES"/>
        </w:rPr>
        <w:t xml:space="preserve"> 0,2 mg (1</w:t>
      </w:r>
      <w:r w:rsidR="00BE5591" w:rsidRPr="003E0B98">
        <w:rPr>
          <w:bCs/>
          <w:szCs w:val="22"/>
          <w:lang w:val="es-ES"/>
        </w:rPr>
        <w:t> </w:t>
      </w:r>
      <w:r w:rsidRPr="003E0B98">
        <w:rPr>
          <w:bCs/>
          <w:szCs w:val="22"/>
          <w:lang w:val="es-ES"/>
        </w:rPr>
        <w:t>paciente, 1,4%) en comparación con la terapia con láser (7 pacientes, 10,1%).</w:t>
      </w:r>
    </w:p>
    <w:p w14:paraId="7B60C221" w14:textId="5BE0AF77" w:rsidR="00F46F31" w:rsidRPr="00707E0E" w:rsidRDefault="00F46F31" w:rsidP="004361AC">
      <w:pPr>
        <w:tabs>
          <w:tab w:val="clear" w:pos="567"/>
        </w:tabs>
        <w:spacing w:line="240" w:lineRule="auto"/>
        <w:rPr>
          <w:bCs/>
          <w:szCs w:val="22"/>
          <w:lang w:val="es-ES"/>
        </w:rPr>
      </w:pPr>
    </w:p>
    <w:p w14:paraId="55B85001" w14:textId="66F5F005" w:rsidR="001B5726" w:rsidRPr="00707E0E" w:rsidRDefault="001B5726" w:rsidP="004361AC">
      <w:pPr>
        <w:tabs>
          <w:tab w:val="clear" w:pos="567"/>
        </w:tabs>
        <w:spacing w:line="240" w:lineRule="auto"/>
        <w:rPr>
          <w:bCs/>
          <w:szCs w:val="22"/>
          <w:lang w:val="es-ES"/>
        </w:rPr>
      </w:pPr>
      <w:r w:rsidRPr="00707E0E">
        <w:rPr>
          <w:bCs/>
          <w:szCs w:val="22"/>
          <w:lang w:val="es-ES"/>
        </w:rPr>
        <w:t xml:space="preserve">La eficacia y la seguridad a largo plazo de </w:t>
      </w:r>
      <w:proofErr w:type="spellStart"/>
      <w:r w:rsidRPr="00707E0E">
        <w:rPr>
          <w:bCs/>
          <w:szCs w:val="22"/>
          <w:lang w:val="es-ES"/>
        </w:rPr>
        <w:t>ranibizumab</w:t>
      </w:r>
      <w:proofErr w:type="spellEnd"/>
      <w:r w:rsidRPr="00707E0E">
        <w:rPr>
          <w:bCs/>
          <w:szCs w:val="22"/>
          <w:lang w:val="es-ES"/>
        </w:rPr>
        <w:t xml:space="preserve"> 0,2 mg para el tratamiento de ROP en bebés </w:t>
      </w:r>
      <w:r w:rsidR="00BD2F28" w:rsidRPr="00707E0E">
        <w:rPr>
          <w:bCs/>
          <w:szCs w:val="22"/>
          <w:lang w:val="es-ES"/>
        </w:rPr>
        <w:t xml:space="preserve">nacidos prematuramente </w:t>
      </w:r>
      <w:r w:rsidRPr="00707E0E">
        <w:rPr>
          <w:bCs/>
          <w:szCs w:val="22"/>
          <w:lang w:val="es-ES"/>
        </w:rPr>
        <w:t xml:space="preserve">se evaluaron en el estudio H2301E1 (extensión RAINBOW), un estudio de extensión del estudio H2301 (RAINBOW), </w:t>
      </w:r>
      <w:r w:rsidR="00AA733A" w:rsidRPr="00707E0E">
        <w:rPr>
          <w:bCs/>
          <w:szCs w:val="22"/>
          <w:lang w:val="es-ES"/>
        </w:rPr>
        <w:t>que siguió</w:t>
      </w:r>
      <w:r w:rsidRPr="00707E0E">
        <w:rPr>
          <w:bCs/>
          <w:szCs w:val="22"/>
          <w:lang w:val="es-ES"/>
        </w:rPr>
        <w:t xml:space="preserve"> a los pacientes hasta su 5º</w:t>
      </w:r>
      <w:r w:rsidR="00AA23AF" w:rsidRPr="00707E0E">
        <w:rPr>
          <w:bCs/>
          <w:szCs w:val="22"/>
          <w:lang w:val="es-ES"/>
        </w:rPr>
        <w:t> </w:t>
      </w:r>
      <w:r w:rsidRPr="00707E0E">
        <w:rPr>
          <w:bCs/>
          <w:szCs w:val="22"/>
          <w:lang w:val="es-ES"/>
        </w:rPr>
        <w:t>cumpleaños.</w:t>
      </w:r>
    </w:p>
    <w:p w14:paraId="4A9A16B5" w14:textId="3701E061" w:rsidR="00AA23AF" w:rsidRPr="00707E0E" w:rsidRDefault="00AA23AF" w:rsidP="004361AC">
      <w:pPr>
        <w:tabs>
          <w:tab w:val="clear" w:pos="567"/>
        </w:tabs>
        <w:spacing w:line="240" w:lineRule="auto"/>
        <w:rPr>
          <w:bCs/>
          <w:szCs w:val="22"/>
          <w:lang w:val="es-ES"/>
        </w:rPr>
      </w:pPr>
    </w:p>
    <w:p w14:paraId="5E09C240" w14:textId="2A3D02D0" w:rsidR="00AA23AF" w:rsidRPr="00707E0E" w:rsidRDefault="00AA23AF" w:rsidP="004361AC">
      <w:pPr>
        <w:tabs>
          <w:tab w:val="clear" w:pos="567"/>
        </w:tabs>
        <w:spacing w:line="240" w:lineRule="auto"/>
        <w:rPr>
          <w:bCs/>
          <w:szCs w:val="22"/>
          <w:lang w:val="es-ES"/>
        </w:rPr>
      </w:pPr>
      <w:r w:rsidRPr="00707E0E">
        <w:rPr>
          <w:bCs/>
          <w:szCs w:val="22"/>
          <w:lang w:val="es-ES"/>
        </w:rPr>
        <w:t xml:space="preserve">El objetivo principal fue evaluar la función visual en la visita </w:t>
      </w:r>
      <w:r w:rsidR="00BD2F28" w:rsidRPr="00707E0E">
        <w:rPr>
          <w:bCs/>
          <w:szCs w:val="22"/>
          <w:lang w:val="es-ES"/>
        </w:rPr>
        <w:t>del 5º</w:t>
      </w:r>
      <w:r w:rsidR="00707E0E">
        <w:rPr>
          <w:bCs/>
          <w:szCs w:val="22"/>
          <w:lang w:val="es-ES"/>
        </w:rPr>
        <w:t> </w:t>
      </w:r>
      <w:r w:rsidR="00BD2F28" w:rsidRPr="00707E0E">
        <w:rPr>
          <w:bCs/>
          <w:szCs w:val="22"/>
          <w:lang w:val="es-ES"/>
        </w:rPr>
        <w:t xml:space="preserve">cumpleaños </w:t>
      </w:r>
      <w:r w:rsidRPr="00707E0E">
        <w:rPr>
          <w:bCs/>
          <w:szCs w:val="22"/>
          <w:lang w:val="es-ES"/>
        </w:rPr>
        <w:t xml:space="preserve">del paciente evaluando la agudeza visual mediante el Estudio de </w:t>
      </w:r>
      <w:r w:rsidR="00BD2F28" w:rsidRPr="00707E0E">
        <w:rPr>
          <w:bCs/>
          <w:szCs w:val="22"/>
          <w:lang w:val="es-ES"/>
        </w:rPr>
        <w:t>T</w:t>
      </w:r>
      <w:r w:rsidRPr="00707E0E">
        <w:rPr>
          <w:bCs/>
          <w:szCs w:val="22"/>
          <w:lang w:val="es-ES"/>
        </w:rPr>
        <w:t xml:space="preserve">ratamiento </w:t>
      </w:r>
      <w:r w:rsidR="00BD2F28" w:rsidRPr="00707E0E">
        <w:rPr>
          <w:bCs/>
          <w:szCs w:val="22"/>
          <w:lang w:val="es-ES"/>
        </w:rPr>
        <w:t>T</w:t>
      </w:r>
      <w:r w:rsidRPr="00707E0E">
        <w:rPr>
          <w:bCs/>
          <w:szCs w:val="22"/>
          <w:lang w:val="es-ES"/>
        </w:rPr>
        <w:t xml:space="preserve">emprano de la </w:t>
      </w:r>
      <w:r w:rsidR="00BD2F28" w:rsidRPr="00707E0E">
        <w:rPr>
          <w:bCs/>
          <w:szCs w:val="22"/>
          <w:lang w:val="es-ES"/>
        </w:rPr>
        <w:t>R</w:t>
      </w:r>
      <w:r w:rsidRPr="00707E0E">
        <w:rPr>
          <w:bCs/>
          <w:szCs w:val="22"/>
          <w:lang w:val="es-ES"/>
        </w:rPr>
        <w:t xml:space="preserve">etinopatía </w:t>
      </w:r>
      <w:r w:rsidR="00BD2F28" w:rsidRPr="00707E0E">
        <w:rPr>
          <w:bCs/>
          <w:szCs w:val="22"/>
          <w:lang w:val="es-ES"/>
        </w:rPr>
        <w:t>D</w:t>
      </w:r>
      <w:r w:rsidRPr="00707E0E">
        <w:rPr>
          <w:bCs/>
          <w:szCs w:val="22"/>
          <w:lang w:val="es-ES"/>
        </w:rPr>
        <w:t xml:space="preserve">iabética (ETDRS) con </w:t>
      </w:r>
      <w:r w:rsidR="00BD2F28" w:rsidRPr="00707E0E">
        <w:rPr>
          <w:bCs/>
          <w:szCs w:val="22"/>
          <w:lang w:val="es-ES"/>
        </w:rPr>
        <w:t xml:space="preserve">los </w:t>
      </w:r>
      <w:r w:rsidRPr="00707E0E">
        <w:rPr>
          <w:bCs/>
          <w:szCs w:val="22"/>
          <w:lang w:val="es-ES"/>
        </w:rPr>
        <w:t>símbolos</w:t>
      </w:r>
      <w:r w:rsidR="00BD2F28" w:rsidRPr="00707E0E">
        <w:rPr>
          <w:bCs/>
          <w:szCs w:val="22"/>
          <w:lang w:val="es-ES"/>
        </w:rPr>
        <w:t xml:space="preserve"> de los optotipos</w:t>
      </w:r>
      <w:r w:rsidRPr="00707E0E">
        <w:rPr>
          <w:bCs/>
          <w:szCs w:val="22"/>
          <w:lang w:val="es-ES"/>
        </w:rPr>
        <w:t xml:space="preserve"> Lea en el ojo </w:t>
      </w:r>
      <w:r w:rsidR="00583D1B" w:rsidRPr="00707E0E">
        <w:rPr>
          <w:bCs/>
          <w:szCs w:val="22"/>
          <w:lang w:val="es-ES"/>
        </w:rPr>
        <w:t xml:space="preserve">con mejor visión </w:t>
      </w:r>
      <w:r w:rsidRPr="00707E0E">
        <w:rPr>
          <w:bCs/>
          <w:szCs w:val="22"/>
          <w:lang w:val="es-ES"/>
        </w:rPr>
        <w:t>(el ojo con la puntuación ETDRS más alta).</w:t>
      </w:r>
    </w:p>
    <w:p w14:paraId="09B46220" w14:textId="4CC828B0" w:rsidR="00AA23AF" w:rsidRPr="00707E0E" w:rsidRDefault="00AA23AF" w:rsidP="004361AC">
      <w:pPr>
        <w:tabs>
          <w:tab w:val="clear" w:pos="567"/>
        </w:tabs>
        <w:spacing w:line="240" w:lineRule="auto"/>
        <w:rPr>
          <w:bCs/>
          <w:szCs w:val="22"/>
          <w:lang w:val="es-ES"/>
        </w:rPr>
      </w:pPr>
    </w:p>
    <w:p w14:paraId="35CDD243" w14:textId="7D9D728A" w:rsidR="00AA23AF" w:rsidRPr="00707E0E" w:rsidRDefault="00BD2F28" w:rsidP="004361AC">
      <w:pPr>
        <w:tabs>
          <w:tab w:val="clear" w:pos="567"/>
        </w:tabs>
        <w:spacing w:line="240" w:lineRule="auto"/>
        <w:rPr>
          <w:bCs/>
          <w:szCs w:val="22"/>
          <w:lang w:val="es-ES"/>
        </w:rPr>
      </w:pPr>
      <w:r w:rsidRPr="00707E0E">
        <w:rPr>
          <w:bCs/>
          <w:szCs w:val="22"/>
          <w:lang w:val="es-ES"/>
        </w:rPr>
        <w:t>E</w:t>
      </w:r>
      <w:r w:rsidR="00AA23AF" w:rsidRPr="00707E0E">
        <w:rPr>
          <w:bCs/>
          <w:szCs w:val="22"/>
          <w:lang w:val="es-ES"/>
        </w:rPr>
        <w:t xml:space="preserve">n pacientes que completaron </w:t>
      </w:r>
      <w:r w:rsidRPr="00707E0E">
        <w:rPr>
          <w:bCs/>
          <w:szCs w:val="22"/>
          <w:lang w:val="es-ES"/>
        </w:rPr>
        <w:t>la</w:t>
      </w:r>
      <w:r w:rsidR="00AA23AF" w:rsidRPr="00707E0E">
        <w:rPr>
          <w:bCs/>
          <w:szCs w:val="22"/>
          <w:lang w:val="es-ES"/>
        </w:rPr>
        <w:t xml:space="preserve"> visita de </w:t>
      </w:r>
      <w:r w:rsidRPr="00707E0E">
        <w:rPr>
          <w:bCs/>
          <w:szCs w:val="22"/>
          <w:lang w:val="es-ES"/>
        </w:rPr>
        <w:t xml:space="preserve">su 5º </w:t>
      </w:r>
      <w:r w:rsidR="00AA23AF" w:rsidRPr="00707E0E">
        <w:rPr>
          <w:bCs/>
          <w:szCs w:val="22"/>
          <w:lang w:val="es-ES"/>
        </w:rPr>
        <w:t xml:space="preserve">cumpleaños </w:t>
      </w:r>
      <w:r w:rsidRPr="00707E0E">
        <w:rPr>
          <w:bCs/>
          <w:szCs w:val="22"/>
          <w:lang w:val="es-ES"/>
        </w:rPr>
        <w:t>se registró una puntuación ETDRS</w:t>
      </w:r>
      <w:r w:rsidR="00AA23AF" w:rsidRPr="00707E0E">
        <w:rPr>
          <w:bCs/>
          <w:szCs w:val="22"/>
          <w:lang w:val="es-ES"/>
        </w:rPr>
        <w:t xml:space="preserve"> para el 83,3% (45/54) y el 76,6% (36/47) de los pacientes en el brazo de </w:t>
      </w:r>
      <w:proofErr w:type="spellStart"/>
      <w:r w:rsidR="00AA23AF" w:rsidRPr="00707E0E">
        <w:rPr>
          <w:bCs/>
          <w:szCs w:val="22"/>
          <w:lang w:val="es-ES"/>
        </w:rPr>
        <w:t>ranibizumab</w:t>
      </w:r>
      <w:proofErr w:type="spellEnd"/>
      <w:r w:rsidR="00AA23AF" w:rsidRPr="00707E0E">
        <w:rPr>
          <w:bCs/>
          <w:szCs w:val="22"/>
          <w:lang w:val="es-ES"/>
        </w:rPr>
        <w:t xml:space="preserve"> 0,2 mg y el brazo de láser, respectivamente. </w:t>
      </w:r>
      <w:r w:rsidR="00583D1B" w:rsidRPr="00707E0E">
        <w:rPr>
          <w:bCs/>
          <w:szCs w:val="22"/>
          <w:lang w:val="es-ES"/>
        </w:rPr>
        <w:t xml:space="preserve">La media móvil de mínimos cuadrados (LSMA) </w:t>
      </w:r>
      <w:r w:rsidR="00AA23AF" w:rsidRPr="00707E0E">
        <w:rPr>
          <w:bCs/>
          <w:szCs w:val="22"/>
          <w:lang w:val="es-ES"/>
        </w:rPr>
        <w:t xml:space="preserve">fue numéricamente mayor en el brazo de </w:t>
      </w:r>
      <w:proofErr w:type="spellStart"/>
      <w:r w:rsidR="00AA23AF" w:rsidRPr="00707E0E">
        <w:rPr>
          <w:bCs/>
          <w:szCs w:val="22"/>
          <w:lang w:val="es-ES"/>
        </w:rPr>
        <w:t>ranibizumab</w:t>
      </w:r>
      <w:proofErr w:type="spellEnd"/>
      <w:r w:rsidR="00AA23AF" w:rsidRPr="00707E0E">
        <w:rPr>
          <w:bCs/>
          <w:szCs w:val="22"/>
          <w:lang w:val="es-ES"/>
        </w:rPr>
        <w:t xml:space="preserve"> 0,2 mg (66,8 [1,95]) en comparación con el brazo de láser (62,1 [2,18]) con una diferencia en la puntuación ETDRS media de LS de 4,7 (IC del 95 %: -1,1, 10,5). Los resultados de agudeza visual categorizados en el ojo </w:t>
      </w:r>
      <w:r w:rsidR="00583D1B" w:rsidRPr="00707E0E">
        <w:rPr>
          <w:bCs/>
          <w:szCs w:val="22"/>
          <w:lang w:val="es-ES"/>
        </w:rPr>
        <w:t xml:space="preserve">con mejor visión </w:t>
      </w:r>
      <w:r w:rsidR="00AA23AF" w:rsidRPr="00707E0E">
        <w:rPr>
          <w:bCs/>
          <w:szCs w:val="22"/>
          <w:lang w:val="es-ES"/>
        </w:rPr>
        <w:t>en el quinto cumpleaños de los pacientes se presentan en la Tabla 11.</w:t>
      </w:r>
    </w:p>
    <w:p w14:paraId="78F6F67E" w14:textId="243CD891" w:rsidR="00AA23AF" w:rsidRPr="00707E0E" w:rsidRDefault="00AA23AF" w:rsidP="004361AC">
      <w:pPr>
        <w:tabs>
          <w:tab w:val="clear" w:pos="567"/>
        </w:tabs>
        <w:spacing w:line="240" w:lineRule="auto"/>
        <w:rPr>
          <w:bCs/>
          <w:szCs w:val="22"/>
          <w:lang w:val="es-ES"/>
        </w:rPr>
      </w:pPr>
    </w:p>
    <w:p w14:paraId="25042F42" w14:textId="0FAB594F" w:rsidR="00AA23AF" w:rsidRPr="00707E0E" w:rsidRDefault="00AA23AF" w:rsidP="004361AC">
      <w:pPr>
        <w:keepNext/>
        <w:tabs>
          <w:tab w:val="clear" w:pos="567"/>
        </w:tabs>
        <w:autoSpaceDE w:val="0"/>
        <w:autoSpaceDN w:val="0"/>
        <w:adjustRightInd w:val="0"/>
        <w:spacing w:line="240" w:lineRule="auto"/>
        <w:ind w:left="1170" w:hanging="1170"/>
        <w:rPr>
          <w:b/>
          <w:iCs/>
          <w:szCs w:val="22"/>
          <w:lang w:val="es-ES"/>
        </w:rPr>
      </w:pPr>
      <w:bookmarkStart w:id="0" w:name="_Toc111627501"/>
      <w:r w:rsidRPr="00707E0E">
        <w:rPr>
          <w:b/>
          <w:iCs/>
          <w:szCs w:val="22"/>
          <w:lang w:val="es-ES"/>
        </w:rPr>
        <w:t>Tabla 11</w:t>
      </w:r>
      <w:r w:rsidRPr="00707E0E">
        <w:rPr>
          <w:b/>
          <w:iCs/>
          <w:szCs w:val="22"/>
          <w:lang w:val="es-ES"/>
        </w:rPr>
        <w:tab/>
      </w:r>
      <w:bookmarkEnd w:id="0"/>
      <w:r w:rsidR="00583D1B" w:rsidRPr="00707E0E">
        <w:rPr>
          <w:b/>
          <w:iCs/>
          <w:szCs w:val="22"/>
          <w:lang w:val="es-ES"/>
        </w:rPr>
        <w:t>Resultados de la agudeza visual en el ojo con mejor visión</w:t>
      </w:r>
      <w:r w:rsidR="00583D1B" w:rsidRPr="00707E0E">
        <w:rPr>
          <w:b/>
          <w:iCs/>
          <w:szCs w:val="22"/>
          <w:vertAlign w:val="superscript"/>
          <w:lang w:val="es-ES"/>
        </w:rPr>
        <w:t>1</w:t>
      </w:r>
      <w:r w:rsidR="00583D1B" w:rsidRPr="00707E0E">
        <w:rPr>
          <w:b/>
          <w:iCs/>
          <w:szCs w:val="22"/>
          <w:lang w:val="es-ES"/>
        </w:rPr>
        <w:t xml:space="preserve"> en la visita del 5º</w:t>
      </w:r>
      <w:r w:rsidR="00EF1E37" w:rsidRPr="00707E0E">
        <w:rPr>
          <w:b/>
          <w:iCs/>
          <w:szCs w:val="22"/>
          <w:lang w:val="es-ES"/>
        </w:rPr>
        <w:t> </w:t>
      </w:r>
      <w:r w:rsidR="00583D1B" w:rsidRPr="00707E0E">
        <w:rPr>
          <w:b/>
          <w:iCs/>
          <w:szCs w:val="22"/>
          <w:lang w:val="es-ES"/>
        </w:rPr>
        <w:t>cumpleaños de los pacientes</w:t>
      </w:r>
    </w:p>
    <w:p w14:paraId="20C884C8" w14:textId="77777777" w:rsidR="00D77092" w:rsidRPr="00707E0E" w:rsidRDefault="00D77092" w:rsidP="004361AC">
      <w:pPr>
        <w:keepNext/>
        <w:tabs>
          <w:tab w:val="clear" w:pos="567"/>
        </w:tabs>
        <w:autoSpaceDE w:val="0"/>
        <w:autoSpaceDN w:val="0"/>
        <w:adjustRightInd w:val="0"/>
        <w:spacing w:line="240" w:lineRule="auto"/>
        <w:rPr>
          <w:bCs/>
          <w:iCs/>
          <w:szCs w:val="22"/>
          <w:lang w:val="es-ES"/>
        </w:rPr>
      </w:pPr>
    </w:p>
    <w:tbl>
      <w:tblPr>
        <w:tblW w:w="9064" w:type="dxa"/>
        <w:jc w:val="center"/>
        <w:tblBorders>
          <w:top w:val="single" w:sz="6" w:space="0" w:color="000000"/>
          <w:left w:val="single" w:sz="6" w:space="0" w:color="000000"/>
          <w:bottom w:val="single" w:sz="6" w:space="0" w:color="000000"/>
          <w:right w:val="single" w:sz="6" w:space="0" w:color="000000"/>
          <w:insideH w:val="single" w:sz="6" w:space="0" w:color="000000"/>
        </w:tblBorders>
        <w:tblCellMar>
          <w:left w:w="0" w:type="dxa"/>
          <w:right w:w="0" w:type="dxa"/>
        </w:tblCellMar>
        <w:tblLook w:val="0000" w:firstRow="0" w:lastRow="0" w:firstColumn="0" w:lastColumn="0" w:noHBand="0" w:noVBand="0"/>
      </w:tblPr>
      <w:tblGrid>
        <w:gridCol w:w="4334"/>
        <w:gridCol w:w="3257"/>
        <w:gridCol w:w="1459"/>
        <w:gridCol w:w="14"/>
      </w:tblGrid>
      <w:tr w:rsidR="008A0C7B" w:rsidRPr="00707E0E" w14:paraId="41021752" w14:textId="77777777" w:rsidTr="00160989">
        <w:trPr>
          <w:gridAfter w:val="1"/>
          <w:wAfter w:w="9" w:type="dxa"/>
          <w:cantSplit/>
          <w:jc w:val="center"/>
        </w:trPr>
        <w:tc>
          <w:tcPr>
            <w:tcW w:w="0" w:type="auto"/>
            <w:tcBorders>
              <w:right w:val="single" w:sz="6" w:space="0" w:color="000000"/>
            </w:tcBorders>
            <w:shd w:val="clear" w:color="auto" w:fill="FFFFFF"/>
            <w:tcMar>
              <w:left w:w="60" w:type="dxa"/>
              <w:right w:w="60" w:type="dxa"/>
            </w:tcMar>
            <w:vAlign w:val="bottom"/>
          </w:tcPr>
          <w:p w14:paraId="479AB809" w14:textId="086CC7FB" w:rsidR="00D77092" w:rsidRPr="00707E0E" w:rsidRDefault="00D77092" w:rsidP="004361AC">
            <w:pPr>
              <w:pStyle w:val="Table"/>
              <w:spacing w:before="0" w:after="0"/>
              <w:rPr>
                <w:rFonts w:ascii="Times New Roman" w:hAnsi="Times New Roman"/>
                <w:b/>
                <w:sz w:val="22"/>
                <w:szCs w:val="22"/>
              </w:rPr>
            </w:pPr>
            <w:proofErr w:type="spellStart"/>
            <w:r w:rsidRPr="00707E0E">
              <w:rPr>
                <w:rFonts w:ascii="Times New Roman" w:hAnsi="Times New Roman"/>
                <w:b/>
                <w:sz w:val="22"/>
                <w:szCs w:val="22"/>
              </w:rPr>
              <w:t>Categoría</w:t>
            </w:r>
            <w:proofErr w:type="spellEnd"/>
            <w:r w:rsidRPr="00707E0E">
              <w:rPr>
                <w:rFonts w:ascii="Times New Roman" w:hAnsi="Times New Roman"/>
                <w:b/>
                <w:sz w:val="22"/>
                <w:szCs w:val="22"/>
              </w:rPr>
              <w:t xml:space="preserve"> de </w:t>
            </w:r>
            <w:proofErr w:type="spellStart"/>
            <w:r w:rsidRPr="00707E0E">
              <w:rPr>
                <w:rFonts w:ascii="Times New Roman" w:hAnsi="Times New Roman"/>
                <w:b/>
                <w:sz w:val="22"/>
                <w:szCs w:val="22"/>
              </w:rPr>
              <w:t>agudeza</w:t>
            </w:r>
            <w:proofErr w:type="spellEnd"/>
            <w:r w:rsidRPr="00707E0E">
              <w:rPr>
                <w:rFonts w:ascii="Times New Roman" w:hAnsi="Times New Roman"/>
                <w:b/>
                <w:sz w:val="22"/>
                <w:szCs w:val="22"/>
              </w:rPr>
              <w:t xml:space="preserve"> visual</w:t>
            </w:r>
          </w:p>
        </w:tc>
        <w:tc>
          <w:tcPr>
            <w:tcW w:w="0" w:type="auto"/>
            <w:tcBorders>
              <w:left w:val="single" w:sz="6" w:space="0" w:color="000000"/>
              <w:right w:val="single" w:sz="6" w:space="0" w:color="000000"/>
            </w:tcBorders>
            <w:shd w:val="clear" w:color="auto" w:fill="FFFFFF"/>
            <w:tcMar>
              <w:left w:w="60" w:type="dxa"/>
              <w:right w:w="60" w:type="dxa"/>
            </w:tcMar>
            <w:vAlign w:val="bottom"/>
          </w:tcPr>
          <w:p w14:paraId="159300C5" w14:textId="1C40CACD" w:rsidR="00D77092" w:rsidRPr="00707E0E" w:rsidRDefault="00D77092" w:rsidP="004361AC">
            <w:pPr>
              <w:pStyle w:val="Table"/>
              <w:spacing w:before="0" w:after="0"/>
              <w:rPr>
                <w:rFonts w:ascii="Times New Roman" w:hAnsi="Times New Roman"/>
                <w:b/>
                <w:sz w:val="22"/>
                <w:szCs w:val="22"/>
              </w:rPr>
            </w:pPr>
            <w:r w:rsidRPr="00707E0E">
              <w:rPr>
                <w:rFonts w:ascii="Times New Roman" w:hAnsi="Times New Roman"/>
                <w:b/>
                <w:sz w:val="22"/>
                <w:szCs w:val="22"/>
              </w:rPr>
              <w:t>Ranibizumab 0</w:t>
            </w:r>
            <w:r w:rsidRPr="00707E0E">
              <w:rPr>
                <w:rFonts w:ascii="Times New Roman" w:hAnsi="Times New Roman"/>
                <w:b/>
                <w:sz w:val="22"/>
                <w:szCs w:val="22"/>
                <w:lang w:val="es-ES"/>
              </w:rPr>
              <w:t>,</w:t>
            </w:r>
            <w:r w:rsidRPr="00707E0E">
              <w:rPr>
                <w:rFonts w:ascii="Times New Roman" w:hAnsi="Times New Roman"/>
                <w:b/>
                <w:sz w:val="22"/>
                <w:szCs w:val="22"/>
              </w:rPr>
              <w:t>2 mg</w:t>
            </w:r>
          </w:p>
          <w:p w14:paraId="439154B1" w14:textId="77777777" w:rsidR="00D77092" w:rsidRPr="00707E0E" w:rsidRDefault="00D77092" w:rsidP="004361AC">
            <w:pPr>
              <w:pStyle w:val="Table"/>
              <w:spacing w:before="0" w:after="0"/>
              <w:rPr>
                <w:rFonts w:ascii="Times New Roman" w:hAnsi="Times New Roman"/>
                <w:b/>
                <w:sz w:val="22"/>
                <w:szCs w:val="22"/>
              </w:rPr>
            </w:pPr>
            <w:r w:rsidRPr="00707E0E">
              <w:rPr>
                <w:rFonts w:ascii="Times New Roman" w:hAnsi="Times New Roman"/>
                <w:b/>
                <w:sz w:val="22"/>
                <w:szCs w:val="22"/>
              </w:rPr>
              <w:t>N=61</w:t>
            </w:r>
          </w:p>
          <w:p w14:paraId="396ADCF3" w14:textId="77777777" w:rsidR="00D77092" w:rsidRPr="00707E0E" w:rsidRDefault="00D77092" w:rsidP="004361AC">
            <w:pPr>
              <w:pStyle w:val="Table"/>
              <w:spacing w:before="0" w:after="0"/>
              <w:rPr>
                <w:rFonts w:ascii="Times New Roman" w:hAnsi="Times New Roman"/>
                <w:b/>
                <w:sz w:val="22"/>
                <w:szCs w:val="22"/>
              </w:rPr>
            </w:pPr>
            <w:r w:rsidRPr="00707E0E">
              <w:rPr>
                <w:rFonts w:ascii="Times New Roman" w:hAnsi="Times New Roman"/>
                <w:b/>
                <w:sz w:val="22"/>
                <w:szCs w:val="22"/>
              </w:rPr>
              <w:t>n (%)</w:t>
            </w:r>
          </w:p>
        </w:tc>
        <w:tc>
          <w:tcPr>
            <w:tcW w:w="0" w:type="auto"/>
            <w:tcBorders>
              <w:left w:val="single" w:sz="6" w:space="0" w:color="000000"/>
            </w:tcBorders>
            <w:shd w:val="clear" w:color="auto" w:fill="FFFFFF"/>
            <w:tcMar>
              <w:left w:w="60" w:type="dxa"/>
              <w:right w:w="60" w:type="dxa"/>
            </w:tcMar>
            <w:vAlign w:val="bottom"/>
          </w:tcPr>
          <w:p w14:paraId="53AB172A" w14:textId="23BCDBEB" w:rsidR="00D77092" w:rsidRPr="00707E0E" w:rsidRDefault="00D77092" w:rsidP="004361AC">
            <w:pPr>
              <w:pStyle w:val="Table"/>
              <w:spacing w:before="0" w:after="0"/>
              <w:rPr>
                <w:rFonts w:ascii="Times New Roman" w:hAnsi="Times New Roman"/>
                <w:b/>
                <w:sz w:val="22"/>
                <w:szCs w:val="22"/>
              </w:rPr>
            </w:pPr>
            <w:r w:rsidRPr="00707E0E">
              <w:rPr>
                <w:rFonts w:ascii="Times New Roman" w:hAnsi="Times New Roman"/>
                <w:b/>
                <w:sz w:val="22"/>
                <w:szCs w:val="22"/>
              </w:rPr>
              <w:t>L</w:t>
            </w:r>
            <w:r w:rsidRPr="00707E0E">
              <w:rPr>
                <w:rFonts w:ascii="Times New Roman" w:hAnsi="Times New Roman"/>
                <w:b/>
                <w:sz w:val="22"/>
                <w:szCs w:val="22"/>
                <w:lang w:val="es-ES"/>
              </w:rPr>
              <w:t>á</w:t>
            </w:r>
            <w:r w:rsidRPr="00707E0E">
              <w:rPr>
                <w:rFonts w:ascii="Times New Roman" w:hAnsi="Times New Roman"/>
                <w:b/>
                <w:sz w:val="22"/>
                <w:szCs w:val="22"/>
              </w:rPr>
              <w:t>ser</w:t>
            </w:r>
          </w:p>
          <w:p w14:paraId="65A48BA2" w14:textId="77777777" w:rsidR="00D77092" w:rsidRPr="00707E0E" w:rsidRDefault="00D77092" w:rsidP="004361AC">
            <w:pPr>
              <w:pStyle w:val="Table"/>
              <w:spacing w:before="0" w:after="0"/>
              <w:rPr>
                <w:rFonts w:ascii="Times New Roman" w:hAnsi="Times New Roman"/>
                <w:b/>
                <w:sz w:val="22"/>
                <w:szCs w:val="22"/>
              </w:rPr>
            </w:pPr>
            <w:r w:rsidRPr="00707E0E">
              <w:rPr>
                <w:rFonts w:ascii="Times New Roman" w:hAnsi="Times New Roman"/>
                <w:b/>
                <w:sz w:val="22"/>
                <w:szCs w:val="22"/>
              </w:rPr>
              <w:t>N=54</w:t>
            </w:r>
          </w:p>
          <w:p w14:paraId="748DBCD6" w14:textId="77777777" w:rsidR="00D77092" w:rsidRPr="00707E0E" w:rsidRDefault="00D77092" w:rsidP="004361AC">
            <w:pPr>
              <w:pStyle w:val="Table"/>
              <w:spacing w:before="0" w:after="0"/>
              <w:rPr>
                <w:rFonts w:ascii="Times New Roman" w:hAnsi="Times New Roman"/>
                <w:b/>
                <w:sz w:val="22"/>
                <w:szCs w:val="22"/>
              </w:rPr>
            </w:pPr>
            <w:r w:rsidRPr="00707E0E">
              <w:rPr>
                <w:rFonts w:ascii="Times New Roman" w:hAnsi="Times New Roman"/>
                <w:b/>
                <w:sz w:val="22"/>
                <w:szCs w:val="22"/>
              </w:rPr>
              <w:t>n (%)</w:t>
            </w:r>
          </w:p>
        </w:tc>
      </w:tr>
      <w:tr w:rsidR="008A0C7B" w:rsidRPr="00707E0E" w14:paraId="35297CD2" w14:textId="77777777" w:rsidTr="00160989">
        <w:trPr>
          <w:gridAfter w:val="1"/>
          <w:wAfter w:w="9" w:type="dxa"/>
          <w:cantSplit/>
          <w:jc w:val="center"/>
        </w:trPr>
        <w:tc>
          <w:tcPr>
            <w:tcW w:w="0" w:type="auto"/>
            <w:tcBorders>
              <w:right w:val="single" w:sz="6" w:space="0" w:color="000000"/>
            </w:tcBorders>
            <w:shd w:val="clear" w:color="auto" w:fill="FFFFFF"/>
            <w:tcMar>
              <w:left w:w="60" w:type="dxa"/>
              <w:right w:w="60" w:type="dxa"/>
            </w:tcMar>
          </w:tcPr>
          <w:p w14:paraId="12FA8364" w14:textId="778D9C3F" w:rsidR="00D77092" w:rsidRPr="00707E0E" w:rsidRDefault="00D77092" w:rsidP="004361AC">
            <w:pPr>
              <w:pStyle w:val="Table"/>
              <w:spacing w:before="0" w:after="0"/>
              <w:rPr>
                <w:rFonts w:ascii="Times New Roman" w:hAnsi="Times New Roman"/>
                <w:sz w:val="22"/>
                <w:szCs w:val="22"/>
              </w:rPr>
            </w:pPr>
            <w:r w:rsidRPr="00707E0E">
              <w:rPr>
                <w:rFonts w:ascii="Times New Roman" w:hAnsi="Times New Roman"/>
                <w:sz w:val="22"/>
                <w:szCs w:val="22"/>
              </w:rPr>
              <w:t xml:space="preserve">≥1 </w:t>
            </w:r>
            <w:r w:rsidRPr="00707E0E">
              <w:rPr>
                <w:rFonts w:ascii="Times New Roman" w:hAnsi="Times New Roman"/>
                <w:sz w:val="22"/>
                <w:szCs w:val="22"/>
                <w:lang w:val="es-ES"/>
              </w:rPr>
              <w:t>a</w:t>
            </w:r>
            <w:r w:rsidRPr="00707E0E">
              <w:rPr>
                <w:rFonts w:ascii="Times New Roman" w:hAnsi="Times New Roman"/>
                <w:sz w:val="22"/>
                <w:szCs w:val="22"/>
              </w:rPr>
              <w:t xml:space="preserve"> ≤34 </w:t>
            </w:r>
            <w:proofErr w:type="spellStart"/>
            <w:r w:rsidRPr="00707E0E">
              <w:rPr>
                <w:rFonts w:ascii="Times New Roman" w:hAnsi="Times New Roman"/>
                <w:sz w:val="22"/>
                <w:szCs w:val="22"/>
              </w:rPr>
              <w:t>let</w:t>
            </w:r>
            <w:r w:rsidRPr="00707E0E">
              <w:rPr>
                <w:rFonts w:ascii="Times New Roman" w:hAnsi="Times New Roman"/>
                <w:sz w:val="22"/>
                <w:szCs w:val="22"/>
                <w:lang w:val="es-ES"/>
              </w:rPr>
              <w:t>ras</w:t>
            </w:r>
            <w:proofErr w:type="spellEnd"/>
          </w:p>
        </w:tc>
        <w:tc>
          <w:tcPr>
            <w:tcW w:w="0" w:type="auto"/>
            <w:tcBorders>
              <w:left w:val="single" w:sz="6" w:space="0" w:color="000000"/>
              <w:right w:val="single" w:sz="6" w:space="0" w:color="000000"/>
            </w:tcBorders>
            <w:shd w:val="clear" w:color="auto" w:fill="FFFFFF"/>
            <w:tcMar>
              <w:left w:w="60" w:type="dxa"/>
              <w:right w:w="60" w:type="dxa"/>
            </w:tcMar>
          </w:tcPr>
          <w:p w14:paraId="2F8F60E1" w14:textId="1142FDC9" w:rsidR="00D77092" w:rsidRPr="00707E0E" w:rsidRDefault="00D77092" w:rsidP="004361AC">
            <w:pPr>
              <w:pStyle w:val="Table"/>
              <w:spacing w:before="0" w:after="0"/>
              <w:rPr>
                <w:rFonts w:ascii="Times New Roman" w:hAnsi="Times New Roman"/>
                <w:sz w:val="22"/>
                <w:szCs w:val="22"/>
              </w:rPr>
            </w:pPr>
            <w:r w:rsidRPr="00707E0E">
              <w:rPr>
                <w:rFonts w:ascii="Times New Roman" w:hAnsi="Times New Roman"/>
                <w:sz w:val="22"/>
                <w:szCs w:val="22"/>
              </w:rPr>
              <w:t>1 (1</w:t>
            </w:r>
            <w:r w:rsidRPr="00707E0E">
              <w:rPr>
                <w:rFonts w:ascii="Times New Roman" w:hAnsi="Times New Roman"/>
                <w:sz w:val="22"/>
                <w:szCs w:val="22"/>
                <w:lang w:val="es-ES"/>
              </w:rPr>
              <w:t>,</w:t>
            </w:r>
            <w:r w:rsidRPr="00707E0E">
              <w:rPr>
                <w:rFonts w:ascii="Times New Roman" w:hAnsi="Times New Roman"/>
                <w:sz w:val="22"/>
                <w:szCs w:val="22"/>
              </w:rPr>
              <w:t>6)</w:t>
            </w:r>
          </w:p>
        </w:tc>
        <w:tc>
          <w:tcPr>
            <w:tcW w:w="0" w:type="auto"/>
            <w:tcBorders>
              <w:left w:val="single" w:sz="6" w:space="0" w:color="000000"/>
            </w:tcBorders>
            <w:shd w:val="clear" w:color="auto" w:fill="FFFFFF"/>
            <w:tcMar>
              <w:left w:w="60" w:type="dxa"/>
              <w:right w:w="60" w:type="dxa"/>
            </w:tcMar>
          </w:tcPr>
          <w:p w14:paraId="2A847181" w14:textId="4EF58AB6" w:rsidR="00D77092" w:rsidRPr="00707E0E" w:rsidRDefault="00D77092" w:rsidP="004361AC">
            <w:pPr>
              <w:pStyle w:val="Table"/>
              <w:spacing w:before="0" w:after="0"/>
              <w:rPr>
                <w:rFonts w:ascii="Times New Roman" w:hAnsi="Times New Roman"/>
                <w:sz w:val="22"/>
                <w:szCs w:val="22"/>
              </w:rPr>
            </w:pPr>
            <w:r w:rsidRPr="00707E0E">
              <w:rPr>
                <w:rFonts w:ascii="Times New Roman" w:hAnsi="Times New Roman"/>
                <w:sz w:val="22"/>
                <w:szCs w:val="22"/>
              </w:rPr>
              <w:t>2 (3</w:t>
            </w:r>
            <w:r w:rsidRPr="00707E0E">
              <w:rPr>
                <w:rFonts w:ascii="Times New Roman" w:hAnsi="Times New Roman"/>
                <w:sz w:val="22"/>
                <w:szCs w:val="22"/>
                <w:lang w:val="es-ES"/>
              </w:rPr>
              <w:t>,</w:t>
            </w:r>
            <w:r w:rsidRPr="00707E0E">
              <w:rPr>
                <w:rFonts w:ascii="Times New Roman" w:hAnsi="Times New Roman"/>
                <w:sz w:val="22"/>
                <w:szCs w:val="22"/>
              </w:rPr>
              <w:t>7)</w:t>
            </w:r>
          </w:p>
        </w:tc>
      </w:tr>
      <w:tr w:rsidR="008A0C7B" w:rsidRPr="00707E0E" w14:paraId="19D81722" w14:textId="77777777" w:rsidTr="00160989">
        <w:trPr>
          <w:gridAfter w:val="1"/>
          <w:wAfter w:w="9" w:type="dxa"/>
          <w:cantSplit/>
          <w:jc w:val="center"/>
        </w:trPr>
        <w:tc>
          <w:tcPr>
            <w:tcW w:w="0" w:type="auto"/>
            <w:tcBorders>
              <w:right w:val="single" w:sz="6" w:space="0" w:color="000000"/>
            </w:tcBorders>
            <w:shd w:val="clear" w:color="auto" w:fill="FFFFFF"/>
            <w:tcMar>
              <w:left w:w="60" w:type="dxa"/>
              <w:right w:w="60" w:type="dxa"/>
            </w:tcMar>
          </w:tcPr>
          <w:p w14:paraId="32D19430" w14:textId="55F69CAE" w:rsidR="00D77092" w:rsidRPr="00707E0E" w:rsidRDefault="00D77092" w:rsidP="004361AC">
            <w:pPr>
              <w:pStyle w:val="Table"/>
              <w:spacing w:before="0" w:after="0"/>
              <w:rPr>
                <w:rFonts w:ascii="Times New Roman" w:hAnsi="Times New Roman"/>
                <w:sz w:val="22"/>
                <w:szCs w:val="22"/>
                <w:lang w:val="es-ES"/>
              </w:rPr>
            </w:pPr>
            <w:r w:rsidRPr="00707E0E">
              <w:rPr>
                <w:rFonts w:ascii="Times New Roman" w:hAnsi="Times New Roman"/>
                <w:sz w:val="22"/>
                <w:szCs w:val="22"/>
              </w:rPr>
              <w:t xml:space="preserve">≥35 </w:t>
            </w:r>
            <w:r w:rsidRPr="00707E0E">
              <w:rPr>
                <w:rFonts w:ascii="Times New Roman" w:hAnsi="Times New Roman"/>
                <w:sz w:val="22"/>
                <w:szCs w:val="22"/>
                <w:lang w:val="es-ES"/>
              </w:rPr>
              <w:t>a</w:t>
            </w:r>
            <w:r w:rsidRPr="00707E0E">
              <w:rPr>
                <w:rFonts w:ascii="Times New Roman" w:hAnsi="Times New Roman"/>
                <w:sz w:val="22"/>
                <w:szCs w:val="22"/>
              </w:rPr>
              <w:t xml:space="preserve"> ≤70 </w:t>
            </w:r>
            <w:proofErr w:type="spellStart"/>
            <w:r w:rsidRPr="00707E0E">
              <w:rPr>
                <w:rFonts w:ascii="Times New Roman" w:hAnsi="Times New Roman"/>
                <w:sz w:val="22"/>
                <w:szCs w:val="22"/>
              </w:rPr>
              <w:t>let</w:t>
            </w:r>
            <w:r w:rsidRPr="00707E0E">
              <w:rPr>
                <w:rFonts w:ascii="Times New Roman" w:hAnsi="Times New Roman"/>
                <w:sz w:val="22"/>
                <w:szCs w:val="22"/>
                <w:lang w:val="es-ES"/>
              </w:rPr>
              <w:t>ras</w:t>
            </w:r>
            <w:proofErr w:type="spellEnd"/>
          </w:p>
        </w:tc>
        <w:tc>
          <w:tcPr>
            <w:tcW w:w="0" w:type="auto"/>
            <w:tcBorders>
              <w:left w:val="single" w:sz="6" w:space="0" w:color="000000"/>
              <w:right w:val="single" w:sz="6" w:space="0" w:color="000000"/>
            </w:tcBorders>
            <w:shd w:val="clear" w:color="auto" w:fill="FFFFFF"/>
            <w:tcMar>
              <w:left w:w="60" w:type="dxa"/>
              <w:right w:w="60" w:type="dxa"/>
            </w:tcMar>
          </w:tcPr>
          <w:p w14:paraId="2D2EC34A" w14:textId="54767D1C" w:rsidR="00D77092" w:rsidRPr="00707E0E" w:rsidRDefault="00D77092" w:rsidP="004361AC">
            <w:pPr>
              <w:pStyle w:val="Table"/>
              <w:spacing w:before="0" w:after="0"/>
              <w:rPr>
                <w:rFonts w:ascii="Times New Roman" w:hAnsi="Times New Roman"/>
                <w:sz w:val="22"/>
                <w:szCs w:val="22"/>
              </w:rPr>
            </w:pPr>
            <w:r w:rsidRPr="00707E0E">
              <w:rPr>
                <w:rFonts w:ascii="Times New Roman" w:hAnsi="Times New Roman"/>
                <w:sz w:val="22"/>
                <w:szCs w:val="22"/>
              </w:rPr>
              <w:t>24 (39</w:t>
            </w:r>
            <w:r w:rsidRPr="00707E0E">
              <w:rPr>
                <w:rFonts w:ascii="Times New Roman" w:hAnsi="Times New Roman"/>
                <w:sz w:val="22"/>
                <w:szCs w:val="22"/>
                <w:lang w:val="es-ES"/>
              </w:rPr>
              <w:t>,</w:t>
            </w:r>
            <w:r w:rsidRPr="00707E0E">
              <w:rPr>
                <w:rFonts w:ascii="Times New Roman" w:hAnsi="Times New Roman"/>
                <w:sz w:val="22"/>
                <w:szCs w:val="22"/>
              </w:rPr>
              <w:t>3)</w:t>
            </w:r>
          </w:p>
        </w:tc>
        <w:tc>
          <w:tcPr>
            <w:tcW w:w="0" w:type="auto"/>
            <w:tcBorders>
              <w:left w:val="single" w:sz="6" w:space="0" w:color="000000"/>
            </w:tcBorders>
            <w:shd w:val="clear" w:color="auto" w:fill="FFFFFF"/>
            <w:tcMar>
              <w:left w:w="60" w:type="dxa"/>
              <w:right w:w="60" w:type="dxa"/>
            </w:tcMar>
          </w:tcPr>
          <w:p w14:paraId="7606BD27" w14:textId="6CEB58FD" w:rsidR="00D77092" w:rsidRPr="00707E0E" w:rsidRDefault="00D77092" w:rsidP="004361AC">
            <w:pPr>
              <w:pStyle w:val="Table"/>
              <w:spacing w:before="0" w:after="0"/>
              <w:rPr>
                <w:rFonts w:ascii="Times New Roman" w:hAnsi="Times New Roman"/>
                <w:sz w:val="22"/>
                <w:szCs w:val="22"/>
              </w:rPr>
            </w:pPr>
            <w:r w:rsidRPr="00707E0E">
              <w:rPr>
                <w:rFonts w:ascii="Times New Roman" w:hAnsi="Times New Roman"/>
                <w:sz w:val="22"/>
                <w:szCs w:val="22"/>
              </w:rPr>
              <w:t>23 (42</w:t>
            </w:r>
            <w:r w:rsidRPr="00707E0E">
              <w:rPr>
                <w:rFonts w:ascii="Times New Roman" w:hAnsi="Times New Roman"/>
                <w:sz w:val="22"/>
                <w:szCs w:val="22"/>
                <w:lang w:val="es-ES"/>
              </w:rPr>
              <w:t>,</w:t>
            </w:r>
            <w:r w:rsidRPr="00707E0E">
              <w:rPr>
                <w:rFonts w:ascii="Times New Roman" w:hAnsi="Times New Roman"/>
                <w:sz w:val="22"/>
                <w:szCs w:val="22"/>
              </w:rPr>
              <w:t>6)</w:t>
            </w:r>
          </w:p>
        </w:tc>
      </w:tr>
      <w:tr w:rsidR="008A0C7B" w:rsidRPr="00707E0E" w14:paraId="59929828" w14:textId="77777777" w:rsidTr="00160989">
        <w:trPr>
          <w:gridAfter w:val="1"/>
          <w:wAfter w:w="9" w:type="dxa"/>
          <w:cantSplit/>
          <w:jc w:val="center"/>
        </w:trPr>
        <w:tc>
          <w:tcPr>
            <w:tcW w:w="0" w:type="auto"/>
            <w:tcBorders>
              <w:right w:val="single" w:sz="6" w:space="0" w:color="000000"/>
            </w:tcBorders>
            <w:shd w:val="clear" w:color="auto" w:fill="FFFFFF"/>
            <w:tcMar>
              <w:left w:w="60" w:type="dxa"/>
              <w:right w:w="60" w:type="dxa"/>
            </w:tcMar>
          </w:tcPr>
          <w:p w14:paraId="65D99F9E" w14:textId="29CD6FDB" w:rsidR="00D77092" w:rsidRPr="00707E0E" w:rsidRDefault="00D77092" w:rsidP="004361AC">
            <w:pPr>
              <w:pStyle w:val="Table"/>
              <w:spacing w:before="0" w:after="0"/>
              <w:rPr>
                <w:rFonts w:ascii="Times New Roman" w:hAnsi="Times New Roman"/>
                <w:sz w:val="22"/>
                <w:szCs w:val="22"/>
              </w:rPr>
            </w:pPr>
            <w:r w:rsidRPr="00707E0E">
              <w:rPr>
                <w:rFonts w:ascii="Times New Roman" w:hAnsi="Times New Roman"/>
                <w:sz w:val="22"/>
                <w:szCs w:val="22"/>
              </w:rPr>
              <w:t>≥71 </w:t>
            </w:r>
            <w:proofErr w:type="spellStart"/>
            <w:r w:rsidRPr="00707E0E">
              <w:rPr>
                <w:rFonts w:ascii="Times New Roman" w:hAnsi="Times New Roman"/>
                <w:sz w:val="22"/>
                <w:szCs w:val="22"/>
              </w:rPr>
              <w:t>let</w:t>
            </w:r>
            <w:r w:rsidRPr="00707E0E">
              <w:rPr>
                <w:rFonts w:ascii="Times New Roman" w:hAnsi="Times New Roman"/>
                <w:sz w:val="22"/>
                <w:szCs w:val="22"/>
                <w:lang w:val="es-ES"/>
              </w:rPr>
              <w:t>ras</w:t>
            </w:r>
            <w:proofErr w:type="spellEnd"/>
          </w:p>
        </w:tc>
        <w:tc>
          <w:tcPr>
            <w:tcW w:w="0" w:type="auto"/>
            <w:tcBorders>
              <w:left w:val="single" w:sz="6" w:space="0" w:color="000000"/>
              <w:right w:val="single" w:sz="6" w:space="0" w:color="000000"/>
            </w:tcBorders>
            <w:shd w:val="clear" w:color="auto" w:fill="FFFFFF"/>
            <w:tcMar>
              <w:left w:w="60" w:type="dxa"/>
              <w:right w:w="60" w:type="dxa"/>
            </w:tcMar>
          </w:tcPr>
          <w:p w14:paraId="68CD5D91" w14:textId="4FBC4CD7" w:rsidR="00D77092" w:rsidRPr="00707E0E" w:rsidRDefault="00D77092" w:rsidP="004361AC">
            <w:pPr>
              <w:pStyle w:val="Table"/>
              <w:spacing w:before="0" w:after="0"/>
              <w:rPr>
                <w:rFonts w:ascii="Times New Roman" w:hAnsi="Times New Roman"/>
                <w:sz w:val="22"/>
                <w:szCs w:val="22"/>
              </w:rPr>
            </w:pPr>
            <w:r w:rsidRPr="00707E0E">
              <w:rPr>
                <w:rFonts w:ascii="Times New Roman" w:hAnsi="Times New Roman"/>
                <w:sz w:val="22"/>
                <w:szCs w:val="22"/>
              </w:rPr>
              <w:t>20 (32</w:t>
            </w:r>
            <w:r w:rsidRPr="00707E0E">
              <w:rPr>
                <w:rFonts w:ascii="Times New Roman" w:hAnsi="Times New Roman"/>
                <w:sz w:val="22"/>
                <w:szCs w:val="22"/>
                <w:lang w:val="es-ES"/>
              </w:rPr>
              <w:t>,</w:t>
            </w:r>
            <w:r w:rsidRPr="00707E0E">
              <w:rPr>
                <w:rFonts w:ascii="Times New Roman" w:hAnsi="Times New Roman"/>
                <w:sz w:val="22"/>
                <w:szCs w:val="22"/>
              </w:rPr>
              <w:t>8)</w:t>
            </w:r>
          </w:p>
        </w:tc>
        <w:tc>
          <w:tcPr>
            <w:tcW w:w="0" w:type="auto"/>
            <w:tcBorders>
              <w:left w:val="single" w:sz="6" w:space="0" w:color="000000"/>
            </w:tcBorders>
            <w:shd w:val="clear" w:color="auto" w:fill="FFFFFF"/>
            <w:tcMar>
              <w:left w:w="60" w:type="dxa"/>
              <w:right w:w="60" w:type="dxa"/>
            </w:tcMar>
          </w:tcPr>
          <w:p w14:paraId="298B7678" w14:textId="02EA37E6" w:rsidR="00D77092" w:rsidRPr="00707E0E" w:rsidRDefault="00D77092" w:rsidP="004361AC">
            <w:pPr>
              <w:pStyle w:val="Table"/>
              <w:spacing w:before="0" w:after="0"/>
              <w:rPr>
                <w:rFonts w:ascii="Times New Roman" w:hAnsi="Times New Roman"/>
                <w:sz w:val="22"/>
                <w:szCs w:val="22"/>
              </w:rPr>
            </w:pPr>
            <w:r w:rsidRPr="00707E0E">
              <w:rPr>
                <w:rFonts w:ascii="Times New Roman" w:hAnsi="Times New Roman"/>
                <w:sz w:val="22"/>
                <w:szCs w:val="22"/>
              </w:rPr>
              <w:t>11 (20</w:t>
            </w:r>
            <w:r w:rsidRPr="00707E0E">
              <w:rPr>
                <w:rFonts w:ascii="Times New Roman" w:hAnsi="Times New Roman"/>
                <w:sz w:val="22"/>
                <w:szCs w:val="22"/>
                <w:lang w:val="es-ES"/>
              </w:rPr>
              <w:t>,</w:t>
            </w:r>
            <w:r w:rsidRPr="00707E0E">
              <w:rPr>
                <w:rFonts w:ascii="Times New Roman" w:hAnsi="Times New Roman"/>
                <w:sz w:val="22"/>
                <w:szCs w:val="22"/>
              </w:rPr>
              <w:t>4)</w:t>
            </w:r>
          </w:p>
        </w:tc>
      </w:tr>
      <w:tr w:rsidR="00707E0E" w:rsidRPr="003C169A" w14:paraId="150582B4" w14:textId="77777777" w:rsidTr="00160989">
        <w:trPr>
          <w:cantSplit/>
          <w:jc w:val="center"/>
        </w:trPr>
        <w:tc>
          <w:tcPr>
            <w:tcW w:w="9064" w:type="dxa"/>
            <w:gridSpan w:val="4"/>
            <w:shd w:val="clear" w:color="auto" w:fill="FFFFFF"/>
            <w:tcMar>
              <w:left w:w="60" w:type="dxa"/>
              <w:right w:w="60" w:type="dxa"/>
            </w:tcMar>
          </w:tcPr>
          <w:p w14:paraId="235F2B1B" w14:textId="0F2ABCEC" w:rsidR="00D77092" w:rsidRPr="00707E0E" w:rsidRDefault="00D77092" w:rsidP="004361AC">
            <w:pPr>
              <w:pStyle w:val="Table"/>
              <w:spacing w:before="0" w:after="0"/>
              <w:ind w:left="308" w:hanging="308"/>
              <w:rPr>
                <w:rFonts w:ascii="Times New Roman" w:hAnsi="Times New Roman"/>
                <w:sz w:val="22"/>
                <w:szCs w:val="22"/>
              </w:rPr>
            </w:pPr>
            <w:r w:rsidRPr="00707E0E">
              <w:rPr>
                <w:rFonts w:ascii="Times New Roman" w:hAnsi="Times New Roman"/>
                <w:sz w:val="22"/>
                <w:szCs w:val="22"/>
                <w:vertAlign w:val="superscript"/>
              </w:rPr>
              <w:t>1</w:t>
            </w:r>
            <w:r w:rsidRPr="00707E0E">
              <w:rPr>
                <w:rFonts w:ascii="Times New Roman" w:hAnsi="Times New Roman"/>
                <w:sz w:val="22"/>
                <w:szCs w:val="22"/>
              </w:rPr>
              <w:tab/>
              <w:t xml:space="preserve">El </w:t>
            </w:r>
            <w:proofErr w:type="spellStart"/>
            <w:r w:rsidRPr="00707E0E">
              <w:rPr>
                <w:rFonts w:ascii="Times New Roman" w:hAnsi="Times New Roman"/>
                <w:sz w:val="22"/>
                <w:szCs w:val="22"/>
              </w:rPr>
              <w:t>ojo</w:t>
            </w:r>
            <w:proofErr w:type="spellEnd"/>
            <w:r w:rsidRPr="00707E0E">
              <w:rPr>
                <w:rFonts w:ascii="Times New Roman" w:hAnsi="Times New Roman"/>
                <w:sz w:val="22"/>
                <w:szCs w:val="22"/>
              </w:rPr>
              <w:t xml:space="preserve"> </w:t>
            </w:r>
            <w:r w:rsidRPr="00707E0E">
              <w:rPr>
                <w:rFonts w:ascii="Times New Roman" w:hAnsi="Times New Roman"/>
                <w:sz w:val="22"/>
                <w:szCs w:val="22"/>
                <w:lang w:val="es-ES"/>
              </w:rPr>
              <w:t>con mejor visión</w:t>
            </w:r>
            <w:r w:rsidRPr="00707E0E">
              <w:rPr>
                <w:rFonts w:ascii="Times New Roman" w:hAnsi="Times New Roman"/>
                <w:sz w:val="22"/>
                <w:szCs w:val="22"/>
              </w:rPr>
              <w:t xml:space="preserve"> es </w:t>
            </w:r>
            <w:proofErr w:type="spellStart"/>
            <w:r w:rsidRPr="00707E0E">
              <w:rPr>
                <w:rFonts w:ascii="Times New Roman" w:hAnsi="Times New Roman"/>
                <w:sz w:val="22"/>
                <w:szCs w:val="22"/>
              </w:rPr>
              <w:t>el</w:t>
            </w:r>
            <w:proofErr w:type="spellEnd"/>
            <w:r w:rsidRPr="00707E0E">
              <w:rPr>
                <w:rFonts w:ascii="Times New Roman" w:hAnsi="Times New Roman"/>
                <w:sz w:val="22"/>
                <w:szCs w:val="22"/>
              </w:rPr>
              <w:t xml:space="preserve"> </w:t>
            </w:r>
            <w:proofErr w:type="spellStart"/>
            <w:r w:rsidRPr="00707E0E">
              <w:rPr>
                <w:rFonts w:ascii="Times New Roman" w:hAnsi="Times New Roman"/>
                <w:sz w:val="22"/>
                <w:szCs w:val="22"/>
              </w:rPr>
              <w:t>ojo</w:t>
            </w:r>
            <w:proofErr w:type="spellEnd"/>
            <w:r w:rsidRPr="00707E0E">
              <w:rPr>
                <w:rFonts w:ascii="Times New Roman" w:hAnsi="Times New Roman"/>
                <w:sz w:val="22"/>
                <w:szCs w:val="22"/>
              </w:rPr>
              <w:t xml:space="preserve"> con </w:t>
            </w:r>
            <w:proofErr w:type="spellStart"/>
            <w:r w:rsidRPr="00707E0E">
              <w:rPr>
                <w:rFonts w:ascii="Times New Roman" w:hAnsi="Times New Roman"/>
                <w:sz w:val="22"/>
                <w:szCs w:val="22"/>
              </w:rPr>
              <w:t>una</w:t>
            </w:r>
            <w:proofErr w:type="spellEnd"/>
            <w:r w:rsidRPr="00707E0E">
              <w:rPr>
                <w:rFonts w:ascii="Times New Roman" w:hAnsi="Times New Roman"/>
                <w:sz w:val="22"/>
                <w:szCs w:val="22"/>
              </w:rPr>
              <w:t xml:space="preserve"> </w:t>
            </w:r>
            <w:proofErr w:type="spellStart"/>
            <w:r w:rsidRPr="00707E0E">
              <w:rPr>
                <w:rFonts w:ascii="Times New Roman" w:hAnsi="Times New Roman"/>
                <w:sz w:val="22"/>
                <w:szCs w:val="22"/>
              </w:rPr>
              <w:t>puntuación</w:t>
            </w:r>
            <w:proofErr w:type="spellEnd"/>
            <w:r w:rsidRPr="00707E0E">
              <w:rPr>
                <w:rFonts w:ascii="Times New Roman" w:hAnsi="Times New Roman"/>
                <w:sz w:val="22"/>
                <w:szCs w:val="22"/>
              </w:rPr>
              <w:t xml:space="preserve"> de </w:t>
            </w:r>
            <w:proofErr w:type="spellStart"/>
            <w:r w:rsidRPr="00707E0E">
              <w:rPr>
                <w:rFonts w:ascii="Times New Roman" w:hAnsi="Times New Roman"/>
                <w:sz w:val="22"/>
                <w:szCs w:val="22"/>
              </w:rPr>
              <w:t>letras</w:t>
            </w:r>
            <w:proofErr w:type="spellEnd"/>
            <w:r w:rsidRPr="00707E0E">
              <w:rPr>
                <w:rFonts w:ascii="Times New Roman" w:hAnsi="Times New Roman"/>
                <w:sz w:val="22"/>
                <w:szCs w:val="22"/>
              </w:rPr>
              <w:t xml:space="preserve"> ETDRS </w:t>
            </w:r>
            <w:proofErr w:type="spellStart"/>
            <w:r w:rsidRPr="00707E0E">
              <w:rPr>
                <w:rFonts w:ascii="Times New Roman" w:hAnsi="Times New Roman"/>
                <w:sz w:val="22"/>
                <w:szCs w:val="22"/>
              </w:rPr>
              <w:t>más</w:t>
            </w:r>
            <w:proofErr w:type="spellEnd"/>
            <w:r w:rsidRPr="00707E0E">
              <w:rPr>
                <w:rFonts w:ascii="Times New Roman" w:hAnsi="Times New Roman"/>
                <w:sz w:val="22"/>
                <w:szCs w:val="22"/>
              </w:rPr>
              <w:t xml:space="preserve"> </w:t>
            </w:r>
            <w:proofErr w:type="spellStart"/>
            <w:r w:rsidRPr="00707E0E">
              <w:rPr>
                <w:rFonts w:ascii="Times New Roman" w:hAnsi="Times New Roman"/>
                <w:sz w:val="22"/>
                <w:szCs w:val="22"/>
              </w:rPr>
              <w:t>alta</w:t>
            </w:r>
            <w:proofErr w:type="spellEnd"/>
            <w:r w:rsidRPr="00707E0E">
              <w:rPr>
                <w:rFonts w:ascii="Times New Roman" w:hAnsi="Times New Roman"/>
                <w:sz w:val="22"/>
                <w:szCs w:val="22"/>
              </w:rPr>
              <w:t xml:space="preserve"> </w:t>
            </w:r>
            <w:proofErr w:type="spellStart"/>
            <w:r w:rsidRPr="00707E0E">
              <w:rPr>
                <w:rFonts w:ascii="Times New Roman" w:hAnsi="Times New Roman"/>
                <w:sz w:val="22"/>
                <w:szCs w:val="22"/>
              </w:rPr>
              <w:t>en</w:t>
            </w:r>
            <w:proofErr w:type="spellEnd"/>
            <w:r w:rsidRPr="00707E0E">
              <w:rPr>
                <w:rFonts w:ascii="Times New Roman" w:hAnsi="Times New Roman"/>
                <w:sz w:val="22"/>
                <w:szCs w:val="22"/>
              </w:rPr>
              <w:t xml:space="preserve"> la </w:t>
            </w:r>
            <w:proofErr w:type="spellStart"/>
            <w:r w:rsidRPr="00707E0E">
              <w:rPr>
                <w:rFonts w:ascii="Times New Roman" w:hAnsi="Times New Roman"/>
                <w:sz w:val="22"/>
                <w:szCs w:val="22"/>
              </w:rPr>
              <w:t>visita</w:t>
            </w:r>
            <w:proofErr w:type="spellEnd"/>
            <w:r w:rsidRPr="00707E0E">
              <w:rPr>
                <w:rFonts w:ascii="Times New Roman" w:hAnsi="Times New Roman"/>
                <w:sz w:val="22"/>
                <w:szCs w:val="22"/>
              </w:rPr>
              <w:t xml:space="preserve"> del quinto </w:t>
            </w:r>
            <w:proofErr w:type="spellStart"/>
            <w:r w:rsidRPr="00707E0E">
              <w:rPr>
                <w:rFonts w:ascii="Times New Roman" w:hAnsi="Times New Roman"/>
                <w:sz w:val="22"/>
                <w:szCs w:val="22"/>
              </w:rPr>
              <w:t>cumpleaños</w:t>
            </w:r>
            <w:proofErr w:type="spellEnd"/>
            <w:r w:rsidRPr="00707E0E">
              <w:rPr>
                <w:rFonts w:ascii="Times New Roman" w:hAnsi="Times New Roman"/>
                <w:sz w:val="22"/>
                <w:szCs w:val="22"/>
              </w:rPr>
              <w:t xml:space="preserve">. Si ambos ojos </w:t>
            </w:r>
            <w:proofErr w:type="spellStart"/>
            <w:r w:rsidRPr="00707E0E">
              <w:rPr>
                <w:rFonts w:ascii="Times New Roman" w:hAnsi="Times New Roman"/>
                <w:sz w:val="22"/>
                <w:szCs w:val="22"/>
              </w:rPr>
              <w:t>tienen</w:t>
            </w:r>
            <w:proofErr w:type="spellEnd"/>
            <w:r w:rsidRPr="00707E0E">
              <w:rPr>
                <w:rFonts w:ascii="Times New Roman" w:hAnsi="Times New Roman"/>
                <w:sz w:val="22"/>
                <w:szCs w:val="22"/>
              </w:rPr>
              <w:t xml:space="preserve"> la </w:t>
            </w:r>
            <w:proofErr w:type="spellStart"/>
            <w:r w:rsidRPr="00707E0E">
              <w:rPr>
                <w:rFonts w:ascii="Times New Roman" w:hAnsi="Times New Roman"/>
                <w:sz w:val="22"/>
                <w:szCs w:val="22"/>
              </w:rPr>
              <w:t>misma</w:t>
            </w:r>
            <w:proofErr w:type="spellEnd"/>
            <w:r w:rsidRPr="00707E0E">
              <w:rPr>
                <w:rFonts w:ascii="Times New Roman" w:hAnsi="Times New Roman"/>
                <w:sz w:val="22"/>
                <w:szCs w:val="22"/>
              </w:rPr>
              <w:t xml:space="preserve"> </w:t>
            </w:r>
            <w:proofErr w:type="spellStart"/>
            <w:r w:rsidRPr="00707E0E">
              <w:rPr>
                <w:rFonts w:ascii="Times New Roman" w:hAnsi="Times New Roman"/>
                <w:sz w:val="22"/>
                <w:szCs w:val="22"/>
              </w:rPr>
              <w:t>puntuación</w:t>
            </w:r>
            <w:proofErr w:type="spellEnd"/>
            <w:r w:rsidRPr="00707E0E">
              <w:rPr>
                <w:rFonts w:ascii="Times New Roman" w:hAnsi="Times New Roman"/>
                <w:sz w:val="22"/>
                <w:szCs w:val="22"/>
              </w:rPr>
              <w:t xml:space="preserve"> de </w:t>
            </w:r>
            <w:proofErr w:type="spellStart"/>
            <w:r w:rsidRPr="00707E0E">
              <w:rPr>
                <w:rFonts w:ascii="Times New Roman" w:hAnsi="Times New Roman"/>
                <w:sz w:val="22"/>
                <w:szCs w:val="22"/>
              </w:rPr>
              <w:t>letras</w:t>
            </w:r>
            <w:proofErr w:type="spellEnd"/>
            <w:r w:rsidRPr="00707E0E">
              <w:rPr>
                <w:rFonts w:ascii="Times New Roman" w:hAnsi="Times New Roman"/>
                <w:sz w:val="22"/>
                <w:szCs w:val="22"/>
              </w:rPr>
              <w:t xml:space="preserve"> ETDRS, </w:t>
            </w:r>
            <w:proofErr w:type="spellStart"/>
            <w:r w:rsidRPr="00707E0E">
              <w:rPr>
                <w:rFonts w:ascii="Times New Roman" w:hAnsi="Times New Roman"/>
                <w:sz w:val="22"/>
                <w:szCs w:val="22"/>
              </w:rPr>
              <w:t>entonces</w:t>
            </w:r>
            <w:proofErr w:type="spellEnd"/>
            <w:r w:rsidRPr="00707E0E">
              <w:rPr>
                <w:rFonts w:ascii="Times New Roman" w:hAnsi="Times New Roman"/>
                <w:sz w:val="22"/>
                <w:szCs w:val="22"/>
              </w:rPr>
              <w:t xml:space="preserve"> </w:t>
            </w:r>
            <w:proofErr w:type="spellStart"/>
            <w:r w:rsidRPr="00707E0E">
              <w:rPr>
                <w:rFonts w:ascii="Times New Roman" w:hAnsi="Times New Roman"/>
                <w:sz w:val="22"/>
                <w:szCs w:val="22"/>
              </w:rPr>
              <w:t>el</w:t>
            </w:r>
            <w:proofErr w:type="spellEnd"/>
            <w:r w:rsidRPr="00707E0E">
              <w:rPr>
                <w:rFonts w:ascii="Times New Roman" w:hAnsi="Times New Roman"/>
                <w:sz w:val="22"/>
                <w:szCs w:val="22"/>
              </w:rPr>
              <w:t xml:space="preserve"> </w:t>
            </w:r>
            <w:proofErr w:type="spellStart"/>
            <w:r w:rsidRPr="00707E0E">
              <w:rPr>
                <w:rFonts w:ascii="Times New Roman" w:hAnsi="Times New Roman"/>
                <w:sz w:val="22"/>
                <w:szCs w:val="22"/>
              </w:rPr>
              <w:t>ojo</w:t>
            </w:r>
            <w:proofErr w:type="spellEnd"/>
            <w:r w:rsidRPr="00707E0E">
              <w:rPr>
                <w:rFonts w:ascii="Times New Roman" w:hAnsi="Times New Roman"/>
                <w:sz w:val="22"/>
                <w:szCs w:val="22"/>
              </w:rPr>
              <w:t xml:space="preserve"> </w:t>
            </w:r>
            <w:proofErr w:type="spellStart"/>
            <w:r w:rsidRPr="00707E0E">
              <w:rPr>
                <w:rFonts w:ascii="Times New Roman" w:hAnsi="Times New Roman"/>
                <w:sz w:val="22"/>
                <w:szCs w:val="22"/>
              </w:rPr>
              <w:t>derecho</w:t>
            </w:r>
            <w:proofErr w:type="spellEnd"/>
            <w:r w:rsidRPr="00707E0E">
              <w:rPr>
                <w:rFonts w:ascii="Times New Roman" w:hAnsi="Times New Roman"/>
                <w:sz w:val="22"/>
                <w:szCs w:val="22"/>
              </w:rPr>
              <w:t xml:space="preserve"> se </w:t>
            </w:r>
            <w:proofErr w:type="spellStart"/>
            <w:r w:rsidRPr="00707E0E">
              <w:rPr>
                <w:rFonts w:ascii="Times New Roman" w:hAnsi="Times New Roman"/>
                <w:sz w:val="22"/>
                <w:szCs w:val="22"/>
              </w:rPr>
              <w:t>asigna</w:t>
            </w:r>
            <w:proofErr w:type="spellEnd"/>
            <w:r w:rsidRPr="00707E0E">
              <w:rPr>
                <w:rFonts w:ascii="Times New Roman" w:hAnsi="Times New Roman"/>
                <w:sz w:val="22"/>
                <w:szCs w:val="22"/>
              </w:rPr>
              <w:t xml:space="preserve"> </w:t>
            </w:r>
            <w:proofErr w:type="spellStart"/>
            <w:r w:rsidRPr="00707E0E">
              <w:rPr>
                <w:rFonts w:ascii="Times New Roman" w:hAnsi="Times New Roman"/>
                <w:sz w:val="22"/>
                <w:szCs w:val="22"/>
              </w:rPr>
              <w:t>como</w:t>
            </w:r>
            <w:proofErr w:type="spellEnd"/>
            <w:r w:rsidRPr="00707E0E">
              <w:rPr>
                <w:rFonts w:ascii="Times New Roman" w:hAnsi="Times New Roman"/>
                <w:sz w:val="22"/>
                <w:szCs w:val="22"/>
              </w:rPr>
              <w:t xml:space="preserve"> </w:t>
            </w:r>
            <w:proofErr w:type="spellStart"/>
            <w:r w:rsidRPr="00707E0E">
              <w:rPr>
                <w:rFonts w:ascii="Times New Roman" w:hAnsi="Times New Roman"/>
                <w:sz w:val="22"/>
                <w:szCs w:val="22"/>
              </w:rPr>
              <w:t>el</w:t>
            </w:r>
            <w:proofErr w:type="spellEnd"/>
            <w:r w:rsidRPr="00707E0E">
              <w:rPr>
                <w:rFonts w:ascii="Times New Roman" w:hAnsi="Times New Roman"/>
                <w:sz w:val="22"/>
                <w:szCs w:val="22"/>
              </w:rPr>
              <w:t xml:space="preserve"> </w:t>
            </w:r>
            <w:proofErr w:type="spellStart"/>
            <w:r w:rsidRPr="00707E0E">
              <w:rPr>
                <w:rFonts w:ascii="Times New Roman" w:hAnsi="Times New Roman"/>
                <w:sz w:val="22"/>
                <w:szCs w:val="22"/>
              </w:rPr>
              <w:t>ojo</w:t>
            </w:r>
            <w:proofErr w:type="spellEnd"/>
            <w:r w:rsidRPr="00707E0E">
              <w:rPr>
                <w:rFonts w:ascii="Times New Roman" w:hAnsi="Times New Roman"/>
                <w:sz w:val="22"/>
                <w:szCs w:val="22"/>
              </w:rPr>
              <w:t xml:space="preserve"> que </w:t>
            </w:r>
            <w:proofErr w:type="spellStart"/>
            <w:r w:rsidRPr="00707E0E">
              <w:rPr>
                <w:rFonts w:ascii="Times New Roman" w:hAnsi="Times New Roman"/>
                <w:sz w:val="22"/>
                <w:szCs w:val="22"/>
              </w:rPr>
              <w:t>ve</w:t>
            </w:r>
            <w:proofErr w:type="spellEnd"/>
            <w:r w:rsidRPr="00707E0E">
              <w:rPr>
                <w:rFonts w:ascii="Times New Roman" w:hAnsi="Times New Roman"/>
                <w:sz w:val="22"/>
                <w:szCs w:val="22"/>
              </w:rPr>
              <w:t xml:space="preserve"> </w:t>
            </w:r>
            <w:proofErr w:type="spellStart"/>
            <w:r w:rsidRPr="00707E0E">
              <w:rPr>
                <w:rFonts w:ascii="Times New Roman" w:hAnsi="Times New Roman"/>
                <w:sz w:val="22"/>
                <w:szCs w:val="22"/>
              </w:rPr>
              <w:t>mejor</w:t>
            </w:r>
            <w:proofErr w:type="spellEnd"/>
            <w:r w:rsidRPr="00707E0E">
              <w:rPr>
                <w:rFonts w:ascii="Times New Roman" w:hAnsi="Times New Roman"/>
                <w:sz w:val="22"/>
                <w:szCs w:val="22"/>
              </w:rPr>
              <w:t>.</w:t>
            </w:r>
          </w:p>
        </w:tc>
      </w:tr>
    </w:tbl>
    <w:p w14:paraId="0F73E958" w14:textId="77777777" w:rsidR="00D77092" w:rsidRPr="001146DB" w:rsidRDefault="00D77092" w:rsidP="004361AC">
      <w:pPr>
        <w:tabs>
          <w:tab w:val="clear" w:pos="567"/>
        </w:tabs>
        <w:autoSpaceDE w:val="0"/>
        <w:autoSpaceDN w:val="0"/>
        <w:adjustRightInd w:val="0"/>
        <w:spacing w:line="240" w:lineRule="auto"/>
        <w:rPr>
          <w:bCs/>
          <w:iCs/>
          <w:szCs w:val="22"/>
          <w:lang w:val="es-ES"/>
        </w:rPr>
      </w:pPr>
    </w:p>
    <w:p w14:paraId="4A0459FC" w14:textId="59ADBC81" w:rsidR="002E5034" w:rsidRPr="001146DB" w:rsidRDefault="002E5034" w:rsidP="004361AC">
      <w:pPr>
        <w:tabs>
          <w:tab w:val="clear" w:pos="567"/>
        </w:tabs>
        <w:spacing w:line="240" w:lineRule="auto"/>
        <w:rPr>
          <w:szCs w:val="22"/>
          <w:lang w:val="es-ES"/>
        </w:rPr>
      </w:pPr>
      <w:r w:rsidRPr="00707E0E">
        <w:rPr>
          <w:rFonts w:eastAsia="SimSun"/>
          <w:szCs w:val="22"/>
          <w:lang w:val="es-ES_tradnl" w:eastAsia="zh-CN"/>
        </w:rPr>
        <w:t xml:space="preserve">La Agencia Europea de Medicamentos ha eximido al titular de la obligación de presentar los resultados de los ensayos realizados con </w:t>
      </w:r>
      <w:proofErr w:type="spellStart"/>
      <w:r w:rsidRPr="00707E0E">
        <w:rPr>
          <w:rFonts w:eastAsia="SimSun"/>
          <w:szCs w:val="22"/>
          <w:lang w:val="es-ES_tradnl" w:eastAsia="zh-CN"/>
        </w:rPr>
        <w:t>Lucentis</w:t>
      </w:r>
      <w:proofErr w:type="spellEnd"/>
      <w:r w:rsidRPr="00707E0E">
        <w:rPr>
          <w:rFonts w:eastAsia="SimSun"/>
          <w:szCs w:val="22"/>
          <w:lang w:val="es-ES_tradnl" w:eastAsia="zh-CN"/>
        </w:rPr>
        <w:t xml:space="preserve"> en</w:t>
      </w:r>
      <w:r w:rsidR="00B73F9E" w:rsidRPr="00707E0E">
        <w:rPr>
          <w:rFonts w:eastAsia="SimSun"/>
          <w:szCs w:val="22"/>
          <w:lang w:val="es-ES_tradnl" w:eastAsia="zh-CN"/>
        </w:rPr>
        <w:t xml:space="preserve"> todos</w:t>
      </w:r>
      <w:r w:rsidRPr="00707E0E">
        <w:rPr>
          <w:rFonts w:eastAsia="SimSun"/>
          <w:szCs w:val="22"/>
          <w:lang w:val="es-ES_tradnl" w:eastAsia="zh-CN"/>
        </w:rPr>
        <w:t xml:space="preserve"> los grupos de la población pediátrica en</w:t>
      </w:r>
      <w:r w:rsidRPr="001146DB">
        <w:rPr>
          <w:szCs w:val="22"/>
          <w:lang w:val="es-ES"/>
        </w:rPr>
        <w:t xml:space="preserve"> la DMAE </w:t>
      </w:r>
      <w:proofErr w:type="spellStart"/>
      <w:r w:rsidRPr="001146DB">
        <w:rPr>
          <w:szCs w:val="22"/>
          <w:lang w:val="es-ES"/>
        </w:rPr>
        <w:t>neovascular</w:t>
      </w:r>
      <w:proofErr w:type="spellEnd"/>
      <w:r w:rsidRPr="001146DB">
        <w:rPr>
          <w:szCs w:val="22"/>
          <w:lang w:val="es-ES"/>
        </w:rPr>
        <w:t>, la alteración</w:t>
      </w:r>
      <w:r w:rsidRPr="00707E0E">
        <w:rPr>
          <w:rFonts w:eastAsia="SimSun"/>
          <w:szCs w:val="22"/>
          <w:lang w:val="es-ES" w:eastAsia="zh-CN"/>
        </w:rPr>
        <w:t xml:space="preserve"> visual debida al EMD, </w:t>
      </w:r>
      <w:r w:rsidRPr="001146DB">
        <w:rPr>
          <w:szCs w:val="22"/>
          <w:lang w:val="es-ES"/>
        </w:rPr>
        <w:t>la alteración visual debida al edema macular secundario a la OVR</w:t>
      </w:r>
      <w:r w:rsidR="005B6826" w:rsidRPr="001146DB">
        <w:rPr>
          <w:szCs w:val="22"/>
          <w:lang w:val="es-ES"/>
        </w:rPr>
        <w:t>,</w:t>
      </w:r>
      <w:r w:rsidRPr="001146DB">
        <w:rPr>
          <w:szCs w:val="22"/>
          <w:lang w:val="es-ES"/>
        </w:rPr>
        <w:t xml:space="preserve"> la alteración visual debida a NVC</w:t>
      </w:r>
      <w:r w:rsidR="005B6826" w:rsidRPr="001146DB">
        <w:rPr>
          <w:szCs w:val="22"/>
          <w:lang w:val="es-ES"/>
        </w:rPr>
        <w:t xml:space="preserve"> y la retinopatía diabética</w:t>
      </w:r>
      <w:r w:rsidRPr="00707E0E">
        <w:rPr>
          <w:rFonts w:eastAsia="SimSun"/>
          <w:szCs w:val="22"/>
          <w:lang w:val="es-ES" w:eastAsia="zh-CN"/>
        </w:rPr>
        <w:t xml:space="preserve"> (ver sección</w:t>
      </w:r>
      <w:r w:rsidR="005B6826" w:rsidRPr="00707E0E">
        <w:rPr>
          <w:rFonts w:eastAsia="SimSun"/>
          <w:szCs w:val="22"/>
          <w:lang w:val="es-ES" w:eastAsia="zh-CN"/>
        </w:rPr>
        <w:t> </w:t>
      </w:r>
      <w:r w:rsidRPr="00707E0E">
        <w:rPr>
          <w:rFonts w:eastAsia="SimSun"/>
          <w:szCs w:val="22"/>
          <w:lang w:val="es-ES" w:eastAsia="zh-CN"/>
        </w:rPr>
        <w:t xml:space="preserve">4.2 para consultar la información sobre el uso en </w:t>
      </w:r>
      <w:r w:rsidR="00B73F9E" w:rsidRPr="00707E0E">
        <w:rPr>
          <w:rFonts w:eastAsia="SimSun"/>
          <w:szCs w:val="22"/>
          <w:lang w:val="es-ES" w:eastAsia="zh-CN"/>
        </w:rPr>
        <w:t xml:space="preserve">la </w:t>
      </w:r>
      <w:r w:rsidRPr="00707E0E">
        <w:rPr>
          <w:rFonts w:eastAsia="SimSun"/>
          <w:szCs w:val="22"/>
          <w:lang w:val="es-ES" w:eastAsia="zh-CN"/>
        </w:rPr>
        <w:t>población pediátrica).</w:t>
      </w:r>
      <w:r w:rsidR="005B6826" w:rsidRPr="00707E0E">
        <w:rPr>
          <w:rFonts w:eastAsia="SimSun"/>
          <w:szCs w:val="22"/>
          <w:lang w:val="es-ES" w:eastAsia="zh-CN"/>
        </w:rPr>
        <w:t xml:space="preserve"> Además, la Agencia </w:t>
      </w:r>
      <w:proofErr w:type="spellStart"/>
      <w:r w:rsidR="005B6826" w:rsidRPr="00707E0E">
        <w:rPr>
          <w:rFonts w:eastAsia="SimSun"/>
          <w:szCs w:val="22"/>
          <w:lang w:val="es-ES" w:eastAsia="zh-CN"/>
        </w:rPr>
        <w:t>Eu</w:t>
      </w:r>
      <w:r w:rsidR="00DC4EFE" w:rsidRPr="00707E0E">
        <w:rPr>
          <w:rFonts w:eastAsia="SimSun"/>
          <w:szCs w:val="22"/>
          <w:lang w:val="es-ES" w:eastAsia="zh-CN"/>
        </w:rPr>
        <w:t>op</w:t>
      </w:r>
      <w:r w:rsidR="005B6826" w:rsidRPr="00707E0E">
        <w:rPr>
          <w:rFonts w:eastAsia="SimSun"/>
          <w:szCs w:val="22"/>
          <w:lang w:val="es-ES" w:eastAsia="zh-CN"/>
        </w:rPr>
        <w:t>ea</w:t>
      </w:r>
      <w:proofErr w:type="spellEnd"/>
      <w:r w:rsidR="005B6826" w:rsidRPr="00707E0E">
        <w:rPr>
          <w:rFonts w:eastAsia="SimSun"/>
          <w:szCs w:val="22"/>
          <w:lang w:val="es-ES" w:eastAsia="zh-CN"/>
        </w:rPr>
        <w:t xml:space="preserve"> de Medicamentos ha eximido al titular de la obligación de presentar los resultados de los ensayos realizados con </w:t>
      </w:r>
      <w:proofErr w:type="spellStart"/>
      <w:r w:rsidR="005B6826" w:rsidRPr="00707E0E">
        <w:rPr>
          <w:rFonts w:eastAsia="SimSun"/>
          <w:szCs w:val="22"/>
          <w:lang w:val="es-ES" w:eastAsia="zh-CN"/>
        </w:rPr>
        <w:t>Lucentis</w:t>
      </w:r>
      <w:proofErr w:type="spellEnd"/>
      <w:r w:rsidR="005B6826" w:rsidRPr="00707E0E">
        <w:rPr>
          <w:rFonts w:eastAsia="SimSun"/>
          <w:szCs w:val="22"/>
          <w:lang w:val="es-ES" w:eastAsia="zh-CN"/>
        </w:rPr>
        <w:t xml:space="preserve"> en los siguientes grupos de la población pediátrica para </w:t>
      </w:r>
      <w:r w:rsidR="00153893" w:rsidRPr="00707E0E">
        <w:rPr>
          <w:rFonts w:eastAsia="SimSun"/>
          <w:szCs w:val="22"/>
          <w:lang w:val="es-ES" w:eastAsia="zh-CN"/>
        </w:rPr>
        <w:t>R</w:t>
      </w:r>
      <w:r w:rsidR="00440BE3" w:rsidRPr="00707E0E">
        <w:rPr>
          <w:rFonts w:eastAsia="SimSun"/>
          <w:szCs w:val="22"/>
          <w:lang w:val="es-ES" w:eastAsia="zh-CN"/>
        </w:rPr>
        <w:t>O</w:t>
      </w:r>
      <w:r w:rsidR="00153893" w:rsidRPr="00707E0E">
        <w:rPr>
          <w:rFonts w:eastAsia="SimSun"/>
          <w:szCs w:val="22"/>
          <w:lang w:val="es-ES" w:eastAsia="zh-CN"/>
        </w:rPr>
        <w:t>P</w:t>
      </w:r>
      <w:r w:rsidR="005B6826" w:rsidRPr="00707E0E">
        <w:rPr>
          <w:rFonts w:eastAsia="SimSun"/>
          <w:szCs w:val="22"/>
          <w:lang w:val="es-ES" w:eastAsia="zh-CN"/>
        </w:rPr>
        <w:t>: recién nacidos a término, lactantes, niños y adolescentes.</w:t>
      </w:r>
    </w:p>
    <w:p w14:paraId="23FCE4E7" w14:textId="77777777" w:rsidR="002E5034" w:rsidRPr="001146DB" w:rsidRDefault="002E5034" w:rsidP="004361AC">
      <w:pPr>
        <w:tabs>
          <w:tab w:val="clear" w:pos="567"/>
        </w:tabs>
        <w:spacing w:line="240" w:lineRule="auto"/>
        <w:rPr>
          <w:szCs w:val="22"/>
          <w:lang w:val="es-ES_tradnl"/>
        </w:rPr>
      </w:pPr>
    </w:p>
    <w:p w14:paraId="37E628EB" w14:textId="77777777" w:rsidR="002E5034" w:rsidRPr="001146DB" w:rsidRDefault="002E5034" w:rsidP="004361AC">
      <w:pPr>
        <w:keepNext/>
        <w:tabs>
          <w:tab w:val="clear" w:pos="567"/>
        </w:tabs>
        <w:spacing w:line="240" w:lineRule="auto"/>
        <w:rPr>
          <w:szCs w:val="22"/>
          <w:lang w:val="es-ES_tradnl"/>
        </w:rPr>
      </w:pPr>
      <w:r w:rsidRPr="001146DB">
        <w:rPr>
          <w:b/>
          <w:szCs w:val="22"/>
          <w:lang w:val="es-ES_tradnl"/>
        </w:rPr>
        <w:t>5.2</w:t>
      </w:r>
      <w:r w:rsidRPr="001146DB">
        <w:rPr>
          <w:b/>
          <w:szCs w:val="22"/>
          <w:lang w:val="es-ES_tradnl"/>
        </w:rPr>
        <w:tab/>
      </w:r>
      <w:r w:rsidRPr="001146DB">
        <w:rPr>
          <w:b/>
          <w:szCs w:val="22"/>
          <w:lang w:val="es-ES"/>
        </w:rPr>
        <w:t>Propiedades farmacocinéticas</w:t>
      </w:r>
    </w:p>
    <w:p w14:paraId="13BC7F4A" w14:textId="77777777" w:rsidR="002E5034" w:rsidRPr="001146DB" w:rsidRDefault="002E5034" w:rsidP="004361AC">
      <w:pPr>
        <w:keepNext/>
        <w:tabs>
          <w:tab w:val="clear" w:pos="567"/>
        </w:tabs>
        <w:spacing w:line="240" w:lineRule="auto"/>
        <w:rPr>
          <w:szCs w:val="22"/>
          <w:lang w:val="es-ES_tradnl"/>
        </w:rPr>
      </w:pPr>
    </w:p>
    <w:p w14:paraId="416BEB09" w14:textId="77777777" w:rsidR="002E5034" w:rsidRPr="003E0B98" w:rsidRDefault="002E5034" w:rsidP="004361AC">
      <w:pPr>
        <w:tabs>
          <w:tab w:val="clear" w:pos="567"/>
        </w:tabs>
        <w:spacing w:line="240" w:lineRule="auto"/>
        <w:rPr>
          <w:color w:val="000000"/>
          <w:szCs w:val="22"/>
          <w:lang w:val="es-ES_tradnl"/>
        </w:rPr>
      </w:pPr>
      <w:r w:rsidRPr="003E0B98">
        <w:rPr>
          <w:color w:val="000000"/>
          <w:szCs w:val="22"/>
          <w:lang w:val="es-ES_tradnl"/>
        </w:rPr>
        <w:t xml:space="preserve">Tras la administración intravítrea mensual de </w:t>
      </w:r>
      <w:proofErr w:type="spellStart"/>
      <w:r w:rsidRPr="003E0B98">
        <w:rPr>
          <w:color w:val="000000"/>
          <w:szCs w:val="22"/>
          <w:lang w:val="es-ES_tradnl"/>
        </w:rPr>
        <w:t>Lucentis</w:t>
      </w:r>
      <w:proofErr w:type="spellEnd"/>
      <w:r w:rsidRPr="003E0B98">
        <w:rPr>
          <w:color w:val="000000"/>
          <w:szCs w:val="22"/>
          <w:lang w:val="es-ES_tradnl"/>
        </w:rPr>
        <w:t xml:space="preserve"> a pacientes con DMAE </w:t>
      </w:r>
      <w:proofErr w:type="spellStart"/>
      <w:r w:rsidRPr="003E0B98">
        <w:rPr>
          <w:color w:val="000000"/>
          <w:szCs w:val="22"/>
          <w:lang w:val="es-ES_tradnl"/>
        </w:rPr>
        <w:t>neovascular</w:t>
      </w:r>
      <w:proofErr w:type="spellEnd"/>
      <w:r w:rsidRPr="003E0B98">
        <w:rPr>
          <w:color w:val="000000"/>
          <w:szCs w:val="22"/>
          <w:lang w:val="es-ES_tradnl"/>
        </w:rPr>
        <w:t xml:space="preserve">, las concentraciones séricas de </w:t>
      </w:r>
      <w:proofErr w:type="spellStart"/>
      <w:r w:rsidRPr="003E0B98">
        <w:rPr>
          <w:color w:val="000000"/>
          <w:szCs w:val="22"/>
          <w:lang w:val="es-ES_tradnl"/>
        </w:rPr>
        <w:t>ranibizumab</w:t>
      </w:r>
      <w:proofErr w:type="spellEnd"/>
      <w:r w:rsidRPr="003E0B98">
        <w:rPr>
          <w:color w:val="000000"/>
          <w:szCs w:val="22"/>
          <w:lang w:val="es-ES_tradnl"/>
        </w:rPr>
        <w:t xml:space="preserve"> fueron en general bajas, con niveles máximos (</w:t>
      </w:r>
      <w:proofErr w:type="spellStart"/>
      <w:r w:rsidRPr="003E0B98">
        <w:rPr>
          <w:color w:val="000000"/>
          <w:szCs w:val="22"/>
          <w:lang w:val="es-ES_tradnl"/>
        </w:rPr>
        <w:t>C</w:t>
      </w:r>
      <w:r w:rsidRPr="003E0B98">
        <w:rPr>
          <w:color w:val="000000"/>
          <w:szCs w:val="22"/>
          <w:vertAlign w:val="subscript"/>
          <w:lang w:val="es-ES_tradnl"/>
        </w:rPr>
        <w:t>max</w:t>
      </w:r>
      <w:proofErr w:type="spellEnd"/>
      <w:r w:rsidRPr="003E0B98">
        <w:rPr>
          <w:color w:val="000000"/>
          <w:szCs w:val="22"/>
          <w:lang w:val="es-ES_tradnl"/>
        </w:rPr>
        <w:t xml:space="preserve">) por debajo de la concentración de </w:t>
      </w:r>
      <w:proofErr w:type="spellStart"/>
      <w:r w:rsidRPr="003E0B98">
        <w:rPr>
          <w:color w:val="000000"/>
          <w:szCs w:val="22"/>
          <w:lang w:val="es-ES_tradnl"/>
        </w:rPr>
        <w:t>ranibizumab</w:t>
      </w:r>
      <w:proofErr w:type="spellEnd"/>
      <w:r w:rsidRPr="003E0B98">
        <w:rPr>
          <w:color w:val="000000"/>
          <w:szCs w:val="22"/>
          <w:lang w:val="es-ES_tradnl"/>
        </w:rPr>
        <w:t xml:space="preserve"> necesaria para inhibir la actividad biológica del VEGF en un 50% (11</w:t>
      </w:r>
      <w:r w:rsidRPr="003E0B98">
        <w:rPr>
          <w:color w:val="000000"/>
          <w:szCs w:val="22"/>
          <w:lang w:val="es-ES_tradnl"/>
        </w:rPr>
        <w:noBreakHyphen/>
        <w:t xml:space="preserve">27 ng/ml, valorado en un ensayo de proliferación celular </w:t>
      </w:r>
      <w:r w:rsidRPr="003E0B98">
        <w:rPr>
          <w:i/>
          <w:iCs/>
          <w:color w:val="000000"/>
          <w:szCs w:val="22"/>
          <w:lang w:val="es-ES_tradnl"/>
        </w:rPr>
        <w:t>in vitro</w:t>
      </w:r>
      <w:r w:rsidRPr="003E0B98">
        <w:rPr>
          <w:color w:val="000000"/>
          <w:szCs w:val="22"/>
          <w:lang w:val="es-ES_tradnl"/>
        </w:rPr>
        <w:t xml:space="preserve">). La </w:t>
      </w:r>
      <w:proofErr w:type="spellStart"/>
      <w:r w:rsidRPr="003E0B98">
        <w:rPr>
          <w:color w:val="000000"/>
          <w:szCs w:val="22"/>
          <w:lang w:val="es-ES_tradnl"/>
        </w:rPr>
        <w:t>C</w:t>
      </w:r>
      <w:r w:rsidRPr="003E0B98">
        <w:rPr>
          <w:color w:val="000000"/>
          <w:szCs w:val="22"/>
          <w:vertAlign w:val="subscript"/>
          <w:lang w:val="es-ES_tradnl"/>
        </w:rPr>
        <w:t>max</w:t>
      </w:r>
      <w:proofErr w:type="spellEnd"/>
      <w:r w:rsidRPr="003E0B98">
        <w:rPr>
          <w:color w:val="000000"/>
          <w:szCs w:val="22"/>
          <w:lang w:val="es-ES_tradnl"/>
        </w:rPr>
        <w:t xml:space="preserve"> fue proporcional a la dosis, en el rango de dosis de 0,05 a 1,0 mg/ojo. Las concentraciones séricas en un número limitado de pacientes con EMD indican que no puede excluirse una exposición sistémica ligeramente superior en comparación con la observada en pacientes con DMAE </w:t>
      </w:r>
      <w:proofErr w:type="spellStart"/>
      <w:r w:rsidRPr="003E0B98">
        <w:rPr>
          <w:color w:val="000000"/>
          <w:szCs w:val="22"/>
          <w:lang w:val="es-ES_tradnl"/>
        </w:rPr>
        <w:t>neovascular</w:t>
      </w:r>
      <w:proofErr w:type="spellEnd"/>
      <w:r w:rsidRPr="003E0B98">
        <w:rPr>
          <w:color w:val="000000"/>
          <w:szCs w:val="22"/>
          <w:lang w:val="es-ES_tradnl"/>
        </w:rPr>
        <w:t xml:space="preserve">. Las concentraciones séricas de </w:t>
      </w:r>
      <w:proofErr w:type="spellStart"/>
      <w:r w:rsidRPr="003E0B98">
        <w:rPr>
          <w:color w:val="000000"/>
          <w:szCs w:val="22"/>
          <w:lang w:val="es-ES_tradnl"/>
        </w:rPr>
        <w:t>ranibizumab</w:t>
      </w:r>
      <w:proofErr w:type="spellEnd"/>
      <w:r w:rsidRPr="003E0B98">
        <w:rPr>
          <w:color w:val="000000"/>
          <w:szCs w:val="22"/>
          <w:lang w:val="es-ES_tradnl"/>
        </w:rPr>
        <w:t xml:space="preserve"> en pacientes con OVR fueron similares o ligeramente superiores en comparación con las observadas en pacientes con DMAE </w:t>
      </w:r>
      <w:proofErr w:type="spellStart"/>
      <w:r w:rsidRPr="003E0B98">
        <w:rPr>
          <w:color w:val="000000"/>
          <w:szCs w:val="22"/>
          <w:lang w:val="es-ES_tradnl"/>
        </w:rPr>
        <w:t>neovascular</w:t>
      </w:r>
      <w:proofErr w:type="spellEnd"/>
      <w:r w:rsidRPr="003E0B98">
        <w:rPr>
          <w:color w:val="000000"/>
          <w:szCs w:val="22"/>
          <w:lang w:val="es-ES_tradnl"/>
        </w:rPr>
        <w:t>.</w:t>
      </w:r>
    </w:p>
    <w:p w14:paraId="6424981A" w14:textId="77777777" w:rsidR="002E5034" w:rsidRPr="003E0B98" w:rsidRDefault="002E5034" w:rsidP="004361AC">
      <w:pPr>
        <w:tabs>
          <w:tab w:val="clear" w:pos="567"/>
        </w:tabs>
        <w:spacing w:line="240" w:lineRule="auto"/>
        <w:rPr>
          <w:color w:val="000000"/>
          <w:szCs w:val="22"/>
          <w:lang w:val="es-ES_tradnl"/>
        </w:rPr>
      </w:pPr>
    </w:p>
    <w:p w14:paraId="6AEC037F" w14:textId="77777777" w:rsidR="002E5034" w:rsidRPr="003E0B98" w:rsidRDefault="002E5034" w:rsidP="004361AC">
      <w:pPr>
        <w:tabs>
          <w:tab w:val="clear" w:pos="567"/>
        </w:tabs>
        <w:spacing w:line="240" w:lineRule="auto"/>
        <w:rPr>
          <w:color w:val="000000"/>
          <w:szCs w:val="22"/>
          <w:lang w:val="es-ES_tradnl"/>
        </w:rPr>
      </w:pPr>
      <w:r w:rsidRPr="003E0B98">
        <w:rPr>
          <w:color w:val="000000"/>
          <w:szCs w:val="22"/>
          <w:lang w:val="es-ES_tradnl"/>
        </w:rPr>
        <w:t xml:space="preserve">En base al análisis farmacocinético poblacional y a la desaparición sérica de </w:t>
      </w:r>
      <w:proofErr w:type="spellStart"/>
      <w:r w:rsidRPr="003E0B98">
        <w:rPr>
          <w:color w:val="000000"/>
          <w:szCs w:val="22"/>
          <w:lang w:val="es-ES_tradnl"/>
        </w:rPr>
        <w:t>ranibizumab</w:t>
      </w:r>
      <w:proofErr w:type="spellEnd"/>
      <w:r w:rsidRPr="003E0B98">
        <w:rPr>
          <w:color w:val="000000"/>
          <w:szCs w:val="22"/>
          <w:lang w:val="es-ES_tradnl"/>
        </w:rPr>
        <w:t xml:space="preserve"> en pacientes con DMAE </w:t>
      </w:r>
      <w:proofErr w:type="spellStart"/>
      <w:r w:rsidRPr="003E0B98">
        <w:rPr>
          <w:color w:val="000000"/>
          <w:szCs w:val="22"/>
          <w:lang w:val="es-ES_tradnl"/>
        </w:rPr>
        <w:t>neovascular</w:t>
      </w:r>
      <w:proofErr w:type="spellEnd"/>
      <w:r w:rsidRPr="003E0B98">
        <w:rPr>
          <w:color w:val="000000"/>
          <w:szCs w:val="22"/>
          <w:lang w:val="es-ES_tradnl"/>
        </w:rPr>
        <w:t xml:space="preserve"> tratados con la dosis de 0,5 mg, el promedio de la vida media de eliminación vítrea de </w:t>
      </w:r>
      <w:proofErr w:type="spellStart"/>
      <w:r w:rsidRPr="003E0B98">
        <w:rPr>
          <w:color w:val="000000"/>
          <w:szCs w:val="22"/>
          <w:lang w:val="es-ES_tradnl"/>
        </w:rPr>
        <w:t>ranibizumab</w:t>
      </w:r>
      <w:proofErr w:type="spellEnd"/>
      <w:r w:rsidRPr="003E0B98">
        <w:rPr>
          <w:color w:val="000000"/>
          <w:szCs w:val="22"/>
          <w:lang w:val="es-ES_tradnl"/>
        </w:rPr>
        <w:t xml:space="preserve"> es de 9 días aproximadamente. Tras la administración intravítrea mensual de </w:t>
      </w:r>
      <w:proofErr w:type="spellStart"/>
      <w:r w:rsidRPr="003E0B98">
        <w:rPr>
          <w:color w:val="000000"/>
          <w:szCs w:val="22"/>
          <w:lang w:val="es-ES_tradnl"/>
        </w:rPr>
        <w:t>Lucentis</w:t>
      </w:r>
      <w:proofErr w:type="spellEnd"/>
      <w:r w:rsidRPr="003E0B98">
        <w:rPr>
          <w:color w:val="000000"/>
          <w:szCs w:val="22"/>
          <w:lang w:val="es-ES_tradnl"/>
        </w:rPr>
        <w:t xml:space="preserve"> 0,5 mg/ojo, se prevé que la </w:t>
      </w:r>
      <w:proofErr w:type="spellStart"/>
      <w:r w:rsidRPr="003E0B98">
        <w:rPr>
          <w:color w:val="000000"/>
          <w:szCs w:val="22"/>
          <w:lang w:val="es-ES_tradnl"/>
        </w:rPr>
        <w:t>C</w:t>
      </w:r>
      <w:r w:rsidRPr="003E0B98">
        <w:rPr>
          <w:color w:val="000000"/>
          <w:szCs w:val="22"/>
          <w:vertAlign w:val="subscript"/>
          <w:lang w:val="es-ES_tradnl"/>
        </w:rPr>
        <w:t>max</w:t>
      </w:r>
      <w:proofErr w:type="spellEnd"/>
      <w:r w:rsidRPr="003E0B98">
        <w:rPr>
          <w:color w:val="000000"/>
          <w:szCs w:val="22"/>
          <w:lang w:val="es-ES_tradnl"/>
        </w:rPr>
        <w:t xml:space="preserve"> de </w:t>
      </w:r>
      <w:proofErr w:type="spellStart"/>
      <w:r w:rsidRPr="003E0B98">
        <w:rPr>
          <w:color w:val="000000"/>
          <w:szCs w:val="22"/>
          <w:lang w:val="es-ES_tradnl"/>
        </w:rPr>
        <w:t>ranibizumab</w:t>
      </w:r>
      <w:proofErr w:type="spellEnd"/>
      <w:r w:rsidRPr="003E0B98">
        <w:rPr>
          <w:color w:val="000000"/>
          <w:szCs w:val="22"/>
          <w:lang w:val="es-ES_tradnl"/>
        </w:rPr>
        <w:t xml:space="preserve"> sérica alcanzada aproximadamente 1 día después de la administración, varíe en general en un rango de entre 0,79 y 2,90 ng/ml, y que la </w:t>
      </w:r>
      <w:proofErr w:type="spellStart"/>
      <w:r w:rsidRPr="003E0B98">
        <w:rPr>
          <w:color w:val="000000"/>
          <w:szCs w:val="22"/>
          <w:lang w:val="es-ES_tradnl"/>
        </w:rPr>
        <w:t>C</w:t>
      </w:r>
      <w:r w:rsidRPr="003E0B98">
        <w:rPr>
          <w:color w:val="000000"/>
          <w:szCs w:val="22"/>
          <w:vertAlign w:val="subscript"/>
          <w:lang w:val="es-ES_tradnl"/>
        </w:rPr>
        <w:t>min</w:t>
      </w:r>
      <w:proofErr w:type="spellEnd"/>
      <w:r w:rsidRPr="003E0B98">
        <w:rPr>
          <w:color w:val="000000"/>
          <w:szCs w:val="22"/>
          <w:lang w:val="es-ES_tradnl"/>
        </w:rPr>
        <w:t xml:space="preserve"> varíe en general en un rango de entre 0,07 y 0,49 ng/ml. Se prevé que las concentraciones séricas de </w:t>
      </w:r>
      <w:proofErr w:type="spellStart"/>
      <w:r w:rsidRPr="003E0B98">
        <w:rPr>
          <w:color w:val="000000"/>
          <w:szCs w:val="22"/>
          <w:lang w:val="es-ES_tradnl"/>
        </w:rPr>
        <w:t>ranibizumab</w:t>
      </w:r>
      <w:proofErr w:type="spellEnd"/>
      <w:r w:rsidRPr="003E0B98">
        <w:rPr>
          <w:color w:val="000000"/>
          <w:szCs w:val="22"/>
          <w:lang w:val="es-ES_tradnl"/>
        </w:rPr>
        <w:t xml:space="preserve"> sean aproximadamente 90.000 veces inferiores a las concentraciones vítreas de </w:t>
      </w:r>
      <w:proofErr w:type="spellStart"/>
      <w:r w:rsidRPr="003E0B98">
        <w:rPr>
          <w:color w:val="000000"/>
          <w:szCs w:val="22"/>
          <w:lang w:val="es-ES_tradnl"/>
        </w:rPr>
        <w:t>ranibizumab</w:t>
      </w:r>
      <w:proofErr w:type="spellEnd"/>
      <w:r w:rsidRPr="003E0B98">
        <w:rPr>
          <w:color w:val="000000"/>
          <w:szCs w:val="22"/>
          <w:lang w:val="es-ES_tradnl"/>
        </w:rPr>
        <w:t>.</w:t>
      </w:r>
    </w:p>
    <w:p w14:paraId="7B4F081C" w14:textId="77777777" w:rsidR="002E5034" w:rsidRPr="003E0B98" w:rsidRDefault="002E5034" w:rsidP="004361AC">
      <w:pPr>
        <w:tabs>
          <w:tab w:val="clear" w:pos="567"/>
        </w:tabs>
        <w:spacing w:line="240" w:lineRule="auto"/>
        <w:rPr>
          <w:color w:val="000000"/>
          <w:szCs w:val="22"/>
          <w:lang w:val="es-ES_tradnl"/>
        </w:rPr>
      </w:pPr>
    </w:p>
    <w:p w14:paraId="21F70672" w14:textId="77777777" w:rsidR="002E5034" w:rsidRPr="003E0B98" w:rsidRDefault="002E5034" w:rsidP="004361AC">
      <w:pPr>
        <w:tabs>
          <w:tab w:val="clear" w:pos="567"/>
        </w:tabs>
        <w:spacing w:line="240" w:lineRule="auto"/>
        <w:rPr>
          <w:color w:val="000000"/>
          <w:szCs w:val="22"/>
          <w:lang w:val="es-ES_tradnl"/>
        </w:rPr>
      </w:pPr>
      <w:r w:rsidRPr="003E0B98">
        <w:rPr>
          <w:color w:val="000000"/>
          <w:szCs w:val="22"/>
          <w:lang w:val="es-ES_tradnl"/>
        </w:rPr>
        <w:t xml:space="preserve">Pacientes con insuficiencia renal: No se han realizado estudios formales para investigar la farmacocinética de </w:t>
      </w:r>
      <w:proofErr w:type="spellStart"/>
      <w:r w:rsidRPr="003E0B98">
        <w:rPr>
          <w:color w:val="000000"/>
          <w:szCs w:val="22"/>
          <w:lang w:val="es-ES_tradnl"/>
        </w:rPr>
        <w:t>Lucentis</w:t>
      </w:r>
      <w:proofErr w:type="spellEnd"/>
      <w:r w:rsidRPr="003E0B98">
        <w:rPr>
          <w:color w:val="000000"/>
          <w:szCs w:val="22"/>
          <w:lang w:val="es-ES_tradnl"/>
        </w:rPr>
        <w:t xml:space="preserve"> en pacientes con insuficiencia renal. En un análisis farmacocinético poblacional de pacientes con DMAE </w:t>
      </w:r>
      <w:proofErr w:type="spellStart"/>
      <w:r w:rsidRPr="003E0B98">
        <w:rPr>
          <w:color w:val="000000"/>
          <w:szCs w:val="22"/>
          <w:lang w:val="es-ES_tradnl"/>
        </w:rPr>
        <w:t>neovascular</w:t>
      </w:r>
      <w:proofErr w:type="spellEnd"/>
      <w:r w:rsidRPr="003E0B98">
        <w:rPr>
          <w:color w:val="000000"/>
          <w:szCs w:val="22"/>
          <w:lang w:val="es-ES_tradnl"/>
        </w:rPr>
        <w:t>, el 68% (136 de 200) de los pacientes tenían insuficiencia renal (leve en un 46,5% [50</w:t>
      </w:r>
      <w:r w:rsidRPr="003E0B98">
        <w:rPr>
          <w:color w:val="000000"/>
          <w:szCs w:val="22"/>
          <w:lang w:val="es-ES_tradnl"/>
        </w:rPr>
        <w:noBreakHyphen/>
        <w:t>80 ml/min], moderada en un 20% [30</w:t>
      </w:r>
      <w:r w:rsidRPr="003E0B98">
        <w:rPr>
          <w:color w:val="000000"/>
          <w:szCs w:val="22"/>
          <w:lang w:val="es-ES_tradnl"/>
        </w:rPr>
        <w:noBreakHyphen/>
        <w:t>50 ml/min] y grave en un 1,5% [&lt;30 ml/min]). En el caso de pacientes con OVR, el 48,2% (253 de 525) tenían insuficiencia renal (leve en un 36,4%, moderada en un 9,5% y grave en un 2,3%). El aclaramiento sistémico fue ligeramente inferior, pero esto no fue clínicamente significativo.</w:t>
      </w:r>
    </w:p>
    <w:p w14:paraId="1CBF0906" w14:textId="77777777" w:rsidR="002E5034" w:rsidRPr="003E0B98" w:rsidRDefault="002E5034" w:rsidP="004361AC">
      <w:pPr>
        <w:tabs>
          <w:tab w:val="clear" w:pos="567"/>
        </w:tabs>
        <w:spacing w:line="240" w:lineRule="auto"/>
        <w:rPr>
          <w:color w:val="000000"/>
          <w:szCs w:val="22"/>
          <w:lang w:val="es-ES_tradnl"/>
        </w:rPr>
      </w:pPr>
    </w:p>
    <w:p w14:paraId="67C9FB33" w14:textId="77777777" w:rsidR="002E5034" w:rsidRPr="003E0B98" w:rsidRDefault="002E5034" w:rsidP="004361AC">
      <w:pPr>
        <w:tabs>
          <w:tab w:val="clear" w:pos="567"/>
        </w:tabs>
        <w:spacing w:line="240" w:lineRule="auto"/>
        <w:rPr>
          <w:color w:val="000000"/>
          <w:szCs w:val="22"/>
          <w:lang w:val="es-ES_tradnl"/>
        </w:rPr>
      </w:pPr>
      <w:r w:rsidRPr="003E0B98">
        <w:rPr>
          <w:color w:val="000000"/>
          <w:szCs w:val="22"/>
          <w:lang w:val="es-ES_tradnl"/>
        </w:rPr>
        <w:t xml:space="preserve">Insuficiencia hepática: No se han realizado estudios formales para investigar la farmacocinética de </w:t>
      </w:r>
      <w:proofErr w:type="spellStart"/>
      <w:r w:rsidRPr="003E0B98">
        <w:rPr>
          <w:color w:val="000000"/>
          <w:szCs w:val="22"/>
          <w:lang w:val="es-ES_tradnl"/>
        </w:rPr>
        <w:t>Lucentis</w:t>
      </w:r>
      <w:proofErr w:type="spellEnd"/>
      <w:r w:rsidRPr="003E0B98">
        <w:rPr>
          <w:color w:val="000000"/>
          <w:szCs w:val="22"/>
          <w:lang w:val="es-ES_tradnl"/>
        </w:rPr>
        <w:t xml:space="preserve"> en pacientes con insuficiencia hepática.</w:t>
      </w:r>
    </w:p>
    <w:p w14:paraId="4AB6D36E" w14:textId="77777777" w:rsidR="009D5F8A" w:rsidRPr="003E0B98" w:rsidRDefault="009D5F8A" w:rsidP="004361AC">
      <w:pPr>
        <w:tabs>
          <w:tab w:val="clear" w:pos="567"/>
        </w:tabs>
        <w:spacing w:line="240" w:lineRule="auto"/>
        <w:rPr>
          <w:color w:val="000000"/>
          <w:szCs w:val="22"/>
          <w:lang w:val="es-ES_tradnl"/>
        </w:rPr>
      </w:pPr>
    </w:p>
    <w:p w14:paraId="62D9FF1F" w14:textId="77777777" w:rsidR="009D5F8A" w:rsidRPr="003E0B98" w:rsidRDefault="009D5F8A" w:rsidP="004361AC">
      <w:pPr>
        <w:keepNext/>
        <w:tabs>
          <w:tab w:val="clear" w:pos="567"/>
        </w:tabs>
        <w:spacing w:line="240" w:lineRule="auto"/>
        <w:rPr>
          <w:color w:val="000000"/>
          <w:szCs w:val="22"/>
          <w:u w:val="single"/>
          <w:lang w:val="es-ES_tradnl"/>
        </w:rPr>
      </w:pPr>
      <w:r w:rsidRPr="003E0B98">
        <w:rPr>
          <w:color w:val="000000"/>
          <w:szCs w:val="22"/>
          <w:u w:val="single"/>
          <w:lang w:val="es-ES_tradnl"/>
        </w:rPr>
        <w:t>Población pediátrica</w:t>
      </w:r>
    </w:p>
    <w:p w14:paraId="601D3222" w14:textId="77777777" w:rsidR="009D5F8A" w:rsidRPr="003E0B98" w:rsidRDefault="009D5F8A" w:rsidP="004361AC">
      <w:pPr>
        <w:keepNext/>
        <w:tabs>
          <w:tab w:val="clear" w:pos="567"/>
        </w:tabs>
        <w:spacing w:line="240" w:lineRule="auto"/>
        <w:rPr>
          <w:color w:val="000000"/>
          <w:szCs w:val="22"/>
          <w:lang w:val="es-ES_tradnl"/>
        </w:rPr>
      </w:pPr>
    </w:p>
    <w:p w14:paraId="5B193571" w14:textId="79258E8E" w:rsidR="002E5034" w:rsidRPr="003E0B98" w:rsidRDefault="009D5F8A" w:rsidP="004361AC">
      <w:pPr>
        <w:tabs>
          <w:tab w:val="clear" w:pos="567"/>
        </w:tabs>
        <w:spacing w:line="240" w:lineRule="auto"/>
        <w:rPr>
          <w:color w:val="000000"/>
          <w:szCs w:val="22"/>
          <w:lang w:val="es-ES"/>
        </w:rPr>
      </w:pPr>
      <w:r w:rsidRPr="003E0B98">
        <w:rPr>
          <w:color w:val="000000"/>
          <w:szCs w:val="22"/>
          <w:lang w:val="es-ES"/>
        </w:rPr>
        <w:t xml:space="preserve">Después de la administración intravítrea de </w:t>
      </w:r>
      <w:proofErr w:type="spellStart"/>
      <w:r w:rsidRPr="003E0B98">
        <w:rPr>
          <w:color w:val="000000"/>
          <w:szCs w:val="22"/>
          <w:lang w:val="es-ES"/>
        </w:rPr>
        <w:t>Lucentis</w:t>
      </w:r>
      <w:proofErr w:type="spellEnd"/>
      <w:r w:rsidRPr="003E0B98">
        <w:rPr>
          <w:color w:val="000000"/>
          <w:szCs w:val="22"/>
          <w:lang w:val="es-ES"/>
        </w:rPr>
        <w:t xml:space="preserve"> a </w:t>
      </w:r>
      <w:r w:rsidR="00954485" w:rsidRPr="003E0B98">
        <w:rPr>
          <w:color w:val="000000"/>
          <w:szCs w:val="22"/>
          <w:lang w:val="es-ES"/>
        </w:rPr>
        <w:t>recién nacidos</w:t>
      </w:r>
      <w:r w:rsidRPr="003E0B98">
        <w:rPr>
          <w:color w:val="000000"/>
          <w:szCs w:val="22"/>
          <w:lang w:val="es-ES"/>
        </w:rPr>
        <w:t xml:space="preserve"> </w:t>
      </w:r>
      <w:r w:rsidR="003400BD" w:rsidRPr="003E0B98">
        <w:rPr>
          <w:color w:val="000000"/>
          <w:szCs w:val="22"/>
          <w:lang w:val="es-ES"/>
        </w:rPr>
        <w:t>pretérmino</w:t>
      </w:r>
      <w:r w:rsidR="00954485" w:rsidRPr="003E0B98">
        <w:rPr>
          <w:color w:val="000000"/>
          <w:szCs w:val="22"/>
          <w:lang w:val="es-ES"/>
        </w:rPr>
        <w:t xml:space="preserve"> con </w:t>
      </w:r>
      <w:r w:rsidR="00153893" w:rsidRPr="003E0B98">
        <w:rPr>
          <w:color w:val="000000"/>
          <w:szCs w:val="22"/>
          <w:lang w:val="es-ES"/>
        </w:rPr>
        <w:t>R</w:t>
      </w:r>
      <w:r w:rsidR="00440BE3" w:rsidRPr="003E0B98">
        <w:rPr>
          <w:color w:val="000000"/>
          <w:szCs w:val="22"/>
          <w:lang w:val="es-ES"/>
        </w:rPr>
        <w:t>O</w:t>
      </w:r>
      <w:r w:rsidR="00153893" w:rsidRPr="003E0B98">
        <w:rPr>
          <w:color w:val="000000"/>
          <w:szCs w:val="22"/>
          <w:lang w:val="es-ES"/>
        </w:rPr>
        <w:t>P</w:t>
      </w:r>
      <w:r w:rsidR="00954485" w:rsidRPr="003E0B98">
        <w:rPr>
          <w:color w:val="000000"/>
          <w:szCs w:val="22"/>
          <w:lang w:val="es-ES"/>
        </w:rPr>
        <w:t xml:space="preserve"> a una dosis de 0,2 </w:t>
      </w:r>
      <w:r w:rsidRPr="003E0B98">
        <w:rPr>
          <w:color w:val="000000"/>
          <w:szCs w:val="22"/>
          <w:lang w:val="es-ES"/>
        </w:rPr>
        <w:t xml:space="preserve">mg (por ojo), las concentraciones séricas de </w:t>
      </w:r>
      <w:proofErr w:type="spellStart"/>
      <w:r w:rsidRPr="003E0B98">
        <w:rPr>
          <w:color w:val="000000"/>
          <w:szCs w:val="22"/>
          <w:lang w:val="es-ES"/>
        </w:rPr>
        <w:t>ranibizumab</w:t>
      </w:r>
      <w:proofErr w:type="spellEnd"/>
      <w:r w:rsidRPr="003E0B98">
        <w:rPr>
          <w:color w:val="000000"/>
          <w:szCs w:val="22"/>
          <w:lang w:val="es-ES"/>
        </w:rPr>
        <w:t xml:space="preserve"> fueron mayores que las observadas en pacientes adultos con DMAE</w:t>
      </w:r>
      <w:r w:rsidR="00954485" w:rsidRPr="003E0B98">
        <w:rPr>
          <w:color w:val="000000"/>
          <w:szCs w:val="22"/>
          <w:lang w:val="es-ES"/>
        </w:rPr>
        <w:t xml:space="preserve"> </w:t>
      </w:r>
      <w:proofErr w:type="spellStart"/>
      <w:r w:rsidR="00954485" w:rsidRPr="003E0B98">
        <w:rPr>
          <w:color w:val="000000"/>
          <w:szCs w:val="22"/>
          <w:lang w:val="es-ES"/>
        </w:rPr>
        <w:t>neovascular</w:t>
      </w:r>
      <w:proofErr w:type="spellEnd"/>
      <w:r w:rsidR="00954485" w:rsidRPr="003E0B98">
        <w:rPr>
          <w:color w:val="000000"/>
          <w:szCs w:val="22"/>
          <w:lang w:val="es-ES"/>
        </w:rPr>
        <w:t xml:space="preserve"> que recibieron 0,5 </w:t>
      </w:r>
      <w:r w:rsidRPr="003E0B98">
        <w:rPr>
          <w:color w:val="000000"/>
          <w:szCs w:val="22"/>
          <w:lang w:val="es-ES"/>
        </w:rPr>
        <w:t xml:space="preserve">mg en un ojo. Sobre la base de un análisis farmacocinético de la población, las diferencias en </w:t>
      </w:r>
      <w:proofErr w:type="spellStart"/>
      <w:r w:rsidRPr="003E0B98">
        <w:rPr>
          <w:color w:val="000000"/>
          <w:szCs w:val="22"/>
          <w:lang w:val="es-ES"/>
        </w:rPr>
        <w:t>C</w:t>
      </w:r>
      <w:r w:rsidRPr="003E0B98">
        <w:rPr>
          <w:color w:val="000000"/>
          <w:szCs w:val="22"/>
          <w:vertAlign w:val="subscript"/>
          <w:lang w:val="es-ES"/>
        </w:rPr>
        <w:t>max</w:t>
      </w:r>
      <w:proofErr w:type="spellEnd"/>
      <w:r w:rsidRPr="003E0B98">
        <w:rPr>
          <w:color w:val="000000"/>
          <w:szCs w:val="22"/>
          <w:lang w:val="es-ES"/>
        </w:rPr>
        <w:t xml:space="preserve"> y </w:t>
      </w:r>
      <w:proofErr w:type="spellStart"/>
      <w:r w:rsidRPr="003E0B98">
        <w:rPr>
          <w:color w:val="000000"/>
          <w:szCs w:val="22"/>
          <w:lang w:val="es-ES"/>
        </w:rPr>
        <w:t>AUC</w:t>
      </w:r>
      <w:r w:rsidRPr="003E0B98">
        <w:rPr>
          <w:color w:val="000000"/>
          <w:szCs w:val="22"/>
          <w:vertAlign w:val="subscript"/>
          <w:lang w:val="es-ES"/>
        </w:rPr>
        <w:t>inf</w:t>
      </w:r>
      <w:proofErr w:type="spellEnd"/>
      <w:r w:rsidRPr="003E0B98">
        <w:rPr>
          <w:color w:val="000000"/>
          <w:szCs w:val="22"/>
          <w:lang w:val="es-ES"/>
        </w:rPr>
        <w:t xml:space="preserve"> fueron aproximadamente 16</w:t>
      </w:r>
      <w:r w:rsidR="00DC4EFE" w:rsidRPr="003E0B98">
        <w:rPr>
          <w:color w:val="000000"/>
          <w:szCs w:val="22"/>
          <w:lang w:val="es-ES"/>
        </w:rPr>
        <w:t> </w:t>
      </w:r>
      <w:r w:rsidRPr="003E0B98">
        <w:rPr>
          <w:color w:val="000000"/>
          <w:szCs w:val="22"/>
          <w:lang w:val="es-ES"/>
        </w:rPr>
        <w:t>veces y 12</w:t>
      </w:r>
      <w:r w:rsidR="00DC4EFE" w:rsidRPr="003E0B98">
        <w:rPr>
          <w:color w:val="000000"/>
          <w:szCs w:val="22"/>
          <w:lang w:val="es-ES"/>
        </w:rPr>
        <w:t> </w:t>
      </w:r>
      <w:r w:rsidRPr="003E0B98">
        <w:rPr>
          <w:color w:val="000000"/>
          <w:szCs w:val="22"/>
          <w:lang w:val="es-ES"/>
        </w:rPr>
        <w:t>veces más altas, respectivamente. La semivida sistémica ap</w:t>
      </w:r>
      <w:r w:rsidR="00954485" w:rsidRPr="003E0B98">
        <w:rPr>
          <w:color w:val="000000"/>
          <w:szCs w:val="22"/>
          <w:lang w:val="es-ES"/>
        </w:rPr>
        <w:t xml:space="preserve">arente fue de aproximadamente 6 días. Un análisis de </w:t>
      </w:r>
      <w:r w:rsidR="00D121E2" w:rsidRPr="003E0B98">
        <w:rPr>
          <w:color w:val="000000"/>
          <w:szCs w:val="22"/>
          <w:lang w:val="es-ES"/>
        </w:rPr>
        <w:t>farmacocinética</w:t>
      </w:r>
      <w:r w:rsidRPr="003E0B98">
        <w:rPr>
          <w:color w:val="000000"/>
          <w:szCs w:val="22"/>
          <w:lang w:val="es-ES"/>
        </w:rPr>
        <w:t>/</w:t>
      </w:r>
      <w:proofErr w:type="spellStart"/>
      <w:r w:rsidR="00D121E2" w:rsidRPr="003E0B98">
        <w:rPr>
          <w:color w:val="000000"/>
          <w:szCs w:val="22"/>
          <w:lang w:val="es-ES"/>
        </w:rPr>
        <w:t>fármacodinamia</w:t>
      </w:r>
      <w:proofErr w:type="spellEnd"/>
      <w:r w:rsidRPr="003E0B98">
        <w:rPr>
          <w:color w:val="000000"/>
          <w:szCs w:val="22"/>
          <w:lang w:val="es-ES"/>
        </w:rPr>
        <w:t xml:space="preserve"> no mostró una relación clara entre las concentraciones sistémicas de </w:t>
      </w:r>
      <w:proofErr w:type="spellStart"/>
      <w:r w:rsidRPr="003E0B98">
        <w:rPr>
          <w:color w:val="000000"/>
          <w:szCs w:val="22"/>
          <w:lang w:val="es-ES"/>
        </w:rPr>
        <w:t>ranibizumab</w:t>
      </w:r>
      <w:proofErr w:type="spellEnd"/>
      <w:r w:rsidRPr="003E0B98">
        <w:rPr>
          <w:color w:val="000000"/>
          <w:szCs w:val="22"/>
          <w:lang w:val="es-ES"/>
        </w:rPr>
        <w:t xml:space="preserve"> y las concentraciones sistémicas de VEGF.</w:t>
      </w:r>
    </w:p>
    <w:p w14:paraId="712409E3" w14:textId="77777777" w:rsidR="009D5F8A" w:rsidRPr="003E0B98" w:rsidRDefault="009D5F8A" w:rsidP="004361AC">
      <w:pPr>
        <w:tabs>
          <w:tab w:val="clear" w:pos="567"/>
        </w:tabs>
        <w:spacing w:line="240" w:lineRule="auto"/>
        <w:rPr>
          <w:color w:val="000000"/>
          <w:szCs w:val="22"/>
          <w:lang w:val="es-ES"/>
        </w:rPr>
      </w:pPr>
    </w:p>
    <w:p w14:paraId="0E9C4181" w14:textId="77777777" w:rsidR="002E5034" w:rsidRPr="003E0B98" w:rsidRDefault="002E5034" w:rsidP="004361AC">
      <w:pPr>
        <w:keepNext/>
        <w:tabs>
          <w:tab w:val="clear" w:pos="567"/>
        </w:tabs>
        <w:spacing w:line="240" w:lineRule="auto"/>
        <w:rPr>
          <w:color w:val="000000"/>
          <w:szCs w:val="22"/>
          <w:lang w:val="es-ES_tradnl"/>
        </w:rPr>
      </w:pPr>
      <w:r w:rsidRPr="003E0B98">
        <w:rPr>
          <w:b/>
          <w:color w:val="000000"/>
          <w:szCs w:val="22"/>
          <w:lang w:val="es-ES_tradnl"/>
        </w:rPr>
        <w:t>5.3</w:t>
      </w:r>
      <w:r w:rsidRPr="003E0B98">
        <w:rPr>
          <w:b/>
          <w:color w:val="000000"/>
          <w:szCs w:val="22"/>
          <w:lang w:val="es-ES_tradnl"/>
        </w:rPr>
        <w:tab/>
      </w:r>
      <w:r w:rsidRPr="003E0B98">
        <w:rPr>
          <w:b/>
          <w:noProof/>
          <w:color w:val="000000"/>
          <w:lang w:val="es-ES_tradnl"/>
        </w:rPr>
        <w:t>Datos preclínicos sobre seguridad</w:t>
      </w:r>
    </w:p>
    <w:p w14:paraId="1B89A50B" w14:textId="77777777" w:rsidR="002E5034" w:rsidRPr="003E0B98" w:rsidRDefault="002E5034" w:rsidP="004361AC">
      <w:pPr>
        <w:keepNext/>
        <w:tabs>
          <w:tab w:val="clear" w:pos="567"/>
        </w:tabs>
        <w:spacing w:line="240" w:lineRule="auto"/>
        <w:rPr>
          <w:color w:val="000000"/>
          <w:szCs w:val="22"/>
          <w:lang w:val="es-ES_tradnl"/>
        </w:rPr>
      </w:pPr>
    </w:p>
    <w:p w14:paraId="0A8D4CCC" w14:textId="77777777" w:rsidR="002E5034" w:rsidRPr="003E0B98" w:rsidRDefault="002E5034" w:rsidP="004361AC">
      <w:pPr>
        <w:tabs>
          <w:tab w:val="clear" w:pos="567"/>
        </w:tabs>
        <w:spacing w:line="240" w:lineRule="auto"/>
        <w:rPr>
          <w:color w:val="000000"/>
          <w:szCs w:val="22"/>
          <w:lang w:val="es-ES_tradnl"/>
        </w:rPr>
      </w:pPr>
      <w:r w:rsidRPr="003E0B98">
        <w:rPr>
          <w:color w:val="000000"/>
          <w:szCs w:val="22"/>
          <w:lang w:val="es-ES"/>
        </w:rPr>
        <w:t xml:space="preserve">La administración intravítrea bilateral de </w:t>
      </w:r>
      <w:proofErr w:type="spellStart"/>
      <w:r w:rsidRPr="003E0B98">
        <w:rPr>
          <w:color w:val="000000"/>
          <w:szCs w:val="22"/>
          <w:lang w:val="es-ES"/>
        </w:rPr>
        <w:t>ranibizumab</w:t>
      </w:r>
      <w:proofErr w:type="spellEnd"/>
      <w:r w:rsidRPr="003E0B98">
        <w:rPr>
          <w:color w:val="000000"/>
          <w:szCs w:val="22"/>
          <w:lang w:val="es-ES"/>
        </w:rPr>
        <w:t xml:space="preserve"> a macacos, a dosis de entre 0,25 mg/ojo y 2,0 mg/ojo una vez cada 2 semanas durante 26 semanas, ocasionó efectos oculares dosis-dependientes.</w:t>
      </w:r>
    </w:p>
    <w:p w14:paraId="69C7F19E" w14:textId="77777777" w:rsidR="002E5034" w:rsidRPr="003E0B98" w:rsidRDefault="002E5034" w:rsidP="004361AC">
      <w:pPr>
        <w:tabs>
          <w:tab w:val="clear" w:pos="567"/>
        </w:tabs>
        <w:spacing w:line="240" w:lineRule="auto"/>
        <w:rPr>
          <w:color w:val="000000"/>
          <w:szCs w:val="22"/>
          <w:lang w:val="es-ES_tradnl"/>
        </w:rPr>
      </w:pPr>
    </w:p>
    <w:p w14:paraId="368D2D7D" w14:textId="77777777" w:rsidR="002E5034" w:rsidRPr="003E0B98" w:rsidRDefault="002E5034" w:rsidP="004361AC">
      <w:pPr>
        <w:tabs>
          <w:tab w:val="clear" w:pos="567"/>
        </w:tabs>
        <w:spacing w:line="240" w:lineRule="auto"/>
        <w:rPr>
          <w:color w:val="000000"/>
          <w:szCs w:val="22"/>
          <w:lang w:val="es-ES_tradnl"/>
        </w:rPr>
      </w:pPr>
      <w:r w:rsidRPr="003E0B98">
        <w:rPr>
          <w:color w:val="000000"/>
          <w:szCs w:val="22"/>
          <w:lang w:val="es-ES_tradnl"/>
        </w:rPr>
        <w:t>Intraocularmente, se observaron incrementos dosis-dependientes de exudados y de células en la cámara anterior, con un máximo a los 2 días después de la inyección. Por lo general, la gravedad de la respuesta inflamatoria disminuyó con las inyecciones posteriores o durante el periodo de recuperación. En el segmento posterior, hubo infiltración de células en la cámara vítrea y partículas flotantes, que tendieron también a ser dosis-dependientes y que, en general, persistieron hasta el final del periodo de tratamiento. En el ensayo a 26 semanas, la gravedad de la inflamación vítrea aumentó con el número de inyecciones. Sin embargo, se observó evidencia de reversibilidad tras el periodo de recuperación.</w:t>
      </w:r>
      <w:r w:rsidRPr="003E0B98">
        <w:rPr>
          <w:color w:val="000000"/>
          <w:lang w:val="es-ES"/>
        </w:rPr>
        <w:t xml:space="preserve"> La naturaleza y cronología de la inflamación en el segmento posterior sugiere una respuesta inmunitaria mediada por anticuerpos, que puede ser clínicamente irrelevante. En algunos animales se observó la formación de cataratas tras un periodo relativamente largo de inflamación intensa, lo cual sugiere que las alteraciones en el cristalino fueron secundarias a la inflamación grave. Tras las inyecciones intravítreas se observó un aumentó transitorio de la presión intraocular independiente de la dosis.</w:t>
      </w:r>
    </w:p>
    <w:p w14:paraId="6116EE3F" w14:textId="77777777" w:rsidR="002E5034" w:rsidRPr="003E0B98" w:rsidRDefault="002E5034" w:rsidP="004361AC">
      <w:pPr>
        <w:tabs>
          <w:tab w:val="clear" w:pos="567"/>
        </w:tabs>
        <w:spacing w:line="240" w:lineRule="auto"/>
        <w:rPr>
          <w:color w:val="000000"/>
          <w:szCs w:val="22"/>
          <w:lang w:val="es-ES_tradnl"/>
        </w:rPr>
      </w:pPr>
    </w:p>
    <w:p w14:paraId="47BEDEEC" w14:textId="77777777" w:rsidR="002E5034" w:rsidRPr="003E0B98" w:rsidRDefault="002E5034" w:rsidP="004361AC">
      <w:pPr>
        <w:tabs>
          <w:tab w:val="clear" w:pos="567"/>
        </w:tabs>
        <w:spacing w:line="240" w:lineRule="auto"/>
        <w:rPr>
          <w:color w:val="000000"/>
          <w:szCs w:val="22"/>
          <w:lang w:val="es-ES_tradnl"/>
        </w:rPr>
      </w:pPr>
      <w:r w:rsidRPr="003E0B98">
        <w:rPr>
          <w:color w:val="000000"/>
          <w:szCs w:val="22"/>
          <w:lang w:val="es-ES_tradnl"/>
        </w:rPr>
        <w:t>Los cambios oculares microscópicos fueron relacionados con la inflamación y no eran indicativos de procesos degenerativos. Se observaron cambios inflamatorios granulomatosos en el disco óptico de algunos ojos. Estas alteraciones en el segmento posterior disminuyeron, y en algunos casos se resolvieron, durante el periodo de recuperación.</w:t>
      </w:r>
    </w:p>
    <w:p w14:paraId="007ADD21" w14:textId="77777777" w:rsidR="002E5034" w:rsidRPr="003E0B98" w:rsidRDefault="002E5034" w:rsidP="004361AC">
      <w:pPr>
        <w:tabs>
          <w:tab w:val="clear" w:pos="567"/>
        </w:tabs>
        <w:spacing w:line="240" w:lineRule="auto"/>
        <w:rPr>
          <w:color w:val="000000"/>
          <w:szCs w:val="22"/>
          <w:lang w:val="es-ES_tradnl"/>
        </w:rPr>
      </w:pPr>
    </w:p>
    <w:p w14:paraId="0481E2DB" w14:textId="77777777" w:rsidR="002E5034" w:rsidRPr="003E0B98" w:rsidRDefault="002E5034" w:rsidP="004361AC">
      <w:pPr>
        <w:tabs>
          <w:tab w:val="clear" w:pos="567"/>
        </w:tabs>
        <w:spacing w:line="240" w:lineRule="auto"/>
        <w:rPr>
          <w:color w:val="000000"/>
          <w:szCs w:val="22"/>
          <w:lang w:val="es-ES_tradnl"/>
        </w:rPr>
      </w:pPr>
      <w:r w:rsidRPr="003E0B98">
        <w:rPr>
          <w:color w:val="000000"/>
          <w:szCs w:val="22"/>
          <w:lang w:val="es-ES_tradnl"/>
        </w:rPr>
        <w:t xml:space="preserve">Tras la administración intravítrea, no se detectaron signos de toxicidad sistémica. En un subgrupo de animales tratados se detectaron anticuerpos séricos y vítreos contra </w:t>
      </w:r>
      <w:proofErr w:type="spellStart"/>
      <w:r w:rsidRPr="003E0B98">
        <w:rPr>
          <w:color w:val="000000"/>
          <w:szCs w:val="22"/>
          <w:lang w:val="es-ES_tradnl"/>
        </w:rPr>
        <w:t>ranibizumab</w:t>
      </w:r>
      <w:proofErr w:type="spellEnd"/>
      <w:r w:rsidRPr="003E0B98">
        <w:rPr>
          <w:color w:val="000000"/>
          <w:szCs w:val="22"/>
          <w:lang w:val="es-ES_tradnl"/>
        </w:rPr>
        <w:t>.</w:t>
      </w:r>
    </w:p>
    <w:p w14:paraId="05E890F4" w14:textId="77777777" w:rsidR="002E5034" w:rsidRPr="003E0B98" w:rsidRDefault="002E5034" w:rsidP="004361AC">
      <w:pPr>
        <w:tabs>
          <w:tab w:val="clear" w:pos="567"/>
        </w:tabs>
        <w:spacing w:line="240" w:lineRule="auto"/>
        <w:rPr>
          <w:color w:val="000000"/>
          <w:szCs w:val="22"/>
          <w:lang w:val="es-ES_tradnl"/>
        </w:rPr>
      </w:pPr>
    </w:p>
    <w:p w14:paraId="460D91C0" w14:textId="77777777" w:rsidR="002E5034" w:rsidRPr="003E0B98" w:rsidRDefault="002E5034" w:rsidP="004361AC">
      <w:pPr>
        <w:tabs>
          <w:tab w:val="clear" w:pos="567"/>
        </w:tabs>
        <w:spacing w:line="240" w:lineRule="auto"/>
        <w:rPr>
          <w:color w:val="000000"/>
          <w:szCs w:val="22"/>
          <w:lang w:val="es-ES_tradnl"/>
        </w:rPr>
      </w:pPr>
      <w:r w:rsidRPr="003E0B98">
        <w:rPr>
          <w:color w:val="000000"/>
          <w:szCs w:val="22"/>
          <w:lang w:val="es-ES_tradnl"/>
        </w:rPr>
        <w:t>No se dispone de datos de carcinogenicidad ni de mutagenicidad.</w:t>
      </w:r>
    </w:p>
    <w:p w14:paraId="119D5AA8" w14:textId="77777777" w:rsidR="002E5034" w:rsidRPr="003E0B98" w:rsidRDefault="002E5034" w:rsidP="004361AC">
      <w:pPr>
        <w:tabs>
          <w:tab w:val="clear" w:pos="567"/>
        </w:tabs>
        <w:spacing w:line="240" w:lineRule="auto"/>
        <w:rPr>
          <w:color w:val="000000"/>
          <w:szCs w:val="22"/>
          <w:lang w:val="es-ES_tradnl"/>
        </w:rPr>
      </w:pPr>
    </w:p>
    <w:p w14:paraId="5CAB9042" w14:textId="77777777" w:rsidR="002E5034" w:rsidRPr="003E0B98" w:rsidRDefault="002E5034" w:rsidP="004361AC">
      <w:pPr>
        <w:tabs>
          <w:tab w:val="clear" w:pos="567"/>
        </w:tabs>
        <w:spacing w:line="240" w:lineRule="auto"/>
        <w:rPr>
          <w:color w:val="000000"/>
          <w:szCs w:val="22"/>
          <w:lang w:val="es-ES_tradnl"/>
        </w:rPr>
      </w:pPr>
      <w:r w:rsidRPr="003E0B98">
        <w:rPr>
          <w:color w:val="000000"/>
          <w:szCs w:val="22"/>
          <w:lang w:val="es-ES_tradnl"/>
        </w:rPr>
        <w:t xml:space="preserve">En hembras de mono preñadas, el tratamiento con </w:t>
      </w:r>
      <w:proofErr w:type="spellStart"/>
      <w:r w:rsidRPr="003E0B98">
        <w:rPr>
          <w:color w:val="000000"/>
          <w:szCs w:val="22"/>
          <w:lang w:val="es-ES_tradnl"/>
        </w:rPr>
        <w:t>ranibizumab</w:t>
      </w:r>
      <w:proofErr w:type="spellEnd"/>
      <w:r w:rsidRPr="003E0B98">
        <w:rPr>
          <w:color w:val="000000"/>
          <w:szCs w:val="22"/>
          <w:lang w:val="es-ES_tradnl"/>
        </w:rPr>
        <w:t xml:space="preserve"> intravítreo resultando en exposiciones sistémicas máximas 0,9</w:t>
      </w:r>
      <w:r w:rsidRPr="003E0B98">
        <w:rPr>
          <w:color w:val="000000"/>
          <w:szCs w:val="22"/>
          <w:lang w:val="es-ES_tradnl"/>
        </w:rPr>
        <w:noBreakHyphen/>
        <w:t xml:space="preserve">7 veces la peor exposición clínica, no provocó toxicidad en el desarrollo ni </w:t>
      </w:r>
      <w:proofErr w:type="spellStart"/>
      <w:r w:rsidRPr="003E0B98">
        <w:rPr>
          <w:color w:val="000000"/>
          <w:szCs w:val="22"/>
          <w:lang w:val="es-ES_tradnl"/>
        </w:rPr>
        <w:t>teratogenicidad</w:t>
      </w:r>
      <w:proofErr w:type="spellEnd"/>
      <w:r w:rsidRPr="003E0B98">
        <w:rPr>
          <w:color w:val="000000"/>
          <w:szCs w:val="22"/>
          <w:lang w:val="es-ES_tradnl"/>
        </w:rPr>
        <w:t xml:space="preserve"> y no tuvo ningún efecto sobre el peso o la estructura de la placenta, aunque en base a su efecto farmacológico, </w:t>
      </w:r>
      <w:proofErr w:type="spellStart"/>
      <w:r w:rsidRPr="003E0B98">
        <w:rPr>
          <w:color w:val="000000"/>
          <w:szCs w:val="22"/>
          <w:lang w:val="es-ES_tradnl"/>
        </w:rPr>
        <w:t>ranibizumab</w:t>
      </w:r>
      <w:proofErr w:type="spellEnd"/>
      <w:r w:rsidRPr="003E0B98">
        <w:rPr>
          <w:color w:val="000000"/>
          <w:szCs w:val="22"/>
          <w:lang w:val="es-ES_tradnl"/>
        </w:rPr>
        <w:t xml:space="preserve"> debe considerarse potencialmente teratogénico y </w:t>
      </w:r>
      <w:proofErr w:type="spellStart"/>
      <w:r w:rsidRPr="003E0B98">
        <w:rPr>
          <w:color w:val="000000"/>
          <w:szCs w:val="22"/>
          <w:lang w:val="es-ES_tradnl"/>
        </w:rPr>
        <w:t>embrio</w:t>
      </w:r>
      <w:proofErr w:type="spellEnd"/>
      <w:r w:rsidRPr="003E0B98">
        <w:rPr>
          <w:color w:val="000000"/>
          <w:szCs w:val="22"/>
          <w:lang w:val="es-ES_tradnl"/>
        </w:rPr>
        <w:t>/</w:t>
      </w:r>
      <w:proofErr w:type="spellStart"/>
      <w:r w:rsidRPr="003E0B98">
        <w:rPr>
          <w:color w:val="000000"/>
          <w:szCs w:val="22"/>
          <w:lang w:val="es-ES_tradnl"/>
        </w:rPr>
        <w:t>fetotóxico</w:t>
      </w:r>
      <w:proofErr w:type="spellEnd"/>
      <w:r w:rsidRPr="003E0B98">
        <w:rPr>
          <w:color w:val="000000"/>
          <w:szCs w:val="22"/>
          <w:lang w:val="es-ES_tradnl"/>
        </w:rPr>
        <w:t>.</w:t>
      </w:r>
    </w:p>
    <w:p w14:paraId="3CCA1AC7" w14:textId="77777777" w:rsidR="002E5034" w:rsidRPr="003E0B98" w:rsidRDefault="002E5034" w:rsidP="004361AC">
      <w:pPr>
        <w:tabs>
          <w:tab w:val="clear" w:pos="567"/>
        </w:tabs>
        <w:spacing w:line="240" w:lineRule="auto"/>
        <w:rPr>
          <w:color w:val="000000"/>
          <w:szCs w:val="22"/>
          <w:lang w:val="es-ES_tradnl"/>
        </w:rPr>
      </w:pPr>
    </w:p>
    <w:p w14:paraId="3072263A" w14:textId="77777777" w:rsidR="002E5034" w:rsidRPr="003E0B98" w:rsidRDefault="002E5034" w:rsidP="004361AC">
      <w:pPr>
        <w:tabs>
          <w:tab w:val="clear" w:pos="567"/>
        </w:tabs>
        <w:spacing w:line="240" w:lineRule="auto"/>
        <w:rPr>
          <w:color w:val="000000"/>
          <w:szCs w:val="22"/>
          <w:lang w:val="es-ES_tradnl"/>
        </w:rPr>
      </w:pPr>
      <w:r w:rsidRPr="003E0B98">
        <w:rPr>
          <w:color w:val="000000"/>
          <w:szCs w:val="22"/>
          <w:lang w:val="es-ES_tradnl"/>
        </w:rPr>
        <w:t xml:space="preserve">La ausencia de efectos mediados por </w:t>
      </w:r>
      <w:proofErr w:type="spellStart"/>
      <w:r w:rsidRPr="003E0B98">
        <w:rPr>
          <w:color w:val="000000"/>
          <w:szCs w:val="22"/>
          <w:lang w:val="es-ES_tradnl"/>
        </w:rPr>
        <w:t>ranibizumab</w:t>
      </w:r>
      <w:proofErr w:type="spellEnd"/>
      <w:r w:rsidRPr="003E0B98">
        <w:rPr>
          <w:color w:val="000000"/>
          <w:szCs w:val="22"/>
          <w:lang w:val="es-ES_tradnl"/>
        </w:rPr>
        <w:t xml:space="preserve"> sobre el desarrollo </w:t>
      </w:r>
      <w:proofErr w:type="spellStart"/>
      <w:r w:rsidRPr="003E0B98">
        <w:rPr>
          <w:color w:val="000000"/>
          <w:szCs w:val="22"/>
          <w:lang w:val="es-ES_tradnl"/>
        </w:rPr>
        <w:t>embrio</w:t>
      </w:r>
      <w:proofErr w:type="spellEnd"/>
      <w:r w:rsidRPr="003E0B98">
        <w:rPr>
          <w:color w:val="000000"/>
          <w:szCs w:val="22"/>
          <w:lang w:val="es-ES_tradnl"/>
        </w:rPr>
        <w:t xml:space="preserve">-fetal está plausiblemente relacionado principalmente con la incapacidad del fragmento Fab de atravesar la placenta. Sin embargo, se describió un caso de niveles séricos de </w:t>
      </w:r>
      <w:proofErr w:type="spellStart"/>
      <w:r w:rsidRPr="003E0B98">
        <w:rPr>
          <w:color w:val="000000"/>
          <w:szCs w:val="22"/>
          <w:lang w:val="es-ES_tradnl"/>
        </w:rPr>
        <w:t>ranibizumab</w:t>
      </w:r>
      <w:proofErr w:type="spellEnd"/>
      <w:r w:rsidRPr="003E0B98">
        <w:rPr>
          <w:color w:val="000000"/>
          <w:szCs w:val="22"/>
          <w:lang w:val="es-ES_tradnl"/>
        </w:rPr>
        <w:t xml:space="preserve"> maternos elevados y presencia de </w:t>
      </w:r>
      <w:proofErr w:type="spellStart"/>
      <w:r w:rsidRPr="003E0B98">
        <w:rPr>
          <w:color w:val="000000"/>
          <w:szCs w:val="22"/>
          <w:lang w:val="es-ES_tradnl"/>
        </w:rPr>
        <w:t>ranibizumab</w:t>
      </w:r>
      <w:proofErr w:type="spellEnd"/>
      <w:r w:rsidRPr="003E0B98">
        <w:rPr>
          <w:color w:val="000000"/>
          <w:szCs w:val="22"/>
          <w:lang w:val="es-ES_tradnl"/>
        </w:rPr>
        <w:t xml:space="preserve"> en el suero fetal lo que sugiere que el anticuerpo contra </w:t>
      </w:r>
      <w:proofErr w:type="spellStart"/>
      <w:r w:rsidRPr="003E0B98">
        <w:rPr>
          <w:color w:val="000000"/>
          <w:szCs w:val="22"/>
          <w:lang w:val="es-ES_tradnl"/>
        </w:rPr>
        <w:t>ranibizumab</w:t>
      </w:r>
      <w:proofErr w:type="spellEnd"/>
      <w:r w:rsidRPr="003E0B98">
        <w:rPr>
          <w:color w:val="000000"/>
          <w:szCs w:val="22"/>
          <w:lang w:val="es-ES_tradnl"/>
        </w:rPr>
        <w:t xml:space="preserve"> actuó como proteína transportadora (conteniendo la región </w:t>
      </w:r>
      <w:proofErr w:type="spellStart"/>
      <w:r w:rsidRPr="003E0B98">
        <w:rPr>
          <w:color w:val="000000"/>
          <w:szCs w:val="22"/>
          <w:lang w:val="es-ES_tradnl"/>
        </w:rPr>
        <w:t>Fc</w:t>
      </w:r>
      <w:proofErr w:type="spellEnd"/>
      <w:r w:rsidRPr="003E0B98">
        <w:rPr>
          <w:color w:val="000000"/>
          <w:szCs w:val="22"/>
          <w:lang w:val="es-ES_tradnl"/>
        </w:rPr>
        <w:t xml:space="preserve">) para </w:t>
      </w:r>
      <w:proofErr w:type="spellStart"/>
      <w:r w:rsidRPr="003E0B98">
        <w:rPr>
          <w:color w:val="000000"/>
          <w:szCs w:val="22"/>
          <w:lang w:val="es-ES_tradnl"/>
        </w:rPr>
        <w:t>ranibizumab</w:t>
      </w:r>
      <w:proofErr w:type="spellEnd"/>
      <w:r w:rsidRPr="003E0B98">
        <w:rPr>
          <w:color w:val="000000"/>
          <w:szCs w:val="22"/>
          <w:lang w:val="es-ES_tradnl"/>
        </w:rPr>
        <w:t xml:space="preserve">, disminuyendo de ese modo su aclaramiento sérico materno y permitiendo su paso a la placenta. Dado que las investigaciones en el desarrollo </w:t>
      </w:r>
      <w:proofErr w:type="spellStart"/>
      <w:r w:rsidRPr="003E0B98">
        <w:rPr>
          <w:color w:val="000000"/>
          <w:szCs w:val="22"/>
          <w:lang w:val="es-ES_tradnl"/>
        </w:rPr>
        <w:t>embrio</w:t>
      </w:r>
      <w:proofErr w:type="spellEnd"/>
      <w:r w:rsidRPr="003E0B98">
        <w:rPr>
          <w:color w:val="000000"/>
          <w:szCs w:val="22"/>
          <w:lang w:val="es-ES_tradnl"/>
        </w:rPr>
        <w:t>-fetal se llevaron a cabo en animales preñados sanos y las enfermedades (tales como la diabetes) pueden modificar la permeabilidad de la placenta para el fragmento Fab, el estudio debe interpretarse con cautela.</w:t>
      </w:r>
    </w:p>
    <w:p w14:paraId="2631420F" w14:textId="77777777" w:rsidR="002E5034" w:rsidRPr="003E0B98" w:rsidRDefault="002E5034" w:rsidP="004361AC">
      <w:pPr>
        <w:tabs>
          <w:tab w:val="clear" w:pos="567"/>
        </w:tabs>
        <w:spacing w:line="240" w:lineRule="auto"/>
        <w:rPr>
          <w:color w:val="000000"/>
          <w:szCs w:val="22"/>
          <w:lang w:val="es-ES_tradnl"/>
        </w:rPr>
      </w:pPr>
    </w:p>
    <w:p w14:paraId="4ABFFBC3" w14:textId="77777777" w:rsidR="002E5034" w:rsidRPr="003E0B98" w:rsidRDefault="002E5034" w:rsidP="004361AC">
      <w:pPr>
        <w:tabs>
          <w:tab w:val="clear" w:pos="567"/>
        </w:tabs>
        <w:spacing w:line="240" w:lineRule="auto"/>
        <w:rPr>
          <w:color w:val="000000"/>
          <w:szCs w:val="22"/>
          <w:lang w:val="es-ES_tradnl"/>
        </w:rPr>
      </w:pPr>
    </w:p>
    <w:p w14:paraId="422A382A" w14:textId="77777777" w:rsidR="002E5034" w:rsidRPr="003E0B98" w:rsidRDefault="002E5034" w:rsidP="004361AC">
      <w:pPr>
        <w:keepNext/>
        <w:tabs>
          <w:tab w:val="clear" w:pos="567"/>
        </w:tabs>
        <w:spacing w:line="240" w:lineRule="auto"/>
        <w:ind w:left="567" w:hanging="567"/>
        <w:rPr>
          <w:b/>
          <w:color w:val="000000"/>
          <w:szCs w:val="22"/>
          <w:lang w:val="es-ES_tradnl"/>
        </w:rPr>
      </w:pPr>
      <w:r w:rsidRPr="003E0B98">
        <w:rPr>
          <w:b/>
          <w:color w:val="000000"/>
          <w:szCs w:val="22"/>
          <w:lang w:val="es-ES_tradnl"/>
        </w:rPr>
        <w:t>6.</w:t>
      </w:r>
      <w:r w:rsidRPr="003E0B98">
        <w:rPr>
          <w:b/>
          <w:color w:val="000000"/>
          <w:szCs w:val="22"/>
          <w:lang w:val="es-ES_tradnl"/>
        </w:rPr>
        <w:tab/>
      </w:r>
      <w:r w:rsidRPr="003E0B98">
        <w:rPr>
          <w:b/>
          <w:color w:val="000000"/>
          <w:szCs w:val="22"/>
          <w:lang w:val="es-ES"/>
        </w:rPr>
        <w:t>DATOS FARMACÉUTICOS</w:t>
      </w:r>
    </w:p>
    <w:p w14:paraId="68B9724E" w14:textId="77777777" w:rsidR="002E5034" w:rsidRPr="003E0B98" w:rsidRDefault="002E5034" w:rsidP="004361AC">
      <w:pPr>
        <w:keepNext/>
        <w:tabs>
          <w:tab w:val="clear" w:pos="567"/>
        </w:tabs>
        <w:rPr>
          <w:color w:val="000000"/>
          <w:szCs w:val="22"/>
          <w:lang w:val="es-ES_tradnl"/>
        </w:rPr>
      </w:pPr>
    </w:p>
    <w:p w14:paraId="2D630C61" w14:textId="77777777" w:rsidR="002E5034" w:rsidRPr="003E0B98" w:rsidRDefault="002E5034" w:rsidP="004361AC">
      <w:pPr>
        <w:keepNext/>
        <w:tabs>
          <w:tab w:val="clear" w:pos="567"/>
        </w:tabs>
        <w:spacing w:line="240" w:lineRule="auto"/>
        <w:ind w:left="567" w:hanging="567"/>
        <w:rPr>
          <w:color w:val="000000"/>
          <w:szCs w:val="22"/>
          <w:lang w:val="es-ES_tradnl"/>
        </w:rPr>
      </w:pPr>
      <w:r w:rsidRPr="003E0B98">
        <w:rPr>
          <w:b/>
          <w:color w:val="000000"/>
          <w:szCs w:val="22"/>
          <w:lang w:val="es-ES_tradnl"/>
        </w:rPr>
        <w:t>6.1</w:t>
      </w:r>
      <w:r w:rsidRPr="003E0B98">
        <w:rPr>
          <w:b/>
          <w:color w:val="000000"/>
          <w:szCs w:val="22"/>
          <w:lang w:val="es-ES_tradnl"/>
        </w:rPr>
        <w:tab/>
      </w:r>
      <w:r w:rsidRPr="003E0B98">
        <w:rPr>
          <w:b/>
          <w:color w:val="000000"/>
          <w:szCs w:val="22"/>
          <w:lang w:val="es-ES"/>
        </w:rPr>
        <w:t>Lista de excipientes</w:t>
      </w:r>
    </w:p>
    <w:p w14:paraId="4BDEAA3F" w14:textId="77777777" w:rsidR="002E5034" w:rsidRPr="003E0B98" w:rsidRDefault="002E5034" w:rsidP="004361AC">
      <w:pPr>
        <w:keepNext/>
        <w:tabs>
          <w:tab w:val="clear" w:pos="567"/>
        </w:tabs>
        <w:spacing w:line="240" w:lineRule="auto"/>
        <w:rPr>
          <w:iCs/>
          <w:color w:val="000000"/>
          <w:szCs w:val="22"/>
          <w:lang w:val="es-ES_tradnl"/>
        </w:rPr>
      </w:pPr>
    </w:p>
    <w:p w14:paraId="383617E4" w14:textId="77777777" w:rsidR="002E5034" w:rsidRPr="003E0B98" w:rsidRDefault="002E5034" w:rsidP="004361AC">
      <w:pPr>
        <w:tabs>
          <w:tab w:val="clear" w:pos="567"/>
        </w:tabs>
        <w:spacing w:line="240" w:lineRule="auto"/>
        <w:rPr>
          <w:iCs/>
          <w:color w:val="000000"/>
          <w:szCs w:val="22"/>
          <w:lang w:val="es-ES_tradnl"/>
        </w:rPr>
      </w:pPr>
      <w:proofErr w:type="gramStart"/>
      <w:r w:rsidRPr="003E0B98">
        <w:rPr>
          <w:iCs/>
          <w:color w:val="000000"/>
          <w:szCs w:val="22"/>
        </w:rPr>
        <w:t>α</w:t>
      </w:r>
      <w:r w:rsidRPr="003E0B98">
        <w:rPr>
          <w:iCs/>
          <w:color w:val="000000"/>
          <w:szCs w:val="22"/>
          <w:lang w:val="es-ES_tradnl"/>
        </w:rPr>
        <w:t>,</w:t>
      </w:r>
      <w:r w:rsidRPr="003E0B98">
        <w:rPr>
          <w:iCs/>
          <w:color w:val="000000"/>
          <w:szCs w:val="22"/>
        </w:rPr>
        <w:t>α</w:t>
      </w:r>
      <w:proofErr w:type="gramEnd"/>
      <w:r w:rsidRPr="003E0B98">
        <w:rPr>
          <w:iCs/>
          <w:color w:val="000000"/>
          <w:szCs w:val="22"/>
          <w:lang w:val="es-ES_tradnl"/>
        </w:rPr>
        <w:t>-</w:t>
      </w:r>
      <w:proofErr w:type="spellStart"/>
      <w:r w:rsidRPr="003E0B98">
        <w:rPr>
          <w:iCs/>
          <w:color w:val="000000"/>
          <w:szCs w:val="22"/>
          <w:lang w:val="es-ES_tradnl"/>
        </w:rPr>
        <w:t>trehalosa</w:t>
      </w:r>
      <w:proofErr w:type="spellEnd"/>
      <w:r w:rsidRPr="003E0B98">
        <w:rPr>
          <w:iCs/>
          <w:color w:val="000000"/>
          <w:szCs w:val="22"/>
          <w:lang w:val="es-ES_tradnl"/>
        </w:rPr>
        <w:t xml:space="preserve"> </w:t>
      </w:r>
      <w:proofErr w:type="spellStart"/>
      <w:r w:rsidRPr="003E0B98">
        <w:rPr>
          <w:iCs/>
          <w:color w:val="000000"/>
          <w:szCs w:val="22"/>
          <w:lang w:val="es-ES_tradnl"/>
        </w:rPr>
        <w:t>dihidrato</w:t>
      </w:r>
      <w:proofErr w:type="spellEnd"/>
    </w:p>
    <w:p w14:paraId="0E3F59FA" w14:textId="77777777" w:rsidR="002E5034" w:rsidRPr="003E0B98" w:rsidRDefault="002E5034" w:rsidP="004361AC">
      <w:pPr>
        <w:tabs>
          <w:tab w:val="clear" w:pos="567"/>
        </w:tabs>
        <w:spacing w:line="240" w:lineRule="auto"/>
        <w:rPr>
          <w:iCs/>
          <w:color w:val="000000"/>
          <w:szCs w:val="22"/>
          <w:lang w:val="es-ES_tradnl"/>
        </w:rPr>
      </w:pPr>
      <w:r w:rsidRPr="003E0B98">
        <w:rPr>
          <w:iCs/>
          <w:color w:val="000000"/>
          <w:szCs w:val="22"/>
          <w:lang w:val="es-ES_tradnl"/>
        </w:rPr>
        <w:t xml:space="preserve">Hidrocloruro de histidina </w:t>
      </w:r>
      <w:proofErr w:type="spellStart"/>
      <w:r w:rsidRPr="003E0B98">
        <w:rPr>
          <w:iCs/>
          <w:color w:val="000000"/>
          <w:szCs w:val="22"/>
          <w:lang w:val="es-ES_tradnl"/>
        </w:rPr>
        <w:t>monohidrato</w:t>
      </w:r>
      <w:proofErr w:type="spellEnd"/>
    </w:p>
    <w:p w14:paraId="2F6B7E9F" w14:textId="77777777" w:rsidR="002E5034" w:rsidRPr="003E0B98" w:rsidRDefault="002E5034" w:rsidP="004361AC">
      <w:pPr>
        <w:tabs>
          <w:tab w:val="clear" w:pos="567"/>
        </w:tabs>
        <w:spacing w:line="240" w:lineRule="auto"/>
        <w:rPr>
          <w:iCs/>
          <w:color w:val="000000"/>
          <w:szCs w:val="22"/>
          <w:lang w:val="es-ES_tradnl"/>
        </w:rPr>
      </w:pPr>
      <w:r w:rsidRPr="003E0B98">
        <w:rPr>
          <w:iCs/>
          <w:color w:val="000000"/>
          <w:szCs w:val="22"/>
          <w:lang w:val="es-ES_tradnl"/>
        </w:rPr>
        <w:t>Histidina</w:t>
      </w:r>
    </w:p>
    <w:p w14:paraId="49E57972" w14:textId="77777777" w:rsidR="002E5034" w:rsidRPr="003E0B98" w:rsidRDefault="002E5034" w:rsidP="004361AC">
      <w:pPr>
        <w:tabs>
          <w:tab w:val="clear" w:pos="567"/>
        </w:tabs>
        <w:spacing w:line="240" w:lineRule="auto"/>
        <w:rPr>
          <w:iCs/>
          <w:color w:val="000000"/>
          <w:szCs w:val="22"/>
          <w:lang w:val="es-ES_tradnl"/>
        </w:rPr>
      </w:pPr>
      <w:r w:rsidRPr="003E0B98">
        <w:rPr>
          <w:iCs/>
          <w:color w:val="000000"/>
          <w:szCs w:val="22"/>
          <w:lang w:val="es-ES_tradnl"/>
        </w:rPr>
        <w:t>Polisorbato 20</w:t>
      </w:r>
    </w:p>
    <w:p w14:paraId="0370E289" w14:textId="77777777" w:rsidR="002E5034" w:rsidRPr="003E0B98" w:rsidRDefault="002E5034" w:rsidP="004361AC">
      <w:pPr>
        <w:tabs>
          <w:tab w:val="clear" w:pos="567"/>
        </w:tabs>
        <w:spacing w:line="240" w:lineRule="auto"/>
        <w:rPr>
          <w:iCs/>
          <w:color w:val="000000"/>
          <w:szCs w:val="22"/>
          <w:lang w:val="es-ES_tradnl"/>
        </w:rPr>
      </w:pPr>
      <w:r w:rsidRPr="003E0B98">
        <w:rPr>
          <w:iCs/>
          <w:color w:val="000000"/>
          <w:szCs w:val="22"/>
          <w:lang w:val="es-ES_tradnl"/>
        </w:rPr>
        <w:t>Agua para inyectables</w:t>
      </w:r>
    </w:p>
    <w:p w14:paraId="1CAF4643" w14:textId="77777777" w:rsidR="002E5034" w:rsidRPr="003E0B98" w:rsidRDefault="002E5034" w:rsidP="004361AC">
      <w:pPr>
        <w:tabs>
          <w:tab w:val="clear" w:pos="567"/>
        </w:tabs>
        <w:spacing w:line="240" w:lineRule="auto"/>
        <w:rPr>
          <w:iCs/>
          <w:color w:val="000000"/>
          <w:szCs w:val="22"/>
          <w:lang w:val="es-ES_tradnl"/>
        </w:rPr>
      </w:pPr>
    </w:p>
    <w:p w14:paraId="0B273D6D" w14:textId="77777777" w:rsidR="002E5034" w:rsidRPr="003E0B98" w:rsidRDefault="002E5034" w:rsidP="004361AC">
      <w:pPr>
        <w:keepNext/>
        <w:tabs>
          <w:tab w:val="clear" w:pos="567"/>
        </w:tabs>
        <w:spacing w:line="240" w:lineRule="auto"/>
        <w:ind w:left="567" w:hanging="567"/>
        <w:rPr>
          <w:color w:val="000000"/>
          <w:szCs w:val="22"/>
          <w:lang w:val="es-ES_tradnl"/>
        </w:rPr>
      </w:pPr>
      <w:r w:rsidRPr="003E0B98">
        <w:rPr>
          <w:b/>
          <w:color w:val="000000"/>
          <w:szCs w:val="22"/>
          <w:lang w:val="es-ES_tradnl"/>
        </w:rPr>
        <w:t>6.2</w:t>
      </w:r>
      <w:r w:rsidRPr="003E0B98">
        <w:rPr>
          <w:b/>
          <w:color w:val="000000"/>
          <w:szCs w:val="22"/>
          <w:lang w:val="es-ES_tradnl"/>
        </w:rPr>
        <w:tab/>
      </w:r>
      <w:r w:rsidRPr="003E0B98">
        <w:rPr>
          <w:b/>
          <w:color w:val="000000"/>
          <w:szCs w:val="22"/>
          <w:lang w:val="es-ES"/>
        </w:rPr>
        <w:t>Incompatibilidades</w:t>
      </w:r>
    </w:p>
    <w:p w14:paraId="7B6C4434" w14:textId="77777777" w:rsidR="002E5034" w:rsidRPr="003E0B98" w:rsidRDefault="002E5034" w:rsidP="004361AC">
      <w:pPr>
        <w:keepNext/>
        <w:tabs>
          <w:tab w:val="clear" w:pos="567"/>
        </w:tabs>
        <w:spacing w:line="240" w:lineRule="auto"/>
        <w:rPr>
          <w:color w:val="000000"/>
          <w:szCs w:val="22"/>
          <w:lang w:val="es-ES_tradnl"/>
        </w:rPr>
      </w:pPr>
    </w:p>
    <w:p w14:paraId="03817548" w14:textId="77777777" w:rsidR="002E5034" w:rsidRPr="003E0B98" w:rsidRDefault="002E5034" w:rsidP="004361AC">
      <w:pPr>
        <w:tabs>
          <w:tab w:val="clear" w:pos="567"/>
        </w:tabs>
        <w:spacing w:line="240" w:lineRule="auto"/>
        <w:rPr>
          <w:color w:val="000000"/>
          <w:szCs w:val="22"/>
          <w:lang w:val="es-ES_tradnl"/>
        </w:rPr>
      </w:pPr>
      <w:r w:rsidRPr="003E0B98">
        <w:rPr>
          <w:noProof/>
          <w:color w:val="000000"/>
          <w:lang w:val="es-ES_tradnl"/>
        </w:rPr>
        <w:t>En ausencia de estudios de compatibilidad, este medicamento no debe mezclarse con otros.</w:t>
      </w:r>
    </w:p>
    <w:p w14:paraId="187CFE56" w14:textId="77777777" w:rsidR="002E5034" w:rsidRPr="003E0B98" w:rsidRDefault="002E5034" w:rsidP="004361AC">
      <w:pPr>
        <w:tabs>
          <w:tab w:val="clear" w:pos="567"/>
        </w:tabs>
        <w:spacing w:line="240" w:lineRule="auto"/>
        <w:rPr>
          <w:color w:val="000000"/>
          <w:szCs w:val="22"/>
          <w:lang w:val="es-ES_tradnl"/>
        </w:rPr>
      </w:pPr>
    </w:p>
    <w:p w14:paraId="0E35DF0B" w14:textId="77777777" w:rsidR="002E5034" w:rsidRPr="003E0B98" w:rsidRDefault="002E5034" w:rsidP="004361AC">
      <w:pPr>
        <w:keepNext/>
        <w:tabs>
          <w:tab w:val="clear" w:pos="567"/>
        </w:tabs>
        <w:spacing w:line="240" w:lineRule="auto"/>
        <w:ind w:left="567" w:hanging="567"/>
        <w:rPr>
          <w:color w:val="000000"/>
          <w:szCs w:val="22"/>
          <w:lang w:val="es-ES_tradnl"/>
        </w:rPr>
      </w:pPr>
      <w:r w:rsidRPr="003E0B98">
        <w:rPr>
          <w:b/>
          <w:color w:val="000000"/>
          <w:szCs w:val="22"/>
          <w:lang w:val="es-ES_tradnl"/>
        </w:rPr>
        <w:t>6.3</w:t>
      </w:r>
      <w:r w:rsidRPr="003E0B98">
        <w:rPr>
          <w:b/>
          <w:color w:val="000000"/>
          <w:szCs w:val="22"/>
          <w:lang w:val="es-ES_tradnl"/>
        </w:rPr>
        <w:tab/>
      </w:r>
      <w:r w:rsidRPr="003E0B98">
        <w:rPr>
          <w:b/>
          <w:noProof/>
          <w:color w:val="000000"/>
          <w:lang w:val="es-ES_tradnl"/>
        </w:rPr>
        <w:t>Periodo de validez</w:t>
      </w:r>
    </w:p>
    <w:p w14:paraId="43BA6C82" w14:textId="77777777" w:rsidR="002E5034" w:rsidRPr="003E0B98" w:rsidRDefault="002E5034" w:rsidP="004361AC">
      <w:pPr>
        <w:keepNext/>
        <w:tabs>
          <w:tab w:val="clear" w:pos="567"/>
        </w:tabs>
        <w:spacing w:line="240" w:lineRule="auto"/>
        <w:rPr>
          <w:color w:val="000000"/>
          <w:szCs w:val="22"/>
          <w:lang w:val="es-ES_tradnl"/>
        </w:rPr>
      </w:pPr>
    </w:p>
    <w:p w14:paraId="61E183F4" w14:textId="77777777" w:rsidR="002E5034" w:rsidRPr="003E0B98" w:rsidRDefault="002E5034" w:rsidP="004361AC">
      <w:pPr>
        <w:pStyle w:val="Text"/>
        <w:spacing w:before="0"/>
        <w:jc w:val="left"/>
        <w:rPr>
          <w:color w:val="000000"/>
          <w:sz w:val="22"/>
          <w:szCs w:val="22"/>
          <w:lang w:val="es-ES_tradnl"/>
        </w:rPr>
      </w:pPr>
      <w:r w:rsidRPr="003E0B98">
        <w:rPr>
          <w:noProof/>
          <w:sz w:val="22"/>
          <w:szCs w:val="22"/>
          <w:lang w:val="es-ES_tradnl"/>
        </w:rPr>
        <w:t>3 años</w:t>
      </w:r>
    </w:p>
    <w:p w14:paraId="2390017B" w14:textId="77777777" w:rsidR="002E5034" w:rsidRPr="003E0B98" w:rsidRDefault="002E5034" w:rsidP="004361AC">
      <w:pPr>
        <w:tabs>
          <w:tab w:val="clear" w:pos="567"/>
        </w:tabs>
        <w:spacing w:line="240" w:lineRule="auto"/>
        <w:rPr>
          <w:color w:val="000000"/>
          <w:szCs w:val="22"/>
          <w:lang w:val="es-ES_tradnl"/>
        </w:rPr>
      </w:pPr>
    </w:p>
    <w:p w14:paraId="66959D5A" w14:textId="77777777" w:rsidR="002E5034" w:rsidRPr="003E0B98" w:rsidRDefault="002E5034" w:rsidP="004361AC">
      <w:pPr>
        <w:keepNext/>
        <w:tabs>
          <w:tab w:val="clear" w:pos="567"/>
        </w:tabs>
        <w:spacing w:line="240" w:lineRule="auto"/>
        <w:ind w:left="567" w:hanging="567"/>
        <w:rPr>
          <w:color w:val="000000"/>
          <w:szCs w:val="22"/>
          <w:lang w:val="es-ES_tradnl"/>
        </w:rPr>
      </w:pPr>
      <w:r w:rsidRPr="003E0B98">
        <w:rPr>
          <w:b/>
          <w:color w:val="000000"/>
          <w:szCs w:val="22"/>
          <w:lang w:val="es-ES_tradnl"/>
        </w:rPr>
        <w:t>6.4</w:t>
      </w:r>
      <w:r w:rsidRPr="003E0B98">
        <w:rPr>
          <w:b/>
          <w:color w:val="000000"/>
          <w:szCs w:val="22"/>
          <w:lang w:val="es-ES_tradnl"/>
        </w:rPr>
        <w:tab/>
      </w:r>
      <w:r w:rsidRPr="003E0B98">
        <w:rPr>
          <w:b/>
          <w:noProof/>
          <w:color w:val="000000"/>
          <w:lang w:val="es-ES_tradnl"/>
        </w:rPr>
        <w:t>Precauciones especiales de conservación</w:t>
      </w:r>
    </w:p>
    <w:p w14:paraId="14C28573" w14:textId="77777777" w:rsidR="002E5034" w:rsidRPr="003E0B98" w:rsidRDefault="002E5034" w:rsidP="004361AC">
      <w:pPr>
        <w:keepNext/>
        <w:tabs>
          <w:tab w:val="clear" w:pos="567"/>
        </w:tabs>
        <w:spacing w:line="240" w:lineRule="auto"/>
        <w:rPr>
          <w:color w:val="000000"/>
          <w:szCs w:val="22"/>
          <w:lang w:val="es-ES_tradnl"/>
        </w:rPr>
      </w:pPr>
    </w:p>
    <w:p w14:paraId="05865B02" w14:textId="77777777" w:rsidR="002E5034" w:rsidRPr="003E0B98" w:rsidRDefault="002E5034" w:rsidP="004361AC">
      <w:pPr>
        <w:tabs>
          <w:tab w:val="clear" w:pos="567"/>
        </w:tabs>
        <w:spacing w:line="240" w:lineRule="auto"/>
        <w:rPr>
          <w:rFonts w:eastAsia="Batang"/>
          <w:color w:val="000000"/>
          <w:szCs w:val="22"/>
          <w:lang w:val="es-ES_tradnl"/>
        </w:rPr>
      </w:pPr>
      <w:r w:rsidRPr="003E0B98">
        <w:rPr>
          <w:color w:val="000000"/>
          <w:szCs w:val="22"/>
          <w:lang w:val="es-ES_tradnl"/>
        </w:rPr>
        <w:t>Conservar en nevera (entre 2</w:t>
      </w:r>
      <w:r w:rsidRPr="003E0B98">
        <w:rPr>
          <w:color w:val="000000"/>
          <w:szCs w:val="22"/>
        </w:rPr>
        <w:sym w:font="Symbol" w:char="F0B0"/>
      </w:r>
      <w:r w:rsidRPr="003E0B98">
        <w:rPr>
          <w:color w:val="000000"/>
          <w:szCs w:val="22"/>
          <w:lang w:val="es-ES_tradnl"/>
        </w:rPr>
        <w:t>C y 8</w:t>
      </w:r>
      <w:r w:rsidRPr="003E0B98">
        <w:rPr>
          <w:color w:val="000000"/>
          <w:szCs w:val="22"/>
        </w:rPr>
        <w:sym w:font="Symbol" w:char="F0B0"/>
      </w:r>
      <w:r w:rsidRPr="003E0B98">
        <w:rPr>
          <w:color w:val="000000"/>
          <w:szCs w:val="22"/>
          <w:lang w:val="es-ES_tradnl"/>
        </w:rPr>
        <w:t>C).</w:t>
      </w:r>
    </w:p>
    <w:p w14:paraId="0E5E011F" w14:textId="77777777" w:rsidR="002E5034" w:rsidRPr="003E0B98" w:rsidRDefault="002E5034" w:rsidP="004361AC">
      <w:pPr>
        <w:tabs>
          <w:tab w:val="clear" w:pos="567"/>
        </w:tabs>
        <w:spacing w:line="240" w:lineRule="auto"/>
        <w:rPr>
          <w:color w:val="000000"/>
          <w:szCs w:val="22"/>
          <w:lang w:val="es-ES_tradnl"/>
        </w:rPr>
      </w:pPr>
      <w:r w:rsidRPr="003E0B98">
        <w:rPr>
          <w:color w:val="000000"/>
          <w:szCs w:val="22"/>
          <w:lang w:val="es-ES_tradnl"/>
        </w:rPr>
        <w:t>No congelar.</w:t>
      </w:r>
    </w:p>
    <w:p w14:paraId="475DA7E0" w14:textId="77777777" w:rsidR="002E5034" w:rsidRPr="003E0B98" w:rsidRDefault="002E5034" w:rsidP="004361AC">
      <w:pPr>
        <w:tabs>
          <w:tab w:val="clear" w:pos="567"/>
        </w:tabs>
        <w:spacing w:line="240" w:lineRule="auto"/>
        <w:rPr>
          <w:color w:val="000000"/>
          <w:szCs w:val="22"/>
          <w:lang w:val="es-ES_tradnl"/>
        </w:rPr>
      </w:pPr>
      <w:r w:rsidRPr="003E0B98">
        <w:rPr>
          <w:color w:val="000000"/>
          <w:szCs w:val="22"/>
          <w:lang w:val="es-ES_tradnl"/>
        </w:rPr>
        <w:t>Conservar el vial en el embalaje exterior para protegerlo de la luz.</w:t>
      </w:r>
    </w:p>
    <w:p w14:paraId="6EFE1D41" w14:textId="77777777" w:rsidR="0072541F" w:rsidRPr="003E0B98" w:rsidRDefault="0072541F" w:rsidP="004361AC">
      <w:pPr>
        <w:tabs>
          <w:tab w:val="clear" w:pos="567"/>
        </w:tabs>
        <w:spacing w:line="240" w:lineRule="auto"/>
        <w:rPr>
          <w:color w:val="000000"/>
          <w:szCs w:val="22"/>
          <w:lang w:val="es-ES_tradnl"/>
        </w:rPr>
      </w:pPr>
      <w:r w:rsidRPr="003E0B98">
        <w:rPr>
          <w:color w:val="000000"/>
          <w:szCs w:val="22"/>
          <w:lang w:val="es-ES_tradnl"/>
        </w:rPr>
        <w:t xml:space="preserve">Antes de usar, el vial sin abrir </w:t>
      </w:r>
      <w:r w:rsidR="007C4AA6" w:rsidRPr="003E0B98">
        <w:rPr>
          <w:color w:val="000000"/>
          <w:szCs w:val="22"/>
          <w:lang w:val="es-ES_tradnl"/>
        </w:rPr>
        <w:t xml:space="preserve">se </w:t>
      </w:r>
      <w:r w:rsidRPr="003E0B98">
        <w:rPr>
          <w:color w:val="000000"/>
          <w:szCs w:val="22"/>
          <w:lang w:val="es-ES_tradnl"/>
        </w:rPr>
        <w:t>puede conservar a temperatura ambiente (</w:t>
      </w:r>
      <w:r w:rsidRPr="003E0B98">
        <w:rPr>
          <w:color w:val="000000"/>
          <w:szCs w:val="22"/>
          <w:lang w:val="es-ES"/>
        </w:rPr>
        <w:t>25°C) durante un máximo de 24 horas.</w:t>
      </w:r>
    </w:p>
    <w:p w14:paraId="25B5417F" w14:textId="77777777" w:rsidR="002E5034" w:rsidRPr="003E0B98" w:rsidRDefault="002E5034" w:rsidP="004361AC">
      <w:pPr>
        <w:tabs>
          <w:tab w:val="clear" w:pos="567"/>
        </w:tabs>
        <w:spacing w:line="240" w:lineRule="auto"/>
        <w:rPr>
          <w:color w:val="000000"/>
          <w:szCs w:val="22"/>
          <w:lang w:val="es-ES_tradnl"/>
        </w:rPr>
      </w:pPr>
    </w:p>
    <w:p w14:paraId="359E7AC8" w14:textId="77777777" w:rsidR="002E5034" w:rsidRPr="003E0B98" w:rsidRDefault="002E5034" w:rsidP="004361AC">
      <w:pPr>
        <w:keepNext/>
        <w:tabs>
          <w:tab w:val="clear" w:pos="567"/>
        </w:tabs>
        <w:spacing w:line="240" w:lineRule="auto"/>
        <w:ind w:left="567" w:hanging="567"/>
        <w:rPr>
          <w:b/>
          <w:color w:val="000000"/>
          <w:szCs w:val="22"/>
          <w:lang w:val="es-ES_tradnl"/>
        </w:rPr>
      </w:pPr>
      <w:r w:rsidRPr="003E0B98">
        <w:rPr>
          <w:b/>
          <w:color w:val="000000"/>
          <w:szCs w:val="22"/>
          <w:lang w:val="es-ES"/>
        </w:rPr>
        <w:t>6.5</w:t>
      </w:r>
      <w:r w:rsidRPr="003E0B98">
        <w:rPr>
          <w:b/>
          <w:color w:val="000000"/>
          <w:szCs w:val="22"/>
          <w:lang w:val="es-ES"/>
        </w:rPr>
        <w:tab/>
        <w:t xml:space="preserve">Naturaleza y contenido del </w:t>
      </w:r>
      <w:r w:rsidRPr="003E0B98">
        <w:rPr>
          <w:b/>
          <w:color w:val="000000"/>
          <w:szCs w:val="22"/>
          <w:lang w:val="es-ES_tradnl"/>
        </w:rPr>
        <w:t>envase</w:t>
      </w:r>
    </w:p>
    <w:p w14:paraId="1BD915BD" w14:textId="77777777" w:rsidR="002E5034" w:rsidRPr="003E0B98" w:rsidRDefault="002E5034" w:rsidP="004361AC">
      <w:pPr>
        <w:keepNext/>
        <w:tabs>
          <w:tab w:val="clear" w:pos="567"/>
        </w:tabs>
        <w:spacing w:line="240" w:lineRule="auto"/>
        <w:rPr>
          <w:iCs/>
          <w:color w:val="000000"/>
          <w:szCs w:val="22"/>
          <w:lang w:val="es-ES_tradnl"/>
        </w:rPr>
      </w:pPr>
    </w:p>
    <w:p w14:paraId="72D08602" w14:textId="77777777" w:rsidR="00F75405" w:rsidRPr="003E0B98" w:rsidRDefault="00F75405" w:rsidP="004361AC">
      <w:pPr>
        <w:keepNext/>
        <w:tabs>
          <w:tab w:val="clear" w:pos="567"/>
        </w:tabs>
        <w:spacing w:line="240" w:lineRule="auto"/>
        <w:rPr>
          <w:color w:val="000000"/>
          <w:szCs w:val="22"/>
          <w:u w:val="single"/>
          <w:lang w:val="es-ES_tradnl"/>
        </w:rPr>
      </w:pPr>
      <w:r w:rsidRPr="003E0B98">
        <w:rPr>
          <w:color w:val="000000"/>
          <w:szCs w:val="22"/>
          <w:u w:val="single"/>
          <w:lang w:val="es-ES_tradnl"/>
        </w:rPr>
        <w:t>Envase solo con vial</w:t>
      </w:r>
    </w:p>
    <w:p w14:paraId="44B1EA38" w14:textId="77777777" w:rsidR="00F75405" w:rsidRPr="003E0B98" w:rsidRDefault="00F75405" w:rsidP="004361AC">
      <w:pPr>
        <w:keepNext/>
        <w:tabs>
          <w:tab w:val="clear" w:pos="567"/>
        </w:tabs>
        <w:spacing w:line="240" w:lineRule="auto"/>
        <w:rPr>
          <w:color w:val="000000"/>
          <w:szCs w:val="22"/>
          <w:lang w:val="es-ES_tradnl"/>
        </w:rPr>
      </w:pPr>
    </w:p>
    <w:p w14:paraId="78734AF8" w14:textId="77777777" w:rsidR="00F75405" w:rsidRPr="003E0B98" w:rsidRDefault="00F75405" w:rsidP="004361AC">
      <w:pPr>
        <w:tabs>
          <w:tab w:val="clear" w:pos="567"/>
        </w:tabs>
        <w:spacing w:line="240" w:lineRule="auto"/>
        <w:rPr>
          <w:color w:val="000000"/>
          <w:szCs w:val="22"/>
          <w:lang w:val="es-ES_tradnl"/>
        </w:rPr>
      </w:pPr>
      <w:r w:rsidRPr="003E0B98">
        <w:rPr>
          <w:color w:val="000000"/>
          <w:szCs w:val="22"/>
          <w:lang w:val="es-ES_tradnl"/>
        </w:rPr>
        <w:t xml:space="preserve">Un vial (vidrio tipo I) con un tapón (goma de </w:t>
      </w:r>
      <w:proofErr w:type="spellStart"/>
      <w:r w:rsidRPr="003E0B98">
        <w:rPr>
          <w:color w:val="000000"/>
          <w:szCs w:val="22"/>
          <w:lang w:val="es-ES_tradnl"/>
        </w:rPr>
        <w:t>clorobutilo</w:t>
      </w:r>
      <w:proofErr w:type="spellEnd"/>
      <w:r w:rsidRPr="003E0B98">
        <w:rPr>
          <w:color w:val="000000"/>
          <w:szCs w:val="22"/>
          <w:lang w:val="es-ES_tradnl"/>
        </w:rPr>
        <w:t>) que contiene 0,23 ml de solución estéril.</w:t>
      </w:r>
    </w:p>
    <w:p w14:paraId="7A100A1F" w14:textId="77777777" w:rsidR="00F75405" w:rsidRPr="003E0B98" w:rsidRDefault="00F75405" w:rsidP="004361AC">
      <w:pPr>
        <w:tabs>
          <w:tab w:val="clear" w:pos="567"/>
        </w:tabs>
        <w:spacing w:line="240" w:lineRule="auto"/>
        <w:rPr>
          <w:color w:val="000000"/>
          <w:szCs w:val="22"/>
          <w:lang w:val="es-ES_tradnl"/>
        </w:rPr>
      </w:pPr>
    </w:p>
    <w:p w14:paraId="5461352E" w14:textId="77777777" w:rsidR="00F75405" w:rsidRPr="003E0B98" w:rsidRDefault="00F75405" w:rsidP="004361AC">
      <w:pPr>
        <w:keepNext/>
        <w:tabs>
          <w:tab w:val="clear" w:pos="567"/>
        </w:tabs>
        <w:spacing w:line="240" w:lineRule="auto"/>
        <w:rPr>
          <w:color w:val="000000"/>
          <w:szCs w:val="22"/>
          <w:u w:val="single"/>
          <w:lang w:val="es-ES_tradnl"/>
        </w:rPr>
      </w:pPr>
      <w:r w:rsidRPr="003E0B98">
        <w:rPr>
          <w:color w:val="000000"/>
          <w:szCs w:val="22"/>
          <w:u w:val="single"/>
          <w:lang w:val="es-ES_tradnl"/>
        </w:rPr>
        <w:t>Envase de vial + aguja con filtro</w:t>
      </w:r>
    </w:p>
    <w:p w14:paraId="30421189" w14:textId="77777777" w:rsidR="00F75405" w:rsidRPr="003E0B98" w:rsidRDefault="00F75405" w:rsidP="004361AC">
      <w:pPr>
        <w:keepNext/>
        <w:tabs>
          <w:tab w:val="clear" w:pos="567"/>
        </w:tabs>
        <w:spacing w:line="240" w:lineRule="auto"/>
        <w:rPr>
          <w:color w:val="000000"/>
          <w:szCs w:val="22"/>
          <w:lang w:val="es-ES_tradnl"/>
        </w:rPr>
      </w:pPr>
    </w:p>
    <w:p w14:paraId="71A776DB" w14:textId="77777777" w:rsidR="00F75405" w:rsidRPr="003E0B98" w:rsidRDefault="00F75405" w:rsidP="004361AC">
      <w:pPr>
        <w:tabs>
          <w:tab w:val="clear" w:pos="567"/>
        </w:tabs>
        <w:spacing w:line="240" w:lineRule="auto"/>
        <w:rPr>
          <w:color w:val="000000"/>
          <w:szCs w:val="22"/>
          <w:lang w:val="es-ES_tradnl"/>
        </w:rPr>
      </w:pPr>
      <w:r w:rsidRPr="003E0B98">
        <w:rPr>
          <w:color w:val="000000"/>
          <w:szCs w:val="22"/>
          <w:lang w:val="es-ES_tradnl"/>
        </w:rPr>
        <w:t xml:space="preserve">Un vial (vidrio tipo I) con un tapón (goma de </w:t>
      </w:r>
      <w:proofErr w:type="spellStart"/>
      <w:r w:rsidRPr="003E0B98">
        <w:rPr>
          <w:color w:val="000000"/>
          <w:szCs w:val="22"/>
          <w:lang w:val="es-ES_tradnl"/>
        </w:rPr>
        <w:t>clorobutilo</w:t>
      </w:r>
      <w:proofErr w:type="spellEnd"/>
      <w:r w:rsidRPr="003E0B98">
        <w:rPr>
          <w:color w:val="000000"/>
          <w:szCs w:val="22"/>
          <w:lang w:val="es-ES_tradnl"/>
        </w:rPr>
        <w:t xml:space="preserve">) que contiene 0,23 ml de solución estéril y 1 aguja roma con filtro </w:t>
      </w:r>
      <w:r w:rsidRPr="003E0B98">
        <w:rPr>
          <w:color w:val="000000"/>
          <w:lang w:val="es-ES_tradnl"/>
        </w:rPr>
        <w:t>(18G x 1½″, 1,2 mm x 40 mm, 5 µm)</w:t>
      </w:r>
      <w:r w:rsidRPr="003E0B98">
        <w:rPr>
          <w:color w:val="000000"/>
          <w:szCs w:val="22"/>
          <w:lang w:val="es-ES_tradnl"/>
        </w:rPr>
        <w:t>.</w:t>
      </w:r>
    </w:p>
    <w:p w14:paraId="40879157" w14:textId="77777777" w:rsidR="00D121E2" w:rsidRPr="003E0B98" w:rsidRDefault="00D121E2" w:rsidP="004361AC">
      <w:pPr>
        <w:tabs>
          <w:tab w:val="clear" w:pos="567"/>
        </w:tabs>
        <w:spacing w:line="240" w:lineRule="auto"/>
        <w:rPr>
          <w:color w:val="000000"/>
          <w:szCs w:val="22"/>
          <w:lang w:val="es-ES_tradnl"/>
        </w:rPr>
      </w:pPr>
    </w:p>
    <w:p w14:paraId="2BDF9218" w14:textId="77777777" w:rsidR="00D121E2" w:rsidRPr="003E0B98" w:rsidRDefault="00D121E2" w:rsidP="004361AC">
      <w:pPr>
        <w:tabs>
          <w:tab w:val="clear" w:pos="567"/>
        </w:tabs>
        <w:spacing w:line="240" w:lineRule="auto"/>
        <w:rPr>
          <w:color w:val="000000"/>
          <w:szCs w:val="22"/>
          <w:lang w:val="es-ES_tradnl"/>
        </w:rPr>
      </w:pPr>
      <w:r w:rsidRPr="003E0B98">
        <w:rPr>
          <w:color w:val="000000"/>
          <w:szCs w:val="22"/>
          <w:lang w:val="es-ES_tradnl"/>
        </w:rPr>
        <w:t>Puede que solamente estén comercializados algunos tamaños de envases.</w:t>
      </w:r>
    </w:p>
    <w:p w14:paraId="3AF4743E" w14:textId="77777777" w:rsidR="00F75405" w:rsidRPr="003E0B98" w:rsidRDefault="00F75405" w:rsidP="004361AC">
      <w:pPr>
        <w:tabs>
          <w:tab w:val="clear" w:pos="567"/>
        </w:tabs>
        <w:spacing w:line="240" w:lineRule="auto"/>
        <w:rPr>
          <w:color w:val="000000"/>
          <w:szCs w:val="22"/>
          <w:lang w:val="es-ES_tradnl"/>
        </w:rPr>
      </w:pPr>
    </w:p>
    <w:p w14:paraId="4F1C39FA" w14:textId="77777777" w:rsidR="002E5034" w:rsidRPr="003E0B98" w:rsidRDefault="002E5034" w:rsidP="004361AC">
      <w:pPr>
        <w:keepNext/>
        <w:tabs>
          <w:tab w:val="clear" w:pos="567"/>
        </w:tabs>
        <w:spacing w:line="240" w:lineRule="auto"/>
        <w:ind w:left="567" w:hanging="567"/>
        <w:rPr>
          <w:color w:val="000000"/>
          <w:szCs w:val="22"/>
          <w:lang w:val="es-ES_tradnl"/>
        </w:rPr>
      </w:pPr>
      <w:r w:rsidRPr="003E0B98">
        <w:rPr>
          <w:b/>
          <w:color w:val="000000"/>
          <w:szCs w:val="22"/>
          <w:lang w:val="es-ES_tradnl"/>
        </w:rPr>
        <w:t>6.6</w:t>
      </w:r>
      <w:r w:rsidRPr="003E0B98">
        <w:rPr>
          <w:b/>
          <w:color w:val="000000"/>
          <w:szCs w:val="22"/>
          <w:lang w:val="es-ES_tradnl"/>
        </w:rPr>
        <w:tab/>
      </w:r>
      <w:r w:rsidRPr="003E0B98">
        <w:rPr>
          <w:b/>
          <w:color w:val="000000"/>
          <w:szCs w:val="22"/>
          <w:lang w:val="es-ES"/>
        </w:rPr>
        <w:t>Precauciones especiales de eliminación y otras manipulaciones</w:t>
      </w:r>
    </w:p>
    <w:p w14:paraId="08E9024B" w14:textId="77777777" w:rsidR="002E5034" w:rsidRPr="003E0B98" w:rsidRDefault="002E5034" w:rsidP="004361AC">
      <w:pPr>
        <w:tabs>
          <w:tab w:val="clear" w:pos="567"/>
        </w:tabs>
        <w:spacing w:line="240" w:lineRule="auto"/>
        <w:rPr>
          <w:color w:val="000000"/>
          <w:szCs w:val="22"/>
          <w:lang w:val="es-ES_tradnl"/>
        </w:rPr>
      </w:pPr>
    </w:p>
    <w:p w14:paraId="6E099BE2" w14:textId="77777777" w:rsidR="00AC4503" w:rsidRPr="003E0B98" w:rsidRDefault="00AC4503" w:rsidP="004361AC">
      <w:pPr>
        <w:keepNext/>
        <w:tabs>
          <w:tab w:val="clear" w:pos="567"/>
        </w:tabs>
        <w:spacing w:line="240" w:lineRule="auto"/>
        <w:rPr>
          <w:color w:val="000000"/>
          <w:szCs w:val="22"/>
          <w:lang w:val="es-ES_tradnl"/>
        </w:rPr>
      </w:pPr>
      <w:r w:rsidRPr="003E0B98">
        <w:rPr>
          <w:color w:val="000000"/>
          <w:szCs w:val="22"/>
          <w:u w:val="single"/>
          <w:lang w:val="es-ES_tradnl"/>
        </w:rPr>
        <w:t>Envase solo con vial</w:t>
      </w:r>
    </w:p>
    <w:p w14:paraId="01AE267D" w14:textId="77777777" w:rsidR="00AC4503" w:rsidRPr="003E0B98" w:rsidRDefault="00AC4503" w:rsidP="004361AC">
      <w:pPr>
        <w:keepNext/>
        <w:tabs>
          <w:tab w:val="clear" w:pos="567"/>
        </w:tabs>
        <w:spacing w:line="240" w:lineRule="auto"/>
        <w:rPr>
          <w:color w:val="000000"/>
          <w:szCs w:val="22"/>
          <w:lang w:val="es-ES_tradnl"/>
        </w:rPr>
      </w:pPr>
    </w:p>
    <w:p w14:paraId="110746C8" w14:textId="77777777" w:rsidR="004A3517" w:rsidRPr="003E0B98" w:rsidRDefault="004A3517" w:rsidP="004361AC">
      <w:pPr>
        <w:tabs>
          <w:tab w:val="clear" w:pos="567"/>
        </w:tabs>
        <w:spacing w:line="240" w:lineRule="auto"/>
        <w:rPr>
          <w:color w:val="000000"/>
          <w:szCs w:val="22"/>
          <w:lang w:val="es-ES_tradnl"/>
        </w:rPr>
      </w:pPr>
      <w:r w:rsidRPr="003E0B98">
        <w:rPr>
          <w:color w:val="000000"/>
          <w:szCs w:val="22"/>
          <w:lang w:val="es-ES_tradnl"/>
        </w:rPr>
        <w:t>El vial es para un solo uso. Tras la inyección se debe desechar cualquier sobrante de producto no utilizado. No debe utilizarse ningún vial que muestre signos de deterioro o manipulación. La esterilidad sólo se puede garantizar si el sellado del envase se mantiene intacto.</w:t>
      </w:r>
    </w:p>
    <w:p w14:paraId="5F331111" w14:textId="77777777" w:rsidR="004A3517" w:rsidRPr="003E0B98" w:rsidRDefault="004A3517" w:rsidP="004361AC">
      <w:pPr>
        <w:tabs>
          <w:tab w:val="clear" w:pos="567"/>
        </w:tabs>
        <w:spacing w:line="240" w:lineRule="auto"/>
        <w:rPr>
          <w:color w:val="000000"/>
          <w:szCs w:val="22"/>
          <w:lang w:val="es-ES_tradnl"/>
        </w:rPr>
      </w:pPr>
    </w:p>
    <w:p w14:paraId="4522A2AD" w14:textId="77777777" w:rsidR="004A3517" w:rsidRPr="003E0B98" w:rsidRDefault="004A3517" w:rsidP="004361AC">
      <w:pPr>
        <w:keepNext/>
        <w:tabs>
          <w:tab w:val="clear" w:pos="567"/>
        </w:tabs>
        <w:spacing w:line="240" w:lineRule="auto"/>
        <w:rPr>
          <w:color w:val="000000"/>
          <w:szCs w:val="22"/>
          <w:lang w:val="es-ES"/>
        </w:rPr>
      </w:pPr>
      <w:r w:rsidRPr="003E0B98">
        <w:rPr>
          <w:color w:val="000000"/>
          <w:szCs w:val="22"/>
          <w:lang w:val="es-ES"/>
        </w:rPr>
        <w:t xml:space="preserve">Para la preparación y la inyección intravítrea se necesitan los siguientes productos sanitarios </w:t>
      </w:r>
      <w:r w:rsidR="003633BE" w:rsidRPr="003E0B98">
        <w:rPr>
          <w:color w:val="000000"/>
          <w:szCs w:val="22"/>
          <w:lang w:val="es-ES"/>
        </w:rPr>
        <w:t>(para</w:t>
      </w:r>
      <w:r w:rsidRPr="003E0B98">
        <w:rPr>
          <w:color w:val="000000"/>
          <w:szCs w:val="22"/>
          <w:lang w:val="es-ES"/>
        </w:rPr>
        <w:t xml:space="preserve"> un solo uso</w:t>
      </w:r>
      <w:r w:rsidR="003633BE" w:rsidRPr="003E0B98">
        <w:rPr>
          <w:color w:val="000000"/>
          <w:szCs w:val="22"/>
          <w:lang w:val="es-ES"/>
        </w:rPr>
        <w:t>)</w:t>
      </w:r>
      <w:r w:rsidRPr="003E0B98">
        <w:rPr>
          <w:color w:val="000000"/>
          <w:szCs w:val="22"/>
          <w:lang w:val="es-ES"/>
        </w:rPr>
        <w:t>:</w:t>
      </w:r>
    </w:p>
    <w:p w14:paraId="5CC79718" w14:textId="77777777" w:rsidR="004A3517" w:rsidRPr="003E0B98" w:rsidRDefault="004A3517" w:rsidP="004361AC">
      <w:pPr>
        <w:tabs>
          <w:tab w:val="clear" w:pos="567"/>
        </w:tabs>
        <w:spacing w:line="240" w:lineRule="auto"/>
        <w:ind w:left="567" w:hanging="567"/>
        <w:rPr>
          <w:color w:val="000000"/>
          <w:szCs w:val="22"/>
          <w:lang w:val="es-ES"/>
        </w:rPr>
      </w:pPr>
      <w:r w:rsidRPr="003E0B98">
        <w:rPr>
          <w:color w:val="000000"/>
          <w:szCs w:val="22"/>
          <w:lang w:val="es-ES"/>
        </w:rPr>
        <w:t>-</w:t>
      </w:r>
      <w:r w:rsidRPr="003E0B98">
        <w:rPr>
          <w:color w:val="000000"/>
          <w:szCs w:val="22"/>
          <w:lang w:val="es-ES"/>
        </w:rPr>
        <w:tab/>
        <w:t>una aguja con filtro de 5 µm (18G)</w:t>
      </w:r>
    </w:p>
    <w:p w14:paraId="6FFC6229" w14:textId="77777777" w:rsidR="004A3517" w:rsidRPr="003E0B98" w:rsidRDefault="004A3517" w:rsidP="004361AC">
      <w:pPr>
        <w:tabs>
          <w:tab w:val="clear" w:pos="567"/>
        </w:tabs>
        <w:spacing w:line="240" w:lineRule="auto"/>
        <w:ind w:left="567" w:hanging="567"/>
        <w:rPr>
          <w:color w:val="000000"/>
          <w:szCs w:val="22"/>
          <w:lang w:val="es-ES"/>
        </w:rPr>
      </w:pPr>
      <w:r w:rsidRPr="003E0B98">
        <w:rPr>
          <w:color w:val="000000"/>
          <w:szCs w:val="22"/>
          <w:lang w:val="es-ES"/>
        </w:rPr>
        <w:t>-</w:t>
      </w:r>
      <w:r w:rsidRPr="003E0B98">
        <w:rPr>
          <w:color w:val="000000"/>
          <w:szCs w:val="22"/>
          <w:lang w:val="es-ES"/>
        </w:rPr>
        <w:tab/>
        <w:t>una jeringa estéril de 1 ml</w:t>
      </w:r>
      <w:r w:rsidR="00180A4D" w:rsidRPr="003E0B98">
        <w:rPr>
          <w:color w:val="000000"/>
          <w:szCs w:val="22"/>
          <w:lang w:val="es-ES"/>
        </w:rPr>
        <w:t xml:space="preserve"> (que incluya una marca en 0,05 ml)</w:t>
      </w:r>
      <w:r w:rsidR="009147C4" w:rsidRPr="003E0B98">
        <w:rPr>
          <w:color w:val="000000"/>
          <w:szCs w:val="22"/>
          <w:lang w:val="es-ES"/>
        </w:rPr>
        <w:t xml:space="preserve"> y una aguja </w:t>
      </w:r>
      <w:r w:rsidR="004519EB" w:rsidRPr="003E0B98">
        <w:rPr>
          <w:color w:val="000000"/>
          <w:szCs w:val="22"/>
          <w:lang w:val="es-ES"/>
        </w:rPr>
        <w:t>para</w:t>
      </w:r>
      <w:r w:rsidR="009147C4" w:rsidRPr="003E0B98">
        <w:rPr>
          <w:color w:val="000000"/>
          <w:szCs w:val="22"/>
          <w:lang w:val="es-ES"/>
        </w:rPr>
        <w:t xml:space="preserve"> inyección (30G x ½″), para pacientes adultos</w:t>
      </w:r>
    </w:p>
    <w:p w14:paraId="404EB50F" w14:textId="77777777" w:rsidR="009147C4" w:rsidRPr="003E0B98" w:rsidRDefault="009147C4" w:rsidP="004361AC">
      <w:pPr>
        <w:tabs>
          <w:tab w:val="clear" w:pos="567"/>
        </w:tabs>
        <w:spacing w:line="240" w:lineRule="auto"/>
        <w:ind w:left="567" w:hanging="567"/>
        <w:rPr>
          <w:color w:val="000000"/>
          <w:szCs w:val="22"/>
          <w:lang w:val="es-ES"/>
        </w:rPr>
      </w:pPr>
      <w:r w:rsidRPr="003E0B98">
        <w:rPr>
          <w:color w:val="000000"/>
          <w:szCs w:val="22"/>
          <w:lang w:val="es-ES"/>
        </w:rPr>
        <w:tab/>
        <w:t>una aguja estéril de bajo volumen</w:t>
      </w:r>
      <w:r w:rsidR="002176B0" w:rsidRPr="003E0B98">
        <w:rPr>
          <w:color w:val="000000"/>
          <w:szCs w:val="22"/>
          <w:lang w:val="es-ES"/>
        </w:rPr>
        <w:t xml:space="preserve"> y alta precisión</w:t>
      </w:r>
      <w:r w:rsidRPr="003E0B98">
        <w:rPr>
          <w:color w:val="000000"/>
          <w:szCs w:val="22"/>
          <w:lang w:val="es-ES"/>
        </w:rPr>
        <w:t xml:space="preserve">, </w:t>
      </w:r>
      <w:r w:rsidR="00DC4EFE" w:rsidRPr="003E0B98">
        <w:rPr>
          <w:color w:val="000000"/>
          <w:szCs w:val="22"/>
          <w:lang w:val="es-ES"/>
        </w:rPr>
        <w:t>que se proporciona</w:t>
      </w:r>
      <w:r w:rsidRPr="003E0B98">
        <w:rPr>
          <w:color w:val="000000"/>
          <w:szCs w:val="22"/>
          <w:lang w:val="es-ES"/>
        </w:rPr>
        <w:t xml:space="preserve"> con una aguja </w:t>
      </w:r>
      <w:r w:rsidR="004519EB" w:rsidRPr="003E0B98">
        <w:rPr>
          <w:color w:val="000000"/>
          <w:szCs w:val="22"/>
          <w:lang w:val="es-ES"/>
        </w:rPr>
        <w:t>para</w:t>
      </w:r>
      <w:r w:rsidRPr="003E0B98">
        <w:rPr>
          <w:color w:val="000000"/>
          <w:szCs w:val="22"/>
          <w:lang w:val="es-ES"/>
        </w:rPr>
        <w:t xml:space="preserve"> inyección (30G x ½″) en el kit VISISURE, para recién nacidos </w:t>
      </w:r>
      <w:r w:rsidR="003400BD" w:rsidRPr="003E0B98">
        <w:rPr>
          <w:color w:val="000000"/>
          <w:szCs w:val="22"/>
          <w:lang w:val="es-ES"/>
        </w:rPr>
        <w:t>pretérmino</w:t>
      </w:r>
    </w:p>
    <w:p w14:paraId="2684C529" w14:textId="77777777" w:rsidR="004A3517" w:rsidRPr="003E0B98" w:rsidRDefault="004A3517" w:rsidP="004361AC">
      <w:pPr>
        <w:keepNext/>
        <w:tabs>
          <w:tab w:val="clear" w:pos="567"/>
        </w:tabs>
        <w:spacing w:line="240" w:lineRule="auto"/>
        <w:rPr>
          <w:color w:val="000000"/>
          <w:szCs w:val="22"/>
          <w:lang w:val="es-ES_tradnl"/>
        </w:rPr>
      </w:pPr>
      <w:r w:rsidRPr="003E0B98">
        <w:rPr>
          <w:color w:val="000000"/>
          <w:szCs w:val="22"/>
          <w:lang w:val="es-ES"/>
        </w:rPr>
        <w:t>Estos productos sanitarios no se incluyen en este envase.</w:t>
      </w:r>
    </w:p>
    <w:p w14:paraId="4E8C7F06" w14:textId="77777777" w:rsidR="004A3517" w:rsidRPr="003E0B98" w:rsidRDefault="004A3517" w:rsidP="004361AC">
      <w:pPr>
        <w:tabs>
          <w:tab w:val="clear" w:pos="567"/>
        </w:tabs>
        <w:spacing w:line="240" w:lineRule="auto"/>
        <w:rPr>
          <w:color w:val="000000"/>
          <w:szCs w:val="22"/>
          <w:lang w:val="es-ES_tradnl"/>
        </w:rPr>
      </w:pPr>
    </w:p>
    <w:p w14:paraId="7EF1EDCE" w14:textId="77777777" w:rsidR="004A3517" w:rsidRPr="003E0B98" w:rsidRDefault="004A3517" w:rsidP="004361AC">
      <w:pPr>
        <w:keepNext/>
        <w:tabs>
          <w:tab w:val="clear" w:pos="567"/>
        </w:tabs>
        <w:spacing w:line="240" w:lineRule="auto"/>
        <w:rPr>
          <w:color w:val="000000"/>
          <w:szCs w:val="22"/>
          <w:lang w:val="es-ES_tradnl"/>
        </w:rPr>
      </w:pPr>
      <w:r w:rsidRPr="003E0B98">
        <w:rPr>
          <w:color w:val="000000"/>
          <w:szCs w:val="22"/>
          <w:u w:val="single"/>
          <w:lang w:val="es-ES_tradnl"/>
        </w:rPr>
        <w:t>Envase de vial + aguja con filtro</w:t>
      </w:r>
    </w:p>
    <w:p w14:paraId="223CF5DE" w14:textId="77777777" w:rsidR="004A3517" w:rsidRPr="003E0B98" w:rsidRDefault="004A3517" w:rsidP="004361AC">
      <w:pPr>
        <w:keepNext/>
        <w:tabs>
          <w:tab w:val="clear" w:pos="567"/>
        </w:tabs>
        <w:spacing w:line="240" w:lineRule="auto"/>
        <w:rPr>
          <w:color w:val="000000"/>
          <w:szCs w:val="22"/>
          <w:lang w:val="es-ES_tradnl"/>
        </w:rPr>
      </w:pPr>
    </w:p>
    <w:p w14:paraId="17B10D35" w14:textId="77777777" w:rsidR="001717C0" w:rsidRPr="003E0B98" w:rsidRDefault="001717C0" w:rsidP="004361AC">
      <w:pPr>
        <w:tabs>
          <w:tab w:val="clear" w:pos="567"/>
        </w:tabs>
        <w:spacing w:line="240" w:lineRule="auto"/>
        <w:rPr>
          <w:color w:val="000000"/>
          <w:szCs w:val="22"/>
          <w:lang w:val="es-ES_tradnl"/>
        </w:rPr>
      </w:pPr>
      <w:r w:rsidRPr="003E0B98">
        <w:rPr>
          <w:color w:val="000000"/>
          <w:szCs w:val="22"/>
          <w:lang w:val="es-ES_tradnl"/>
        </w:rPr>
        <w:t>El vial y la aguja con filtro son para un solo uso. La reutilización puede dar lugar a una infección u otra enfermedad/lesión. Todos los componentes son estériles. No debe utilizarse ningún componente cuyo envase muestre signos de deterioro o manipulación. La esterilidad sólo se puede garantizar si el sellado del envase de los componentes se mantiene intacto.</w:t>
      </w:r>
    </w:p>
    <w:p w14:paraId="7E546FA2" w14:textId="77777777" w:rsidR="001717C0" w:rsidRPr="003E0B98" w:rsidRDefault="001717C0" w:rsidP="004361AC">
      <w:pPr>
        <w:tabs>
          <w:tab w:val="clear" w:pos="567"/>
        </w:tabs>
        <w:spacing w:line="240" w:lineRule="auto"/>
        <w:rPr>
          <w:color w:val="000000"/>
          <w:szCs w:val="22"/>
          <w:lang w:val="es-ES"/>
        </w:rPr>
      </w:pPr>
    </w:p>
    <w:p w14:paraId="084BA1B3" w14:textId="77777777" w:rsidR="001717C0" w:rsidRPr="003E0B98" w:rsidRDefault="001717C0" w:rsidP="004361AC">
      <w:pPr>
        <w:tabs>
          <w:tab w:val="clear" w:pos="567"/>
        </w:tabs>
        <w:spacing w:line="240" w:lineRule="auto"/>
        <w:rPr>
          <w:color w:val="000000"/>
          <w:szCs w:val="22"/>
          <w:lang w:val="es-ES"/>
        </w:rPr>
      </w:pPr>
      <w:r w:rsidRPr="003E0B98">
        <w:rPr>
          <w:color w:val="000000"/>
          <w:szCs w:val="22"/>
          <w:lang w:val="es-ES"/>
        </w:rPr>
        <w:t xml:space="preserve">Para la preparación y la inyección intravítrea se necesitan los siguientes productos sanitarios </w:t>
      </w:r>
      <w:r w:rsidR="003633BE" w:rsidRPr="003E0B98">
        <w:rPr>
          <w:color w:val="000000"/>
          <w:szCs w:val="22"/>
          <w:lang w:val="es-ES"/>
        </w:rPr>
        <w:t xml:space="preserve">(para </w:t>
      </w:r>
      <w:r w:rsidRPr="003E0B98">
        <w:rPr>
          <w:color w:val="000000"/>
          <w:szCs w:val="22"/>
          <w:lang w:val="es-ES"/>
        </w:rPr>
        <w:t>un solo uso</w:t>
      </w:r>
      <w:r w:rsidR="003633BE" w:rsidRPr="003E0B98">
        <w:rPr>
          <w:color w:val="000000"/>
          <w:szCs w:val="22"/>
          <w:lang w:val="es-ES"/>
        </w:rPr>
        <w:t>)</w:t>
      </w:r>
      <w:r w:rsidRPr="003E0B98">
        <w:rPr>
          <w:color w:val="000000"/>
          <w:szCs w:val="22"/>
          <w:lang w:val="es-ES"/>
        </w:rPr>
        <w:t>:</w:t>
      </w:r>
    </w:p>
    <w:p w14:paraId="58870FA4" w14:textId="77777777" w:rsidR="001717C0" w:rsidRPr="003E0B98" w:rsidRDefault="001717C0" w:rsidP="004361AC">
      <w:pPr>
        <w:tabs>
          <w:tab w:val="clear" w:pos="567"/>
        </w:tabs>
        <w:spacing w:line="240" w:lineRule="auto"/>
        <w:ind w:left="567" w:hanging="567"/>
        <w:rPr>
          <w:color w:val="000000"/>
          <w:szCs w:val="22"/>
          <w:lang w:val="es-ES"/>
        </w:rPr>
      </w:pPr>
      <w:r w:rsidRPr="003E0B98">
        <w:rPr>
          <w:color w:val="000000"/>
          <w:szCs w:val="22"/>
          <w:lang w:val="es-ES"/>
        </w:rPr>
        <w:t>-</w:t>
      </w:r>
      <w:r w:rsidRPr="003E0B98">
        <w:rPr>
          <w:color w:val="000000"/>
          <w:szCs w:val="22"/>
          <w:lang w:val="es-ES"/>
        </w:rPr>
        <w:tab/>
        <w:t>una aguja con filtro de 5 µm (18G x 1½″, 1,2 mm x 40 mm, suministrada)</w:t>
      </w:r>
    </w:p>
    <w:p w14:paraId="506FE895" w14:textId="77777777" w:rsidR="0039669F" w:rsidRPr="003E0B98" w:rsidRDefault="001717C0" w:rsidP="004361AC">
      <w:pPr>
        <w:tabs>
          <w:tab w:val="clear" w:pos="567"/>
        </w:tabs>
        <w:spacing w:line="240" w:lineRule="auto"/>
        <w:ind w:left="567" w:hanging="567"/>
        <w:rPr>
          <w:color w:val="000000"/>
          <w:szCs w:val="22"/>
          <w:lang w:val="es-ES"/>
        </w:rPr>
      </w:pPr>
      <w:r w:rsidRPr="003E0B98">
        <w:rPr>
          <w:color w:val="000000"/>
          <w:szCs w:val="22"/>
          <w:lang w:val="es-ES"/>
        </w:rPr>
        <w:t>-</w:t>
      </w:r>
      <w:r w:rsidRPr="003E0B98">
        <w:rPr>
          <w:color w:val="000000"/>
          <w:szCs w:val="22"/>
          <w:lang w:val="es-ES"/>
        </w:rPr>
        <w:tab/>
        <w:t>una jeringa estéril de 1 ml (</w:t>
      </w:r>
      <w:r w:rsidR="00180A4D" w:rsidRPr="003E0B98">
        <w:rPr>
          <w:color w:val="000000"/>
          <w:szCs w:val="22"/>
          <w:lang w:val="es-ES"/>
        </w:rPr>
        <w:t>que incluya una marca en 0,05</w:t>
      </w:r>
      <w:r w:rsidR="00084812" w:rsidRPr="003E0B98">
        <w:rPr>
          <w:color w:val="000000"/>
          <w:szCs w:val="22"/>
          <w:lang w:val="es-ES"/>
        </w:rPr>
        <w:t> </w:t>
      </w:r>
      <w:r w:rsidR="00180A4D" w:rsidRPr="003E0B98">
        <w:rPr>
          <w:color w:val="000000"/>
          <w:szCs w:val="22"/>
          <w:lang w:val="es-ES"/>
        </w:rPr>
        <w:t xml:space="preserve">ml, </w:t>
      </w:r>
      <w:r w:rsidRPr="003E0B98">
        <w:rPr>
          <w:color w:val="000000"/>
          <w:szCs w:val="22"/>
          <w:lang w:val="es-ES"/>
        </w:rPr>
        <w:t>no incluida en este envase)</w:t>
      </w:r>
      <w:r w:rsidR="0039669F" w:rsidRPr="003E0B98">
        <w:rPr>
          <w:color w:val="000000"/>
          <w:szCs w:val="22"/>
          <w:lang w:val="es-ES"/>
        </w:rPr>
        <w:t xml:space="preserve"> </w:t>
      </w:r>
      <w:r w:rsidR="004519EB" w:rsidRPr="003E0B98">
        <w:rPr>
          <w:color w:val="000000"/>
          <w:szCs w:val="22"/>
          <w:lang w:val="es-ES"/>
        </w:rPr>
        <w:t>y una aguja para</w:t>
      </w:r>
      <w:r w:rsidR="0039669F" w:rsidRPr="003E0B98">
        <w:rPr>
          <w:color w:val="000000"/>
          <w:szCs w:val="22"/>
          <w:lang w:val="es-ES"/>
        </w:rPr>
        <w:t xml:space="preserve"> inyección (30G x ½″, no incluida en este envase), para pacientes adultos</w:t>
      </w:r>
    </w:p>
    <w:p w14:paraId="703A8C72" w14:textId="77777777" w:rsidR="0039669F" w:rsidRPr="003E0B98" w:rsidRDefault="0039669F" w:rsidP="004361AC">
      <w:pPr>
        <w:tabs>
          <w:tab w:val="clear" w:pos="567"/>
        </w:tabs>
        <w:spacing w:line="240" w:lineRule="auto"/>
        <w:ind w:left="567" w:hanging="567"/>
        <w:rPr>
          <w:color w:val="000000"/>
          <w:szCs w:val="22"/>
          <w:lang w:val="es-ES"/>
        </w:rPr>
      </w:pPr>
      <w:r w:rsidRPr="003E0B98">
        <w:rPr>
          <w:color w:val="000000"/>
          <w:szCs w:val="22"/>
          <w:lang w:val="es-ES"/>
        </w:rPr>
        <w:tab/>
        <w:t>una aguja estéril de alta precisión</w:t>
      </w:r>
      <w:r w:rsidR="00F3173A" w:rsidRPr="003E0B98">
        <w:rPr>
          <w:color w:val="000000"/>
          <w:szCs w:val="22"/>
          <w:lang w:val="es-ES"/>
        </w:rPr>
        <w:t xml:space="preserve"> y bajo volumen</w:t>
      </w:r>
      <w:r w:rsidRPr="003E0B98">
        <w:rPr>
          <w:color w:val="000000"/>
          <w:szCs w:val="22"/>
          <w:lang w:val="es-ES"/>
        </w:rPr>
        <w:t xml:space="preserve">, </w:t>
      </w:r>
      <w:r w:rsidR="00DC4EFE" w:rsidRPr="003E0B98">
        <w:rPr>
          <w:color w:val="000000"/>
          <w:szCs w:val="22"/>
          <w:lang w:val="es-ES"/>
        </w:rPr>
        <w:t>que se proporciona</w:t>
      </w:r>
      <w:r w:rsidR="004519EB" w:rsidRPr="003E0B98">
        <w:rPr>
          <w:color w:val="000000"/>
          <w:szCs w:val="22"/>
          <w:lang w:val="es-ES"/>
        </w:rPr>
        <w:t xml:space="preserve"> con una aguja para</w:t>
      </w:r>
      <w:r w:rsidRPr="003E0B98">
        <w:rPr>
          <w:color w:val="000000"/>
          <w:szCs w:val="22"/>
          <w:lang w:val="es-ES"/>
        </w:rPr>
        <w:t xml:space="preserve"> inyección (30G x ½″) en el kit VISISURE (no incluido en este envase), para recién nacidos </w:t>
      </w:r>
      <w:r w:rsidR="003400BD" w:rsidRPr="003E0B98">
        <w:rPr>
          <w:color w:val="000000"/>
          <w:szCs w:val="22"/>
          <w:lang w:val="es-ES"/>
        </w:rPr>
        <w:t>pretérmino</w:t>
      </w:r>
    </w:p>
    <w:p w14:paraId="112AD5F9" w14:textId="77777777" w:rsidR="001717C0" w:rsidRPr="003E0B98" w:rsidRDefault="001717C0" w:rsidP="004361AC">
      <w:pPr>
        <w:tabs>
          <w:tab w:val="clear" w:pos="567"/>
        </w:tabs>
        <w:spacing w:line="240" w:lineRule="auto"/>
        <w:rPr>
          <w:color w:val="000000"/>
          <w:szCs w:val="22"/>
          <w:lang w:val="es-ES_tradnl"/>
        </w:rPr>
      </w:pPr>
    </w:p>
    <w:p w14:paraId="67E35140" w14:textId="77777777" w:rsidR="002E5034" w:rsidRPr="003E0B98" w:rsidRDefault="002E5034" w:rsidP="004361AC">
      <w:pPr>
        <w:keepNext/>
        <w:tabs>
          <w:tab w:val="clear" w:pos="567"/>
        </w:tabs>
        <w:spacing w:line="240" w:lineRule="auto"/>
        <w:rPr>
          <w:color w:val="000000"/>
          <w:szCs w:val="22"/>
          <w:lang w:val="es-ES_tradnl"/>
        </w:rPr>
      </w:pPr>
      <w:r w:rsidRPr="003E0B98">
        <w:rPr>
          <w:color w:val="000000"/>
          <w:szCs w:val="22"/>
          <w:lang w:val="es-ES_tradnl"/>
        </w:rPr>
        <w:t xml:space="preserve">Para la preparación de </w:t>
      </w:r>
      <w:proofErr w:type="spellStart"/>
      <w:r w:rsidRPr="003E0B98">
        <w:rPr>
          <w:color w:val="000000"/>
          <w:szCs w:val="22"/>
          <w:lang w:val="es-ES_tradnl"/>
        </w:rPr>
        <w:t>Lucentis</w:t>
      </w:r>
      <w:proofErr w:type="spellEnd"/>
      <w:r w:rsidRPr="003E0B98">
        <w:rPr>
          <w:color w:val="000000"/>
          <w:szCs w:val="22"/>
          <w:lang w:val="es-ES_tradnl"/>
        </w:rPr>
        <w:t xml:space="preserve"> para administración intravítrea</w:t>
      </w:r>
      <w:r w:rsidR="009147C4" w:rsidRPr="003E0B98">
        <w:rPr>
          <w:color w:val="000000"/>
          <w:szCs w:val="22"/>
          <w:lang w:val="es-ES_tradnl"/>
        </w:rPr>
        <w:t xml:space="preserve"> </w:t>
      </w:r>
      <w:r w:rsidR="009147C4" w:rsidRPr="003E0B98">
        <w:rPr>
          <w:b/>
          <w:color w:val="000000"/>
          <w:szCs w:val="22"/>
          <w:lang w:val="es-ES_tradnl"/>
        </w:rPr>
        <w:t>en adultos</w:t>
      </w:r>
      <w:r w:rsidRPr="003E0B98">
        <w:rPr>
          <w:color w:val="000000"/>
          <w:szCs w:val="22"/>
          <w:lang w:val="es-ES_tradnl"/>
        </w:rPr>
        <w:t>, siga las siguientes instrucciones:</w:t>
      </w:r>
    </w:p>
    <w:p w14:paraId="16B0FE9C" w14:textId="77777777" w:rsidR="002E5034" w:rsidRPr="003E0B98" w:rsidRDefault="002E5034" w:rsidP="004361AC">
      <w:pPr>
        <w:keepNext/>
        <w:tabs>
          <w:tab w:val="clear" w:pos="567"/>
        </w:tabs>
        <w:spacing w:line="240" w:lineRule="auto"/>
        <w:rPr>
          <w:color w:val="000000"/>
          <w:szCs w:val="22"/>
          <w:lang w:val="es-ES_tradnl"/>
        </w:rPr>
      </w:pPr>
    </w:p>
    <w:p w14:paraId="1F2471E7" w14:textId="79D280AB" w:rsidR="002E5034" w:rsidRPr="003E0B98" w:rsidRDefault="002E5034" w:rsidP="004361AC">
      <w:pPr>
        <w:tabs>
          <w:tab w:val="clear" w:pos="567"/>
        </w:tabs>
        <w:spacing w:line="240" w:lineRule="auto"/>
        <w:ind w:left="567" w:hanging="567"/>
        <w:rPr>
          <w:color w:val="000000"/>
          <w:szCs w:val="22"/>
          <w:lang w:val="es-ES_tradnl"/>
        </w:rPr>
      </w:pPr>
      <w:r w:rsidRPr="003E0B98">
        <w:rPr>
          <w:color w:val="000000"/>
          <w:szCs w:val="22"/>
          <w:lang w:val="es-ES_tradnl"/>
        </w:rPr>
        <w:t>1.</w:t>
      </w:r>
      <w:r w:rsidRPr="003E0B98">
        <w:rPr>
          <w:color w:val="000000"/>
          <w:szCs w:val="22"/>
          <w:lang w:val="es-ES_tradnl"/>
        </w:rPr>
        <w:tab/>
      </w:r>
      <w:r w:rsidRPr="003E0B98">
        <w:rPr>
          <w:color w:val="000000"/>
          <w:szCs w:val="22"/>
          <w:lang w:val="es-ES"/>
        </w:rPr>
        <w:t xml:space="preserve">Antes de extraer la solución, </w:t>
      </w:r>
      <w:r w:rsidR="006D45CA" w:rsidRPr="003E0B98">
        <w:rPr>
          <w:color w:val="000000"/>
          <w:szCs w:val="22"/>
          <w:lang w:val="es-ES_tradnl"/>
        </w:rPr>
        <w:t>retirar</w:t>
      </w:r>
      <w:r w:rsidR="006D45CA" w:rsidRPr="003E0B98">
        <w:rPr>
          <w:color w:val="000000"/>
          <w:szCs w:val="22"/>
          <w:lang w:val="es-ES"/>
        </w:rPr>
        <w:t xml:space="preserve"> la cápsula de cierre del vial y desinfectar la parte externa del vial (p. ej. con un algodón con alcohol al 70%)</w:t>
      </w:r>
      <w:r w:rsidRPr="003E0B98">
        <w:rPr>
          <w:color w:val="000000"/>
          <w:szCs w:val="22"/>
          <w:lang w:val="es-ES"/>
        </w:rPr>
        <w:t>.</w:t>
      </w:r>
    </w:p>
    <w:p w14:paraId="54326C7B" w14:textId="77777777" w:rsidR="002E5034" w:rsidRPr="003E0B98" w:rsidRDefault="002E5034" w:rsidP="004361AC">
      <w:pPr>
        <w:tabs>
          <w:tab w:val="clear" w:pos="567"/>
        </w:tabs>
        <w:spacing w:line="240" w:lineRule="auto"/>
        <w:rPr>
          <w:color w:val="000000"/>
          <w:szCs w:val="22"/>
          <w:lang w:val="es-ES"/>
        </w:rPr>
      </w:pPr>
    </w:p>
    <w:p w14:paraId="2D78820D" w14:textId="77777777" w:rsidR="002E5034" w:rsidRPr="003E0B98" w:rsidRDefault="002E5034" w:rsidP="004361AC">
      <w:pPr>
        <w:tabs>
          <w:tab w:val="clear" w:pos="567"/>
        </w:tabs>
        <w:spacing w:line="240" w:lineRule="auto"/>
        <w:ind w:left="567" w:hanging="567"/>
        <w:rPr>
          <w:color w:val="000000"/>
          <w:szCs w:val="22"/>
          <w:lang w:val="es-ES"/>
        </w:rPr>
      </w:pPr>
      <w:r w:rsidRPr="003E0B98">
        <w:rPr>
          <w:color w:val="000000"/>
          <w:szCs w:val="22"/>
          <w:lang w:val="es-ES_tradnl"/>
        </w:rPr>
        <w:t>2.</w:t>
      </w:r>
      <w:r w:rsidRPr="003E0B98">
        <w:rPr>
          <w:color w:val="000000"/>
          <w:szCs w:val="22"/>
          <w:lang w:val="es-ES_tradnl"/>
        </w:rPr>
        <w:tab/>
        <w:t xml:space="preserve">Incorporar </w:t>
      </w:r>
      <w:r w:rsidR="00DF2E15" w:rsidRPr="003E0B98">
        <w:rPr>
          <w:color w:val="000000"/>
          <w:szCs w:val="22"/>
          <w:lang w:val="es-ES_tradnl"/>
        </w:rPr>
        <w:t>una</w:t>
      </w:r>
      <w:r w:rsidRPr="003E0B98">
        <w:rPr>
          <w:color w:val="000000"/>
          <w:szCs w:val="22"/>
          <w:lang w:val="es-ES_tradnl"/>
        </w:rPr>
        <w:t xml:space="preserve"> </w:t>
      </w:r>
      <w:r w:rsidRPr="003E0B98">
        <w:rPr>
          <w:color w:val="000000"/>
          <w:szCs w:val="22"/>
          <w:lang w:val="es-ES"/>
        </w:rPr>
        <w:t xml:space="preserve">aguja con filtro de 5 µm </w:t>
      </w:r>
      <w:r w:rsidRPr="003E0B98">
        <w:rPr>
          <w:color w:val="000000"/>
          <w:lang w:val="es-ES_tradnl"/>
        </w:rPr>
        <w:t>(18G x 1½″, 1,2 mm x 40 mm</w:t>
      </w:r>
      <w:r w:rsidRPr="003E0B98">
        <w:rPr>
          <w:color w:val="000000"/>
          <w:szCs w:val="22"/>
          <w:lang w:val="es-ES"/>
        </w:rPr>
        <w:t xml:space="preserve">) a </w:t>
      </w:r>
      <w:r w:rsidR="00DF2E15" w:rsidRPr="003E0B98">
        <w:rPr>
          <w:color w:val="000000"/>
          <w:szCs w:val="22"/>
          <w:lang w:val="es-ES"/>
        </w:rPr>
        <w:t>una</w:t>
      </w:r>
      <w:r w:rsidRPr="003E0B98">
        <w:rPr>
          <w:color w:val="000000"/>
          <w:szCs w:val="22"/>
          <w:lang w:val="es-ES"/>
        </w:rPr>
        <w:t xml:space="preserve"> jeringa de 1 ml usando técnicas asépticas. Insertar la aguja roma con filtro en el centro del tapón del vial hasta que la aguja toque el extremo inferior del vial.</w:t>
      </w:r>
    </w:p>
    <w:p w14:paraId="0321FEA0" w14:textId="77777777" w:rsidR="002E5034" w:rsidRPr="003E0B98" w:rsidRDefault="002E5034" w:rsidP="004361AC">
      <w:pPr>
        <w:tabs>
          <w:tab w:val="clear" w:pos="567"/>
        </w:tabs>
        <w:spacing w:line="240" w:lineRule="auto"/>
        <w:ind w:left="567" w:hanging="567"/>
        <w:rPr>
          <w:color w:val="000000"/>
          <w:szCs w:val="22"/>
          <w:lang w:val="es-ES_tradnl"/>
        </w:rPr>
      </w:pPr>
    </w:p>
    <w:p w14:paraId="4A31E1B1" w14:textId="77777777" w:rsidR="002E5034" w:rsidRPr="003E0B98" w:rsidRDefault="002E5034" w:rsidP="004361AC">
      <w:pPr>
        <w:tabs>
          <w:tab w:val="clear" w:pos="567"/>
        </w:tabs>
        <w:spacing w:line="240" w:lineRule="auto"/>
        <w:ind w:left="567" w:hanging="567"/>
        <w:rPr>
          <w:color w:val="000000"/>
          <w:szCs w:val="22"/>
          <w:lang w:val="es-ES_tradnl"/>
        </w:rPr>
      </w:pPr>
      <w:r w:rsidRPr="003E0B98">
        <w:rPr>
          <w:color w:val="000000"/>
          <w:szCs w:val="22"/>
          <w:lang w:val="es-ES_tradnl"/>
        </w:rPr>
        <w:t>3.</w:t>
      </w:r>
      <w:r w:rsidRPr="003E0B98">
        <w:rPr>
          <w:color w:val="000000"/>
          <w:szCs w:val="22"/>
          <w:lang w:val="es-ES_tradnl"/>
        </w:rPr>
        <w:tab/>
        <w:t xml:space="preserve">Extraer todo el líquido del vial, </w:t>
      </w:r>
      <w:r w:rsidRPr="003E0B98">
        <w:rPr>
          <w:color w:val="000000"/>
          <w:szCs w:val="22"/>
          <w:lang w:val="es-ES"/>
        </w:rPr>
        <w:t>manteniendo el vial en posición vertical,</w:t>
      </w:r>
      <w:r w:rsidRPr="003E0B98">
        <w:rPr>
          <w:color w:val="000000"/>
          <w:szCs w:val="22"/>
          <w:lang w:val="es-ES_tradnl"/>
        </w:rPr>
        <w:t xml:space="preserve"> ligeramente inclinado para facilitar la extracción completa.</w:t>
      </w:r>
    </w:p>
    <w:p w14:paraId="76AC2B86" w14:textId="77777777" w:rsidR="002E5034" w:rsidRPr="003E0B98" w:rsidRDefault="002E5034" w:rsidP="004361AC">
      <w:pPr>
        <w:tabs>
          <w:tab w:val="clear" w:pos="567"/>
        </w:tabs>
        <w:spacing w:line="240" w:lineRule="auto"/>
        <w:rPr>
          <w:color w:val="000000"/>
          <w:szCs w:val="22"/>
          <w:lang w:val="es-ES_tradnl"/>
        </w:rPr>
      </w:pPr>
    </w:p>
    <w:p w14:paraId="460EBDEC" w14:textId="77777777" w:rsidR="002E5034" w:rsidRPr="003E0B98" w:rsidRDefault="002E5034" w:rsidP="004361AC">
      <w:pPr>
        <w:tabs>
          <w:tab w:val="clear" w:pos="567"/>
        </w:tabs>
        <w:spacing w:line="240" w:lineRule="auto"/>
        <w:ind w:left="567" w:hanging="567"/>
        <w:rPr>
          <w:color w:val="000000"/>
          <w:lang w:val="es-ES_tradnl"/>
        </w:rPr>
      </w:pPr>
      <w:r w:rsidRPr="003E0B98">
        <w:rPr>
          <w:color w:val="000000"/>
          <w:szCs w:val="22"/>
          <w:lang w:val="es-ES_tradnl"/>
        </w:rPr>
        <w:t>4.</w:t>
      </w:r>
      <w:r w:rsidRPr="003E0B98">
        <w:rPr>
          <w:color w:val="000000"/>
          <w:szCs w:val="22"/>
          <w:lang w:val="es-ES_tradnl"/>
        </w:rPr>
        <w:tab/>
        <w:t>Al vaciar el vial, asegurar que el émbolo se retira hacia atrás lo suficiente de forma que se vacíe por completo la aguja con filtro.</w:t>
      </w:r>
    </w:p>
    <w:p w14:paraId="3E98E585" w14:textId="77777777" w:rsidR="002E5034" w:rsidRPr="003E0B98" w:rsidRDefault="002E5034" w:rsidP="004361AC">
      <w:pPr>
        <w:tabs>
          <w:tab w:val="clear" w:pos="567"/>
        </w:tabs>
        <w:spacing w:line="240" w:lineRule="auto"/>
        <w:rPr>
          <w:color w:val="000000"/>
          <w:szCs w:val="22"/>
          <w:lang w:val="es-ES_tradnl"/>
        </w:rPr>
      </w:pPr>
    </w:p>
    <w:p w14:paraId="0AA9F08B" w14:textId="77777777" w:rsidR="002E5034" w:rsidRPr="003E0B98" w:rsidRDefault="002E5034" w:rsidP="004361AC">
      <w:pPr>
        <w:tabs>
          <w:tab w:val="clear" w:pos="567"/>
        </w:tabs>
        <w:spacing w:line="240" w:lineRule="auto"/>
        <w:ind w:left="567" w:hanging="567"/>
        <w:rPr>
          <w:color w:val="000000"/>
          <w:lang w:val="es-ES_tradnl"/>
        </w:rPr>
      </w:pPr>
      <w:r w:rsidRPr="003E0B98">
        <w:rPr>
          <w:color w:val="000000"/>
          <w:lang w:val="es-ES_tradnl"/>
        </w:rPr>
        <w:t>5.</w:t>
      </w:r>
      <w:r w:rsidRPr="003E0B98">
        <w:rPr>
          <w:color w:val="000000"/>
          <w:lang w:val="es-ES_tradnl"/>
        </w:rPr>
        <w:tab/>
        <w:t xml:space="preserve">Dejar </w:t>
      </w:r>
      <w:r w:rsidRPr="003E0B98">
        <w:rPr>
          <w:color w:val="000000"/>
          <w:szCs w:val="22"/>
          <w:lang w:val="es-ES"/>
        </w:rPr>
        <w:t>la aguja roma con filtro en el vial y desconectarla de la jeringa. La aguja con filtro se debe desechar tras extraer el contenido del vial, y no se debe utilizar para la inyección intravítrea.</w:t>
      </w:r>
    </w:p>
    <w:p w14:paraId="347DB414" w14:textId="77777777" w:rsidR="002E5034" w:rsidRPr="003E0B98" w:rsidRDefault="002E5034" w:rsidP="004361AC">
      <w:pPr>
        <w:tabs>
          <w:tab w:val="clear" w:pos="567"/>
        </w:tabs>
        <w:spacing w:line="240" w:lineRule="auto"/>
        <w:rPr>
          <w:color w:val="000000"/>
          <w:szCs w:val="22"/>
          <w:lang w:val="es-ES_tradnl"/>
        </w:rPr>
      </w:pPr>
    </w:p>
    <w:p w14:paraId="557223DA" w14:textId="77777777" w:rsidR="002E5034" w:rsidRPr="003E0B98" w:rsidRDefault="002E5034" w:rsidP="004361AC">
      <w:pPr>
        <w:tabs>
          <w:tab w:val="clear" w:pos="567"/>
        </w:tabs>
        <w:spacing w:line="240" w:lineRule="auto"/>
        <w:ind w:left="567" w:hanging="567"/>
        <w:rPr>
          <w:color w:val="000000"/>
          <w:szCs w:val="22"/>
          <w:lang w:val="es-ES"/>
        </w:rPr>
      </w:pPr>
      <w:r w:rsidRPr="003E0B98">
        <w:rPr>
          <w:color w:val="000000"/>
          <w:lang w:val="es-ES_tradnl"/>
        </w:rPr>
        <w:t>6.</w:t>
      </w:r>
      <w:r w:rsidRPr="003E0B98">
        <w:rPr>
          <w:color w:val="000000"/>
          <w:lang w:val="es-ES_tradnl"/>
        </w:rPr>
        <w:tab/>
        <w:t xml:space="preserve">Incorporar </w:t>
      </w:r>
      <w:r w:rsidR="00DF2E15" w:rsidRPr="003E0B98">
        <w:rPr>
          <w:color w:val="000000"/>
          <w:lang w:val="es-ES_tradnl"/>
        </w:rPr>
        <w:t>una</w:t>
      </w:r>
      <w:r w:rsidRPr="003E0B98">
        <w:rPr>
          <w:color w:val="000000"/>
          <w:lang w:val="es-ES_tradnl"/>
        </w:rPr>
        <w:t xml:space="preserve"> aguja para inyección </w:t>
      </w:r>
      <w:r w:rsidRPr="003E0B98">
        <w:rPr>
          <w:color w:val="000000"/>
          <w:szCs w:val="22"/>
          <w:lang w:val="es-ES"/>
        </w:rPr>
        <w:t>(</w:t>
      </w:r>
      <w:r w:rsidRPr="003E0B98">
        <w:rPr>
          <w:color w:val="000000"/>
          <w:lang w:val="es-ES_tradnl"/>
        </w:rPr>
        <w:t>30G x ½″, 0,3 mm x 13 mm</w:t>
      </w:r>
      <w:r w:rsidRPr="003E0B98">
        <w:rPr>
          <w:color w:val="000000"/>
          <w:szCs w:val="22"/>
          <w:lang w:val="es-ES"/>
        </w:rPr>
        <w:t>) a la jeringa con firmeza y de forma aséptica.</w:t>
      </w:r>
    </w:p>
    <w:p w14:paraId="16D65211" w14:textId="77777777" w:rsidR="002E5034" w:rsidRPr="003E0B98" w:rsidRDefault="002E5034" w:rsidP="004361AC">
      <w:pPr>
        <w:tabs>
          <w:tab w:val="clear" w:pos="567"/>
        </w:tabs>
        <w:spacing w:line="240" w:lineRule="auto"/>
        <w:rPr>
          <w:color w:val="000000"/>
          <w:szCs w:val="22"/>
          <w:lang w:val="es-ES"/>
        </w:rPr>
      </w:pPr>
    </w:p>
    <w:p w14:paraId="371710EC" w14:textId="77777777" w:rsidR="002E5034" w:rsidRPr="003E0B98" w:rsidRDefault="002E5034" w:rsidP="004361AC">
      <w:pPr>
        <w:tabs>
          <w:tab w:val="clear" w:pos="567"/>
        </w:tabs>
        <w:spacing w:line="240" w:lineRule="auto"/>
        <w:ind w:left="567" w:hanging="567"/>
        <w:rPr>
          <w:color w:val="000000"/>
          <w:lang w:val="es-ES_tradnl"/>
        </w:rPr>
      </w:pPr>
      <w:r w:rsidRPr="003E0B98">
        <w:rPr>
          <w:color w:val="000000"/>
          <w:lang w:val="es-ES_tradnl"/>
        </w:rPr>
        <w:t>7.</w:t>
      </w:r>
      <w:r w:rsidRPr="003E0B98">
        <w:rPr>
          <w:color w:val="000000"/>
          <w:lang w:val="es-ES_tradnl"/>
        </w:rPr>
        <w:tab/>
        <w:t xml:space="preserve">Quitar </w:t>
      </w:r>
      <w:r w:rsidR="009E393C" w:rsidRPr="003E0B98">
        <w:rPr>
          <w:color w:val="000000"/>
          <w:lang w:val="es-ES_tradnl"/>
        </w:rPr>
        <w:t>la cápsula de cierre</w:t>
      </w:r>
      <w:r w:rsidRPr="003E0B98">
        <w:rPr>
          <w:color w:val="000000"/>
          <w:lang w:val="es-ES_tradnl"/>
        </w:rPr>
        <w:t xml:space="preserve"> de la aguja para inyección cuidadosamente sin desconectar la aguja para inyección de la jeringa.</w:t>
      </w:r>
    </w:p>
    <w:p w14:paraId="0AF0F0CC" w14:textId="77777777" w:rsidR="002E5034" w:rsidRPr="003E0B98" w:rsidRDefault="002E5034" w:rsidP="004361AC">
      <w:pPr>
        <w:tabs>
          <w:tab w:val="clear" w:pos="567"/>
        </w:tabs>
        <w:spacing w:line="240" w:lineRule="auto"/>
        <w:rPr>
          <w:color w:val="000000"/>
          <w:lang w:val="es-ES_tradnl"/>
        </w:rPr>
      </w:pPr>
    </w:p>
    <w:p w14:paraId="58528B63" w14:textId="77777777" w:rsidR="002E5034" w:rsidRPr="003E0B98" w:rsidRDefault="002E5034" w:rsidP="004361AC">
      <w:pPr>
        <w:tabs>
          <w:tab w:val="clear" w:pos="567"/>
        </w:tabs>
        <w:spacing w:line="240" w:lineRule="auto"/>
        <w:ind w:left="567"/>
        <w:rPr>
          <w:color w:val="000000"/>
          <w:lang w:val="es-ES_tradnl"/>
        </w:rPr>
      </w:pPr>
      <w:r w:rsidRPr="003E0B98">
        <w:rPr>
          <w:bCs/>
          <w:color w:val="000000"/>
          <w:lang w:val="es-ES_tradnl"/>
        </w:rPr>
        <w:t xml:space="preserve">Nota: Sujetar la aguja para inyección por el cono mientras se retira </w:t>
      </w:r>
      <w:r w:rsidR="009E393C" w:rsidRPr="003E0B98">
        <w:rPr>
          <w:color w:val="000000"/>
          <w:lang w:val="es-ES_tradnl"/>
        </w:rPr>
        <w:t>la cápsula de cierre</w:t>
      </w:r>
      <w:r w:rsidRPr="003E0B98">
        <w:rPr>
          <w:color w:val="000000"/>
          <w:lang w:val="es-ES_tradnl"/>
        </w:rPr>
        <w:t>.</w:t>
      </w:r>
    </w:p>
    <w:p w14:paraId="71BA4787" w14:textId="77777777" w:rsidR="002E5034" w:rsidRPr="003E0B98" w:rsidRDefault="002E5034" w:rsidP="004361AC">
      <w:pPr>
        <w:tabs>
          <w:tab w:val="clear" w:pos="567"/>
        </w:tabs>
        <w:spacing w:line="240" w:lineRule="auto"/>
        <w:rPr>
          <w:color w:val="000000"/>
          <w:szCs w:val="22"/>
          <w:lang w:val="es-ES_tradnl"/>
        </w:rPr>
      </w:pPr>
    </w:p>
    <w:p w14:paraId="1256FBD5" w14:textId="77777777" w:rsidR="002E5034" w:rsidRPr="003E0B98" w:rsidRDefault="002E5034" w:rsidP="004361AC">
      <w:pPr>
        <w:tabs>
          <w:tab w:val="clear" w:pos="567"/>
        </w:tabs>
        <w:spacing w:line="240" w:lineRule="auto"/>
        <w:ind w:left="567" w:hanging="567"/>
        <w:rPr>
          <w:color w:val="000000"/>
          <w:lang w:val="es-ES_tradnl"/>
        </w:rPr>
      </w:pPr>
      <w:r w:rsidRPr="003E0B98">
        <w:rPr>
          <w:color w:val="000000"/>
          <w:szCs w:val="22"/>
          <w:lang w:val="es-ES_tradnl"/>
        </w:rPr>
        <w:t>8.</w:t>
      </w:r>
      <w:r w:rsidRPr="003E0B98">
        <w:rPr>
          <w:color w:val="000000"/>
          <w:szCs w:val="22"/>
          <w:lang w:val="es-ES_tradnl"/>
        </w:rPr>
        <w:tab/>
        <w:t xml:space="preserve">Expulsar el aire </w:t>
      </w:r>
      <w:r w:rsidR="00283BCB" w:rsidRPr="003E0B98">
        <w:rPr>
          <w:color w:val="000000"/>
          <w:szCs w:val="22"/>
          <w:lang w:val="es-ES_tradnl"/>
        </w:rPr>
        <w:t xml:space="preserve">junto con </w:t>
      </w:r>
      <w:r w:rsidR="00180A4D" w:rsidRPr="003E0B98">
        <w:rPr>
          <w:color w:val="000000"/>
          <w:szCs w:val="22"/>
          <w:lang w:val="es-ES_tradnl"/>
        </w:rPr>
        <w:t>el exceso de</w:t>
      </w:r>
      <w:r w:rsidR="00283BCB" w:rsidRPr="003E0B98">
        <w:rPr>
          <w:color w:val="000000"/>
          <w:szCs w:val="22"/>
          <w:lang w:val="es-ES_tradnl"/>
        </w:rPr>
        <w:t xml:space="preserve"> solución</w:t>
      </w:r>
      <w:r w:rsidRPr="003E0B98">
        <w:rPr>
          <w:color w:val="000000"/>
          <w:szCs w:val="22"/>
          <w:lang w:val="es-ES_tradnl"/>
        </w:rPr>
        <w:t xml:space="preserve"> y ajustar la dosis hasta la marca de </w:t>
      </w:r>
      <w:r w:rsidRPr="003E0B98">
        <w:rPr>
          <w:color w:val="000000"/>
          <w:szCs w:val="22"/>
          <w:lang w:val="es-ES"/>
        </w:rPr>
        <w:t>0,05 ml en la jeringa cuidadosamente. La jeringa está lista para la inyección.</w:t>
      </w:r>
    </w:p>
    <w:p w14:paraId="2E07E289" w14:textId="77777777" w:rsidR="002E5034" w:rsidRPr="003E0B98" w:rsidRDefault="002E5034" w:rsidP="004361AC">
      <w:pPr>
        <w:numPr>
          <w:ilvl w:val="12"/>
          <w:numId w:val="0"/>
        </w:numPr>
        <w:tabs>
          <w:tab w:val="clear" w:pos="567"/>
        </w:tabs>
        <w:spacing w:line="240" w:lineRule="auto"/>
        <w:ind w:right="-2"/>
        <w:rPr>
          <w:color w:val="000000"/>
          <w:szCs w:val="22"/>
          <w:lang w:val="es-ES_tradnl"/>
        </w:rPr>
      </w:pPr>
    </w:p>
    <w:p w14:paraId="7F8A7888" w14:textId="77777777" w:rsidR="002E5034" w:rsidRPr="003E0B98" w:rsidRDefault="002E5034" w:rsidP="004361AC">
      <w:pPr>
        <w:tabs>
          <w:tab w:val="clear" w:pos="567"/>
        </w:tabs>
        <w:spacing w:line="240" w:lineRule="auto"/>
        <w:ind w:left="567"/>
        <w:rPr>
          <w:color w:val="000000"/>
          <w:szCs w:val="22"/>
          <w:lang w:val="es-ES_tradnl"/>
        </w:rPr>
      </w:pPr>
      <w:r w:rsidRPr="003E0B98">
        <w:rPr>
          <w:bCs/>
          <w:color w:val="000000"/>
          <w:szCs w:val="22"/>
          <w:lang w:val="es-ES_tradnl"/>
        </w:rPr>
        <w:t>Nota:</w:t>
      </w:r>
      <w:r w:rsidRPr="003E0B98">
        <w:rPr>
          <w:color w:val="000000"/>
          <w:szCs w:val="22"/>
          <w:lang w:val="es-ES_tradnl"/>
        </w:rPr>
        <w:t xml:space="preserve"> No secar la aguja para inyección. No tirar del émbolo hacia atrás.</w:t>
      </w:r>
    </w:p>
    <w:p w14:paraId="7E3F06A5" w14:textId="77777777" w:rsidR="002E5034" w:rsidRPr="003E0B98" w:rsidRDefault="002E5034" w:rsidP="004361AC">
      <w:pPr>
        <w:tabs>
          <w:tab w:val="clear" w:pos="567"/>
        </w:tabs>
        <w:spacing w:line="240" w:lineRule="auto"/>
        <w:rPr>
          <w:color w:val="000000"/>
          <w:szCs w:val="22"/>
          <w:lang w:val="es-ES_tradnl"/>
        </w:rPr>
      </w:pPr>
    </w:p>
    <w:p w14:paraId="52EED0EA" w14:textId="77777777" w:rsidR="002E5034" w:rsidRPr="003E0B98" w:rsidRDefault="004F7761" w:rsidP="004361AC">
      <w:pPr>
        <w:tabs>
          <w:tab w:val="clear" w:pos="567"/>
        </w:tabs>
        <w:spacing w:line="240" w:lineRule="auto"/>
        <w:rPr>
          <w:color w:val="000000"/>
          <w:szCs w:val="22"/>
          <w:lang w:val="es-ES_tradnl"/>
        </w:rPr>
      </w:pPr>
      <w:r w:rsidRPr="003E0B98">
        <w:rPr>
          <w:color w:val="000000"/>
          <w:szCs w:val="22"/>
          <w:lang w:val="es-ES"/>
        </w:rPr>
        <w:t xml:space="preserve">Tras la inyección, no tapar la aguja con la cápsula de cierre ni separarla de la jeringa. Eliminar la jeringa usada junto con la aguja en un contenedor para objetos punzantes o </w:t>
      </w:r>
      <w:r w:rsidR="00CD1D62" w:rsidRPr="003E0B98">
        <w:rPr>
          <w:color w:val="000000"/>
          <w:szCs w:val="22"/>
          <w:lang w:val="es-ES"/>
        </w:rPr>
        <w:t xml:space="preserve">eliminar </w:t>
      </w:r>
      <w:r w:rsidRPr="003E0B98">
        <w:rPr>
          <w:color w:val="000000"/>
          <w:szCs w:val="22"/>
          <w:lang w:val="es-ES"/>
        </w:rPr>
        <w:t>de acuerdo con la normativa local.</w:t>
      </w:r>
    </w:p>
    <w:p w14:paraId="2ED18D48" w14:textId="77777777" w:rsidR="002E5034" w:rsidRPr="003E0B98" w:rsidRDefault="002E5034" w:rsidP="004361AC">
      <w:pPr>
        <w:tabs>
          <w:tab w:val="clear" w:pos="567"/>
        </w:tabs>
        <w:spacing w:line="240" w:lineRule="auto"/>
        <w:rPr>
          <w:color w:val="000000"/>
          <w:szCs w:val="22"/>
          <w:lang w:val="es-ES_tradnl"/>
        </w:rPr>
      </w:pPr>
    </w:p>
    <w:p w14:paraId="3825C8B1" w14:textId="77777777" w:rsidR="00F3173A" w:rsidRPr="003E0B98" w:rsidRDefault="00F3173A" w:rsidP="004361AC">
      <w:pPr>
        <w:keepNext/>
        <w:tabs>
          <w:tab w:val="clear" w:pos="567"/>
        </w:tabs>
        <w:spacing w:line="240" w:lineRule="auto"/>
        <w:rPr>
          <w:color w:val="000000"/>
          <w:szCs w:val="22"/>
          <w:u w:val="single"/>
          <w:lang w:val="es-ES_tradnl"/>
        </w:rPr>
      </w:pPr>
      <w:r w:rsidRPr="003E0B98">
        <w:rPr>
          <w:color w:val="000000"/>
          <w:szCs w:val="22"/>
          <w:u w:val="single"/>
          <w:lang w:val="es-ES_tradnl"/>
        </w:rPr>
        <w:t>Uso en la población pediátrica</w:t>
      </w:r>
    </w:p>
    <w:p w14:paraId="1C90F75C" w14:textId="77777777" w:rsidR="00F3173A" w:rsidRPr="003E0B98" w:rsidRDefault="00F3173A" w:rsidP="004361AC">
      <w:pPr>
        <w:keepNext/>
        <w:tabs>
          <w:tab w:val="clear" w:pos="567"/>
        </w:tabs>
        <w:spacing w:line="240" w:lineRule="auto"/>
        <w:rPr>
          <w:color w:val="000000"/>
          <w:szCs w:val="22"/>
          <w:lang w:val="es-ES_tradnl"/>
        </w:rPr>
      </w:pPr>
    </w:p>
    <w:p w14:paraId="006E3BB9" w14:textId="77777777" w:rsidR="002E5034" w:rsidRPr="003E0B98" w:rsidRDefault="00F3173A" w:rsidP="004361AC">
      <w:pPr>
        <w:tabs>
          <w:tab w:val="clear" w:pos="567"/>
        </w:tabs>
        <w:spacing w:line="240" w:lineRule="auto"/>
        <w:rPr>
          <w:color w:val="000000"/>
          <w:szCs w:val="22"/>
          <w:lang w:val="es-ES"/>
        </w:rPr>
      </w:pPr>
      <w:r w:rsidRPr="003E0B98">
        <w:rPr>
          <w:color w:val="000000"/>
          <w:szCs w:val="22"/>
          <w:lang w:val="es-ES"/>
        </w:rPr>
        <w:t xml:space="preserve">Para la preparación de </w:t>
      </w:r>
      <w:proofErr w:type="spellStart"/>
      <w:r w:rsidRPr="003E0B98">
        <w:rPr>
          <w:color w:val="000000"/>
          <w:szCs w:val="22"/>
          <w:lang w:val="es-ES"/>
        </w:rPr>
        <w:t>Lucentis</w:t>
      </w:r>
      <w:proofErr w:type="spellEnd"/>
      <w:r w:rsidRPr="003E0B98">
        <w:rPr>
          <w:color w:val="000000"/>
          <w:szCs w:val="22"/>
          <w:lang w:val="es-ES"/>
        </w:rPr>
        <w:t xml:space="preserve"> para administración intravítrea en </w:t>
      </w:r>
      <w:r w:rsidRPr="003E0B98">
        <w:rPr>
          <w:b/>
          <w:color w:val="000000"/>
          <w:szCs w:val="22"/>
          <w:lang w:val="es-ES"/>
        </w:rPr>
        <w:t xml:space="preserve">recién nacidos </w:t>
      </w:r>
      <w:r w:rsidR="003400BD" w:rsidRPr="003E0B98">
        <w:rPr>
          <w:b/>
          <w:color w:val="000000"/>
          <w:szCs w:val="22"/>
          <w:lang w:val="es-ES"/>
        </w:rPr>
        <w:t>pretérmino</w:t>
      </w:r>
      <w:r w:rsidRPr="003E0B98">
        <w:rPr>
          <w:color w:val="000000"/>
          <w:szCs w:val="22"/>
          <w:lang w:val="es-ES"/>
        </w:rPr>
        <w:t>, siga las instrucciones de uso incluidas en el kit VISISURE.</w:t>
      </w:r>
    </w:p>
    <w:p w14:paraId="1FF5DDA2" w14:textId="77777777" w:rsidR="00F3173A" w:rsidRPr="003E0B98" w:rsidRDefault="00F3173A" w:rsidP="004361AC">
      <w:pPr>
        <w:tabs>
          <w:tab w:val="clear" w:pos="567"/>
        </w:tabs>
        <w:spacing w:line="240" w:lineRule="auto"/>
        <w:rPr>
          <w:color w:val="000000"/>
          <w:szCs w:val="22"/>
          <w:lang w:val="es-ES"/>
        </w:rPr>
      </w:pPr>
    </w:p>
    <w:p w14:paraId="364456E3" w14:textId="77777777" w:rsidR="00F3173A" w:rsidRPr="003E0B98" w:rsidRDefault="00F3173A" w:rsidP="004361AC">
      <w:pPr>
        <w:tabs>
          <w:tab w:val="clear" w:pos="567"/>
        </w:tabs>
        <w:spacing w:line="240" w:lineRule="auto"/>
        <w:rPr>
          <w:color w:val="000000"/>
          <w:szCs w:val="22"/>
          <w:lang w:val="es-ES"/>
        </w:rPr>
      </w:pPr>
    </w:p>
    <w:p w14:paraId="76C608EF" w14:textId="77777777" w:rsidR="002E5034" w:rsidRPr="003E0B98" w:rsidRDefault="002E5034" w:rsidP="004361AC">
      <w:pPr>
        <w:keepNext/>
        <w:tabs>
          <w:tab w:val="clear" w:pos="567"/>
        </w:tabs>
        <w:spacing w:line="240" w:lineRule="auto"/>
        <w:ind w:left="567" w:hanging="567"/>
        <w:rPr>
          <w:color w:val="000000"/>
          <w:szCs w:val="22"/>
          <w:lang w:val="es-ES_tradnl"/>
        </w:rPr>
      </w:pPr>
      <w:r w:rsidRPr="003E0B98">
        <w:rPr>
          <w:b/>
          <w:color w:val="000000"/>
          <w:szCs w:val="22"/>
          <w:lang w:val="es-ES_tradnl"/>
        </w:rPr>
        <w:t>7.</w:t>
      </w:r>
      <w:r w:rsidRPr="003E0B98">
        <w:rPr>
          <w:b/>
          <w:color w:val="000000"/>
          <w:szCs w:val="22"/>
          <w:lang w:val="es-ES_tradnl"/>
        </w:rPr>
        <w:tab/>
      </w:r>
      <w:r w:rsidRPr="003E0B98">
        <w:rPr>
          <w:b/>
          <w:noProof/>
          <w:color w:val="000000"/>
          <w:lang w:val="es-ES_tradnl"/>
        </w:rPr>
        <w:t>TITULAR DE LA AUTORIZACIÓN DE COMERCIALIZACIÓN</w:t>
      </w:r>
    </w:p>
    <w:p w14:paraId="26519F7A" w14:textId="77777777" w:rsidR="002E5034" w:rsidRPr="003E0B98" w:rsidRDefault="002E5034" w:rsidP="004361AC">
      <w:pPr>
        <w:keepNext/>
        <w:tabs>
          <w:tab w:val="clear" w:pos="567"/>
        </w:tabs>
        <w:spacing w:line="240" w:lineRule="auto"/>
        <w:rPr>
          <w:color w:val="000000"/>
          <w:szCs w:val="22"/>
          <w:lang w:val="es-ES_tradnl"/>
        </w:rPr>
      </w:pPr>
    </w:p>
    <w:p w14:paraId="245FDF78" w14:textId="77777777" w:rsidR="002E5034" w:rsidRPr="003E0B98" w:rsidRDefault="002E5034" w:rsidP="004361AC">
      <w:pPr>
        <w:keepNext/>
        <w:tabs>
          <w:tab w:val="clear" w:pos="567"/>
        </w:tabs>
        <w:spacing w:line="240" w:lineRule="auto"/>
        <w:rPr>
          <w:color w:val="000000"/>
          <w:szCs w:val="22"/>
        </w:rPr>
      </w:pPr>
      <w:r w:rsidRPr="003E0B98">
        <w:rPr>
          <w:color w:val="000000"/>
          <w:szCs w:val="22"/>
        </w:rPr>
        <w:t xml:space="preserve">Novartis </w:t>
      </w:r>
      <w:proofErr w:type="spellStart"/>
      <w:r w:rsidRPr="003E0B98">
        <w:rPr>
          <w:color w:val="000000"/>
          <w:szCs w:val="22"/>
        </w:rPr>
        <w:t>Europharm</w:t>
      </w:r>
      <w:proofErr w:type="spellEnd"/>
      <w:r w:rsidRPr="003E0B98">
        <w:rPr>
          <w:color w:val="000000"/>
          <w:szCs w:val="22"/>
        </w:rPr>
        <w:t xml:space="preserve"> Limited</w:t>
      </w:r>
    </w:p>
    <w:p w14:paraId="0D0CB166" w14:textId="77777777" w:rsidR="00442EE6" w:rsidRPr="003E0B98" w:rsidRDefault="00442EE6" w:rsidP="004361AC">
      <w:pPr>
        <w:keepNext/>
        <w:spacing w:line="240" w:lineRule="auto"/>
        <w:rPr>
          <w:color w:val="000000"/>
        </w:rPr>
      </w:pPr>
      <w:r w:rsidRPr="003E0B98">
        <w:rPr>
          <w:color w:val="000000"/>
        </w:rPr>
        <w:t>Vista Building</w:t>
      </w:r>
    </w:p>
    <w:p w14:paraId="3AFE4F60" w14:textId="77777777" w:rsidR="00442EE6" w:rsidRPr="003E0B98" w:rsidRDefault="00442EE6" w:rsidP="004361AC">
      <w:pPr>
        <w:keepNext/>
        <w:spacing w:line="240" w:lineRule="auto"/>
        <w:rPr>
          <w:color w:val="000000"/>
        </w:rPr>
      </w:pPr>
      <w:r w:rsidRPr="003E0B98">
        <w:rPr>
          <w:color w:val="000000"/>
        </w:rPr>
        <w:t>Elm Park, Merrion Road</w:t>
      </w:r>
    </w:p>
    <w:p w14:paraId="4937EDFE" w14:textId="77777777" w:rsidR="00442EE6" w:rsidRPr="003E0B98" w:rsidRDefault="00442EE6" w:rsidP="004361AC">
      <w:pPr>
        <w:keepNext/>
        <w:spacing w:line="240" w:lineRule="auto"/>
        <w:rPr>
          <w:color w:val="000000"/>
          <w:lang w:val="es-ES"/>
        </w:rPr>
      </w:pPr>
      <w:proofErr w:type="spellStart"/>
      <w:r w:rsidRPr="003E0B98">
        <w:rPr>
          <w:color w:val="000000"/>
          <w:lang w:val="es-ES"/>
        </w:rPr>
        <w:t>Dublin</w:t>
      </w:r>
      <w:proofErr w:type="spellEnd"/>
      <w:r w:rsidRPr="003E0B98">
        <w:rPr>
          <w:color w:val="000000"/>
          <w:lang w:val="es-ES"/>
        </w:rPr>
        <w:t xml:space="preserve"> 4</w:t>
      </w:r>
    </w:p>
    <w:p w14:paraId="01B1F422" w14:textId="77777777" w:rsidR="002E5034" w:rsidRPr="003E0B98" w:rsidRDefault="00442EE6" w:rsidP="004361AC">
      <w:pPr>
        <w:tabs>
          <w:tab w:val="clear" w:pos="567"/>
        </w:tabs>
        <w:spacing w:line="240" w:lineRule="auto"/>
        <w:rPr>
          <w:color w:val="000000"/>
          <w:szCs w:val="22"/>
          <w:lang w:val="es-ES_tradnl"/>
        </w:rPr>
      </w:pPr>
      <w:r w:rsidRPr="003E0B98">
        <w:rPr>
          <w:color w:val="000000"/>
          <w:lang w:val="es-ES"/>
        </w:rPr>
        <w:t>Irlanda</w:t>
      </w:r>
    </w:p>
    <w:p w14:paraId="22EF5B13" w14:textId="77777777" w:rsidR="002E5034" w:rsidRPr="003E0B98" w:rsidRDefault="002E5034" w:rsidP="004361AC">
      <w:pPr>
        <w:tabs>
          <w:tab w:val="clear" w:pos="567"/>
        </w:tabs>
        <w:spacing w:line="240" w:lineRule="auto"/>
        <w:rPr>
          <w:color w:val="000000"/>
          <w:szCs w:val="22"/>
          <w:lang w:val="es-ES_tradnl"/>
        </w:rPr>
      </w:pPr>
    </w:p>
    <w:p w14:paraId="5385AD83" w14:textId="77777777" w:rsidR="002E5034" w:rsidRPr="003E0B98" w:rsidRDefault="002E5034" w:rsidP="004361AC">
      <w:pPr>
        <w:tabs>
          <w:tab w:val="clear" w:pos="567"/>
        </w:tabs>
        <w:spacing w:line="240" w:lineRule="auto"/>
        <w:rPr>
          <w:color w:val="000000"/>
          <w:szCs w:val="22"/>
          <w:lang w:val="es-ES_tradnl"/>
        </w:rPr>
      </w:pPr>
    </w:p>
    <w:p w14:paraId="4A5E619E" w14:textId="77777777" w:rsidR="002E5034" w:rsidRPr="003E0B98" w:rsidRDefault="002E5034" w:rsidP="004361AC">
      <w:pPr>
        <w:keepNext/>
        <w:tabs>
          <w:tab w:val="clear" w:pos="567"/>
        </w:tabs>
        <w:spacing w:line="240" w:lineRule="auto"/>
        <w:ind w:left="567" w:hanging="567"/>
        <w:rPr>
          <w:b/>
          <w:color w:val="000000"/>
          <w:szCs w:val="22"/>
          <w:lang w:val="es-ES_tradnl"/>
        </w:rPr>
      </w:pPr>
      <w:r w:rsidRPr="003E0B98">
        <w:rPr>
          <w:b/>
          <w:color w:val="000000"/>
          <w:szCs w:val="22"/>
          <w:lang w:val="es-ES_tradnl"/>
        </w:rPr>
        <w:t>8.</w:t>
      </w:r>
      <w:r w:rsidRPr="003E0B98">
        <w:rPr>
          <w:b/>
          <w:color w:val="000000"/>
          <w:szCs w:val="22"/>
          <w:lang w:val="es-ES_tradnl"/>
        </w:rPr>
        <w:tab/>
      </w:r>
      <w:r w:rsidRPr="003E0B98">
        <w:rPr>
          <w:b/>
          <w:color w:val="000000"/>
          <w:szCs w:val="22"/>
          <w:lang w:val="es-ES"/>
        </w:rPr>
        <w:t>NÚMERO(S) DE AUTORIZACIÓN DE COMERCIALIZACIÓN</w:t>
      </w:r>
    </w:p>
    <w:p w14:paraId="52B4D9FF" w14:textId="462DB048" w:rsidR="002E5034" w:rsidRPr="003E0B98" w:rsidRDefault="002E5034" w:rsidP="004361AC">
      <w:pPr>
        <w:keepNext/>
        <w:rPr>
          <w:color w:val="000000"/>
          <w:szCs w:val="22"/>
          <w:lang w:val="es-ES_tradnl"/>
        </w:rPr>
      </w:pPr>
    </w:p>
    <w:p w14:paraId="7F1BF56F" w14:textId="77777777" w:rsidR="00510B8A" w:rsidRPr="003E0B98" w:rsidRDefault="00510B8A" w:rsidP="004361AC">
      <w:pPr>
        <w:keepNext/>
        <w:tabs>
          <w:tab w:val="clear" w:pos="567"/>
        </w:tabs>
        <w:spacing w:line="240" w:lineRule="auto"/>
        <w:rPr>
          <w:color w:val="000000"/>
          <w:lang w:val="es-ES"/>
        </w:rPr>
      </w:pPr>
      <w:r w:rsidRPr="003E0B98">
        <w:rPr>
          <w:color w:val="000000"/>
          <w:szCs w:val="22"/>
          <w:lang w:val="es-ES"/>
        </w:rPr>
        <w:t>EU/1/06/374/002</w:t>
      </w:r>
    </w:p>
    <w:p w14:paraId="6EA38F71" w14:textId="77777777" w:rsidR="00510B8A" w:rsidRPr="003E0B98" w:rsidRDefault="00510B8A" w:rsidP="004361AC">
      <w:pPr>
        <w:rPr>
          <w:color w:val="000000"/>
          <w:szCs w:val="22"/>
          <w:lang w:val="es-ES_tradnl"/>
        </w:rPr>
      </w:pPr>
      <w:r w:rsidRPr="003E0B98">
        <w:rPr>
          <w:color w:val="000000"/>
          <w:szCs w:val="22"/>
          <w:lang w:val="es-ES"/>
        </w:rPr>
        <w:t>EU/1/06/374/004</w:t>
      </w:r>
    </w:p>
    <w:p w14:paraId="13C2E674" w14:textId="77777777" w:rsidR="002E5034" w:rsidRPr="003E0B98" w:rsidRDefault="002E5034" w:rsidP="004361AC">
      <w:pPr>
        <w:tabs>
          <w:tab w:val="clear" w:pos="567"/>
        </w:tabs>
        <w:spacing w:line="240" w:lineRule="auto"/>
        <w:rPr>
          <w:color w:val="000000"/>
          <w:szCs w:val="22"/>
          <w:lang w:val="es-ES_tradnl"/>
        </w:rPr>
      </w:pPr>
    </w:p>
    <w:p w14:paraId="370FA21E" w14:textId="77777777" w:rsidR="002E5034" w:rsidRPr="003E0B98" w:rsidRDefault="002E5034" w:rsidP="004361AC">
      <w:pPr>
        <w:tabs>
          <w:tab w:val="clear" w:pos="567"/>
        </w:tabs>
        <w:spacing w:line="240" w:lineRule="auto"/>
        <w:rPr>
          <w:color w:val="000000"/>
          <w:szCs w:val="22"/>
          <w:lang w:val="es-ES_tradnl"/>
        </w:rPr>
      </w:pPr>
    </w:p>
    <w:p w14:paraId="6DCB38A8" w14:textId="77777777" w:rsidR="002E5034" w:rsidRPr="003E0B98" w:rsidRDefault="002E5034" w:rsidP="004361AC">
      <w:pPr>
        <w:keepNext/>
        <w:tabs>
          <w:tab w:val="clear" w:pos="567"/>
        </w:tabs>
        <w:spacing w:line="240" w:lineRule="auto"/>
        <w:ind w:left="567" w:hanging="567"/>
        <w:rPr>
          <w:color w:val="000000"/>
          <w:szCs w:val="22"/>
          <w:lang w:val="es-ES_tradnl"/>
        </w:rPr>
      </w:pPr>
      <w:r w:rsidRPr="003E0B98">
        <w:rPr>
          <w:b/>
          <w:color w:val="000000"/>
          <w:szCs w:val="22"/>
          <w:lang w:val="es-ES_tradnl"/>
        </w:rPr>
        <w:t>9.</w:t>
      </w:r>
      <w:r w:rsidRPr="003E0B98">
        <w:rPr>
          <w:b/>
          <w:color w:val="000000"/>
          <w:szCs w:val="22"/>
          <w:lang w:val="es-ES_tradnl"/>
        </w:rPr>
        <w:tab/>
      </w:r>
      <w:r w:rsidRPr="003E0B98">
        <w:rPr>
          <w:b/>
          <w:noProof/>
          <w:color w:val="000000"/>
          <w:lang w:val="es-ES_tradnl"/>
        </w:rPr>
        <w:t>FECHA DE LA PRIMERA AUTORIZACIÓN/RENOVACIÓN DE LA AUTORIZACIÓN</w:t>
      </w:r>
    </w:p>
    <w:p w14:paraId="2849641E" w14:textId="77777777" w:rsidR="002E5034" w:rsidRPr="003E0B98" w:rsidRDefault="002E5034" w:rsidP="004361AC">
      <w:pPr>
        <w:keepNext/>
        <w:tabs>
          <w:tab w:val="clear" w:pos="567"/>
        </w:tabs>
        <w:spacing w:line="240" w:lineRule="auto"/>
        <w:rPr>
          <w:color w:val="000000"/>
          <w:szCs w:val="22"/>
          <w:lang w:val="es-ES_tradnl"/>
        </w:rPr>
      </w:pPr>
    </w:p>
    <w:p w14:paraId="229299B5" w14:textId="5708654D" w:rsidR="002E5034" w:rsidRPr="003E0B98" w:rsidRDefault="002E5034" w:rsidP="004361AC">
      <w:pPr>
        <w:tabs>
          <w:tab w:val="clear" w:pos="567"/>
        </w:tabs>
        <w:spacing w:line="240" w:lineRule="auto"/>
        <w:rPr>
          <w:color w:val="000000"/>
          <w:szCs w:val="22"/>
          <w:lang w:val="es-ES_tradnl"/>
        </w:rPr>
      </w:pPr>
      <w:r w:rsidRPr="003E0B98">
        <w:rPr>
          <w:color w:val="000000"/>
          <w:szCs w:val="22"/>
          <w:lang w:val="es-ES_tradnl"/>
        </w:rPr>
        <w:t>Fecha de la primera autorización: 22</w:t>
      </w:r>
      <w:r w:rsidR="000B452F" w:rsidRPr="003E0B98">
        <w:rPr>
          <w:color w:val="000000"/>
          <w:szCs w:val="22"/>
          <w:lang w:val="es-ES_tradnl"/>
        </w:rPr>
        <w:t xml:space="preserve"> </w:t>
      </w:r>
      <w:r w:rsidR="00B73F9E" w:rsidRPr="003E0B98">
        <w:rPr>
          <w:color w:val="000000"/>
          <w:szCs w:val="22"/>
          <w:lang w:val="es-ES_tradnl"/>
        </w:rPr>
        <w:t>e</w:t>
      </w:r>
      <w:r w:rsidRPr="003E0B98">
        <w:rPr>
          <w:color w:val="000000"/>
          <w:szCs w:val="22"/>
          <w:lang w:val="es-ES_tradnl"/>
        </w:rPr>
        <w:t>nero</w:t>
      </w:r>
      <w:r w:rsidR="000B452F" w:rsidRPr="003E0B98">
        <w:rPr>
          <w:color w:val="000000"/>
          <w:szCs w:val="22"/>
          <w:lang w:val="es-ES_tradnl"/>
        </w:rPr>
        <w:t xml:space="preserve"> </w:t>
      </w:r>
      <w:r w:rsidRPr="003E0B98">
        <w:rPr>
          <w:color w:val="000000"/>
          <w:szCs w:val="22"/>
          <w:lang w:val="es-ES_tradnl"/>
        </w:rPr>
        <w:t>2007</w:t>
      </w:r>
    </w:p>
    <w:p w14:paraId="6D1F812E" w14:textId="72CA5775" w:rsidR="002E5034" w:rsidRPr="003E0B98" w:rsidRDefault="002E5034" w:rsidP="004361AC">
      <w:pPr>
        <w:tabs>
          <w:tab w:val="clear" w:pos="567"/>
        </w:tabs>
        <w:spacing w:line="240" w:lineRule="auto"/>
        <w:rPr>
          <w:color w:val="000000"/>
          <w:szCs w:val="22"/>
          <w:lang w:val="es-ES_tradnl"/>
        </w:rPr>
      </w:pPr>
      <w:r w:rsidRPr="003E0B98">
        <w:rPr>
          <w:color w:val="000000"/>
          <w:szCs w:val="22"/>
          <w:lang w:val="es-ES_tradnl"/>
        </w:rPr>
        <w:t xml:space="preserve">Fecha de la última renovación: </w:t>
      </w:r>
      <w:r w:rsidR="000B452F" w:rsidRPr="003E0B98">
        <w:rPr>
          <w:color w:val="000000"/>
          <w:szCs w:val="22"/>
          <w:lang w:val="es-ES_tradnl"/>
        </w:rPr>
        <w:t>11 noviembre 2016</w:t>
      </w:r>
    </w:p>
    <w:p w14:paraId="6CABA60A" w14:textId="77777777" w:rsidR="002E5034" w:rsidRPr="003E0B98" w:rsidRDefault="002E5034" w:rsidP="004361AC">
      <w:pPr>
        <w:tabs>
          <w:tab w:val="clear" w:pos="567"/>
        </w:tabs>
        <w:spacing w:line="240" w:lineRule="auto"/>
        <w:rPr>
          <w:color w:val="000000"/>
          <w:szCs w:val="22"/>
          <w:lang w:val="es-ES_tradnl"/>
        </w:rPr>
      </w:pPr>
    </w:p>
    <w:p w14:paraId="100DAFDE" w14:textId="77777777" w:rsidR="002E5034" w:rsidRPr="003E0B98" w:rsidRDefault="002E5034" w:rsidP="004361AC">
      <w:pPr>
        <w:tabs>
          <w:tab w:val="clear" w:pos="567"/>
        </w:tabs>
        <w:spacing w:line="240" w:lineRule="auto"/>
        <w:rPr>
          <w:color w:val="000000"/>
          <w:szCs w:val="22"/>
          <w:lang w:val="es-ES_tradnl"/>
        </w:rPr>
      </w:pPr>
    </w:p>
    <w:p w14:paraId="78209037" w14:textId="77777777" w:rsidR="002E5034" w:rsidRPr="003E0B98" w:rsidRDefault="002E5034" w:rsidP="004361AC">
      <w:pPr>
        <w:tabs>
          <w:tab w:val="clear" w:pos="567"/>
        </w:tabs>
        <w:spacing w:line="240" w:lineRule="auto"/>
        <w:ind w:left="567" w:hanging="567"/>
        <w:rPr>
          <w:b/>
          <w:color w:val="000000"/>
          <w:szCs w:val="22"/>
          <w:lang w:val="es-ES"/>
        </w:rPr>
      </w:pPr>
      <w:r w:rsidRPr="003E0B98">
        <w:rPr>
          <w:b/>
          <w:color w:val="000000"/>
          <w:szCs w:val="22"/>
          <w:lang w:val="es-ES_tradnl"/>
        </w:rPr>
        <w:t>10.</w:t>
      </w:r>
      <w:r w:rsidRPr="003E0B98">
        <w:rPr>
          <w:b/>
          <w:color w:val="000000"/>
          <w:szCs w:val="22"/>
          <w:lang w:val="es-ES_tradnl"/>
        </w:rPr>
        <w:tab/>
      </w:r>
      <w:r w:rsidRPr="003E0B98">
        <w:rPr>
          <w:b/>
          <w:color w:val="000000"/>
          <w:szCs w:val="22"/>
          <w:lang w:val="es-ES"/>
        </w:rPr>
        <w:t>FECHA DE LA REVISIÓN DEL TEXTO</w:t>
      </w:r>
    </w:p>
    <w:p w14:paraId="14499381" w14:textId="77777777" w:rsidR="002E5034" w:rsidRPr="003E0B98" w:rsidRDefault="002E5034" w:rsidP="004361AC">
      <w:pPr>
        <w:tabs>
          <w:tab w:val="clear" w:pos="567"/>
        </w:tabs>
        <w:spacing w:line="240" w:lineRule="auto"/>
        <w:ind w:left="567" w:hanging="567"/>
        <w:rPr>
          <w:color w:val="000000"/>
          <w:szCs w:val="22"/>
          <w:lang w:val="es-ES"/>
        </w:rPr>
      </w:pPr>
    </w:p>
    <w:p w14:paraId="65AC89B6" w14:textId="77777777" w:rsidR="002E5034" w:rsidRPr="003E0B98" w:rsidRDefault="002E5034" w:rsidP="004361AC">
      <w:pPr>
        <w:tabs>
          <w:tab w:val="clear" w:pos="567"/>
        </w:tabs>
        <w:spacing w:line="240" w:lineRule="auto"/>
        <w:ind w:left="567" w:hanging="567"/>
        <w:rPr>
          <w:color w:val="000000"/>
          <w:szCs w:val="22"/>
          <w:lang w:val="es-ES"/>
        </w:rPr>
      </w:pPr>
    </w:p>
    <w:p w14:paraId="272C00C2" w14:textId="77777777" w:rsidR="002E5034" w:rsidRPr="003E0B98" w:rsidRDefault="002E5034" w:rsidP="004361AC">
      <w:pPr>
        <w:tabs>
          <w:tab w:val="clear" w:pos="567"/>
        </w:tabs>
        <w:spacing w:line="240" w:lineRule="auto"/>
        <w:rPr>
          <w:color w:val="000000"/>
          <w:szCs w:val="22"/>
          <w:lang w:val="es-ES_tradnl"/>
        </w:rPr>
      </w:pPr>
      <w:r w:rsidRPr="003E0B98">
        <w:rPr>
          <w:color w:val="000000"/>
          <w:szCs w:val="22"/>
          <w:lang w:val="es-ES"/>
        </w:rPr>
        <w:t xml:space="preserve">La información detallada de este medicamento está disponible en la página web de la Agencia Europea de Medicamentos </w:t>
      </w:r>
      <w:hyperlink r:id="rId16" w:history="1">
        <w:r w:rsidR="004C5BFF" w:rsidRPr="003E0B98">
          <w:rPr>
            <w:rStyle w:val="Hyperlink"/>
            <w:szCs w:val="22"/>
            <w:lang w:val="es-ES_tradnl"/>
          </w:rPr>
          <w:t>http://www.ema.europa.eu</w:t>
        </w:r>
      </w:hyperlink>
    </w:p>
    <w:p w14:paraId="5E25CCB2" w14:textId="77777777" w:rsidR="004C5BFF" w:rsidRPr="003E0B98" w:rsidRDefault="004C5BFF" w:rsidP="004361AC">
      <w:pPr>
        <w:tabs>
          <w:tab w:val="clear" w:pos="567"/>
        </w:tabs>
        <w:spacing w:line="240" w:lineRule="auto"/>
        <w:rPr>
          <w:color w:val="000000"/>
          <w:szCs w:val="22"/>
          <w:lang w:val="es-ES_tradnl"/>
        </w:rPr>
      </w:pPr>
    </w:p>
    <w:p w14:paraId="6B2AA7AC" w14:textId="77777777" w:rsidR="00E36F43" w:rsidRPr="003E0B98" w:rsidRDefault="002E5034" w:rsidP="004361AC">
      <w:pPr>
        <w:tabs>
          <w:tab w:val="clear" w:pos="567"/>
        </w:tabs>
        <w:spacing w:line="240" w:lineRule="auto"/>
        <w:rPr>
          <w:color w:val="000000"/>
          <w:szCs w:val="22"/>
          <w:lang w:val="es-ES_tradnl"/>
        </w:rPr>
      </w:pPr>
      <w:r w:rsidRPr="003E0B98">
        <w:rPr>
          <w:b/>
          <w:color w:val="000000"/>
          <w:szCs w:val="22"/>
          <w:lang w:val="es-ES"/>
        </w:rPr>
        <w:br w:type="page"/>
      </w:r>
      <w:r w:rsidR="00E36F43" w:rsidRPr="003E0B98">
        <w:rPr>
          <w:b/>
          <w:color w:val="000000"/>
          <w:szCs w:val="22"/>
          <w:lang w:val="es-ES_tradnl"/>
        </w:rPr>
        <w:t>1.</w:t>
      </w:r>
      <w:r w:rsidR="00E36F43" w:rsidRPr="003E0B98">
        <w:rPr>
          <w:b/>
          <w:color w:val="000000"/>
          <w:szCs w:val="22"/>
          <w:lang w:val="es-ES_tradnl"/>
        </w:rPr>
        <w:tab/>
        <w:t xml:space="preserve">NOMBRE </w:t>
      </w:r>
      <w:r w:rsidR="00E36F43" w:rsidRPr="003E0B98">
        <w:rPr>
          <w:b/>
          <w:noProof/>
          <w:color w:val="000000"/>
          <w:lang w:val="es-ES_tradnl"/>
        </w:rPr>
        <w:t>DEL MEDICAMENTO</w:t>
      </w:r>
    </w:p>
    <w:p w14:paraId="5E6F579C" w14:textId="77777777" w:rsidR="00E36F43" w:rsidRPr="003E0B98" w:rsidRDefault="00E36F43" w:rsidP="004361AC">
      <w:pPr>
        <w:tabs>
          <w:tab w:val="clear" w:pos="567"/>
        </w:tabs>
        <w:spacing w:line="240" w:lineRule="auto"/>
        <w:rPr>
          <w:iCs/>
          <w:color w:val="000000"/>
          <w:szCs w:val="22"/>
          <w:lang w:val="es-ES_tradnl"/>
        </w:rPr>
      </w:pPr>
    </w:p>
    <w:p w14:paraId="7080EBB0" w14:textId="77777777" w:rsidR="00E36F43" w:rsidRPr="003E0B98" w:rsidRDefault="00E36F43" w:rsidP="004361AC">
      <w:pPr>
        <w:pStyle w:val="Text"/>
        <w:spacing w:before="0"/>
        <w:jc w:val="left"/>
        <w:rPr>
          <w:color w:val="000000"/>
          <w:sz w:val="22"/>
          <w:szCs w:val="22"/>
          <w:lang w:val="es-ES"/>
        </w:rPr>
      </w:pPr>
      <w:proofErr w:type="spellStart"/>
      <w:r w:rsidRPr="003E0B98">
        <w:rPr>
          <w:color w:val="000000"/>
          <w:sz w:val="22"/>
          <w:szCs w:val="22"/>
          <w:lang w:val="es-ES"/>
        </w:rPr>
        <w:t>Lucentis</w:t>
      </w:r>
      <w:proofErr w:type="spellEnd"/>
      <w:r w:rsidRPr="003E0B98">
        <w:rPr>
          <w:color w:val="000000"/>
          <w:sz w:val="22"/>
          <w:szCs w:val="22"/>
          <w:lang w:val="es-ES"/>
        </w:rPr>
        <w:t xml:space="preserve"> 10 mg/ml solución inyectable</w:t>
      </w:r>
      <w:r w:rsidR="008023E8" w:rsidRPr="003E0B98">
        <w:rPr>
          <w:color w:val="000000"/>
          <w:sz w:val="22"/>
          <w:szCs w:val="22"/>
          <w:lang w:val="es-ES"/>
        </w:rPr>
        <w:t xml:space="preserve"> en jeringa precargada</w:t>
      </w:r>
    </w:p>
    <w:p w14:paraId="1CDEADFC" w14:textId="77777777" w:rsidR="00E36F43" w:rsidRPr="003E0B98" w:rsidRDefault="00E36F43" w:rsidP="004361AC">
      <w:pPr>
        <w:autoSpaceDE w:val="0"/>
        <w:autoSpaceDN w:val="0"/>
        <w:adjustRightInd w:val="0"/>
        <w:rPr>
          <w:color w:val="000000"/>
          <w:szCs w:val="22"/>
          <w:lang w:val="es-ES"/>
        </w:rPr>
      </w:pPr>
    </w:p>
    <w:p w14:paraId="25C55784" w14:textId="77777777" w:rsidR="00E36F43" w:rsidRPr="003E0B98" w:rsidRDefault="00E36F43" w:rsidP="004361AC">
      <w:pPr>
        <w:tabs>
          <w:tab w:val="clear" w:pos="567"/>
        </w:tabs>
        <w:spacing w:line="240" w:lineRule="auto"/>
        <w:rPr>
          <w:bCs/>
          <w:color w:val="000000"/>
          <w:szCs w:val="22"/>
          <w:lang w:val="es-ES"/>
        </w:rPr>
      </w:pPr>
    </w:p>
    <w:p w14:paraId="1EBB3AEC" w14:textId="77777777" w:rsidR="00E36F43" w:rsidRPr="003E0B98" w:rsidRDefault="00E36F43" w:rsidP="004361AC">
      <w:pPr>
        <w:keepNext/>
        <w:tabs>
          <w:tab w:val="clear" w:pos="567"/>
        </w:tabs>
        <w:spacing w:line="240" w:lineRule="auto"/>
        <w:rPr>
          <w:color w:val="000000"/>
          <w:szCs w:val="22"/>
          <w:lang w:val="es-ES"/>
        </w:rPr>
      </w:pPr>
      <w:r w:rsidRPr="003E0B98">
        <w:rPr>
          <w:b/>
          <w:color w:val="000000"/>
          <w:szCs w:val="22"/>
          <w:lang w:val="es-ES"/>
        </w:rPr>
        <w:t>2.</w:t>
      </w:r>
      <w:r w:rsidRPr="003E0B98">
        <w:rPr>
          <w:b/>
          <w:color w:val="000000"/>
          <w:szCs w:val="22"/>
          <w:lang w:val="es-ES"/>
        </w:rPr>
        <w:tab/>
      </w:r>
      <w:r w:rsidRPr="003E0B98">
        <w:rPr>
          <w:b/>
          <w:noProof/>
          <w:color w:val="000000"/>
          <w:lang w:val="es-ES_tradnl"/>
        </w:rPr>
        <w:t>COMPOSICIÓN CUALITATIVA Y CUANTITATIVA</w:t>
      </w:r>
    </w:p>
    <w:p w14:paraId="0FD02CA8" w14:textId="77777777" w:rsidR="00E36F43" w:rsidRPr="003E0B98" w:rsidRDefault="00E36F43" w:rsidP="004361AC">
      <w:pPr>
        <w:keepNext/>
        <w:tabs>
          <w:tab w:val="clear" w:pos="567"/>
        </w:tabs>
        <w:spacing w:line="240" w:lineRule="auto"/>
        <w:rPr>
          <w:bCs/>
          <w:color w:val="000000"/>
          <w:szCs w:val="22"/>
          <w:lang w:val="es-ES"/>
        </w:rPr>
      </w:pPr>
    </w:p>
    <w:p w14:paraId="404DCFFF" w14:textId="77777777" w:rsidR="00E36F43" w:rsidRPr="003E0B98" w:rsidRDefault="00E36F43" w:rsidP="004361AC">
      <w:pPr>
        <w:tabs>
          <w:tab w:val="clear" w:pos="567"/>
        </w:tabs>
        <w:spacing w:line="240" w:lineRule="auto"/>
        <w:rPr>
          <w:color w:val="000000"/>
          <w:szCs w:val="22"/>
          <w:lang w:val="es-ES"/>
        </w:rPr>
      </w:pPr>
      <w:r w:rsidRPr="003E0B98">
        <w:rPr>
          <w:color w:val="000000"/>
          <w:szCs w:val="22"/>
          <w:lang w:val="es-ES"/>
        </w:rPr>
        <w:t xml:space="preserve">Un ml contiene 10 mg de </w:t>
      </w:r>
      <w:proofErr w:type="spellStart"/>
      <w:r w:rsidRPr="003E0B98">
        <w:rPr>
          <w:color w:val="000000"/>
          <w:szCs w:val="22"/>
          <w:lang w:val="es-ES"/>
        </w:rPr>
        <w:t>ranibizumab</w:t>
      </w:r>
      <w:proofErr w:type="spellEnd"/>
      <w:r w:rsidRPr="003E0B98">
        <w:rPr>
          <w:color w:val="000000"/>
          <w:szCs w:val="22"/>
          <w:lang w:val="es-ES_tradnl"/>
        </w:rPr>
        <w:t>*</w:t>
      </w:r>
      <w:r w:rsidRPr="003E0B98">
        <w:rPr>
          <w:color w:val="000000"/>
          <w:szCs w:val="22"/>
          <w:lang w:val="es-ES"/>
        </w:rPr>
        <w:t xml:space="preserve">. </w:t>
      </w:r>
      <w:r w:rsidR="008023E8" w:rsidRPr="003E0B98">
        <w:rPr>
          <w:color w:val="000000"/>
          <w:szCs w:val="22"/>
          <w:lang w:val="es-ES"/>
        </w:rPr>
        <w:t xml:space="preserve">Una jeringa precargada contiene </w:t>
      </w:r>
      <w:r w:rsidR="00F046B5" w:rsidRPr="003E0B98">
        <w:rPr>
          <w:color w:val="000000"/>
          <w:szCs w:val="22"/>
          <w:lang w:val="es-ES"/>
        </w:rPr>
        <w:t>0,165 ml</w:t>
      </w:r>
      <w:r w:rsidR="008023E8" w:rsidRPr="003E0B98">
        <w:rPr>
          <w:color w:val="000000"/>
          <w:szCs w:val="22"/>
          <w:lang w:val="es-ES"/>
        </w:rPr>
        <w:t xml:space="preserve">, equivalente a 1,65 mg de </w:t>
      </w:r>
      <w:proofErr w:type="spellStart"/>
      <w:r w:rsidR="008023E8" w:rsidRPr="003E0B98">
        <w:rPr>
          <w:color w:val="000000"/>
          <w:szCs w:val="22"/>
          <w:lang w:val="es-ES"/>
        </w:rPr>
        <w:t>ranibizumab</w:t>
      </w:r>
      <w:proofErr w:type="spellEnd"/>
      <w:r w:rsidR="008023E8" w:rsidRPr="003E0B98">
        <w:rPr>
          <w:color w:val="000000"/>
          <w:szCs w:val="22"/>
          <w:lang w:val="es-ES"/>
        </w:rPr>
        <w:t xml:space="preserve">. </w:t>
      </w:r>
      <w:r w:rsidR="004930B3" w:rsidRPr="003E0B98">
        <w:rPr>
          <w:color w:val="000000"/>
          <w:szCs w:val="22"/>
          <w:lang w:val="es-ES"/>
        </w:rPr>
        <w:t xml:space="preserve">El volumen extraíble de una jeringa precargada es 0,1 ml. </w:t>
      </w:r>
      <w:r w:rsidR="008537FE" w:rsidRPr="003E0B98">
        <w:rPr>
          <w:color w:val="000000"/>
          <w:szCs w:val="22"/>
          <w:lang w:val="es-ES"/>
        </w:rPr>
        <w:t xml:space="preserve">Esto aporta una cantidad utilizable que proporciona una dosis única de </w:t>
      </w:r>
      <w:r w:rsidR="004930B3" w:rsidRPr="003E0B98">
        <w:rPr>
          <w:color w:val="000000"/>
          <w:szCs w:val="22"/>
          <w:lang w:val="es-ES"/>
        </w:rPr>
        <w:t>0,05 ml</w:t>
      </w:r>
      <w:r w:rsidR="00E36331" w:rsidRPr="003E0B98">
        <w:rPr>
          <w:color w:val="000000"/>
          <w:szCs w:val="22"/>
          <w:lang w:val="es-ES"/>
        </w:rPr>
        <w:t>,</w:t>
      </w:r>
      <w:r w:rsidR="008537FE" w:rsidRPr="003E0B98">
        <w:rPr>
          <w:color w:val="000000"/>
          <w:szCs w:val="22"/>
          <w:lang w:val="es-ES"/>
        </w:rPr>
        <w:t xml:space="preserve"> </w:t>
      </w:r>
      <w:r w:rsidR="00F64FFD" w:rsidRPr="003E0B98">
        <w:rPr>
          <w:color w:val="000000"/>
          <w:szCs w:val="22"/>
          <w:lang w:val="es-ES"/>
        </w:rPr>
        <w:t>que</w:t>
      </w:r>
      <w:r w:rsidR="008537FE" w:rsidRPr="003E0B98">
        <w:rPr>
          <w:color w:val="000000"/>
          <w:szCs w:val="22"/>
          <w:lang w:val="es-ES"/>
        </w:rPr>
        <w:t xml:space="preserve"> contiene 0,5 mg de </w:t>
      </w:r>
      <w:proofErr w:type="spellStart"/>
      <w:r w:rsidR="008537FE" w:rsidRPr="003E0B98">
        <w:rPr>
          <w:color w:val="000000"/>
          <w:szCs w:val="22"/>
          <w:lang w:val="es-ES"/>
        </w:rPr>
        <w:t>ranibizumab</w:t>
      </w:r>
      <w:proofErr w:type="spellEnd"/>
      <w:r w:rsidR="008537FE" w:rsidRPr="003E0B98">
        <w:rPr>
          <w:color w:val="000000"/>
          <w:szCs w:val="22"/>
          <w:lang w:val="es-ES"/>
        </w:rPr>
        <w:t>.</w:t>
      </w:r>
    </w:p>
    <w:p w14:paraId="04312E80" w14:textId="77777777" w:rsidR="00E36F43" w:rsidRPr="003E0B98" w:rsidRDefault="00E36F43" w:rsidP="004361AC">
      <w:pPr>
        <w:tabs>
          <w:tab w:val="clear" w:pos="567"/>
        </w:tabs>
        <w:spacing w:line="240" w:lineRule="auto"/>
        <w:rPr>
          <w:color w:val="000000"/>
          <w:szCs w:val="22"/>
          <w:lang w:val="es-ES"/>
        </w:rPr>
      </w:pPr>
      <w:r w:rsidRPr="003E0B98">
        <w:rPr>
          <w:color w:val="000000"/>
          <w:szCs w:val="22"/>
          <w:lang w:val="es-ES_tradnl"/>
        </w:rPr>
        <w:t>*</w:t>
      </w:r>
      <w:proofErr w:type="spellStart"/>
      <w:r w:rsidRPr="003E0B98">
        <w:rPr>
          <w:color w:val="000000"/>
          <w:lang w:val="es-ES"/>
        </w:rPr>
        <w:t>Ranibizumab</w:t>
      </w:r>
      <w:proofErr w:type="spellEnd"/>
      <w:r w:rsidRPr="003E0B98">
        <w:rPr>
          <w:color w:val="000000"/>
          <w:lang w:val="es-ES"/>
        </w:rPr>
        <w:t xml:space="preserve"> es un fragmento de anticuerpo monoclonal humanizado producido en células de </w:t>
      </w:r>
      <w:proofErr w:type="spellStart"/>
      <w:r w:rsidRPr="003E0B98">
        <w:rPr>
          <w:i/>
          <w:iCs/>
          <w:color w:val="000000"/>
          <w:lang w:val="es-ES"/>
        </w:rPr>
        <w:t>Escherichia</w:t>
      </w:r>
      <w:proofErr w:type="spellEnd"/>
      <w:r w:rsidRPr="003E0B98">
        <w:rPr>
          <w:i/>
          <w:iCs/>
          <w:color w:val="000000"/>
          <w:lang w:val="es-ES"/>
        </w:rPr>
        <w:t xml:space="preserve"> </w:t>
      </w:r>
      <w:proofErr w:type="spellStart"/>
      <w:r w:rsidRPr="003E0B98">
        <w:rPr>
          <w:i/>
          <w:iCs/>
          <w:color w:val="000000"/>
          <w:lang w:val="es-ES"/>
        </w:rPr>
        <w:t>coli</w:t>
      </w:r>
      <w:proofErr w:type="spellEnd"/>
      <w:r w:rsidRPr="003E0B98">
        <w:rPr>
          <w:i/>
          <w:iCs/>
          <w:color w:val="000000"/>
          <w:lang w:val="es-ES"/>
        </w:rPr>
        <w:t xml:space="preserve"> </w:t>
      </w:r>
      <w:r w:rsidRPr="003E0B98">
        <w:rPr>
          <w:iCs/>
          <w:color w:val="000000"/>
          <w:lang w:val="es-ES"/>
        </w:rPr>
        <w:t>mediante tecnología de ADN recombinante.</w:t>
      </w:r>
    </w:p>
    <w:p w14:paraId="6DD19533" w14:textId="77777777" w:rsidR="00E36F43" w:rsidRPr="003E0B98" w:rsidRDefault="00E36F43" w:rsidP="004361AC">
      <w:pPr>
        <w:tabs>
          <w:tab w:val="clear" w:pos="567"/>
        </w:tabs>
        <w:spacing w:line="240" w:lineRule="auto"/>
        <w:rPr>
          <w:color w:val="000000"/>
          <w:szCs w:val="22"/>
          <w:lang w:val="es-ES_tradnl"/>
        </w:rPr>
      </w:pPr>
    </w:p>
    <w:p w14:paraId="1C55C848" w14:textId="77777777" w:rsidR="00E36F43" w:rsidRPr="003E0B98" w:rsidRDefault="00E36F43" w:rsidP="004361AC">
      <w:pPr>
        <w:tabs>
          <w:tab w:val="clear" w:pos="567"/>
        </w:tabs>
        <w:spacing w:line="240" w:lineRule="auto"/>
        <w:rPr>
          <w:color w:val="000000"/>
          <w:szCs w:val="22"/>
          <w:lang w:val="es-ES"/>
        </w:rPr>
      </w:pPr>
      <w:r w:rsidRPr="003E0B98">
        <w:rPr>
          <w:color w:val="000000"/>
          <w:szCs w:val="22"/>
          <w:lang w:val="es-ES"/>
        </w:rPr>
        <w:t>Para consultar la lista completa de excipientes, ver sección</w:t>
      </w:r>
      <w:r w:rsidR="00F23C9B" w:rsidRPr="003E0B98">
        <w:rPr>
          <w:color w:val="000000"/>
          <w:szCs w:val="22"/>
          <w:lang w:val="es-ES"/>
        </w:rPr>
        <w:t> </w:t>
      </w:r>
      <w:r w:rsidRPr="003E0B98">
        <w:rPr>
          <w:color w:val="000000"/>
          <w:szCs w:val="22"/>
          <w:lang w:val="es-ES"/>
        </w:rPr>
        <w:t>6.1.</w:t>
      </w:r>
    </w:p>
    <w:p w14:paraId="21F12449" w14:textId="77777777" w:rsidR="00E36F43" w:rsidRPr="003E0B98" w:rsidRDefault="00E36F43" w:rsidP="004361AC">
      <w:pPr>
        <w:tabs>
          <w:tab w:val="clear" w:pos="567"/>
        </w:tabs>
        <w:spacing w:line="240" w:lineRule="auto"/>
        <w:rPr>
          <w:color w:val="000000"/>
          <w:szCs w:val="22"/>
          <w:lang w:val="es-ES"/>
        </w:rPr>
      </w:pPr>
    </w:p>
    <w:p w14:paraId="3B09CBDA" w14:textId="77777777" w:rsidR="00E36F43" w:rsidRPr="003E0B98" w:rsidRDefault="00E36F43" w:rsidP="004361AC">
      <w:pPr>
        <w:tabs>
          <w:tab w:val="clear" w:pos="567"/>
        </w:tabs>
        <w:spacing w:line="240" w:lineRule="auto"/>
        <w:rPr>
          <w:color w:val="000000"/>
          <w:szCs w:val="22"/>
          <w:lang w:val="es-ES"/>
        </w:rPr>
      </w:pPr>
    </w:p>
    <w:p w14:paraId="01DE410B" w14:textId="77777777" w:rsidR="00E36F43" w:rsidRPr="003E0B98" w:rsidRDefault="00E36F43" w:rsidP="004361AC">
      <w:pPr>
        <w:pStyle w:val="CommentText"/>
        <w:keepNext/>
        <w:spacing w:line="240" w:lineRule="auto"/>
        <w:rPr>
          <w:color w:val="000000"/>
          <w:sz w:val="22"/>
          <w:szCs w:val="22"/>
          <w:lang w:val="es-ES_tradnl"/>
        </w:rPr>
      </w:pPr>
      <w:r w:rsidRPr="003E0B98">
        <w:rPr>
          <w:b/>
          <w:color w:val="000000"/>
          <w:sz w:val="22"/>
          <w:szCs w:val="22"/>
          <w:lang w:val="es-ES_tradnl"/>
        </w:rPr>
        <w:t>3.</w:t>
      </w:r>
      <w:r w:rsidRPr="003E0B98">
        <w:rPr>
          <w:b/>
          <w:color w:val="000000"/>
          <w:sz w:val="22"/>
          <w:szCs w:val="22"/>
          <w:lang w:val="es-ES_tradnl"/>
        </w:rPr>
        <w:tab/>
      </w:r>
      <w:r w:rsidRPr="003E0B98">
        <w:rPr>
          <w:b/>
          <w:color w:val="000000"/>
          <w:sz w:val="22"/>
          <w:szCs w:val="22"/>
          <w:lang w:val="es-ES"/>
        </w:rPr>
        <w:t>FORMA FARMACÉUTICA</w:t>
      </w:r>
    </w:p>
    <w:p w14:paraId="4671E41D" w14:textId="77777777" w:rsidR="00E36F43" w:rsidRPr="003E0B98" w:rsidRDefault="00E36F43" w:rsidP="004361AC">
      <w:pPr>
        <w:keepNext/>
        <w:tabs>
          <w:tab w:val="clear" w:pos="567"/>
        </w:tabs>
        <w:spacing w:line="240" w:lineRule="auto"/>
        <w:rPr>
          <w:caps/>
          <w:color w:val="000000"/>
          <w:szCs w:val="22"/>
          <w:lang w:val="es-ES_tradnl"/>
        </w:rPr>
      </w:pPr>
    </w:p>
    <w:p w14:paraId="1A491152" w14:textId="77777777" w:rsidR="00E36F43" w:rsidRPr="003E0B98" w:rsidRDefault="00E36F43" w:rsidP="004361AC">
      <w:pPr>
        <w:tabs>
          <w:tab w:val="clear" w:pos="567"/>
        </w:tabs>
        <w:spacing w:line="240" w:lineRule="auto"/>
        <w:rPr>
          <w:color w:val="000000"/>
          <w:szCs w:val="22"/>
          <w:lang w:val="es-ES"/>
        </w:rPr>
      </w:pPr>
      <w:r w:rsidRPr="003E0B98">
        <w:rPr>
          <w:color w:val="000000"/>
          <w:szCs w:val="22"/>
          <w:lang w:val="es-ES"/>
        </w:rPr>
        <w:t>Solución inyectable.</w:t>
      </w:r>
    </w:p>
    <w:p w14:paraId="002A26AC" w14:textId="77777777" w:rsidR="00E36F43" w:rsidRPr="003E0B98" w:rsidRDefault="00E36F43" w:rsidP="004361AC">
      <w:pPr>
        <w:tabs>
          <w:tab w:val="clear" w:pos="567"/>
        </w:tabs>
        <w:spacing w:line="240" w:lineRule="auto"/>
        <w:rPr>
          <w:color w:val="000000"/>
          <w:szCs w:val="22"/>
          <w:lang w:val="es-ES"/>
        </w:rPr>
      </w:pPr>
    </w:p>
    <w:p w14:paraId="6C1A4A95" w14:textId="168979A3" w:rsidR="00E36F43" w:rsidRPr="003E0B98" w:rsidRDefault="00E36F43" w:rsidP="004361AC">
      <w:pPr>
        <w:tabs>
          <w:tab w:val="clear" w:pos="567"/>
        </w:tabs>
        <w:spacing w:line="240" w:lineRule="auto"/>
        <w:rPr>
          <w:color w:val="000000"/>
          <w:szCs w:val="22"/>
          <w:lang w:val="es-ES"/>
        </w:rPr>
      </w:pPr>
      <w:r w:rsidRPr="003E0B98">
        <w:rPr>
          <w:color w:val="000000"/>
          <w:lang w:val="es-ES"/>
        </w:rPr>
        <w:t>Solución acuosa transparente, de incolora a amarillo</w:t>
      </w:r>
      <w:r w:rsidR="00784C67">
        <w:rPr>
          <w:color w:val="000000"/>
          <w:lang w:val="es-ES"/>
        </w:rPr>
        <w:t xml:space="preserve"> pardusco</w:t>
      </w:r>
      <w:r w:rsidRPr="003E0B98">
        <w:rPr>
          <w:color w:val="000000"/>
          <w:lang w:val="es-ES"/>
        </w:rPr>
        <w:t xml:space="preserve"> pálido.</w:t>
      </w:r>
    </w:p>
    <w:p w14:paraId="47AC1584" w14:textId="77777777" w:rsidR="00E36F43" w:rsidRPr="003E0B98" w:rsidRDefault="00E36F43" w:rsidP="004361AC">
      <w:pPr>
        <w:tabs>
          <w:tab w:val="clear" w:pos="567"/>
        </w:tabs>
        <w:spacing w:line="240" w:lineRule="auto"/>
        <w:rPr>
          <w:color w:val="000000"/>
          <w:szCs w:val="22"/>
          <w:lang w:val="es-ES"/>
        </w:rPr>
      </w:pPr>
    </w:p>
    <w:p w14:paraId="2FC233A8" w14:textId="77777777" w:rsidR="00E36F43" w:rsidRPr="003E0B98" w:rsidRDefault="00E36F43" w:rsidP="004361AC">
      <w:pPr>
        <w:tabs>
          <w:tab w:val="clear" w:pos="567"/>
        </w:tabs>
        <w:spacing w:line="240" w:lineRule="auto"/>
        <w:rPr>
          <w:color w:val="000000"/>
          <w:szCs w:val="22"/>
          <w:lang w:val="es-ES"/>
        </w:rPr>
      </w:pPr>
    </w:p>
    <w:p w14:paraId="4844918B" w14:textId="77777777" w:rsidR="00E36F43" w:rsidRPr="003E0B98" w:rsidRDefault="00E36F43" w:rsidP="004361AC">
      <w:pPr>
        <w:keepNext/>
        <w:tabs>
          <w:tab w:val="clear" w:pos="567"/>
        </w:tabs>
        <w:spacing w:line="240" w:lineRule="auto"/>
        <w:rPr>
          <w:caps/>
          <w:color w:val="000000"/>
          <w:szCs w:val="22"/>
          <w:lang w:val="es-ES_tradnl"/>
        </w:rPr>
      </w:pPr>
      <w:r w:rsidRPr="003E0B98">
        <w:rPr>
          <w:b/>
          <w:caps/>
          <w:color w:val="000000"/>
          <w:szCs w:val="22"/>
          <w:lang w:val="es-ES_tradnl"/>
        </w:rPr>
        <w:t>4.</w:t>
      </w:r>
      <w:r w:rsidRPr="003E0B98">
        <w:rPr>
          <w:b/>
          <w:caps/>
          <w:color w:val="000000"/>
          <w:szCs w:val="22"/>
          <w:lang w:val="es-ES_tradnl"/>
        </w:rPr>
        <w:tab/>
      </w:r>
      <w:r w:rsidRPr="003E0B98">
        <w:rPr>
          <w:b/>
          <w:caps/>
          <w:color w:val="000000"/>
          <w:szCs w:val="22"/>
          <w:lang w:val="es-ES"/>
        </w:rPr>
        <w:t>DATOS CLÍNICOS</w:t>
      </w:r>
    </w:p>
    <w:p w14:paraId="09904F5A" w14:textId="77777777" w:rsidR="00E36F43" w:rsidRPr="003E0B98" w:rsidRDefault="00E36F43" w:rsidP="004361AC">
      <w:pPr>
        <w:keepNext/>
        <w:tabs>
          <w:tab w:val="clear" w:pos="567"/>
        </w:tabs>
        <w:spacing w:line="240" w:lineRule="auto"/>
        <w:rPr>
          <w:color w:val="000000"/>
          <w:szCs w:val="22"/>
          <w:lang w:val="es-ES_tradnl"/>
        </w:rPr>
      </w:pPr>
    </w:p>
    <w:p w14:paraId="0040D89C" w14:textId="77777777" w:rsidR="00E36F43" w:rsidRPr="003E0B98" w:rsidRDefault="00E36F43" w:rsidP="004361AC">
      <w:pPr>
        <w:keepNext/>
        <w:tabs>
          <w:tab w:val="clear" w:pos="567"/>
        </w:tabs>
        <w:spacing w:line="240" w:lineRule="auto"/>
        <w:rPr>
          <w:color w:val="000000"/>
          <w:szCs w:val="22"/>
          <w:lang w:val="es-ES_tradnl"/>
        </w:rPr>
      </w:pPr>
      <w:r w:rsidRPr="003E0B98">
        <w:rPr>
          <w:b/>
          <w:color w:val="000000"/>
          <w:szCs w:val="22"/>
          <w:lang w:val="es-ES_tradnl"/>
        </w:rPr>
        <w:t>4.1</w:t>
      </w:r>
      <w:r w:rsidRPr="003E0B98">
        <w:rPr>
          <w:b/>
          <w:color w:val="000000"/>
          <w:szCs w:val="22"/>
          <w:lang w:val="es-ES_tradnl"/>
        </w:rPr>
        <w:tab/>
      </w:r>
      <w:r w:rsidRPr="003E0B98">
        <w:rPr>
          <w:b/>
          <w:color w:val="000000"/>
          <w:szCs w:val="22"/>
          <w:lang w:val="es-ES"/>
        </w:rPr>
        <w:t>Indicaciones terapéuticas</w:t>
      </w:r>
    </w:p>
    <w:p w14:paraId="52C292E4" w14:textId="77777777" w:rsidR="00E36F43" w:rsidRPr="003E0B98" w:rsidRDefault="00E36F43" w:rsidP="004361AC">
      <w:pPr>
        <w:keepNext/>
        <w:tabs>
          <w:tab w:val="clear" w:pos="567"/>
        </w:tabs>
        <w:spacing w:line="240" w:lineRule="auto"/>
        <w:rPr>
          <w:color w:val="000000"/>
          <w:szCs w:val="22"/>
          <w:lang w:val="es-ES_tradnl"/>
        </w:rPr>
      </w:pPr>
    </w:p>
    <w:p w14:paraId="0D8A13D8" w14:textId="77777777" w:rsidR="00E36F43" w:rsidRPr="003E0B98" w:rsidRDefault="00E36F43" w:rsidP="004361AC">
      <w:pPr>
        <w:keepNext/>
        <w:tabs>
          <w:tab w:val="clear" w:pos="567"/>
        </w:tabs>
        <w:spacing w:line="240" w:lineRule="auto"/>
        <w:rPr>
          <w:color w:val="000000"/>
          <w:szCs w:val="22"/>
          <w:lang w:val="es-ES"/>
        </w:rPr>
      </w:pPr>
      <w:proofErr w:type="spellStart"/>
      <w:r w:rsidRPr="003E0B98">
        <w:rPr>
          <w:color w:val="000000"/>
          <w:szCs w:val="22"/>
          <w:lang w:val="es-ES"/>
        </w:rPr>
        <w:t>Lucentis</w:t>
      </w:r>
      <w:proofErr w:type="spellEnd"/>
      <w:r w:rsidRPr="003E0B98">
        <w:rPr>
          <w:color w:val="000000"/>
          <w:szCs w:val="22"/>
          <w:lang w:val="es-ES"/>
        </w:rPr>
        <w:t xml:space="preserve"> está indicado en adultos para:</w:t>
      </w:r>
    </w:p>
    <w:p w14:paraId="67C5C1C2" w14:textId="6A859D1E" w:rsidR="00163FE7" w:rsidRPr="003E0B98" w:rsidRDefault="00E36F43" w:rsidP="004361AC">
      <w:pPr>
        <w:numPr>
          <w:ilvl w:val="0"/>
          <w:numId w:val="6"/>
        </w:numPr>
        <w:tabs>
          <w:tab w:val="clear" w:pos="567"/>
          <w:tab w:val="clear" w:pos="720"/>
        </w:tabs>
        <w:spacing w:line="240" w:lineRule="auto"/>
        <w:ind w:left="567" w:hanging="567"/>
        <w:rPr>
          <w:color w:val="000000"/>
          <w:szCs w:val="22"/>
          <w:lang w:val="es-ES"/>
        </w:rPr>
      </w:pPr>
      <w:r w:rsidRPr="003E0B98">
        <w:rPr>
          <w:color w:val="000000"/>
          <w:szCs w:val="22"/>
          <w:lang w:val="es-ES"/>
        </w:rPr>
        <w:t xml:space="preserve">El tratamiento de la </w:t>
      </w:r>
      <w:r w:rsidRPr="003E0B98">
        <w:rPr>
          <w:color w:val="000000"/>
          <w:lang w:val="es-ES"/>
        </w:rPr>
        <w:t xml:space="preserve">degeneración macular asociada a la edad (DMAE) </w:t>
      </w:r>
      <w:proofErr w:type="spellStart"/>
      <w:r w:rsidRPr="003E0B98">
        <w:rPr>
          <w:color w:val="000000"/>
          <w:lang w:val="es-ES"/>
        </w:rPr>
        <w:t>neovascular</w:t>
      </w:r>
      <w:proofErr w:type="spellEnd"/>
      <w:r w:rsidRPr="003E0B98">
        <w:rPr>
          <w:color w:val="000000"/>
          <w:lang w:val="es-ES"/>
        </w:rPr>
        <w:t xml:space="preserve"> (exudativa)</w:t>
      </w:r>
    </w:p>
    <w:p w14:paraId="0DC1772A" w14:textId="0C1F68CA" w:rsidR="00E14EE9" w:rsidRPr="003E0B98" w:rsidRDefault="00E36F43" w:rsidP="004361AC">
      <w:pPr>
        <w:numPr>
          <w:ilvl w:val="0"/>
          <w:numId w:val="6"/>
        </w:numPr>
        <w:tabs>
          <w:tab w:val="clear" w:pos="720"/>
          <w:tab w:val="num" w:pos="567"/>
        </w:tabs>
        <w:spacing w:line="240" w:lineRule="auto"/>
        <w:ind w:left="567" w:hanging="567"/>
        <w:rPr>
          <w:color w:val="000000"/>
          <w:szCs w:val="22"/>
          <w:lang w:val="es-ES"/>
        </w:rPr>
      </w:pPr>
      <w:r w:rsidRPr="003E0B98">
        <w:rPr>
          <w:color w:val="000000"/>
          <w:szCs w:val="22"/>
          <w:lang w:val="es-ES"/>
        </w:rPr>
        <w:t>El tratamiento de la alteración visual debida al edema macular diabético (EMD)</w:t>
      </w:r>
    </w:p>
    <w:p w14:paraId="28A725F1" w14:textId="7C16F5C1" w:rsidR="00E36F43" w:rsidRPr="003E0B98" w:rsidRDefault="00E14EE9" w:rsidP="004361AC">
      <w:pPr>
        <w:numPr>
          <w:ilvl w:val="0"/>
          <w:numId w:val="6"/>
        </w:numPr>
        <w:tabs>
          <w:tab w:val="clear" w:pos="720"/>
          <w:tab w:val="num" w:pos="567"/>
        </w:tabs>
        <w:spacing w:line="240" w:lineRule="auto"/>
        <w:ind w:left="567" w:hanging="567"/>
        <w:rPr>
          <w:color w:val="000000"/>
          <w:szCs w:val="22"/>
          <w:lang w:val="es-ES"/>
        </w:rPr>
      </w:pPr>
      <w:r w:rsidRPr="003E0B98">
        <w:rPr>
          <w:color w:val="000000"/>
          <w:szCs w:val="22"/>
          <w:lang w:val="es-ES"/>
        </w:rPr>
        <w:t>El tratamiento de la retinopatía diabética proliferativa (RDP)</w:t>
      </w:r>
    </w:p>
    <w:p w14:paraId="2F6748B2" w14:textId="77777777" w:rsidR="00E36F43" w:rsidRPr="003E0B98" w:rsidRDefault="00E36F43" w:rsidP="004361AC">
      <w:pPr>
        <w:numPr>
          <w:ilvl w:val="0"/>
          <w:numId w:val="6"/>
        </w:numPr>
        <w:tabs>
          <w:tab w:val="clear" w:pos="720"/>
          <w:tab w:val="num" w:pos="567"/>
        </w:tabs>
        <w:spacing w:line="240" w:lineRule="auto"/>
        <w:ind w:left="567" w:hanging="567"/>
        <w:rPr>
          <w:color w:val="000000"/>
          <w:szCs w:val="22"/>
          <w:lang w:val="es-ES"/>
        </w:rPr>
      </w:pPr>
      <w:r w:rsidRPr="003E0B98">
        <w:rPr>
          <w:color w:val="000000"/>
          <w:szCs w:val="22"/>
          <w:lang w:val="es-ES"/>
        </w:rPr>
        <w:t>El tratamiento de la alteración visual debida al edema macular secundario a la oclusión de la vena retiniana (OVR) (oclusión de la rama venosa retiniana u oclusión de la vena central retiniana)</w:t>
      </w:r>
    </w:p>
    <w:p w14:paraId="734E7917" w14:textId="77777777" w:rsidR="00E14EE9" w:rsidRPr="003E0B98" w:rsidRDefault="00E14EE9" w:rsidP="004361AC">
      <w:pPr>
        <w:numPr>
          <w:ilvl w:val="0"/>
          <w:numId w:val="6"/>
        </w:numPr>
        <w:tabs>
          <w:tab w:val="clear" w:pos="720"/>
          <w:tab w:val="num" w:pos="567"/>
        </w:tabs>
        <w:spacing w:line="240" w:lineRule="auto"/>
        <w:ind w:left="567" w:hanging="567"/>
        <w:rPr>
          <w:color w:val="000000"/>
          <w:szCs w:val="22"/>
          <w:lang w:val="es-ES"/>
        </w:rPr>
      </w:pPr>
      <w:r w:rsidRPr="003E0B98">
        <w:rPr>
          <w:color w:val="000000"/>
          <w:szCs w:val="22"/>
          <w:lang w:val="es-ES"/>
        </w:rPr>
        <w:t>El tratamiento de la alteración visual debida a neovascularización coroidea (NVC)</w:t>
      </w:r>
    </w:p>
    <w:p w14:paraId="285CACB5" w14:textId="77777777" w:rsidR="00E36F43" w:rsidRPr="003E0B98" w:rsidRDefault="00E36F43" w:rsidP="004361AC">
      <w:pPr>
        <w:tabs>
          <w:tab w:val="clear" w:pos="567"/>
        </w:tabs>
        <w:spacing w:line="240" w:lineRule="auto"/>
        <w:rPr>
          <w:color w:val="000000"/>
          <w:szCs w:val="22"/>
          <w:lang w:val="es-ES"/>
        </w:rPr>
      </w:pPr>
    </w:p>
    <w:p w14:paraId="065A5FA5" w14:textId="77777777" w:rsidR="00E36F43" w:rsidRPr="003E0B98" w:rsidRDefault="00E36F43" w:rsidP="004361AC">
      <w:pPr>
        <w:keepNext/>
        <w:tabs>
          <w:tab w:val="clear" w:pos="567"/>
        </w:tabs>
        <w:spacing w:line="240" w:lineRule="auto"/>
        <w:rPr>
          <w:b/>
          <w:color w:val="000000"/>
          <w:szCs w:val="22"/>
          <w:lang w:val="es-ES"/>
        </w:rPr>
      </w:pPr>
      <w:r w:rsidRPr="003E0B98">
        <w:rPr>
          <w:b/>
          <w:color w:val="000000"/>
          <w:szCs w:val="22"/>
          <w:lang w:val="es-ES"/>
        </w:rPr>
        <w:t>4.2</w:t>
      </w:r>
      <w:r w:rsidRPr="003E0B98">
        <w:rPr>
          <w:b/>
          <w:color w:val="000000"/>
          <w:szCs w:val="22"/>
          <w:lang w:val="es-ES"/>
        </w:rPr>
        <w:tab/>
        <w:t>Posología y forma de administración</w:t>
      </w:r>
    </w:p>
    <w:p w14:paraId="5413DFC8" w14:textId="77777777" w:rsidR="00E36F43" w:rsidRPr="003E0B98" w:rsidRDefault="00E36F43" w:rsidP="004361AC">
      <w:pPr>
        <w:keepNext/>
        <w:tabs>
          <w:tab w:val="clear" w:pos="567"/>
        </w:tabs>
        <w:spacing w:line="240" w:lineRule="auto"/>
        <w:rPr>
          <w:color w:val="000000"/>
          <w:szCs w:val="22"/>
          <w:lang w:val="es-ES"/>
        </w:rPr>
      </w:pPr>
    </w:p>
    <w:p w14:paraId="197CE742" w14:textId="77777777" w:rsidR="00E36F43" w:rsidRPr="003E0B98" w:rsidRDefault="00E36F43" w:rsidP="004361AC">
      <w:pPr>
        <w:tabs>
          <w:tab w:val="clear" w:pos="567"/>
        </w:tabs>
        <w:spacing w:line="240" w:lineRule="auto"/>
        <w:rPr>
          <w:color w:val="000000"/>
          <w:lang w:val="es-ES"/>
        </w:rPr>
      </w:pPr>
      <w:proofErr w:type="spellStart"/>
      <w:r w:rsidRPr="003E0B98">
        <w:rPr>
          <w:color w:val="000000"/>
          <w:lang w:val="es-ES"/>
        </w:rPr>
        <w:t>Lucentis</w:t>
      </w:r>
      <w:proofErr w:type="spellEnd"/>
      <w:r w:rsidRPr="003E0B98">
        <w:rPr>
          <w:color w:val="000000"/>
          <w:lang w:val="es-ES"/>
        </w:rPr>
        <w:t xml:space="preserve"> debe ser administrado por un oftalmólogo que tenga experiencia en la administración de inyecciones intravítreas.</w:t>
      </w:r>
    </w:p>
    <w:p w14:paraId="67C07C28" w14:textId="77777777" w:rsidR="00E36F43" w:rsidRPr="003E0B98" w:rsidRDefault="00E36F43" w:rsidP="004361AC">
      <w:pPr>
        <w:tabs>
          <w:tab w:val="clear" w:pos="567"/>
        </w:tabs>
        <w:spacing w:line="240" w:lineRule="auto"/>
        <w:rPr>
          <w:color w:val="000000"/>
          <w:lang w:val="es-ES"/>
        </w:rPr>
      </w:pPr>
    </w:p>
    <w:p w14:paraId="5E67F8AD" w14:textId="77777777" w:rsidR="008842C7" w:rsidRPr="003E0B98" w:rsidRDefault="008842C7" w:rsidP="004361AC">
      <w:pPr>
        <w:keepNext/>
        <w:tabs>
          <w:tab w:val="clear" w:pos="567"/>
        </w:tabs>
        <w:spacing w:line="240" w:lineRule="auto"/>
        <w:rPr>
          <w:color w:val="000000"/>
          <w:u w:val="single"/>
          <w:lang w:val="es-ES"/>
        </w:rPr>
      </w:pPr>
      <w:r w:rsidRPr="003E0B98">
        <w:rPr>
          <w:color w:val="000000"/>
          <w:u w:val="single"/>
          <w:lang w:val="es-ES"/>
        </w:rPr>
        <w:t>Posología</w:t>
      </w:r>
    </w:p>
    <w:p w14:paraId="55BBDF23" w14:textId="77777777" w:rsidR="008842C7" w:rsidRPr="003E0B98" w:rsidRDefault="008842C7" w:rsidP="004361AC">
      <w:pPr>
        <w:keepNext/>
        <w:tabs>
          <w:tab w:val="clear" w:pos="567"/>
        </w:tabs>
        <w:spacing w:line="240" w:lineRule="auto"/>
        <w:rPr>
          <w:color w:val="000000"/>
          <w:lang w:val="es-ES"/>
        </w:rPr>
      </w:pPr>
    </w:p>
    <w:p w14:paraId="236C16D6" w14:textId="77777777" w:rsidR="00E36F43" w:rsidRPr="003E0B98" w:rsidRDefault="00E36F43" w:rsidP="004361AC">
      <w:pPr>
        <w:tabs>
          <w:tab w:val="clear" w:pos="567"/>
        </w:tabs>
        <w:spacing w:line="240" w:lineRule="auto"/>
        <w:rPr>
          <w:color w:val="000000"/>
          <w:szCs w:val="22"/>
          <w:lang w:val="es-ES"/>
        </w:rPr>
      </w:pPr>
      <w:r w:rsidRPr="003E0B98">
        <w:rPr>
          <w:color w:val="000000"/>
          <w:lang w:val="es-ES"/>
        </w:rPr>
        <w:t xml:space="preserve">La dosis recomendada de </w:t>
      </w:r>
      <w:proofErr w:type="spellStart"/>
      <w:r w:rsidRPr="003E0B98">
        <w:rPr>
          <w:color w:val="000000"/>
          <w:lang w:val="es-ES"/>
        </w:rPr>
        <w:t>Lucentis</w:t>
      </w:r>
      <w:proofErr w:type="spellEnd"/>
      <w:r w:rsidRPr="003E0B98">
        <w:rPr>
          <w:color w:val="000000"/>
          <w:lang w:val="es-ES"/>
        </w:rPr>
        <w:t xml:space="preserve"> es </w:t>
      </w:r>
      <w:r w:rsidRPr="003E0B98">
        <w:rPr>
          <w:color w:val="000000"/>
          <w:szCs w:val="22"/>
          <w:lang w:val="es-ES"/>
        </w:rPr>
        <w:t>0,5 mg administrada en forma de inyección intravítrea única. Esto corresponde a un volumen de inyección de 0,05 ml.</w:t>
      </w:r>
      <w:r w:rsidR="003C0A12" w:rsidRPr="003E0B98">
        <w:rPr>
          <w:color w:val="000000"/>
          <w:szCs w:val="22"/>
          <w:lang w:val="es-ES"/>
        </w:rPr>
        <w:t xml:space="preserve"> El intervalo entre dos dosis inyectadas en el mismo ojo debe ser como mínimo de cuatro semanas.</w:t>
      </w:r>
    </w:p>
    <w:p w14:paraId="04B4D069" w14:textId="77777777" w:rsidR="00E36F43" w:rsidRPr="003E0B98" w:rsidRDefault="00E36F43" w:rsidP="004361AC">
      <w:pPr>
        <w:tabs>
          <w:tab w:val="clear" w:pos="567"/>
        </w:tabs>
        <w:spacing w:line="240" w:lineRule="auto"/>
        <w:rPr>
          <w:color w:val="000000"/>
          <w:szCs w:val="22"/>
          <w:lang w:val="es-ES"/>
        </w:rPr>
      </w:pPr>
    </w:p>
    <w:p w14:paraId="27ABF642" w14:textId="23ABCD90" w:rsidR="00E36F43" w:rsidRPr="003E0B98" w:rsidRDefault="00E36F43" w:rsidP="004361AC">
      <w:pPr>
        <w:tabs>
          <w:tab w:val="clear" w:pos="567"/>
        </w:tabs>
        <w:spacing w:line="240" w:lineRule="auto"/>
        <w:rPr>
          <w:color w:val="000000"/>
          <w:szCs w:val="22"/>
          <w:lang w:val="es-ES"/>
        </w:rPr>
      </w:pPr>
      <w:r w:rsidRPr="003E0B98">
        <w:rPr>
          <w:color w:val="000000"/>
          <w:szCs w:val="22"/>
          <w:lang w:val="es-ES"/>
        </w:rPr>
        <w:t xml:space="preserve">El tratamiento se </w:t>
      </w:r>
      <w:r w:rsidR="003C0A12" w:rsidRPr="003E0B98">
        <w:rPr>
          <w:color w:val="000000"/>
          <w:szCs w:val="22"/>
          <w:lang w:val="es-ES"/>
        </w:rPr>
        <w:t>inicia con una inyección al mes</w:t>
      </w:r>
      <w:r w:rsidRPr="003E0B98">
        <w:rPr>
          <w:color w:val="000000"/>
          <w:szCs w:val="22"/>
          <w:lang w:val="es-ES"/>
        </w:rPr>
        <w:t xml:space="preserve"> hasta alcanzar la agudeza visual máxima</w:t>
      </w:r>
      <w:r w:rsidR="003C0A12" w:rsidRPr="003E0B98">
        <w:rPr>
          <w:color w:val="000000"/>
          <w:szCs w:val="22"/>
          <w:lang w:val="es-ES"/>
        </w:rPr>
        <w:t xml:space="preserve"> y/o no haya signos de actividad de la enfermedad, es decir ningún cambio en la agudeza visual ni en otros signos y síntomas de la enfermedad bajo tratamiento continuado. En pacientes con DMAE exudativa, EMD</w:t>
      </w:r>
      <w:r w:rsidR="002F08F3" w:rsidRPr="003E0B98">
        <w:rPr>
          <w:color w:val="000000"/>
          <w:szCs w:val="22"/>
          <w:lang w:val="es-ES"/>
        </w:rPr>
        <w:t>, RDP</w:t>
      </w:r>
      <w:r w:rsidR="003C0A12" w:rsidRPr="003E0B98">
        <w:rPr>
          <w:color w:val="000000"/>
          <w:szCs w:val="22"/>
          <w:lang w:val="es-ES"/>
        </w:rPr>
        <w:t xml:space="preserve"> y OVR inicialmente pueden ser necesarias tres o más inyecciones consecutivas administradas mensualmente.</w:t>
      </w:r>
    </w:p>
    <w:p w14:paraId="0B12F89A" w14:textId="77777777" w:rsidR="00E36F43" w:rsidRPr="003E0B98" w:rsidRDefault="00E36F43" w:rsidP="004361AC">
      <w:pPr>
        <w:tabs>
          <w:tab w:val="clear" w:pos="567"/>
        </w:tabs>
        <w:spacing w:line="240" w:lineRule="auto"/>
        <w:rPr>
          <w:color w:val="000000"/>
          <w:szCs w:val="22"/>
          <w:lang w:val="es-ES"/>
        </w:rPr>
      </w:pPr>
    </w:p>
    <w:p w14:paraId="71D7EF61" w14:textId="77777777" w:rsidR="00E36F43" w:rsidRPr="003E0B98" w:rsidRDefault="00E36F43" w:rsidP="004361AC">
      <w:pPr>
        <w:tabs>
          <w:tab w:val="clear" w:pos="567"/>
        </w:tabs>
        <w:spacing w:line="240" w:lineRule="auto"/>
        <w:rPr>
          <w:color w:val="000000"/>
          <w:szCs w:val="22"/>
          <w:lang w:val="es-ES"/>
        </w:rPr>
      </w:pPr>
      <w:r w:rsidRPr="003E0B98">
        <w:rPr>
          <w:color w:val="000000"/>
          <w:szCs w:val="22"/>
          <w:lang w:val="es-ES"/>
        </w:rPr>
        <w:t>A partir de ese momento</w:t>
      </w:r>
      <w:r w:rsidR="003C0A12" w:rsidRPr="003E0B98">
        <w:rPr>
          <w:color w:val="000000"/>
          <w:szCs w:val="22"/>
          <w:lang w:val="es-ES"/>
        </w:rPr>
        <w:t>, los intervalos de monitorización y tratamiento se deben determinar según criterio médico y en base a la actividad de la enfermedad, valorada mediante la agudeza visual y/o parámetros anatómicos.</w:t>
      </w:r>
    </w:p>
    <w:p w14:paraId="0407485D" w14:textId="77777777" w:rsidR="00E36F43" w:rsidRPr="003E0B98" w:rsidRDefault="00E36F43" w:rsidP="004361AC">
      <w:pPr>
        <w:tabs>
          <w:tab w:val="clear" w:pos="567"/>
        </w:tabs>
        <w:spacing w:line="240" w:lineRule="auto"/>
        <w:rPr>
          <w:color w:val="000000"/>
          <w:szCs w:val="22"/>
          <w:lang w:val="es-ES"/>
        </w:rPr>
      </w:pPr>
    </w:p>
    <w:p w14:paraId="266FCF75" w14:textId="77777777" w:rsidR="003C0A12" w:rsidRPr="003E0B98" w:rsidRDefault="003C0A12" w:rsidP="004361AC">
      <w:pPr>
        <w:tabs>
          <w:tab w:val="clear" w:pos="567"/>
        </w:tabs>
        <w:spacing w:line="240" w:lineRule="auto"/>
        <w:rPr>
          <w:color w:val="000000"/>
          <w:szCs w:val="22"/>
          <w:lang w:val="es-ES"/>
        </w:rPr>
      </w:pPr>
      <w:r w:rsidRPr="003E0B98">
        <w:rPr>
          <w:color w:val="000000"/>
          <w:szCs w:val="22"/>
          <w:lang w:val="es-ES"/>
        </w:rPr>
        <w:t xml:space="preserve">Se debe interrumpir el tratamiento con </w:t>
      </w:r>
      <w:proofErr w:type="spellStart"/>
      <w:r w:rsidRPr="003E0B98">
        <w:rPr>
          <w:color w:val="000000"/>
          <w:szCs w:val="22"/>
          <w:lang w:val="es-ES"/>
        </w:rPr>
        <w:t>Lucentis</w:t>
      </w:r>
      <w:proofErr w:type="spellEnd"/>
      <w:r w:rsidRPr="003E0B98">
        <w:rPr>
          <w:color w:val="000000"/>
          <w:szCs w:val="22"/>
          <w:lang w:val="es-ES"/>
        </w:rPr>
        <w:t xml:space="preserve"> si bajo criterio del médico, los parámetros visuales y anatómicos indican que el paciente no se está beneficiando del tratamiento continuado.</w:t>
      </w:r>
    </w:p>
    <w:p w14:paraId="2A7693C5" w14:textId="77777777" w:rsidR="003C0A12" w:rsidRPr="003E0B98" w:rsidRDefault="003C0A12" w:rsidP="004361AC">
      <w:pPr>
        <w:tabs>
          <w:tab w:val="clear" w:pos="567"/>
        </w:tabs>
        <w:spacing w:line="240" w:lineRule="auto"/>
        <w:rPr>
          <w:color w:val="000000"/>
          <w:szCs w:val="22"/>
          <w:lang w:val="es-ES"/>
        </w:rPr>
      </w:pPr>
    </w:p>
    <w:p w14:paraId="220FC55C" w14:textId="77777777" w:rsidR="003C0A12" w:rsidRPr="003E0B98" w:rsidRDefault="003C0A12" w:rsidP="004361AC">
      <w:pPr>
        <w:tabs>
          <w:tab w:val="clear" w:pos="567"/>
        </w:tabs>
        <w:spacing w:line="240" w:lineRule="auto"/>
        <w:rPr>
          <w:color w:val="000000"/>
          <w:szCs w:val="22"/>
          <w:lang w:val="es-ES"/>
        </w:rPr>
      </w:pPr>
      <w:r w:rsidRPr="003E0B98">
        <w:rPr>
          <w:color w:val="000000"/>
          <w:szCs w:val="22"/>
          <w:lang w:val="es-ES"/>
        </w:rPr>
        <w:t>La monitorización para determinar la actividad de la enfermedad puede incluir examen clínico, control funcional o técnicas de imagen (p. ej. tomografía de coherencia óptica o angiografía con fluoresceína).</w:t>
      </w:r>
    </w:p>
    <w:p w14:paraId="52131743" w14:textId="77777777" w:rsidR="003C0A12" w:rsidRPr="003E0B98" w:rsidRDefault="003C0A12" w:rsidP="004361AC">
      <w:pPr>
        <w:tabs>
          <w:tab w:val="clear" w:pos="567"/>
        </w:tabs>
        <w:spacing w:line="240" w:lineRule="auto"/>
        <w:rPr>
          <w:color w:val="000000"/>
          <w:szCs w:val="22"/>
          <w:lang w:val="es-ES"/>
        </w:rPr>
      </w:pPr>
    </w:p>
    <w:p w14:paraId="41705210" w14:textId="0DFD360C" w:rsidR="003C0A12" w:rsidRPr="003E0B98" w:rsidRDefault="003C0A12" w:rsidP="004361AC">
      <w:pPr>
        <w:tabs>
          <w:tab w:val="clear" w:pos="567"/>
        </w:tabs>
        <w:spacing w:line="240" w:lineRule="auto"/>
        <w:rPr>
          <w:color w:val="000000"/>
          <w:szCs w:val="22"/>
          <w:lang w:val="es-ES"/>
        </w:rPr>
      </w:pPr>
      <w:r w:rsidRPr="003E0B98">
        <w:rPr>
          <w:color w:val="000000"/>
          <w:szCs w:val="22"/>
          <w:lang w:val="es-ES"/>
        </w:rPr>
        <w:t xml:space="preserve">Si se está tratando a los pacientes </w:t>
      </w:r>
      <w:proofErr w:type="gramStart"/>
      <w:r w:rsidRPr="003E0B98">
        <w:rPr>
          <w:color w:val="000000"/>
          <w:szCs w:val="22"/>
          <w:lang w:val="es-ES"/>
        </w:rPr>
        <w:t>de acuerdo a</w:t>
      </w:r>
      <w:proofErr w:type="gramEnd"/>
      <w:r w:rsidRPr="003E0B98">
        <w:rPr>
          <w:color w:val="000000"/>
          <w:szCs w:val="22"/>
          <w:lang w:val="es-ES"/>
        </w:rPr>
        <w:t xml:space="preserve"> un régimen de tratar y extender, una vez se ha alcanzado la agudeza visual máxima y/o no hay signos de actividad de la enfermedad, los intervalos de tratamiento se pueden espaciar de forma gradual hasta que vuelvan a aparecer signos de actividad de la enfermedad o alteración visual. En el caso de la DMAE exudativa el intervalo de tratamiento no debe espaciarse en más de dos semanas cada vez y en el caso del EMD se puede espaciar hasta un mes cada vez. Para la </w:t>
      </w:r>
      <w:r w:rsidR="002F08F3" w:rsidRPr="003E0B98">
        <w:rPr>
          <w:color w:val="000000"/>
          <w:szCs w:val="22"/>
          <w:lang w:val="es-ES"/>
        </w:rPr>
        <w:t xml:space="preserve">RDP y la </w:t>
      </w:r>
      <w:r w:rsidRPr="003E0B98">
        <w:rPr>
          <w:color w:val="000000"/>
          <w:szCs w:val="22"/>
          <w:lang w:val="es-ES"/>
        </w:rPr>
        <w:t xml:space="preserve">OVR, los intervalos de tratamiento también pueden espaciarse de forma gradual, sin </w:t>
      </w:r>
      <w:proofErr w:type="gramStart"/>
      <w:r w:rsidRPr="003E0B98">
        <w:rPr>
          <w:color w:val="000000"/>
          <w:szCs w:val="22"/>
          <w:lang w:val="es-ES"/>
        </w:rPr>
        <w:t>embargo</w:t>
      </w:r>
      <w:proofErr w:type="gramEnd"/>
      <w:r w:rsidRPr="003E0B98">
        <w:rPr>
          <w:color w:val="000000"/>
          <w:szCs w:val="22"/>
          <w:lang w:val="es-ES"/>
        </w:rPr>
        <w:t xml:space="preserve"> los datos que hay no son suficientes para determinar la duración de estos intervalos. Si vuelve a aparecer actividad de la enfermedad, se debe acortar el intervalo de tratamiento de manera consecuente.</w:t>
      </w:r>
    </w:p>
    <w:p w14:paraId="0D08F8CC" w14:textId="77777777" w:rsidR="003C0A12" w:rsidRPr="003E0B98" w:rsidRDefault="003C0A12" w:rsidP="004361AC">
      <w:pPr>
        <w:tabs>
          <w:tab w:val="clear" w:pos="567"/>
        </w:tabs>
        <w:spacing w:line="240" w:lineRule="auto"/>
        <w:rPr>
          <w:color w:val="000000"/>
          <w:szCs w:val="22"/>
          <w:lang w:val="es-ES"/>
        </w:rPr>
      </w:pPr>
    </w:p>
    <w:p w14:paraId="2C3D5A71" w14:textId="77777777" w:rsidR="00163FE7" w:rsidRPr="003E0B98" w:rsidRDefault="00163FE7" w:rsidP="004361AC">
      <w:pPr>
        <w:tabs>
          <w:tab w:val="clear" w:pos="567"/>
        </w:tabs>
        <w:spacing w:line="240" w:lineRule="auto"/>
        <w:rPr>
          <w:color w:val="000000"/>
          <w:szCs w:val="22"/>
          <w:lang w:val="es-ES"/>
        </w:rPr>
      </w:pPr>
      <w:r w:rsidRPr="003E0B98">
        <w:rPr>
          <w:color w:val="000000"/>
          <w:szCs w:val="22"/>
          <w:lang w:val="es-ES"/>
        </w:rPr>
        <w:t>El tratamiento de la alteración visual debida a NVC se debe determinar para cada paciente de forma individualizada en base a la actividad de la enfermedad. Algunos pacientes pueden necesitar sólo una inyección durante los primeros 12 meses; otros pueden necesitar tratamiento con mayor frecuencia, incluyendo una inyección mensual. En el caso de NVC secundaria a miopía patológica (MP), muchos pacientes pueden necesitar sólo una o dos inyecciones durante el primer año (ver sección 5.1).</w:t>
      </w:r>
    </w:p>
    <w:p w14:paraId="48C35A98" w14:textId="77777777" w:rsidR="00E36F43" w:rsidRPr="003E0B98" w:rsidRDefault="00E36F43" w:rsidP="004361AC">
      <w:pPr>
        <w:tabs>
          <w:tab w:val="clear" w:pos="567"/>
        </w:tabs>
        <w:spacing w:line="240" w:lineRule="auto"/>
        <w:rPr>
          <w:color w:val="000000"/>
          <w:szCs w:val="22"/>
          <w:lang w:val="es-ES"/>
        </w:rPr>
      </w:pPr>
    </w:p>
    <w:p w14:paraId="0977663E" w14:textId="77777777" w:rsidR="00E36F43" w:rsidRPr="003E0B98" w:rsidRDefault="00E36F43" w:rsidP="004361AC">
      <w:pPr>
        <w:keepNext/>
        <w:tabs>
          <w:tab w:val="clear" w:pos="567"/>
        </w:tabs>
        <w:spacing w:line="240" w:lineRule="auto"/>
        <w:rPr>
          <w:i/>
          <w:color w:val="000000"/>
          <w:szCs w:val="22"/>
          <w:lang w:val="es-ES"/>
        </w:rPr>
      </w:pPr>
      <w:proofErr w:type="spellStart"/>
      <w:r w:rsidRPr="003E0B98">
        <w:rPr>
          <w:i/>
          <w:color w:val="000000"/>
          <w:szCs w:val="22"/>
          <w:lang w:val="es-ES"/>
        </w:rPr>
        <w:t>Lucentis</w:t>
      </w:r>
      <w:proofErr w:type="spellEnd"/>
      <w:r w:rsidRPr="003E0B98">
        <w:rPr>
          <w:i/>
          <w:color w:val="000000"/>
          <w:szCs w:val="22"/>
          <w:lang w:val="es-ES"/>
        </w:rPr>
        <w:t xml:space="preserve"> y fotocoagulación con láser en EMD y en edema macular secundario a oclusión de la rama venosa retiniana (ORVR)</w:t>
      </w:r>
    </w:p>
    <w:p w14:paraId="449A1704" w14:textId="77777777" w:rsidR="00E36F43" w:rsidRPr="003E0B98" w:rsidRDefault="00E36F43" w:rsidP="004361AC">
      <w:pPr>
        <w:tabs>
          <w:tab w:val="clear" w:pos="567"/>
        </w:tabs>
        <w:spacing w:line="240" w:lineRule="auto"/>
        <w:rPr>
          <w:color w:val="000000"/>
          <w:szCs w:val="22"/>
          <w:lang w:val="es-ES"/>
        </w:rPr>
      </w:pPr>
      <w:r w:rsidRPr="003E0B98">
        <w:rPr>
          <w:color w:val="000000"/>
          <w:szCs w:val="22"/>
          <w:lang w:val="es-ES"/>
        </w:rPr>
        <w:t xml:space="preserve">Existe alguna experiencia con </w:t>
      </w:r>
      <w:proofErr w:type="spellStart"/>
      <w:r w:rsidRPr="003E0B98">
        <w:rPr>
          <w:color w:val="000000"/>
          <w:szCs w:val="22"/>
          <w:lang w:val="es-ES"/>
        </w:rPr>
        <w:t>Lucentis</w:t>
      </w:r>
      <w:proofErr w:type="spellEnd"/>
      <w:r w:rsidRPr="003E0B98">
        <w:rPr>
          <w:color w:val="000000"/>
          <w:szCs w:val="22"/>
          <w:lang w:val="es-ES"/>
        </w:rPr>
        <w:t xml:space="preserve"> administrado concomitantemente con fotocoagulación con láser (ver sección 5.1). Cuando se administren en el mismo día, </w:t>
      </w:r>
      <w:proofErr w:type="spellStart"/>
      <w:r w:rsidRPr="003E0B98">
        <w:rPr>
          <w:color w:val="000000"/>
          <w:szCs w:val="22"/>
          <w:lang w:val="es-ES"/>
        </w:rPr>
        <w:t>Lucentis</w:t>
      </w:r>
      <w:proofErr w:type="spellEnd"/>
      <w:r w:rsidRPr="003E0B98">
        <w:rPr>
          <w:color w:val="000000"/>
          <w:szCs w:val="22"/>
          <w:lang w:val="es-ES"/>
        </w:rPr>
        <w:t xml:space="preserve"> se debe administrar como mínimo 30 minutos después de la fotocoagulación con láser. </w:t>
      </w:r>
      <w:proofErr w:type="spellStart"/>
      <w:r w:rsidRPr="003E0B98">
        <w:rPr>
          <w:color w:val="000000"/>
          <w:szCs w:val="22"/>
          <w:lang w:val="es-ES"/>
        </w:rPr>
        <w:t>Lucentis</w:t>
      </w:r>
      <w:proofErr w:type="spellEnd"/>
      <w:r w:rsidRPr="003E0B98">
        <w:rPr>
          <w:color w:val="000000"/>
          <w:szCs w:val="22"/>
          <w:lang w:val="es-ES"/>
        </w:rPr>
        <w:t xml:space="preserve"> puede administrarse en pacientes que han recibido fotocoagulación con láser previamente.</w:t>
      </w:r>
    </w:p>
    <w:p w14:paraId="6671BAA9" w14:textId="77777777" w:rsidR="00E36F43" w:rsidRPr="003E0B98" w:rsidRDefault="00E36F43" w:rsidP="004361AC">
      <w:pPr>
        <w:tabs>
          <w:tab w:val="clear" w:pos="567"/>
        </w:tabs>
        <w:spacing w:line="240" w:lineRule="auto"/>
        <w:rPr>
          <w:color w:val="000000"/>
          <w:szCs w:val="22"/>
          <w:lang w:val="es-ES_tradnl"/>
        </w:rPr>
      </w:pPr>
    </w:p>
    <w:p w14:paraId="3412C6CD" w14:textId="77777777" w:rsidR="00E36F43" w:rsidRPr="003E0B98" w:rsidRDefault="00E36F43" w:rsidP="004361AC">
      <w:pPr>
        <w:keepNext/>
        <w:tabs>
          <w:tab w:val="clear" w:pos="567"/>
        </w:tabs>
        <w:spacing w:line="240" w:lineRule="auto"/>
        <w:rPr>
          <w:i/>
          <w:color w:val="000000"/>
          <w:szCs w:val="22"/>
          <w:lang w:val="es-ES"/>
        </w:rPr>
      </w:pPr>
      <w:proofErr w:type="spellStart"/>
      <w:r w:rsidRPr="003E0B98">
        <w:rPr>
          <w:i/>
          <w:color w:val="000000"/>
          <w:szCs w:val="22"/>
          <w:lang w:val="es-ES"/>
        </w:rPr>
        <w:t>Lucentis</w:t>
      </w:r>
      <w:proofErr w:type="spellEnd"/>
      <w:r w:rsidRPr="003E0B98">
        <w:rPr>
          <w:i/>
          <w:color w:val="000000"/>
          <w:szCs w:val="22"/>
          <w:lang w:val="es-ES"/>
        </w:rPr>
        <w:t xml:space="preserve"> y la terapia fotodinámica con </w:t>
      </w:r>
      <w:proofErr w:type="spellStart"/>
      <w:r w:rsidR="008842C7" w:rsidRPr="003E0B98">
        <w:rPr>
          <w:i/>
          <w:color w:val="000000"/>
          <w:szCs w:val="22"/>
          <w:lang w:val="es-ES"/>
        </w:rPr>
        <w:t>verteporfina</w:t>
      </w:r>
      <w:proofErr w:type="spellEnd"/>
      <w:r w:rsidRPr="003E0B98">
        <w:rPr>
          <w:i/>
          <w:color w:val="000000"/>
          <w:szCs w:val="22"/>
          <w:lang w:val="es-ES"/>
        </w:rPr>
        <w:t xml:space="preserve"> en la NVC secundaria a MP</w:t>
      </w:r>
    </w:p>
    <w:p w14:paraId="4F618568" w14:textId="77777777" w:rsidR="00E36F43" w:rsidRPr="003E0B98" w:rsidRDefault="00E36F43" w:rsidP="004361AC">
      <w:pPr>
        <w:tabs>
          <w:tab w:val="clear" w:pos="567"/>
        </w:tabs>
        <w:spacing w:line="240" w:lineRule="auto"/>
        <w:rPr>
          <w:color w:val="000000"/>
          <w:szCs w:val="22"/>
          <w:lang w:val="es-ES"/>
        </w:rPr>
      </w:pPr>
      <w:r w:rsidRPr="003E0B98">
        <w:rPr>
          <w:color w:val="000000"/>
          <w:szCs w:val="22"/>
          <w:lang w:val="es-ES"/>
        </w:rPr>
        <w:t xml:space="preserve">No hay experiencia en la administración concomitante de </w:t>
      </w:r>
      <w:proofErr w:type="spellStart"/>
      <w:r w:rsidRPr="003E0B98">
        <w:rPr>
          <w:color w:val="000000"/>
          <w:szCs w:val="22"/>
          <w:lang w:val="es-ES"/>
        </w:rPr>
        <w:t>Lucentis</w:t>
      </w:r>
      <w:proofErr w:type="spellEnd"/>
      <w:r w:rsidRPr="003E0B98">
        <w:rPr>
          <w:color w:val="000000"/>
          <w:szCs w:val="22"/>
          <w:lang w:val="es-ES"/>
        </w:rPr>
        <w:t xml:space="preserve"> y </w:t>
      </w:r>
      <w:proofErr w:type="spellStart"/>
      <w:r w:rsidR="008842C7" w:rsidRPr="003E0B98">
        <w:rPr>
          <w:color w:val="000000"/>
          <w:szCs w:val="22"/>
          <w:lang w:val="es-ES"/>
        </w:rPr>
        <w:t>verteporfina</w:t>
      </w:r>
      <w:proofErr w:type="spellEnd"/>
      <w:r w:rsidRPr="003E0B98">
        <w:rPr>
          <w:color w:val="000000"/>
          <w:szCs w:val="22"/>
          <w:lang w:val="es-ES"/>
        </w:rPr>
        <w:t>.</w:t>
      </w:r>
    </w:p>
    <w:p w14:paraId="6B47C5F0" w14:textId="77777777" w:rsidR="00E36F43" w:rsidRPr="003E0B98" w:rsidRDefault="00E36F43" w:rsidP="004361AC">
      <w:pPr>
        <w:tabs>
          <w:tab w:val="clear" w:pos="567"/>
        </w:tabs>
        <w:spacing w:line="240" w:lineRule="auto"/>
        <w:rPr>
          <w:color w:val="000000"/>
          <w:szCs w:val="22"/>
          <w:lang w:val="es-ES_tradnl"/>
        </w:rPr>
      </w:pPr>
    </w:p>
    <w:p w14:paraId="3B817C41" w14:textId="77777777" w:rsidR="00E36F43" w:rsidRPr="003E0B98" w:rsidRDefault="00E36F43" w:rsidP="004361AC">
      <w:pPr>
        <w:keepNext/>
        <w:tabs>
          <w:tab w:val="clear" w:pos="567"/>
        </w:tabs>
        <w:spacing w:line="240" w:lineRule="auto"/>
        <w:rPr>
          <w:color w:val="000000"/>
          <w:szCs w:val="22"/>
          <w:u w:val="single"/>
          <w:lang w:val="es-ES"/>
        </w:rPr>
      </w:pPr>
      <w:r w:rsidRPr="003E0B98">
        <w:rPr>
          <w:color w:val="000000"/>
          <w:szCs w:val="22"/>
          <w:u w:val="single"/>
          <w:lang w:val="es-ES"/>
        </w:rPr>
        <w:t>Poblaciones especiales</w:t>
      </w:r>
    </w:p>
    <w:p w14:paraId="71888B06" w14:textId="77777777" w:rsidR="008842C7" w:rsidRPr="003E0B98" w:rsidRDefault="008842C7" w:rsidP="004361AC">
      <w:pPr>
        <w:keepNext/>
        <w:tabs>
          <w:tab w:val="clear" w:pos="567"/>
        </w:tabs>
        <w:spacing w:line="240" w:lineRule="auto"/>
        <w:rPr>
          <w:color w:val="000000"/>
          <w:szCs w:val="22"/>
          <w:lang w:val="es-ES"/>
        </w:rPr>
      </w:pPr>
    </w:p>
    <w:p w14:paraId="1E4A54FA" w14:textId="77777777" w:rsidR="00E36F43" w:rsidRPr="003E0B98" w:rsidRDefault="00E36F43" w:rsidP="004361AC">
      <w:pPr>
        <w:keepNext/>
        <w:tabs>
          <w:tab w:val="clear" w:pos="567"/>
        </w:tabs>
        <w:spacing w:line="240" w:lineRule="auto"/>
        <w:rPr>
          <w:i/>
          <w:color w:val="000000"/>
          <w:szCs w:val="22"/>
          <w:lang w:val="es-ES"/>
        </w:rPr>
      </w:pPr>
      <w:r w:rsidRPr="003E0B98">
        <w:rPr>
          <w:i/>
          <w:color w:val="000000"/>
          <w:szCs w:val="22"/>
          <w:lang w:val="es-ES"/>
        </w:rPr>
        <w:t>Insuficiencia hepática</w:t>
      </w:r>
    </w:p>
    <w:p w14:paraId="24AAAE99" w14:textId="77777777" w:rsidR="00E36F43" w:rsidRPr="003E0B98" w:rsidRDefault="00E36F43" w:rsidP="004361AC">
      <w:pPr>
        <w:tabs>
          <w:tab w:val="clear" w:pos="567"/>
        </w:tabs>
        <w:spacing w:line="240" w:lineRule="auto"/>
        <w:rPr>
          <w:color w:val="000000"/>
          <w:szCs w:val="22"/>
          <w:lang w:val="es-ES"/>
        </w:rPr>
      </w:pPr>
      <w:proofErr w:type="spellStart"/>
      <w:r w:rsidRPr="003E0B98">
        <w:rPr>
          <w:color w:val="000000"/>
          <w:szCs w:val="22"/>
          <w:lang w:val="es-ES"/>
        </w:rPr>
        <w:t>Lucentis</w:t>
      </w:r>
      <w:proofErr w:type="spellEnd"/>
      <w:r w:rsidRPr="003E0B98">
        <w:rPr>
          <w:color w:val="000000"/>
          <w:szCs w:val="22"/>
          <w:lang w:val="es-ES"/>
        </w:rPr>
        <w:t xml:space="preserve"> no ha sido estudiado en pacientes con insuficiencia hepática. Sin embargo, no es necesaria ninguna consideración especial en esta población.</w:t>
      </w:r>
    </w:p>
    <w:p w14:paraId="42F8EAC4" w14:textId="77777777" w:rsidR="00E36F43" w:rsidRPr="003E0B98" w:rsidRDefault="00E36F43" w:rsidP="004361AC">
      <w:pPr>
        <w:tabs>
          <w:tab w:val="clear" w:pos="567"/>
        </w:tabs>
        <w:spacing w:line="240" w:lineRule="auto"/>
        <w:rPr>
          <w:color w:val="000000"/>
          <w:szCs w:val="22"/>
          <w:lang w:val="es-ES"/>
        </w:rPr>
      </w:pPr>
    </w:p>
    <w:p w14:paraId="62532A1B" w14:textId="77777777" w:rsidR="00E36F43" w:rsidRPr="003E0B98" w:rsidRDefault="00E36F43" w:rsidP="004361AC">
      <w:pPr>
        <w:keepNext/>
        <w:tabs>
          <w:tab w:val="clear" w:pos="567"/>
        </w:tabs>
        <w:spacing w:line="240" w:lineRule="auto"/>
        <w:rPr>
          <w:i/>
          <w:color w:val="000000"/>
          <w:szCs w:val="22"/>
          <w:lang w:val="es-ES_tradnl"/>
        </w:rPr>
      </w:pPr>
      <w:r w:rsidRPr="003E0B98">
        <w:rPr>
          <w:i/>
          <w:color w:val="000000"/>
          <w:szCs w:val="22"/>
          <w:lang w:val="es-ES"/>
        </w:rPr>
        <w:t>Insuficiencia</w:t>
      </w:r>
      <w:r w:rsidRPr="003E0B98">
        <w:rPr>
          <w:i/>
          <w:color w:val="000000"/>
          <w:szCs w:val="22"/>
          <w:lang w:val="es-ES_tradnl"/>
        </w:rPr>
        <w:t xml:space="preserve"> renal</w:t>
      </w:r>
    </w:p>
    <w:p w14:paraId="2B8343E6" w14:textId="77777777" w:rsidR="00E36F43" w:rsidRPr="003E0B98" w:rsidRDefault="00E36F43" w:rsidP="004361AC">
      <w:pPr>
        <w:tabs>
          <w:tab w:val="clear" w:pos="567"/>
        </w:tabs>
        <w:spacing w:line="240" w:lineRule="auto"/>
        <w:rPr>
          <w:color w:val="000000"/>
          <w:szCs w:val="22"/>
          <w:lang w:val="es-ES"/>
        </w:rPr>
      </w:pPr>
      <w:r w:rsidRPr="003E0B98">
        <w:rPr>
          <w:color w:val="000000"/>
          <w:szCs w:val="22"/>
          <w:lang w:val="es-ES"/>
        </w:rPr>
        <w:t>No es necesario ningún ajuste de la dosis en pacientes con insuficiencia renal (ver sección 5.2).</w:t>
      </w:r>
    </w:p>
    <w:p w14:paraId="65D08C38" w14:textId="77777777" w:rsidR="00E36F43" w:rsidRPr="003E0B98" w:rsidRDefault="00E36F43" w:rsidP="004361AC">
      <w:pPr>
        <w:tabs>
          <w:tab w:val="clear" w:pos="567"/>
        </w:tabs>
        <w:spacing w:line="240" w:lineRule="auto"/>
        <w:rPr>
          <w:color w:val="000000"/>
          <w:szCs w:val="22"/>
          <w:lang w:val="es-ES"/>
        </w:rPr>
      </w:pPr>
    </w:p>
    <w:p w14:paraId="0CA02CFE" w14:textId="77777777" w:rsidR="00E36F43" w:rsidRPr="003E0B98" w:rsidRDefault="00E36F43" w:rsidP="004361AC">
      <w:pPr>
        <w:keepNext/>
        <w:tabs>
          <w:tab w:val="clear" w:pos="567"/>
        </w:tabs>
        <w:spacing w:line="240" w:lineRule="auto"/>
        <w:rPr>
          <w:i/>
          <w:color w:val="000000"/>
          <w:szCs w:val="22"/>
          <w:lang w:val="es-ES"/>
        </w:rPr>
      </w:pPr>
      <w:r w:rsidRPr="003E0B98">
        <w:rPr>
          <w:i/>
          <w:color w:val="000000"/>
          <w:szCs w:val="22"/>
          <w:lang w:val="es-ES"/>
        </w:rPr>
        <w:t>Pacientes de edad avanzada</w:t>
      </w:r>
    </w:p>
    <w:p w14:paraId="77EACE48" w14:textId="77777777" w:rsidR="00E36F43" w:rsidRPr="003E0B98" w:rsidRDefault="00E36F43" w:rsidP="004361AC">
      <w:pPr>
        <w:tabs>
          <w:tab w:val="clear" w:pos="567"/>
        </w:tabs>
        <w:spacing w:line="240" w:lineRule="auto"/>
        <w:rPr>
          <w:color w:val="000000"/>
          <w:szCs w:val="22"/>
          <w:lang w:val="es-ES"/>
        </w:rPr>
      </w:pPr>
      <w:r w:rsidRPr="003E0B98">
        <w:rPr>
          <w:color w:val="000000"/>
          <w:szCs w:val="22"/>
          <w:lang w:val="es-ES"/>
        </w:rPr>
        <w:t xml:space="preserve">No se requiere ningún ajuste de la dosis </w:t>
      </w:r>
      <w:r w:rsidRPr="003E0B98">
        <w:rPr>
          <w:color w:val="000000"/>
          <w:lang w:val="es-ES"/>
        </w:rPr>
        <w:t>en pacientes de edad avanzada. Existe experiencia limitada en pacientes con EMD mayores de 75 años.</w:t>
      </w:r>
    </w:p>
    <w:p w14:paraId="05F8A156" w14:textId="77777777" w:rsidR="00E36F43" w:rsidRPr="003E0B98" w:rsidRDefault="00E36F43" w:rsidP="004361AC">
      <w:pPr>
        <w:tabs>
          <w:tab w:val="clear" w:pos="567"/>
        </w:tabs>
        <w:spacing w:line="240" w:lineRule="auto"/>
        <w:rPr>
          <w:color w:val="000000"/>
          <w:szCs w:val="22"/>
          <w:lang w:val="es-ES"/>
        </w:rPr>
      </w:pPr>
    </w:p>
    <w:p w14:paraId="2E52196A" w14:textId="77777777" w:rsidR="00E36F43" w:rsidRPr="003E0B98" w:rsidRDefault="00E36F43" w:rsidP="004361AC">
      <w:pPr>
        <w:keepNext/>
        <w:tabs>
          <w:tab w:val="clear" w:pos="567"/>
        </w:tabs>
        <w:spacing w:line="240" w:lineRule="auto"/>
        <w:rPr>
          <w:i/>
          <w:color w:val="000000"/>
          <w:szCs w:val="22"/>
          <w:lang w:val="es-ES_tradnl"/>
        </w:rPr>
      </w:pPr>
      <w:r w:rsidRPr="003E0B98">
        <w:rPr>
          <w:i/>
          <w:color w:val="000000"/>
          <w:szCs w:val="22"/>
          <w:lang w:val="es-ES_tradnl"/>
        </w:rPr>
        <w:t>Población pediátrica</w:t>
      </w:r>
    </w:p>
    <w:p w14:paraId="1EA5C1B0" w14:textId="77777777" w:rsidR="00163FE7" w:rsidRPr="003E0B98" w:rsidRDefault="00163FE7" w:rsidP="004361AC">
      <w:pPr>
        <w:tabs>
          <w:tab w:val="clear" w:pos="567"/>
        </w:tabs>
        <w:spacing w:line="240" w:lineRule="auto"/>
        <w:rPr>
          <w:color w:val="000000"/>
          <w:szCs w:val="22"/>
          <w:lang w:val="es-ES"/>
        </w:rPr>
      </w:pPr>
      <w:r w:rsidRPr="003E0B98">
        <w:rPr>
          <w:color w:val="000000"/>
          <w:szCs w:val="22"/>
          <w:lang w:val="es-ES"/>
        </w:rPr>
        <w:t xml:space="preserve">No se ha establecido la seguridad y eficacia de </w:t>
      </w:r>
      <w:proofErr w:type="spellStart"/>
      <w:r w:rsidRPr="003E0B98">
        <w:rPr>
          <w:color w:val="000000"/>
          <w:szCs w:val="22"/>
          <w:lang w:val="es-ES"/>
        </w:rPr>
        <w:t>Lucentis</w:t>
      </w:r>
      <w:proofErr w:type="spellEnd"/>
      <w:r w:rsidRPr="003E0B98">
        <w:rPr>
          <w:color w:val="000000"/>
          <w:szCs w:val="22"/>
          <w:lang w:val="es-ES"/>
        </w:rPr>
        <w:t xml:space="preserve"> en niños y adolescentes menores de 18 años. Los datos disponibles en pacientes adolescentes de 12 a 17 años con alteración visual debida a NVC están descritos en la sección 5.1.</w:t>
      </w:r>
    </w:p>
    <w:p w14:paraId="58045008" w14:textId="77777777" w:rsidR="00E36F43" w:rsidRPr="003E0B98" w:rsidRDefault="00E36F43" w:rsidP="004361AC">
      <w:pPr>
        <w:tabs>
          <w:tab w:val="clear" w:pos="567"/>
        </w:tabs>
        <w:spacing w:line="240" w:lineRule="auto"/>
        <w:rPr>
          <w:color w:val="000000"/>
          <w:szCs w:val="22"/>
          <w:u w:val="single"/>
          <w:lang w:val="es-ES_tradnl"/>
        </w:rPr>
      </w:pPr>
    </w:p>
    <w:p w14:paraId="387F2D9B" w14:textId="77777777" w:rsidR="00E36F43" w:rsidRPr="003E0B98" w:rsidRDefault="00E36F43" w:rsidP="004361AC">
      <w:pPr>
        <w:keepNext/>
        <w:tabs>
          <w:tab w:val="clear" w:pos="567"/>
        </w:tabs>
        <w:spacing w:line="240" w:lineRule="auto"/>
        <w:rPr>
          <w:color w:val="000000"/>
          <w:szCs w:val="22"/>
          <w:u w:val="single"/>
          <w:lang w:val="es-ES_tradnl"/>
        </w:rPr>
      </w:pPr>
      <w:r w:rsidRPr="003E0B98">
        <w:rPr>
          <w:color w:val="000000"/>
          <w:szCs w:val="22"/>
          <w:u w:val="single"/>
          <w:lang w:val="es-ES_tradnl"/>
        </w:rPr>
        <w:t>Forma de administración</w:t>
      </w:r>
    </w:p>
    <w:p w14:paraId="02055FF7" w14:textId="77777777" w:rsidR="008842C7" w:rsidRPr="003E0B98" w:rsidRDefault="008842C7" w:rsidP="004361AC">
      <w:pPr>
        <w:keepNext/>
        <w:tabs>
          <w:tab w:val="clear" w:pos="567"/>
        </w:tabs>
        <w:spacing w:line="240" w:lineRule="auto"/>
        <w:rPr>
          <w:color w:val="000000"/>
          <w:szCs w:val="22"/>
          <w:lang w:val="es-ES"/>
        </w:rPr>
      </w:pPr>
    </w:p>
    <w:p w14:paraId="233F333D" w14:textId="77777777" w:rsidR="00E36F43" w:rsidRPr="003E0B98" w:rsidRDefault="008537FE" w:rsidP="004361AC">
      <w:pPr>
        <w:tabs>
          <w:tab w:val="clear" w:pos="567"/>
        </w:tabs>
        <w:spacing w:line="240" w:lineRule="auto"/>
        <w:rPr>
          <w:color w:val="000000"/>
          <w:szCs w:val="22"/>
          <w:lang w:val="es-ES"/>
        </w:rPr>
      </w:pPr>
      <w:r w:rsidRPr="003E0B98">
        <w:rPr>
          <w:color w:val="000000"/>
          <w:szCs w:val="22"/>
          <w:lang w:val="es-ES"/>
        </w:rPr>
        <w:t>Jeringa precargada</w:t>
      </w:r>
      <w:r w:rsidR="00E36F43" w:rsidRPr="003E0B98">
        <w:rPr>
          <w:color w:val="000000"/>
          <w:szCs w:val="22"/>
          <w:lang w:val="es-ES"/>
        </w:rPr>
        <w:t xml:space="preserve"> para un solo uso. Únicamente para vía intravítrea.</w:t>
      </w:r>
      <w:r w:rsidR="00396ECC" w:rsidRPr="003E0B98">
        <w:rPr>
          <w:color w:val="000000"/>
          <w:szCs w:val="22"/>
          <w:lang w:val="es-ES"/>
        </w:rPr>
        <w:t xml:space="preserve"> La jeringa precargada contiene más cantidad que la dosis recomendada de 0,5 mg. El volumen extraíble de la jeringa precargada (</w:t>
      </w:r>
      <w:r w:rsidR="009066DE" w:rsidRPr="003E0B98">
        <w:rPr>
          <w:color w:val="000000"/>
          <w:szCs w:val="22"/>
          <w:lang w:val="es-ES"/>
        </w:rPr>
        <w:t>0,1 ml</w:t>
      </w:r>
      <w:r w:rsidR="00396ECC" w:rsidRPr="003E0B98">
        <w:rPr>
          <w:color w:val="000000"/>
          <w:szCs w:val="22"/>
          <w:lang w:val="es-ES"/>
        </w:rPr>
        <w:t xml:space="preserve">) no se administrará en su totalidad. El exceso de volumen </w:t>
      </w:r>
      <w:r w:rsidR="00E82C6E" w:rsidRPr="003E0B98">
        <w:rPr>
          <w:color w:val="000000"/>
          <w:szCs w:val="22"/>
          <w:lang w:val="es-ES"/>
        </w:rPr>
        <w:t xml:space="preserve">se </w:t>
      </w:r>
      <w:r w:rsidR="00396ECC" w:rsidRPr="003E0B98">
        <w:rPr>
          <w:color w:val="000000"/>
          <w:szCs w:val="22"/>
          <w:lang w:val="es-ES"/>
        </w:rPr>
        <w:t>debe e</w:t>
      </w:r>
      <w:r w:rsidR="00E82C6E" w:rsidRPr="003E0B98">
        <w:rPr>
          <w:color w:val="000000"/>
          <w:szCs w:val="22"/>
          <w:lang w:val="es-ES"/>
        </w:rPr>
        <w:t>xpulsar</w:t>
      </w:r>
      <w:r w:rsidR="00396ECC" w:rsidRPr="003E0B98">
        <w:rPr>
          <w:color w:val="000000"/>
          <w:szCs w:val="22"/>
          <w:lang w:val="es-ES"/>
        </w:rPr>
        <w:t xml:space="preserve"> antes de la inyección. Si se inyecta </w:t>
      </w:r>
      <w:r w:rsidR="00A2101A" w:rsidRPr="003E0B98">
        <w:rPr>
          <w:color w:val="000000"/>
          <w:szCs w:val="22"/>
          <w:lang w:val="es-ES"/>
        </w:rPr>
        <w:t>todo el volumen de la jeringa precargada puede dar lugar a una sobredosis. Para e</w:t>
      </w:r>
      <w:r w:rsidR="001C7C26" w:rsidRPr="003E0B98">
        <w:rPr>
          <w:color w:val="000000"/>
          <w:szCs w:val="22"/>
          <w:lang w:val="es-ES"/>
        </w:rPr>
        <w:t>xpulsar</w:t>
      </w:r>
      <w:r w:rsidR="00A2101A" w:rsidRPr="003E0B98">
        <w:rPr>
          <w:color w:val="000000"/>
          <w:szCs w:val="22"/>
          <w:lang w:val="es-ES"/>
        </w:rPr>
        <w:t xml:space="preserve"> las burbujas</w:t>
      </w:r>
      <w:r w:rsidR="001C7C26" w:rsidRPr="003E0B98">
        <w:rPr>
          <w:color w:val="000000"/>
          <w:szCs w:val="22"/>
          <w:lang w:val="es-ES"/>
        </w:rPr>
        <w:t xml:space="preserve"> de aire</w:t>
      </w:r>
      <w:r w:rsidR="00A2101A" w:rsidRPr="003E0B98">
        <w:rPr>
          <w:color w:val="000000"/>
          <w:szCs w:val="22"/>
          <w:lang w:val="es-ES"/>
        </w:rPr>
        <w:t xml:space="preserve"> y el exceso de medicamento</w:t>
      </w:r>
      <w:r w:rsidR="00B937A9" w:rsidRPr="003E0B98">
        <w:rPr>
          <w:color w:val="000000"/>
          <w:szCs w:val="22"/>
          <w:lang w:val="es-ES"/>
        </w:rPr>
        <w:t>, presione lentamente el émbolo hasta</w:t>
      </w:r>
      <w:r w:rsidR="0026059C" w:rsidRPr="003E0B98">
        <w:rPr>
          <w:color w:val="000000"/>
          <w:szCs w:val="22"/>
          <w:lang w:val="es-ES"/>
        </w:rPr>
        <w:t xml:space="preserve"> que el bord</w:t>
      </w:r>
      <w:r w:rsidR="00C429C6" w:rsidRPr="003E0B98">
        <w:rPr>
          <w:color w:val="000000"/>
          <w:szCs w:val="22"/>
          <w:lang w:val="es-ES"/>
        </w:rPr>
        <w:t xml:space="preserve">e inferior de la cúpula que forma </w:t>
      </w:r>
      <w:r w:rsidR="0026059C" w:rsidRPr="003E0B98">
        <w:rPr>
          <w:color w:val="000000"/>
          <w:szCs w:val="22"/>
          <w:lang w:val="es-ES"/>
        </w:rPr>
        <w:t xml:space="preserve">el extremo del </w:t>
      </w:r>
      <w:r w:rsidR="008E7E7E" w:rsidRPr="003E0B98">
        <w:rPr>
          <w:color w:val="000000"/>
          <w:szCs w:val="22"/>
          <w:lang w:val="es-ES"/>
        </w:rPr>
        <w:t>tapón</w:t>
      </w:r>
      <w:r w:rsidR="0026059C" w:rsidRPr="003E0B98">
        <w:rPr>
          <w:color w:val="000000"/>
          <w:szCs w:val="22"/>
          <w:lang w:val="es-ES"/>
        </w:rPr>
        <w:t xml:space="preserve"> de goma quede alineado con</w:t>
      </w:r>
      <w:r w:rsidR="00B937A9" w:rsidRPr="003E0B98">
        <w:rPr>
          <w:color w:val="000000"/>
          <w:szCs w:val="22"/>
          <w:lang w:val="es-ES"/>
        </w:rPr>
        <w:t xml:space="preserve"> la línea </w:t>
      </w:r>
      <w:r w:rsidR="003D7A21" w:rsidRPr="003E0B98">
        <w:rPr>
          <w:color w:val="000000"/>
          <w:szCs w:val="22"/>
          <w:lang w:val="es-ES"/>
        </w:rPr>
        <w:t xml:space="preserve">negra </w:t>
      </w:r>
      <w:r w:rsidR="00B937A9" w:rsidRPr="003E0B98">
        <w:rPr>
          <w:color w:val="000000"/>
          <w:szCs w:val="22"/>
          <w:lang w:val="es-ES"/>
        </w:rPr>
        <w:t xml:space="preserve">de dosificación de la jeringa (equivalente a </w:t>
      </w:r>
      <w:r w:rsidR="009066DE" w:rsidRPr="003E0B98">
        <w:rPr>
          <w:color w:val="000000"/>
          <w:szCs w:val="22"/>
          <w:lang w:val="es-ES"/>
        </w:rPr>
        <w:t>0,05 ml</w:t>
      </w:r>
      <w:r w:rsidR="00B937A9" w:rsidRPr="003E0B98">
        <w:rPr>
          <w:color w:val="000000"/>
          <w:szCs w:val="22"/>
          <w:lang w:val="es-ES"/>
        </w:rPr>
        <w:t xml:space="preserve">, es decir, 0,5 mg de </w:t>
      </w:r>
      <w:proofErr w:type="spellStart"/>
      <w:r w:rsidR="00B937A9" w:rsidRPr="003E0B98">
        <w:rPr>
          <w:color w:val="000000"/>
          <w:szCs w:val="22"/>
          <w:lang w:val="es-ES"/>
        </w:rPr>
        <w:t>ranibizumab</w:t>
      </w:r>
      <w:proofErr w:type="spellEnd"/>
      <w:r w:rsidR="00B937A9" w:rsidRPr="003E0B98">
        <w:rPr>
          <w:color w:val="000000"/>
          <w:szCs w:val="22"/>
          <w:lang w:val="es-ES"/>
        </w:rPr>
        <w:t>).</w:t>
      </w:r>
    </w:p>
    <w:p w14:paraId="4A9D80F4" w14:textId="77777777" w:rsidR="00E36F43" w:rsidRPr="003E0B98" w:rsidRDefault="00E36F43" w:rsidP="004361AC">
      <w:pPr>
        <w:tabs>
          <w:tab w:val="clear" w:pos="567"/>
        </w:tabs>
        <w:spacing w:line="240" w:lineRule="auto"/>
        <w:rPr>
          <w:color w:val="000000"/>
          <w:szCs w:val="22"/>
          <w:lang w:val="es-ES"/>
        </w:rPr>
      </w:pPr>
    </w:p>
    <w:p w14:paraId="176900A9" w14:textId="77777777" w:rsidR="00E36F43" w:rsidRPr="003E0B98" w:rsidRDefault="00E36F43" w:rsidP="004361AC">
      <w:pPr>
        <w:tabs>
          <w:tab w:val="clear" w:pos="567"/>
        </w:tabs>
        <w:spacing w:line="240" w:lineRule="auto"/>
        <w:rPr>
          <w:color w:val="000000"/>
          <w:szCs w:val="22"/>
          <w:lang w:val="es-ES"/>
        </w:rPr>
      </w:pPr>
      <w:r w:rsidRPr="003E0B98">
        <w:rPr>
          <w:color w:val="000000"/>
          <w:szCs w:val="22"/>
          <w:lang w:val="es-ES"/>
        </w:rPr>
        <w:t xml:space="preserve">Antes de la administración de </w:t>
      </w:r>
      <w:proofErr w:type="spellStart"/>
      <w:r w:rsidRPr="003E0B98">
        <w:rPr>
          <w:color w:val="000000"/>
          <w:szCs w:val="22"/>
          <w:lang w:val="es-ES"/>
        </w:rPr>
        <w:t>Lucentis</w:t>
      </w:r>
      <w:proofErr w:type="spellEnd"/>
      <w:r w:rsidRPr="003E0B98">
        <w:rPr>
          <w:color w:val="000000"/>
          <w:szCs w:val="22"/>
          <w:lang w:val="es-ES"/>
        </w:rPr>
        <w:t xml:space="preserve"> se debe comprobar visualmente la ausencia de partículas y decoloración.</w:t>
      </w:r>
    </w:p>
    <w:p w14:paraId="324B1C13" w14:textId="77777777" w:rsidR="00E36F43" w:rsidRPr="003E0B98" w:rsidRDefault="00E36F43" w:rsidP="004361AC">
      <w:pPr>
        <w:tabs>
          <w:tab w:val="clear" w:pos="567"/>
        </w:tabs>
        <w:spacing w:line="240" w:lineRule="auto"/>
        <w:rPr>
          <w:color w:val="000000"/>
          <w:szCs w:val="22"/>
          <w:lang w:val="es-ES"/>
        </w:rPr>
      </w:pPr>
    </w:p>
    <w:p w14:paraId="0680E617" w14:textId="77777777" w:rsidR="00E36F43" w:rsidRPr="003E0B98" w:rsidRDefault="00E36F43" w:rsidP="004361AC">
      <w:pPr>
        <w:tabs>
          <w:tab w:val="clear" w:pos="567"/>
        </w:tabs>
        <w:spacing w:line="240" w:lineRule="auto"/>
        <w:rPr>
          <w:color w:val="000000"/>
          <w:szCs w:val="22"/>
          <w:lang w:val="es-ES"/>
        </w:rPr>
      </w:pPr>
      <w:r w:rsidRPr="003E0B98">
        <w:rPr>
          <w:color w:val="000000"/>
          <w:szCs w:val="22"/>
          <w:lang w:val="es-ES"/>
        </w:rPr>
        <w:t xml:space="preserve">El procedimiento de inyección deberá llevarse a cabo bajo condiciones asépticas, que incluyen el lavado quirúrgico de las manos, el uso de guantes estériles, un campo estéril, un </w:t>
      </w:r>
      <w:proofErr w:type="spellStart"/>
      <w:r w:rsidRPr="003E0B98">
        <w:rPr>
          <w:color w:val="000000"/>
          <w:szCs w:val="22"/>
          <w:lang w:val="es-ES"/>
        </w:rPr>
        <w:t>blefarostato</w:t>
      </w:r>
      <w:proofErr w:type="spellEnd"/>
      <w:r w:rsidRPr="003E0B98">
        <w:rPr>
          <w:color w:val="000000"/>
          <w:szCs w:val="22"/>
          <w:lang w:val="es-ES"/>
        </w:rPr>
        <w:t xml:space="preserve"> estéril para los párpados (o equivalente) y la disponibilidad de una paracentesis estéril (en caso necesario). Antes de realizar el procedimiento de inyección intravítrea, se deberá evaluar detalladamente la historia clínica del paciente en cuanto a reacciones de hipersensibilidad (ver sección 4.4). Antes de la inyección se debe administrar una anestesia adecuada y un microbicida tópico de amplio espectro</w:t>
      </w:r>
      <w:r w:rsidR="00EC10AD" w:rsidRPr="003E0B98">
        <w:rPr>
          <w:color w:val="000000"/>
          <w:szCs w:val="22"/>
          <w:lang w:val="es-ES"/>
        </w:rPr>
        <w:t xml:space="preserve"> para desinfectar la piel de la zona periocular, párpado y superficie ocular, de acuerdo con la práctica local</w:t>
      </w:r>
      <w:r w:rsidRPr="003E0B98">
        <w:rPr>
          <w:color w:val="000000"/>
          <w:szCs w:val="22"/>
          <w:lang w:val="es-ES"/>
        </w:rPr>
        <w:t>.</w:t>
      </w:r>
    </w:p>
    <w:p w14:paraId="1A07A406" w14:textId="77777777" w:rsidR="00E36F43" w:rsidRPr="003E0B98" w:rsidRDefault="00E36F43" w:rsidP="004361AC">
      <w:pPr>
        <w:tabs>
          <w:tab w:val="clear" w:pos="567"/>
        </w:tabs>
        <w:spacing w:line="240" w:lineRule="auto"/>
        <w:rPr>
          <w:color w:val="000000"/>
          <w:szCs w:val="22"/>
          <w:lang w:val="es-ES_tradnl"/>
        </w:rPr>
      </w:pPr>
    </w:p>
    <w:p w14:paraId="322C3F57" w14:textId="77777777" w:rsidR="00E36F43" w:rsidRPr="003E0B98" w:rsidRDefault="00E36F43" w:rsidP="004361AC">
      <w:pPr>
        <w:tabs>
          <w:tab w:val="clear" w:pos="567"/>
        </w:tabs>
        <w:spacing w:line="240" w:lineRule="auto"/>
        <w:rPr>
          <w:color w:val="000000"/>
          <w:szCs w:val="22"/>
          <w:lang w:val="es-ES"/>
        </w:rPr>
      </w:pPr>
      <w:r w:rsidRPr="003E0B98">
        <w:rPr>
          <w:color w:val="000000"/>
          <w:szCs w:val="22"/>
          <w:lang w:val="es-ES"/>
        </w:rPr>
        <w:t xml:space="preserve">Para </w:t>
      </w:r>
      <w:r w:rsidR="00BD19D5" w:rsidRPr="003E0B98">
        <w:rPr>
          <w:color w:val="000000"/>
          <w:szCs w:val="22"/>
          <w:lang w:val="es-ES"/>
        </w:rPr>
        <w:t xml:space="preserve">consultar </w:t>
      </w:r>
      <w:r w:rsidRPr="003E0B98">
        <w:rPr>
          <w:color w:val="000000"/>
          <w:szCs w:val="22"/>
          <w:lang w:val="es-ES"/>
        </w:rPr>
        <w:t xml:space="preserve">la información relativa a la preparación de </w:t>
      </w:r>
      <w:proofErr w:type="spellStart"/>
      <w:r w:rsidRPr="003E0B98">
        <w:rPr>
          <w:color w:val="000000"/>
          <w:szCs w:val="22"/>
          <w:lang w:val="es-ES"/>
        </w:rPr>
        <w:t>Lucentis</w:t>
      </w:r>
      <w:proofErr w:type="spellEnd"/>
      <w:r w:rsidRPr="003E0B98">
        <w:rPr>
          <w:color w:val="000000"/>
          <w:szCs w:val="22"/>
          <w:lang w:val="es-ES"/>
        </w:rPr>
        <w:t>, ver sección</w:t>
      </w:r>
      <w:r w:rsidR="007017F4" w:rsidRPr="003E0B98">
        <w:rPr>
          <w:color w:val="000000"/>
          <w:szCs w:val="22"/>
          <w:lang w:val="es-ES"/>
        </w:rPr>
        <w:t> </w:t>
      </w:r>
      <w:r w:rsidRPr="003E0B98">
        <w:rPr>
          <w:color w:val="000000"/>
          <w:szCs w:val="22"/>
          <w:lang w:val="es-ES"/>
        </w:rPr>
        <w:t>6.6.</w:t>
      </w:r>
    </w:p>
    <w:p w14:paraId="6686B92E" w14:textId="77777777" w:rsidR="00E36F43" w:rsidRPr="003E0B98" w:rsidRDefault="00E36F43" w:rsidP="004361AC">
      <w:pPr>
        <w:tabs>
          <w:tab w:val="clear" w:pos="567"/>
        </w:tabs>
        <w:spacing w:line="240" w:lineRule="auto"/>
        <w:rPr>
          <w:color w:val="000000"/>
          <w:szCs w:val="22"/>
          <w:lang w:val="es-ES_tradnl"/>
        </w:rPr>
      </w:pPr>
    </w:p>
    <w:p w14:paraId="597B0BFA" w14:textId="77777777" w:rsidR="00E36F43" w:rsidRPr="003E0B98" w:rsidRDefault="00E36F43" w:rsidP="004361AC">
      <w:pPr>
        <w:tabs>
          <w:tab w:val="clear" w:pos="567"/>
        </w:tabs>
        <w:spacing w:line="240" w:lineRule="auto"/>
        <w:rPr>
          <w:color w:val="000000"/>
          <w:szCs w:val="22"/>
          <w:lang w:val="es-ES"/>
        </w:rPr>
      </w:pPr>
      <w:r w:rsidRPr="003E0B98">
        <w:rPr>
          <w:color w:val="000000"/>
          <w:szCs w:val="22"/>
          <w:lang w:val="es-ES"/>
        </w:rPr>
        <w:t>La aguja para inyección se deberá introducir 3,5</w:t>
      </w:r>
      <w:r w:rsidRPr="003E0B98">
        <w:rPr>
          <w:color w:val="000000"/>
          <w:szCs w:val="22"/>
          <w:lang w:val="es-ES"/>
        </w:rPr>
        <w:noBreakHyphen/>
        <w:t xml:space="preserve">4,0 mm por detrás del limbo en la cavidad vítrea, </w:t>
      </w:r>
      <w:r w:rsidRPr="003E0B98">
        <w:rPr>
          <w:color w:val="000000"/>
          <w:lang w:val="es-ES"/>
        </w:rPr>
        <w:t xml:space="preserve">evitando el meridiano horizontal y en dirección al centro del globo. Seguidamente debe liberarse el volumen de inyección de </w:t>
      </w:r>
      <w:r w:rsidRPr="003E0B98">
        <w:rPr>
          <w:color w:val="000000"/>
          <w:szCs w:val="22"/>
          <w:lang w:val="es-ES"/>
        </w:rPr>
        <w:t xml:space="preserve">0,05 ml; las inyecciones siguientes deberán aplicarse cada vez en un punto </w:t>
      </w:r>
      <w:proofErr w:type="spellStart"/>
      <w:r w:rsidRPr="003E0B98">
        <w:rPr>
          <w:color w:val="000000"/>
          <w:szCs w:val="22"/>
          <w:lang w:val="es-ES"/>
        </w:rPr>
        <w:t>escleral</w:t>
      </w:r>
      <w:proofErr w:type="spellEnd"/>
      <w:r w:rsidRPr="003E0B98">
        <w:rPr>
          <w:color w:val="000000"/>
          <w:szCs w:val="22"/>
          <w:lang w:val="es-ES"/>
        </w:rPr>
        <w:t xml:space="preserve"> distinto.</w:t>
      </w:r>
      <w:r w:rsidR="00B937A9" w:rsidRPr="003E0B98">
        <w:rPr>
          <w:color w:val="000000"/>
          <w:szCs w:val="22"/>
          <w:lang w:val="es-ES"/>
        </w:rPr>
        <w:t xml:space="preserve"> Cada jeringa precargada </w:t>
      </w:r>
      <w:r w:rsidR="00D22DCB" w:rsidRPr="003E0B98">
        <w:rPr>
          <w:color w:val="000000"/>
          <w:szCs w:val="22"/>
          <w:lang w:val="es-ES"/>
        </w:rPr>
        <w:t xml:space="preserve">se </w:t>
      </w:r>
      <w:r w:rsidR="00B937A9" w:rsidRPr="003E0B98">
        <w:rPr>
          <w:color w:val="000000"/>
          <w:szCs w:val="22"/>
          <w:lang w:val="es-ES"/>
        </w:rPr>
        <w:t>debe usar exclusivamente para el tratamiento de un solo ojo.</w:t>
      </w:r>
    </w:p>
    <w:p w14:paraId="60874FBC" w14:textId="77777777" w:rsidR="00E36F43" w:rsidRPr="003E0B98" w:rsidRDefault="00E36F43" w:rsidP="004361AC">
      <w:pPr>
        <w:tabs>
          <w:tab w:val="clear" w:pos="567"/>
        </w:tabs>
        <w:spacing w:line="240" w:lineRule="auto"/>
        <w:rPr>
          <w:color w:val="000000"/>
          <w:szCs w:val="22"/>
          <w:lang w:val="es-ES"/>
        </w:rPr>
      </w:pPr>
    </w:p>
    <w:p w14:paraId="420AB7F0" w14:textId="77777777" w:rsidR="009C7FF4" w:rsidRPr="003E0B98" w:rsidRDefault="009C7FF4" w:rsidP="004361AC">
      <w:pPr>
        <w:keepNext/>
        <w:tabs>
          <w:tab w:val="clear" w:pos="567"/>
        </w:tabs>
        <w:spacing w:line="240" w:lineRule="auto"/>
        <w:rPr>
          <w:color w:val="000000"/>
          <w:szCs w:val="22"/>
          <w:lang w:val="es-ES"/>
        </w:rPr>
      </w:pPr>
      <w:r w:rsidRPr="003E0B98">
        <w:rPr>
          <w:b/>
          <w:color w:val="000000"/>
          <w:szCs w:val="22"/>
          <w:lang w:val="es-ES"/>
        </w:rPr>
        <w:t>4.3</w:t>
      </w:r>
      <w:r w:rsidRPr="003E0B98">
        <w:rPr>
          <w:b/>
          <w:color w:val="000000"/>
          <w:szCs w:val="22"/>
          <w:lang w:val="es-ES"/>
        </w:rPr>
        <w:tab/>
        <w:t>Contraindicaciones</w:t>
      </w:r>
    </w:p>
    <w:p w14:paraId="303F4775" w14:textId="77777777" w:rsidR="009C7FF4" w:rsidRPr="003E0B98" w:rsidRDefault="009C7FF4" w:rsidP="004361AC">
      <w:pPr>
        <w:keepNext/>
        <w:tabs>
          <w:tab w:val="clear" w:pos="567"/>
        </w:tabs>
        <w:spacing w:line="240" w:lineRule="auto"/>
        <w:rPr>
          <w:color w:val="000000"/>
          <w:szCs w:val="22"/>
          <w:lang w:val="es-ES"/>
        </w:rPr>
      </w:pPr>
    </w:p>
    <w:p w14:paraId="06A5221C" w14:textId="77777777" w:rsidR="009C7FF4" w:rsidRPr="003E0B98" w:rsidRDefault="009C7FF4" w:rsidP="004361AC">
      <w:pPr>
        <w:tabs>
          <w:tab w:val="clear" w:pos="567"/>
        </w:tabs>
        <w:spacing w:line="240" w:lineRule="auto"/>
        <w:rPr>
          <w:color w:val="000000"/>
          <w:szCs w:val="22"/>
          <w:lang w:val="es-ES"/>
        </w:rPr>
      </w:pPr>
      <w:r w:rsidRPr="003E0B98">
        <w:rPr>
          <w:color w:val="000000"/>
          <w:szCs w:val="22"/>
          <w:lang w:val="es-ES"/>
        </w:rPr>
        <w:t>Hipersensibilidad al principio activo o a alguno de los excipientes incluidos en la sección</w:t>
      </w:r>
      <w:r w:rsidR="007017F4" w:rsidRPr="003E0B98">
        <w:rPr>
          <w:color w:val="000000"/>
          <w:szCs w:val="22"/>
          <w:lang w:val="es-ES"/>
        </w:rPr>
        <w:t> </w:t>
      </w:r>
      <w:r w:rsidRPr="003E0B98">
        <w:rPr>
          <w:color w:val="000000"/>
          <w:szCs w:val="22"/>
          <w:lang w:val="es-ES"/>
        </w:rPr>
        <w:t>6.1.</w:t>
      </w:r>
    </w:p>
    <w:p w14:paraId="081A2E0B" w14:textId="77777777" w:rsidR="009C7FF4" w:rsidRPr="003E0B98" w:rsidRDefault="009C7FF4" w:rsidP="004361AC">
      <w:pPr>
        <w:tabs>
          <w:tab w:val="clear" w:pos="567"/>
        </w:tabs>
        <w:spacing w:line="240" w:lineRule="auto"/>
        <w:rPr>
          <w:color w:val="000000"/>
          <w:szCs w:val="22"/>
          <w:lang w:val="es-ES"/>
        </w:rPr>
      </w:pPr>
    </w:p>
    <w:p w14:paraId="6F65135E" w14:textId="77777777" w:rsidR="009C7FF4" w:rsidRPr="003E0B98" w:rsidRDefault="009C7FF4" w:rsidP="004361AC">
      <w:pPr>
        <w:tabs>
          <w:tab w:val="clear" w:pos="567"/>
        </w:tabs>
        <w:spacing w:line="240" w:lineRule="auto"/>
        <w:rPr>
          <w:color w:val="000000"/>
          <w:szCs w:val="22"/>
          <w:lang w:val="es-ES"/>
        </w:rPr>
      </w:pPr>
      <w:r w:rsidRPr="003E0B98">
        <w:rPr>
          <w:color w:val="000000"/>
          <w:szCs w:val="22"/>
          <w:lang w:val="es-ES"/>
        </w:rPr>
        <w:t>Pacientes con infecciones oculares o perioculares o con sospecha de éstas.</w:t>
      </w:r>
    </w:p>
    <w:p w14:paraId="13A4DFE8" w14:textId="77777777" w:rsidR="009C7FF4" w:rsidRPr="003E0B98" w:rsidRDefault="009C7FF4" w:rsidP="004361AC">
      <w:pPr>
        <w:tabs>
          <w:tab w:val="clear" w:pos="567"/>
        </w:tabs>
        <w:spacing w:line="240" w:lineRule="auto"/>
        <w:rPr>
          <w:color w:val="000000"/>
          <w:szCs w:val="22"/>
          <w:lang w:val="es-ES"/>
        </w:rPr>
      </w:pPr>
    </w:p>
    <w:p w14:paraId="372E8A58" w14:textId="77777777" w:rsidR="009C7FF4" w:rsidRPr="003E0B98" w:rsidRDefault="009C7FF4" w:rsidP="004361AC">
      <w:pPr>
        <w:tabs>
          <w:tab w:val="clear" w:pos="567"/>
        </w:tabs>
        <w:spacing w:line="240" w:lineRule="auto"/>
        <w:rPr>
          <w:color w:val="000000"/>
          <w:szCs w:val="22"/>
          <w:lang w:val="es-ES"/>
        </w:rPr>
      </w:pPr>
      <w:r w:rsidRPr="003E0B98">
        <w:rPr>
          <w:color w:val="000000"/>
          <w:szCs w:val="22"/>
          <w:lang w:val="es-ES"/>
        </w:rPr>
        <w:t>Pacientes con inflamación intraocular grave.</w:t>
      </w:r>
    </w:p>
    <w:p w14:paraId="0F7E1B40" w14:textId="77777777" w:rsidR="009C7FF4" w:rsidRPr="003E0B98" w:rsidRDefault="009C7FF4" w:rsidP="004361AC">
      <w:pPr>
        <w:tabs>
          <w:tab w:val="clear" w:pos="567"/>
        </w:tabs>
        <w:spacing w:line="240" w:lineRule="auto"/>
        <w:rPr>
          <w:color w:val="000000"/>
          <w:szCs w:val="22"/>
          <w:lang w:val="es-ES"/>
        </w:rPr>
      </w:pPr>
    </w:p>
    <w:p w14:paraId="73E83273" w14:textId="77777777" w:rsidR="009C7FF4" w:rsidRPr="003E0B98" w:rsidRDefault="009C7FF4" w:rsidP="004361AC">
      <w:pPr>
        <w:keepNext/>
        <w:tabs>
          <w:tab w:val="clear" w:pos="567"/>
        </w:tabs>
        <w:spacing w:line="240" w:lineRule="auto"/>
        <w:rPr>
          <w:color w:val="000000"/>
          <w:szCs w:val="22"/>
          <w:lang w:val="es-ES_tradnl"/>
        </w:rPr>
      </w:pPr>
      <w:r w:rsidRPr="003E0B98">
        <w:rPr>
          <w:b/>
          <w:color w:val="000000"/>
          <w:szCs w:val="22"/>
          <w:lang w:val="es-ES_tradnl"/>
        </w:rPr>
        <w:t>4.4</w:t>
      </w:r>
      <w:r w:rsidRPr="003E0B98">
        <w:rPr>
          <w:b/>
          <w:color w:val="000000"/>
          <w:szCs w:val="22"/>
          <w:lang w:val="es-ES_tradnl"/>
        </w:rPr>
        <w:tab/>
      </w:r>
      <w:r w:rsidRPr="003E0B98">
        <w:rPr>
          <w:b/>
          <w:color w:val="000000"/>
          <w:szCs w:val="22"/>
          <w:lang w:val="es-ES"/>
        </w:rPr>
        <w:t>Advertencias y precauciones especiales de empleo</w:t>
      </w:r>
    </w:p>
    <w:p w14:paraId="22D5F7CE" w14:textId="77777777" w:rsidR="00B65929" w:rsidRPr="003E0B98" w:rsidRDefault="00B65929" w:rsidP="004361AC">
      <w:pPr>
        <w:keepNext/>
        <w:tabs>
          <w:tab w:val="clear" w:pos="567"/>
        </w:tabs>
        <w:spacing w:line="240" w:lineRule="auto"/>
        <w:rPr>
          <w:color w:val="000000"/>
          <w:szCs w:val="22"/>
          <w:lang w:val="es-ES"/>
        </w:rPr>
      </w:pPr>
    </w:p>
    <w:p w14:paraId="05904FCA" w14:textId="77777777" w:rsidR="00B65929" w:rsidRPr="003E0B98" w:rsidRDefault="00B65929" w:rsidP="004361AC">
      <w:pPr>
        <w:keepNext/>
        <w:tabs>
          <w:tab w:val="clear" w:pos="567"/>
        </w:tabs>
        <w:spacing w:line="240" w:lineRule="auto"/>
        <w:rPr>
          <w:color w:val="000000"/>
          <w:szCs w:val="22"/>
          <w:lang w:val="es-ES"/>
        </w:rPr>
      </w:pPr>
      <w:r w:rsidRPr="003E0B98">
        <w:rPr>
          <w:color w:val="000000"/>
          <w:szCs w:val="22"/>
          <w:u w:val="single"/>
          <w:lang w:val="es-ES"/>
        </w:rPr>
        <w:t>Trazabilidad</w:t>
      </w:r>
    </w:p>
    <w:p w14:paraId="0C51A378" w14:textId="77777777" w:rsidR="00B65929" w:rsidRPr="003E0B98" w:rsidRDefault="00B65929" w:rsidP="004361AC">
      <w:pPr>
        <w:keepNext/>
        <w:tabs>
          <w:tab w:val="clear" w:pos="567"/>
        </w:tabs>
        <w:spacing w:line="240" w:lineRule="auto"/>
        <w:rPr>
          <w:color w:val="000000"/>
          <w:szCs w:val="22"/>
          <w:lang w:val="es-ES"/>
        </w:rPr>
      </w:pPr>
    </w:p>
    <w:p w14:paraId="32F8F714" w14:textId="77777777" w:rsidR="00B65929" w:rsidRPr="003E0B98" w:rsidRDefault="00B65929" w:rsidP="004361AC">
      <w:pPr>
        <w:tabs>
          <w:tab w:val="clear" w:pos="567"/>
        </w:tabs>
        <w:spacing w:line="240" w:lineRule="auto"/>
        <w:rPr>
          <w:color w:val="000000"/>
          <w:szCs w:val="22"/>
          <w:lang w:val="es-ES"/>
        </w:rPr>
      </w:pPr>
      <w:r w:rsidRPr="003E0B98">
        <w:rPr>
          <w:color w:val="000000"/>
          <w:szCs w:val="22"/>
          <w:lang w:val="es-ES"/>
        </w:rPr>
        <w:t>Con objeto de mejorar la trazabilidad de los medicamentos biológicos, el nombre y el número de lote del medicamento administrado deben estar claramente registrados.</w:t>
      </w:r>
    </w:p>
    <w:p w14:paraId="2DE45B91" w14:textId="77777777" w:rsidR="009C7FF4" w:rsidRPr="003E0B98" w:rsidRDefault="009C7FF4" w:rsidP="004361AC">
      <w:pPr>
        <w:tabs>
          <w:tab w:val="clear" w:pos="567"/>
        </w:tabs>
        <w:spacing w:line="240" w:lineRule="auto"/>
        <w:rPr>
          <w:color w:val="000000"/>
          <w:szCs w:val="22"/>
          <w:lang w:val="es-ES"/>
        </w:rPr>
      </w:pPr>
    </w:p>
    <w:p w14:paraId="2C9991D5" w14:textId="77777777" w:rsidR="009C7FF4" w:rsidRPr="003E0B98" w:rsidRDefault="009C7FF4" w:rsidP="004361AC">
      <w:pPr>
        <w:keepNext/>
        <w:tabs>
          <w:tab w:val="clear" w:pos="567"/>
        </w:tabs>
        <w:spacing w:line="240" w:lineRule="auto"/>
        <w:rPr>
          <w:color w:val="000000"/>
          <w:szCs w:val="22"/>
          <w:lang w:val="es-ES"/>
        </w:rPr>
      </w:pPr>
      <w:r w:rsidRPr="003E0B98">
        <w:rPr>
          <w:color w:val="000000"/>
          <w:szCs w:val="22"/>
          <w:u w:val="single"/>
          <w:lang w:val="es-ES"/>
        </w:rPr>
        <w:t>Reacciones relacionadas con la inyección intravítrea</w:t>
      </w:r>
    </w:p>
    <w:p w14:paraId="1A7C6F26" w14:textId="77777777" w:rsidR="00BD19D5" w:rsidRPr="003E0B98" w:rsidRDefault="00BD19D5" w:rsidP="004361AC">
      <w:pPr>
        <w:keepNext/>
        <w:tabs>
          <w:tab w:val="clear" w:pos="567"/>
        </w:tabs>
        <w:spacing w:line="240" w:lineRule="auto"/>
        <w:rPr>
          <w:color w:val="000000"/>
          <w:szCs w:val="22"/>
          <w:lang w:val="es-ES"/>
        </w:rPr>
      </w:pPr>
    </w:p>
    <w:p w14:paraId="32C0C552" w14:textId="77777777" w:rsidR="009C7FF4" w:rsidRPr="003E0B98" w:rsidRDefault="009C7FF4" w:rsidP="004361AC">
      <w:pPr>
        <w:tabs>
          <w:tab w:val="clear" w:pos="567"/>
        </w:tabs>
        <w:spacing w:line="240" w:lineRule="auto"/>
        <w:rPr>
          <w:color w:val="000000"/>
          <w:szCs w:val="22"/>
          <w:lang w:val="es-ES"/>
        </w:rPr>
      </w:pPr>
      <w:r w:rsidRPr="003E0B98">
        <w:rPr>
          <w:color w:val="000000"/>
          <w:szCs w:val="22"/>
          <w:lang w:val="es-ES"/>
        </w:rPr>
        <w:t xml:space="preserve">Las inyecciones intravítreas, incluidas las de </w:t>
      </w:r>
      <w:proofErr w:type="spellStart"/>
      <w:r w:rsidRPr="003E0B98">
        <w:rPr>
          <w:color w:val="000000"/>
          <w:szCs w:val="22"/>
          <w:lang w:val="es-ES"/>
        </w:rPr>
        <w:t>Lucentis</w:t>
      </w:r>
      <w:proofErr w:type="spellEnd"/>
      <w:r w:rsidRPr="003E0B98">
        <w:rPr>
          <w:color w:val="000000"/>
          <w:szCs w:val="22"/>
          <w:lang w:val="es-ES"/>
        </w:rPr>
        <w:t xml:space="preserve">, se han asociado a </w:t>
      </w:r>
      <w:proofErr w:type="spellStart"/>
      <w:r w:rsidRPr="003E0B98">
        <w:rPr>
          <w:color w:val="000000"/>
          <w:szCs w:val="22"/>
          <w:lang w:val="es-ES"/>
        </w:rPr>
        <w:t>endoftalmitis</w:t>
      </w:r>
      <w:proofErr w:type="spellEnd"/>
      <w:r w:rsidRPr="003E0B98">
        <w:rPr>
          <w:color w:val="000000"/>
          <w:szCs w:val="22"/>
          <w:lang w:val="es-ES"/>
        </w:rPr>
        <w:t xml:space="preserve">, inflamación intraocular, desprendimiento de retina </w:t>
      </w:r>
      <w:proofErr w:type="spellStart"/>
      <w:r w:rsidRPr="003E0B98">
        <w:rPr>
          <w:color w:val="000000"/>
          <w:szCs w:val="22"/>
          <w:lang w:val="es-ES"/>
        </w:rPr>
        <w:t>regmatógeno</w:t>
      </w:r>
      <w:proofErr w:type="spellEnd"/>
      <w:r w:rsidRPr="003E0B98">
        <w:rPr>
          <w:color w:val="000000"/>
          <w:szCs w:val="22"/>
          <w:lang w:val="es-ES"/>
        </w:rPr>
        <w:t>, desgarro retiniano y catarata traumática iatrogénica (ver sección</w:t>
      </w:r>
      <w:r w:rsidR="007017F4" w:rsidRPr="003E0B98">
        <w:rPr>
          <w:color w:val="000000"/>
          <w:szCs w:val="22"/>
          <w:lang w:val="es-ES"/>
        </w:rPr>
        <w:t> </w:t>
      </w:r>
      <w:r w:rsidRPr="003E0B98">
        <w:rPr>
          <w:color w:val="000000"/>
          <w:szCs w:val="22"/>
          <w:lang w:val="es-ES"/>
        </w:rPr>
        <w:t xml:space="preserve">4.8). Siempre que se administre </w:t>
      </w:r>
      <w:proofErr w:type="spellStart"/>
      <w:r w:rsidRPr="003E0B98">
        <w:rPr>
          <w:color w:val="000000"/>
          <w:szCs w:val="22"/>
          <w:lang w:val="es-ES"/>
        </w:rPr>
        <w:t>Lucentis</w:t>
      </w:r>
      <w:proofErr w:type="spellEnd"/>
      <w:r w:rsidRPr="003E0B98">
        <w:rPr>
          <w:color w:val="000000"/>
          <w:szCs w:val="22"/>
          <w:lang w:val="es-ES"/>
        </w:rPr>
        <w:t xml:space="preserve"> se deben emplear </w:t>
      </w:r>
      <w:r w:rsidRPr="003E0B98">
        <w:rPr>
          <w:color w:val="000000"/>
          <w:lang w:val="es-ES"/>
        </w:rPr>
        <w:t xml:space="preserve">técnicas de inyección asépticas adecuadas. Además, deberá realizarse un seguimiento de los pacientes durante la semana posterior a la inyección para poder administrar tratamiento temprano en caso de infección. Se deberá instruir a los pacientes sobre la necesidad de comunicar inmediatamente cualquier síntoma que sugiera </w:t>
      </w:r>
      <w:proofErr w:type="spellStart"/>
      <w:r w:rsidRPr="003E0B98">
        <w:rPr>
          <w:color w:val="000000"/>
          <w:lang w:val="es-ES"/>
        </w:rPr>
        <w:t>endoftalmitis</w:t>
      </w:r>
      <w:proofErr w:type="spellEnd"/>
      <w:r w:rsidRPr="003E0B98">
        <w:rPr>
          <w:color w:val="000000"/>
          <w:lang w:val="es-ES"/>
        </w:rPr>
        <w:t xml:space="preserve"> o cualquiera de los acontecimientos mencionados anteriormente.</w:t>
      </w:r>
    </w:p>
    <w:p w14:paraId="285E9D54" w14:textId="77777777" w:rsidR="009C7FF4" w:rsidRPr="003E0B98" w:rsidRDefault="009C7FF4" w:rsidP="004361AC">
      <w:pPr>
        <w:tabs>
          <w:tab w:val="clear" w:pos="567"/>
        </w:tabs>
        <w:spacing w:line="240" w:lineRule="auto"/>
        <w:rPr>
          <w:color w:val="000000"/>
          <w:szCs w:val="22"/>
          <w:lang w:val="es-ES_tradnl"/>
        </w:rPr>
      </w:pPr>
    </w:p>
    <w:p w14:paraId="50C65E61" w14:textId="77777777" w:rsidR="009C7FF4" w:rsidRPr="003E0B98" w:rsidRDefault="009C7FF4" w:rsidP="004361AC">
      <w:pPr>
        <w:keepNext/>
        <w:tabs>
          <w:tab w:val="clear" w:pos="567"/>
        </w:tabs>
        <w:spacing w:line="240" w:lineRule="auto"/>
        <w:rPr>
          <w:color w:val="000000"/>
          <w:u w:val="single"/>
          <w:lang w:val="es-ES"/>
        </w:rPr>
      </w:pPr>
      <w:r w:rsidRPr="003E0B98">
        <w:rPr>
          <w:color w:val="000000"/>
          <w:u w:val="single"/>
          <w:lang w:val="es-ES"/>
        </w:rPr>
        <w:t>Aumento de la presión intraocular</w:t>
      </w:r>
    </w:p>
    <w:p w14:paraId="651F9849" w14:textId="77777777" w:rsidR="00BD19D5" w:rsidRPr="003E0B98" w:rsidRDefault="00BD19D5" w:rsidP="004361AC">
      <w:pPr>
        <w:keepNext/>
        <w:tabs>
          <w:tab w:val="clear" w:pos="567"/>
        </w:tabs>
        <w:spacing w:line="240" w:lineRule="auto"/>
        <w:rPr>
          <w:color w:val="000000"/>
          <w:lang w:val="es-ES"/>
        </w:rPr>
      </w:pPr>
    </w:p>
    <w:p w14:paraId="08221BB0" w14:textId="77777777" w:rsidR="009C7FF4" w:rsidRPr="003E0B98" w:rsidRDefault="009C7FF4" w:rsidP="004361AC">
      <w:pPr>
        <w:tabs>
          <w:tab w:val="clear" w:pos="567"/>
        </w:tabs>
        <w:spacing w:line="240" w:lineRule="auto"/>
        <w:rPr>
          <w:color w:val="000000"/>
          <w:lang w:val="es-ES"/>
        </w:rPr>
      </w:pPr>
      <w:r w:rsidRPr="003E0B98">
        <w:rPr>
          <w:color w:val="000000"/>
          <w:lang w:val="es-ES"/>
        </w:rPr>
        <w:t xml:space="preserve">Se han observado aumentos transitorios de la presión intraocular (PIO) en los 60 minutos siguientes a la inyección de </w:t>
      </w:r>
      <w:proofErr w:type="spellStart"/>
      <w:r w:rsidRPr="003E0B98">
        <w:rPr>
          <w:color w:val="000000"/>
          <w:lang w:val="es-ES"/>
        </w:rPr>
        <w:t>Lucentis</w:t>
      </w:r>
      <w:proofErr w:type="spellEnd"/>
      <w:r w:rsidRPr="003E0B98">
        <w:rPr>
          <w:color w:val="000000"/>
          <w:lang w:val="es-ES"/>
        </w:rPr>
        <w:t>. También se han identificado aumentos sostenidos de la PIO (ver sección 4.8).</w:t>
      </w:r>
      <w:r w:rsidRPr="003E0B98">
        <w:rPr>
          <w:color w:val="000000"/>
          <w:lang w:val="es-ES_tradnl"/>
        </w:rPr>
        <w:t xml:space="preserve"> </w:t>
      </w:r>
      <w:r w:rsidRPr="003E0B98">
        <w:rPr>
          <w:color w:val="000000"/>
          <w:lang w:val="es-ES"/>
        </w:rPr>
        <w:t xml:space="preserve">Tanto la presión intraocular como la perfusión de la cabeza del nervio </w:t>
      </w:r>
      <w:proofErr w:type="gramStart"/>
      <w:r w:rsidRPr="003E0B98">
        <w:rPr>
          <w:color w:val="000000"/>
          <w:lang w:val="es-ES"/>
        </w:rPr>
        <w:t>óptico,</w:t>
      </w:r>
      <w:proofErr w:type="gramEnd"/>
      <w:r w:rsidRPr="003E0B98">
        <w:rPr>
          <w:color w:val="000000"/>
          <w:lang w:val="es-ES"/>
        </w:rPr>
        <w:t xml:space="preserve"> se deben monitorizar y tratar adecuadamente.</w:t>
      </w:r>
    </w:p>
    <w:p w14:paraId="1F8CE962" w14:textId="77777777" w:rsidR="009C7FF4" w:rsidRPr="003E0B98" w:rsidRDefault="009C7FF4" w:rsidP="004361AC">
      <w:pPr>
        <w:tabs>
          <w:tab w:val="clear" w:pos="567"/>
        </w:tabs>
        <w:spacing w:line="240" w:lineRule="auto"/>
        <w:rPr>
          <w:color w:val="000000"/>
          <w:szCs w:val="22"/>
          <w:lang w:val="es-ES"/>
        </w:rPr>
      </w:pPr>
    </w:p>
    <w:p w14:paraId="7BE22226" w14:textId="77777777" w:rsidR="00BD19D5" w:rsidRPr="003E0B98" w:rsidRDefault="00BD19D5" w:rsidP="004361AC">
      <w:pPr>
        <w:tabs>
          <w:tab w:val="clear" w:pos="567"/>
        </w:tabs>
        <w:spacing w:line="240" w:lineRule="auto"/>
        <w:rPr>
          <w:color w:val="000000"/>
          <w:szCs w:val="22"/>
          <w:lang w:val="es-ES_tradnl"/>
        </w:rPr>
      </w:pPr>
      <w:r w:rsidRPr="003E0B98">
        <w:rPr>
          <w:color w:val="000000"/>
          <w:szCs w:val="22"/>
          <w:lang w:val="es-ES_tradnl"/>
        </w:rPr>
        <w:t>Se debe informar a los pacientes de los síntomas de estas reacciones adversas potenciales e instruirlos para que informen a su médico en caso de aparición de signos tales como dolor ocular o aumento del malestar en el ojo, empeoramiento del enrojecimiento del ojo, visión borrosa o disminución de la visión, aumento del número de pequeñas manchas en su visión o aumento de la sensibilidad a la luz (ver sección 4.8).</w:t>
      </w:r>
    </w:p>
    <w:p w14:paraId="2D450BEF" w14:textId="77777777" w:rsidR="00BD19D5" w:rsidRPr="003E0B98" w:rsidRDefault="00BD19D5" w:rsidP="004361AC">
      <w:pPr>
        <w:tabs>
          <w:tab w:val="clear" w:pos="567"/>
        </w:tabs>
        <w:spacing w:line="240" w:lineRule="auto"/>
        <w:rPr>
          <w:color w:val="000000"/>
          <w:szCs w:val="22"/>
          <w:lang w:val="es-ES_tradnl"/>
        </w:rPr>
      </w:pPr>
    </w:p>
    <w:p w14:paraId="4CE79AAD" w14:textId="77777777" w:rsidR="009C7FF4" w:rsidRPr="003E0B98" w:rsidRDefault="009C7FF4" w:rsidP="004361AC">
      <w:pPr>
        <w:keepNext/>
        <w:tabs>
          <w:tab w:val="clear" w:pos="567"/>
        </w:tabs>
        <w:spacing w:line="240" w:lineRule="auto"/>
        <w:rPr>
          <w:color w:val="000000"/>
          <w:szCs w:val="22"/>
          <w:u w:val="single"/>
          <w:lang w:val="es-ES"/>
        </w:rPr>
      </w:pPr>
      <w:r w:rsidRPr="003E0B98">
        <w:rPr>
          <w:color w:val="000000"/>
          <w:szCs w:val="22"/>
          <w:u w:val="single"/>
          <w:lang w:val="es-ES"/>
        </w:rPr>
        <w:t>Tratamiento bilateral</w:t>
      </w:r>
    </w:p>
    <w:p w14:paraId="6C25CA4B" w14:textId="77777777" w:rsidR="00313DAC" w:rsidRPr="003E0B98" w:rsidRDefault="00313DAC" w:rsidP="004361AC">
      <w:pPr>
        <w:keepNext/>
        <w:tabs>
          <w:tab w:val="clear" w:pos="567"/>
        </w:tabs>
        <w:spacing w:line="240" w:lineRule="auto"/>
        <w:rPr>
          <w:color w:val="000000"/>
          <w:szCs w:val="22"/>
          <w:lang w:val="es-ES"/>
        </w:rPr>
      </w:pPr>
    </w:p>
    <w:p w14:paraId="00CE8B39" w14:textId="77777777" w:rsidR="009C7FF4" w:rsidRPr="003E0B98" w:rsidRDefault="009C7FF4" w:rsidP="004361AC">
      <w:pPr>
        <w:tabs>
          <w:tab w:val="clear" w:pos="567"/>
        </w:tabs>
        <w:spacing w:line="240" w:lineRule="auto"/>
        <w:rPr>
          <w:color w:val="000000"/>
          <w:szCs w:val="22"/>
          <w:lang w:val="es-ES_tradnl"/>
        </w:rPr>
      </w:pPr>
      <w:r w:rsidRPr="003E0B98">
        <w:rPr>
          <w:color w:val="000000"/>
          <w:szCs w:val="22"/>
          <w:lang w:val="es-ES"/>
        </w:rPr>
        <w:t xml:space="preserve">Los escasos datos existentes sobre el tratamiento bilateral con </w:t>
      </w:r>
      <w:proofErr w:type="spellStart"/>
      <w:r w:rsidRPr="003E0B98">
        <w:rPr>
          <w:color w:val="000000"/>
          <w:szCs w:val="22"/>
          <w:lang w:val="es-ES"/>
        </w:rPr>
        <w:t>Lucentis</w:t>
      </w:r>
      <w:proofErr w:type="spellEnd"/>
      <w:r w:rsidRPr="003E0B98">
        <w:rPr>
          <w:color w:val="000000"/>
          <w:szCs w:val="22"/>
          <w:lang w:val="es-ES"/>
        </w:rPr>
        <w:t xml:space="preserve"> (incluyendo la administración en el mismo día) no sugieren un riesgo incrementado </w:t>
      </w:r>
      <w:r w:rsidRPr="003E0B98">
        <w:rPr>
          <w:color w:val="000000"/>
          <w:szCs w:val="22"/>
          <w:lang w:val="es-ES_tradnl"/>
        </w:rPr>
        <w:t>de efectos adversos sistémicos en comparación con el tratamiento unilateral</w:t>
      </w:r>
      <w:r w:rsidRPr="003E0B98">
        <w:rPr>
          <w:color w:val="000000"/>
          <w:szCs w:val="22"/>
          <w:lang w:val="es-ES"/>
        </w:rPr>
        <w:t>.</w:t>
      </w:r>
    </w:p>
    <w:p w14:paraId="0EBFB372" w14:textId="77777777" w:rsidR="009C7FF4" w:rsidRPr="003E0B98" w:rsidRDefault="009C7FF4" w:rsidP="004361AC">
      <w:pPr>
        <w:tabs>
          <w:tab w:val="clear" w:pos="567"/>
        </w:tabs>
        <w:spacing w:line="240" w:lineRule="auto"/>
        <w:rPr>
          <w:color w:val="000000"/>
          <w:szCs w:val="22"/>
          <w:lang w:val="es-ES_tradnl"/>
        </w:rPr>
      </w:pPr>
    </w:p>
    <w:p w14:paraId="6B53D68F" w14:textId="77777777" w:rsidR="009C7FF4" w:rsidRPr="003E0B98" w:rsidRDefault="009C7FF4" w:rsidP="004361AC">
      <w:pPr>
        <w:keepNext/>
        <w:tabs>
          <w:tab w:val="clear" w:pos="567"/>
        </w:tabs>
        <w:spacing w:line="240" w:lineRule="auto"/>
        <w:rPr>
          <w:color w:val="000000"/>
          <w:szCs w:val="22"/>
          <w:u w:val="single"/>
          <w:lang w:val="es-ES_tradnl"/>
        </w:rPr>
      </w:pPr>
      <w:r w:rsidRPr="003E0B98">
        <w:rPr>
          <w:color w:val="000000"/>
          <w:szCs w:val="22"/>
          <w:u w:val="single"/>
          <w:lang w:val="es-ES_tradnl"/>
        </w:rPr>
        <w:t>Inmunogenicidad</w:t>
      </w:r>
    </w:p>
    <w:p w14:paraId="0A5B0F7F" w14:textId="77777777" w:rsidR="00313DAC" w:rsidRPr="003E0B98" w:rsidRDefault="00313DAC" w:rsidP="004361AC">
      <w:pPr>
        <w:keepNext/>
        <w:tabs>
          <w:tab w:val="clear" w:pos="567"/>
        </w:tabs>
        <w:spacing w:line="240" w:lineRule="auto"/>
        <w:rPr>
          <w:color w:val="000000"/>
          <w:szCs w:val="22"/>
          <w:lang w:val="es-ES_tradnl"/>
        </w:rPr>
      </w:pPr>
    </w:p>
    <w:p w14:paraId="626E276B" w14:textId="77777777" w:rsidR="009C7FF4" w:rsidRPr="003E0B98" w:rsidRDefault="009C7FF4" w:rsidP="004361AC">
      <w:pPr>
        <w:tabs>
          <w:tab w:val="clear" w:pos="567"/>
        </w:tabs>
        <w:spacing w:line="240" w:lineRule="auto"/>
        <w:rPr>
          <w:color w:val="000000"/>
          <w:szCs w:val="22"/>
          <w:lang w:val="es-ES"/>
        </w:rPr>
      </w:pPr>
      <w:r w:rsidRPr="003E0B98">
        <w:rPr>
          <w:color w:val="000000"/>
          <w:szCs w:val="22"/>
          <w:lang w:val="es-ES_tradnl"/>
        </w:rPr>
        <w:t xml:space="preserve">Hay un potencial de inmunogenicidad con </w:t>
      </w:r>
      <w:proofErr w:type="spellStart"/>
      <w:r w:rsidRPr="003E0B98">
        <w:rPr>
          <w:color w:val="000000"/>
          <w:szCs w:val="22"/>
          <w:lang w:val="es-ES_tradnl"/>
        </w:rPr>
        <w:t>Lucentis</w:t>
      </w:r>
      <w:proofErr w:type="spellEnd"/>
      <w:r w:rsidRPr="003E0B98">
        <w:rPr>
          <w:color w:val="000000"/>
          <w:szCs w:val="22"/>
          <w:lang w:val="es-ES_tradnl"/>
        </w:rPr>
        <w:t xml:space="preserve">. Dado que en sujetos con EMD existe un potencial para una exposición sistémica incrementada, no puede excluirse un mayor riesgo para desarrollar hipersensibilidad en esta población de pacientes. También </w:t>
      </w:r>
      <w:r w:rsidRPr="003E0B98">
        <w:rPr>
          <w:color w:val="000000"/>
          <w:szCs w:val="22"/>
          <w:lang w:val="es-ES"/>
        </w:rPr>
        <w:t>se deberá instruir a los pacientes sobre la necesidad de notificar si la inflamación intraocular incrementa en su gravedad, lo que puede ser un signo clínico atribuible a la formación de anticuerpos intraoculares.</w:t>
      </w:r>
    </w:p>
    <w:p w14:paraId="36EB1B20" w14:textId="77777777" w:rsidR="009C7FF4" w:rsidRPr="003E0B98" w:rsidRDefault="009C7FF4" w:rsidP="004361AC">
      <w:pPr>
        <w:tabs>
          <w:tab w:val="clear" w:pos="567"/>
        </w:tabs>
        <w:spacing w:line="240" w:lineRule="auto"/>
        <w:rPr>
          <w:color w:val="000000"/>
          <w:szCs w:val="22"/>
          <w:lang w:val="es-ES"/>
        </w:rPr>
      </w:pPr>
    </w:p>
    <w:p w14:paraId="747C59A3" w14:textId="77777777" w:rsidR="009C7FF4" w:rsidRPr="003E0B98" w:rsidRDefault="009C7FF4" w:rsidP="004361AC">
      <w:pPr>
        <w:keepNext/>
        <w:tabs>
          <w:tab w:val="clear" w:pos="567"/>
        </w:tabs>
        <w:spacing w:line="240" w:lineRule="auto"/>
        <w:rPr>
          <w:color w:val="000000"/>
          <w:szCs w:val="22"/>
          <w:u w:val="single"/>
          <w:lang w:val="es-ES"/>
        </w:rPr>
      </w:pPr>
      <w:r w:rsidRPr="003E0B98">
        <w:rPr>
          <w:color w:val="000000"/>
          <w:szCs w:val="22"/>
          <w:u w:val="single"/>
          <w:lang w:val="es-ES"/>
        </w:rPr>
        <w:t>Uso concomitante con otros anti-VEGF (factor de crecimiento endotelial vascular)</w:t>
      </w:r>
    </w:p>
    <w:p w14:paraId="6187B933" w14:textId="77777777" w:rsidR="00313DAC" w:rsidRPr="003E0B98" w:rsidRDefault="00313DAC" w:rsidP="004361AC">
      <w:pPr>
        <w:keepNext/>
        <w:tabs>
          <w:tab w:val="clear" w:pos="567"/>
        </w:tabs>
        <w:spacing w:line="240" w:lineRule="auto"/>
        <w:rPr>
          <w:color w:val="000000"/>
          <w:szCs w:val="22"/>
          <w:lang w:val="es-ES"/>
        </w:rPr>
      </w:pPr>
    </w:p>
    <w:p w14:paraId="2ED8C474" w14:textId="77777777" w:rsidR="009C7FF4" w:rsidRPr="003E0B98" w:rsidRDefault="009C7FF4" w:rsidP="004361AC">
      <w:pPr>
        <w:tabs>
          <w:tab w:val="clear" w:pos="567"/>
        </w:tabs>
        <w:spacing w:line="240" w:lineRule="auto"/>
        <w:rPr>
          <w:color w:val="000000"/>
          <w:szCs w:val="22"/>
          <w:lang w:val="es-ES"/>
        </w:rPr>
      </w:pPr>
      <w:proofErr w:type="spellStart"/>
      <w:r w:rsidRPr="003E0B98">
        <w:rPr>
          <w:color w:val="000000"/>
          <w:szCs w:val="22"/>
          <w:lang w:val="es-ES"/>
        </w:rPr>
        <w:t>Lucentis</w:t>
      </w:r>
      <w:proofErr w:type="spellEnd"/>
      <w:r w:rsidRPr="003E0B98">
        <w:rPr>
          <w:color w:val="000000"/>
          <w:szCs w:val="22"/>
          <w:lang w:val="es-ES"/>
        </w:rPr>
        <w:t xml:space="preserve"> no se deberá administrar de forma concurrente con otros medicamentos anti-VEGF (sistémicos u oculares).</w:t>
      </w:r>
    </w:p>
    <w:p w14:paraId="4CF55155" w14:textId="77777777" w:rsidR="009C7FF4" w:rsidRPr="003E0B98" w:rsidRDefault="009C7FF4" w:rsidP="004361AC">
      <w:pPr>
        <w:tabs>
          <w:tab w:val="clear" w:pos="567"/>
        </w:tabs>
        <w:spacing w:line="240" w:lineRule="auto"/>
        <w:rPr>
          <w:color w:val="000000"/>
          <w:szCs w:val="22"/>
          <w:lang w:val="es-ES_tradnl"/>
        </w:rPr>
      </w:pPr>
    </w:p>
    <w:p w14:paraId="7A3E16BF" w14:textId="77777777" w:rsidR="009C7FF4" w:rsidRPr="003E0B98" w:rsidRDefault="009C7FF4" w:rsidP="004361AC">
      <w:pPr>
        <w:keepNext/>
        <w:tabs>
          <w:tab w:val="clear" w:pos="567"/>
        </w:tabs>
        <w:spacing w:line="240" w:lineRule="auto"/>
        <w:rPr>
          <w:color w:val="000000"/>
          <w:szCs w:val="22"/>
          <w:u w:val="single"/>
          <w:lang w:val="es-ES_tradnl"/>
        </w:rPr>
      </w:pPr>
      <w:r w:rsidRPr="003E0B98">
        <w:rPr>
          <w:color w:val="000000"/>
          <w:szCs w:val="22"/>
          <w:u w:val="single"/>
          <w:lang w:val="es-ES_tradnl"/>
        </w:rPr>
        <w:t xml:space="preserve">Aplazamiento del tratamiento con </w:t>
      </w:r>
      <w:proofErr w:type="spellStart"/>
      <w:r w:rsidRPr="003E0B98">
        <w:rPr>
          <w:color w:val="000000"/>
          <w:szCs w:val="22"/>
          <w:u w:val="single"/>
          <w:lang w:val="es-ES_tradnl"/>
        </w:rPr>
        <w:t>Lucentis</w:t>
      </w:r>
      <w:proofErr w:type="spellEnd"/>
    </w:p>
    <w:p w14:paraId="3AFB9AAB" w14:textId="77777777" w:rsidR="00313DAC" w:rsidRPr="003E0B98" w:rsidRDefault="00313DAC" w:rsidP="004361AC">
      <w:pPr>
        <w:keepNext/>
        <w:tabs>
          <w:tab w:val="clear" w:pos="567"/>
        </w:tabs>
        <w:spacing w:line="240" w:lineRule="auto"/>
        <w:rPr>
          <w:color w:val="000000"/>
          <w:szCs w:val="22"/>
          <w:lang w:val="es-ES_tradnl"/>
        </w:rPr>
      </w:pPr>
    </w:p>
    <w:p w14:paraId="61696092" w14:textId="77777777" w:rsidR="009C7FF4" w:rsidRPr="003E0B98" w:rsidRDefault="009C7FF4" w:rsidP="004361AC">
      <w:pPr>
        <w:keepNext/>
        <w:tabs>
          <w:tab w:val="clear" w:pos="567"/>
        </w:tabs>
        <w:spacing w:line="240" w:lineRule="auto"/>
        <w:rPr>
          <w:color w:val="000000"/>
          <w:szCs w:val="22"/>
          <w:lang w:val="es-ES_tradnl"/>
        </w:rPr>
      </w:pPr>
      <w:r w:rsidRPr="003E0B98">
        <w:rPr>
          <w:color w:val="000000"/>
          <w:szCs w:val="22"/>
          <w:lang w:val="es-ES_tradnl"/>
        </w:rPr>
        <w:t>La administración se deberá aplazar y el tratamiento no deberá reanudarse antes del siguiente tratamiento programado en caso de:</w:t>
      </w:r>
    </w:p>
    <w:p w14:paraId="22AAA1B3" w14:textId="77777777" w:rsidR="009C7FF4" w:rsidRPr="003E0B98" w:rsidRDefault="009C7FF4" w:rsidP="004361AC">
      <w:pPr>
        <w:numPr>
          <w:ilvl w:val="0"/>
          <w:numId w:val="12"/>
        </w:numPr>
        <w:tabs>
          <w:tab w:val="clear" w:pos="567"/>
        </w:tabs>
        <w:spacing w:line="240" w:lineRule="auto"/>
        <w:ind w:left="567" w:hanging="567"/>
        <w:rPr>
          <w:color w:val="000000"/>
          <w:lang w:val="es-ES"/>
        </w:rPr>
      </w:pPr>
      <w:r w:rsidRPr="003E0B98">
        <w:rPr>
          <w:color w:val="000000"/>
          <w:lang w:val="es-ES"/>
        </w:rPr>
        <w:t>una disminución en la agudeza visual mejor corregida (AVMC) de ≥30 letras comparado con la última evaluación de la agudeza visual;</w:t>
      </w:r>
    </w:p>
    <w:p w14:paraId="070A0FA5" w14:textId="77777777" w:rsidR="009C7FF4" w:rsidRPr="003E0B98" w:rsidRDefault="009C7FF4" w:rsidP="004361AC">
      <w:pPr>
        <w:numPr>
          <w:ilvl w:val="0"/>
          <w:numId w:val="12"/>
        </w:numPr>
        <w:tabs>
          <w:tab w:val="clear" w:pos="567"/>
        </w:tabs>
        <w:spacing w:line="240" w:lineRule="auto"/>
        <w:ind w:left="567" w:hanging="567"/>
        <w:rPr>
          <w:color w:val="000000"/>
          <w:lang w:val="es-ES"/>
        </w:rPr>
      </w:pPr>
      <w:r w:rsidRPr="003E0B98">
        <w:rPr>
          <w:color w:val="000000"/>
          <w:lang w:val="es-ES"/>
        </w:rPr>
        <w:t>una presión intraocular de ≥30 </w:t>
      </w:r>
      <w:proofErr w:type="spellStart"/>
      <w:r w:rsidRPr="003E0B98">
        <w:rPr>
          <w:color w:val="000000"/>
          <w:lang w:val="es-ES"/>
        </w:rPr>
        <w:t>mmHg</w:t>
      </w:r>
      <w:proofErr w:type="spellEnd"/>
      <w:r w:rsidRPr="003E0B98">
        <w:rPr>
          <w:color w:val="000000"/>
          <w:lang w:val="es-ES"/>
        </w:rPr>
        <w:t>;</w:t>
      </w:r>
    </w:p>
    <w:p w14:paraId="2806E896" w14:textId="77777777" w:rsidR="009C7FF4" w:rsidRPr="003E0B98" w:rsidRDefault="009C7FF4" w:rsidP="004361AC">
      <w:pPr>
        <w:numPr>
          <w:ilvl w:val="0"/>
          <w:numId w:val="12"/>
        </w:numPr>
        <w:tabs>
          <w:tab w:val="clear" w:pos="567"/>
        </w:tabs>
        <w:spacing w:line="240" w:lineRule="auto"/>
        <w:ind w:left="567" w:hanging="567"/>
        <w:rPr>
          <w:color w:val="000000"/>
          <w:lang w:val="es-ES"/>
        </w:rPr>
      </w:pPr>
      <w:r w:rsidRPr="003E0B98">
        <w:rPr>
          <w:color w:val="000000"/>
          <w:lang w:val="es-ES"/>
        </w:rPr>
        <w:t>una rotura retiniana;</w:t>
      </w:r>
    </w:p>
    <w:p w14:paraId="2C158C73" w14:textId="77777777" w:rsidR="009C7FF4" w:rsidRPr="003E0B98" w:rsidRDefault="009C7FF4" w:rsidP="004361AC">
      <w:pPr>
        <w:numPr>
          <w:ilvl w:val="0"/>
          <w:numId w:val="12"/>
        </w:numPr>
        <w:tabs>
          <w:tab w:val="clear" w:pos="567"/>
        </w:tabs>
        <w:spacing w:line="240" w:lineRule="auto"/>
        <w:ind w:left="567" w:hanging="567"/>
        <w:rPr>
          <w:color w:val="000000"/>
          <w:lang w:val="es-ES"/>
        </w:rPr>
      </w:pPr>
      <w:r w:rsidRPr="003E0B98">
        <w:rPr>
          <w:color w:val="000000"/>
          <w:lang w:val="es-ES"/>
        </w:rPr>
        <w:t xml:space="preserve">una hemorragia </w:t>
      </w:r>
      <w:proofErr w:type="spellStart"/>
      <w:r w:rsidRPr="003E0B98">
        <w:rPr>
          <w:color w:val="000000"/>
          <w:lang w:val="es-ES"/>
        </w:rPr>
        <w:t>subretiniana</w:t>
      </w:r>
      <w:proofErr w:type="spellEnd"/>
      <w:r w:rsidRPr="003E0B98">
        <w:rPr>
          <w:color w:val="000000"/>
          <w:lang w:val="es-ES"/>
        </w:rPr>
        <w:t xml:space="preserve"> que afecte al centro de la fóvea, o, si el tamaño de la hemorragia es ≥50% del área total de la lesión;</w:t>
      </w:r>
    </w:p>
    <w:p w14:paraId="51B9D5F8" w14:textId="77777777" w:rsidR="009C7FF4" w:rsidRPr="003E0B98" w:rsidRDefault="009C7FF4" w:rsidP="004361AC">
      <w:pPr>
        <w:numPr>
          <w:ilvl w:val="0"/>
          <w:numId w:val="12"/>
        </w:numPr>
        <w:tabs>
          <w:tab w:val="clear" w:pos="567"/>
        </w:tabs>
        <w:spacing w:line="240" w:lineRule="auto"/>
        <w:ind w:left="567" w:hanging="567"/>
        <w:rPr>
          <w:color w:val="000000"/>
          <w:lang w:val="es-ES"/>
        </w:rPr>
      </w:pPr>
      <w:r w:rsidRPr="003E0B98">
        <w:rPr>
          <w:color w:val="000000"/>
          <w:lang w:val="es-ES"/>
        </w:rPr>
        <w:t>cirugía intraocular realizada en los 28 días previos o prevista durante los 28 días posteriores.</w:t>
      </w:r>
    </w:p>
    <w:p w14:paraId="61525BCA" w14:textId="77777777" w:rsidR="009C7FF4" w:rsidRPr="003E0B98" w:rsidRDefault="009C7FF4" w:rsidP="004361AC">
      <w:pPr>
        <w:tabs>
          <w:tab w:val="clear" w:pos="567"/>
        </w:tabs>
        <w:spacing w:line="240" w:lineRule="auto"/>
        <w:rPr>
          <w:color w:val="000000"/>
          <w:szCs w:val="22"/>
          <w:lang w:val="es-ES"/>
        </w:rPr>
      </w:pPr>
    </w:p>
    <w:p w14:paraId="2F984646" w14:textId="77777777" w:rsidR="009C7FF4" w:rsidRPr="003E0B98" w:rsidRDefault="009C7FF4" w:rsidP="004361AC">
      <w:pPr>
        <w:keepNext/>
        <w:tabs>
          <w:tab w:val="clear" w:pos="567"/>
        </w:tabs>
        <w:spacing w:line="240" w:lineRule="auto"/>
        <w:rPr>
          <w:color w:val="000000"/>
          <w:szCs w:val="22"/>
          <w:u w:val="single"/>
          <w:lang w:val="es-ES"/>
        </w:rPr>
      </w:pPr>
      <w:r w:rsidRPr="003E0B98">
        <w:rPr>
          <w:color w:val="000000"/>
          <w:szCs w:val="22"/>
          <w:u w:val="single"/>
          <w:lang w:val="es-ES"/>
        </w:rPr>
        <w:t>Desgarro del epitelio pigmentario de la retina</w:t>
      </w:r>
    </w:p>
    <w:p w14:paraId="7FCCC8DD" w14:textId="77777777" w:rsidR="00313DAC" w:rsidRPr="003E0B98" w:rsidRDefault="00313DAC" w:rsidP="004361AC">
      <w:pPr>
        <w:keepNext/>
        <w:tabs>
          <w:tab w:val="clear" w:pos="567"/>
        </w:tabs>
        <w:spacing w:line="240" w:lineRule="auto"/>
        <w:rPr>
          <w:color w:val="000000"/>
          <w:szCs w:val="22"/>
          <w:lang w:val="es-ES"/>
        </w:rPr>
      </w:pPr>
    </w:p>
    <w:p w14:paraId="6E42B387" w14:textId="77777777" w:rsidR="009C7FF4" w:rsidRPr="003E0B98" w:rsidRDefault="009C7FF4" w:rsidP="004361AC">
      <w:pPr>
        <w:tabs>
          <w:tab w:val="clear" w:pos="567"/>
        </w:tabs>
        <w:spacing w:line="240" w:lineRule="auto"/>
        <w:rPr>
          <w:color w:val="000000"/>
          <w:szCs w:val="22"/>
          <w:lang w:val="es-ES"/>
        </w:rPr>
      </w:pPr>
      <w:r w:rsidRPr="003E0B98">
        <w:rPr>
          <w:color w:val="000000"/>
          <w:szCs w:val="22"/>
          <w:lang w:val="es-ES"/>
        </w:rPr>
        <w:t>Los factores de riesgo asociados con el desarrollo de un desgarro del epitelio pigmentario de la retina tras la terapia con anti-VEGF para la DMAE exudativa</w:t>
      </w:r>
      <w:r w:rsidR="00DE39FE" w:rsidRPr="003E0B98">
        <w:rPr>
          <w:color w:val="000000"/>
          <w:szCs w:val="22"/>
          <w:lang w:val="es-ES"/>
        </w:rPr>
        <w:t xml:space="preserve"> y potencialmente también para otras formas de NVC</w:t>
      </w:r>
      <w:r w:rsidRPr="003E0B98">
        <w:rPr>
          <w:color w:val="000000"/>
          <w:szCs w:val="22"/>
          <w:lang w:val="es-ES"/>
        </w:rPr>
        <w:t xml:space="preserve">, incluyen un desprendimiento del epitelio pigmentario de la retina extenso y/o elevado. Cuando se inicie la terapia con </w:t>
      </w:r>
      <w:proofErr w:type="spellStart"/>
      <w:r w:rsidR="00313DAC" w:rsidRPr="003E0B98">
        <w:rPr>
          <w:color w:val="000000"/>
          <w:szCs w:val="22"/>
          <w:lang w:val="es-ES"/>
        </w:rPr>
        <w:t>ranibizumab</w:t>
      </w:r>
      <w:proofErr w:type="spellEnd"/>
      <w:r w:rsidRPr="003E0B98">
        <w:rPr>
          <w:color w:val="000000"/>
          <w:szCs w:val="22"/>
          <w:lang w:val="es-ES"/>
        </w:rPr>
        <w:t xml:space="preserve"> se debe tener precaución en pacientes con estos factores de riesgo de desarrollar desgarros del epitelio pigmentario de la retina.</w:t>
      </w:r>
    </w:p>
    <w:p w14:paraId="0FEE3BF4" w14:textId="77777777" w:rsidR="009C7FF4" w:rsidRPr="003E0B98" w:rsidRDefault="009C7FF4" w:rsidP="004361AC">
      <w:pPr>
        <w:tabs>
          <w:tab w:val="clear" w:pos="567"/>
        </w:tabs>
        <w:spacing w:line="240" w:lineRule="auto"/>
        <w:rPr>
          <w:color w:val="000000"/>
          <w:szCs w:val="22"/>
          <w:lang w:val="es-ES"/>
        </w:rPr>
      </w:pPr>
    </w:p>
    <w:p w14:paraId="417EC77F" w14:textId="77777777" w:rsidR="009C7FF4" w:rsidRPr="003E0B98" w:rsidRDefault="009C7FF4" w:rsidP="004361AC">
      <w:pPr>
        <w:keepNext/>
        <w:tabs>
          <w:tab w:val="clear" w:pos="567"/>
        </w:tabs>
        <w:spacing w:line="240" w:lineRule="auto"/>
        <w:rPr>
          <w:color w:val="000000"/>
          <w:szCs w:val="22"/>
          <w:u w:val="single"/>
          <w:lang w:val="es-ES"/>
        </w:rPr>
      </w:pPr>
      <w:r w:rsidRPr="003E0B98">
        <w:rPr>
          <w:color w:val="000000"/>
          <w:szCs w:val="22"/>
          <w:u w:val="single"/>
          <w:lang w:val="es-ES"/>
        </w:rPr>
        <w:t xml:space="preserve">Desprendimiento de retina </w:t>
      </w:r>
      <w:proofErr w:type="spellStart"/>
      <w:r w:rsidRPr="003E0B98">
        <w:rPr>
          <w:color w:val="000000"/>
          <w:szCs w:val="22"/>
          <w:u w:val="single"/>
          <w:lang w:val="es-ES"/>
        </w:rPr>
        <w:t>regmatógeno</w:t>
      </w:r>
      <w:proofErr w:type="spellEnd"/>
      <w:r w:rsidRPr="003E0B98">
        <w:rPr>
          <w:color w:val="000000"/>
          <w:szCs w:val="22"/>
          <w:u w:val="single"/>
          <w:lang w:val="es-ES"/>
        </w:rPr>
        <w:t xml:space="preserve"> o agujeros maculares</w:t>
      </w:r>
    </w:p>
    <w:p w14:paraId="37B83465" w14:textId="77777777" w:rsidR="00313DAC" w:rsidRPr="003E0B98" w:rsidRDefault="00313DAC" w:rsidP="004361AC">
      <w:pPr>
        <w:keepNext/>
        <w:tabs>
          <w:tab w:val="clear" w:pos="567"/>
        </w:tabs>
        <w:spacing w:line="240" w:lineRule="auto"/>
        <w:rPr>
          <w:color w:val="000000"/>
          <w:szCs w:val="22"/>
          <w:lang w:val="es-ES"/>
        </w:rPr>
      </w:pPr>
    </w:p>
    <w:p w14:paraId="30BED7B1" w14:textId="77777777" w:rsidR="009C7FF4" w:rsidRPr="003E0B98" w:rsidRDefault="009C7FF4" w:rsidP="004361AC">
      <w:pPr>
        <w:tabs>
          <w:tab w:val="clear" w:pos="567"/>
        </w:tabs>
        <w:spacing w:line="240" w:lineRule="auto"/>
        <w:rPr>
          <w:color w:val="000000"/>
          <w:szCs w:val="22"/>
          <w:lang w:val="es-ES"/>
        </w:rPr>
      </w:pPr>
      <w:r w:rsidRPr="003E0B98">
        <w:rPr>
          <w:color w:val="000000"/>
          <w:szCs w:val="22"/>
          <w:lang w:val="es-ES"/>
        </w:rPr>
        <w:t xml:space="preserve">El tratamiento se debe interrumpir en sujetos con desprendimiento de retina </w:t>
      </w:r>
      <w:proofErr w:type="spellStart"/>
      <w:r w:rsidRPr="003E0B98">
        <w:rPr>
          <w:color w:val="000000"/>
          <w:szCs w:val="22"/>
          <w:lang w:val="es-ES"/>
        </w:rPr>
        <w:t>regmatógeno</w:t>
      </w:r>
      <w:proofErr w:type="spellEnd"/>
      <w:r w:rsidRPr="003E0B98">
        <w:rPr>
          <w:color w:val="000000"/>
          <w:szCs w:val="22"/>
          <w:lang w:val="es-ES"/>
        </w:rPr>
        <w:t xml:space="preserve"> o agujeros maculares en </w:t>
      </w:r>
      <w:proofErr w:type="spellStart"/>
      <w:proofErr w:type="gramStart"/>
      <w:r w:rsidRPr="003E0B98">
        <w:rPr>
          <w:color w:val="000000"/>
          <w:szCs w:val="22"/>
          <w:lang w:val="es-ES"/>
        </w:rPr>
        <w:t>estadíos</w:t>
      </w:r>
      <w:proofErr w:type="spellEnd"/>
      <w:proofErr w:type="gramEnd"/>
      <w:r w:rsidRPr="003E0B98">
        <w:rPr>
          <w:color w:val="000000"/>
          <w:szCs w:val="22"/>
          <w:lang w:val="es-ES"/>
        </w:rPr>
        <w:t xml:space="preserve"> 3 </w:t>
      </w:r>
      <w:proofErr w:type="spellStart"/>
      <w:r w:rsidRPr="003E0B98">
        <w:rPr>
          <w:color w:val="000000"/>
          <w:szCs w:val="22"/>
          <w:lang w:val="es-ES"/>
        </w:rPr>
        <w:t>ó</w:t>
      </w:r>
      <w:proofErr w:type="spellEnd"/>
      <w:r w:rsidRPr="003E0B98">
        <w:rPr>
          <w:color w:val="000000"/>
          <w:szCs w:val="22"/>
          <w:lang w:val="es-ES"/>
        </w:rPr>
        <w:t xml:space="preserve"> 4.</w:t>
      </w:r>
    </w:p>
    <w:p w14:paraId="24656257" w14:textId="77777777" w:rsidR="009C7FF4" w:rsidRPr="003E0B98" w:rsidRDefault="009C7FF4" w:rsidP="004361AC">
      <w:pPr>
        <w:tabs>
          <w:tab w:val="clear" w:pos="567"/>
        </w:tabs>
        <w:spacing w:line="240" w:lineRule="auto"/>
        <w:rPr>
          <w:color w:val="000000"/>
          <w:szCs w:val="22"/>
          <w:lang w:val="es-ES"/>
        </w:rPr>
      </w:pPr>
    </w:p>
    <w:p w14:paraId="607A708E" w14:textId="77777777" w:rsidR="009C7FF4" w:rsidRPr="003E0B98" w:rsidRDefault="009C7FF4" w:rsidP="004361AC">
      <w:pPr>
        <w:keepNext/>
        <w:tabs>
          <w:tab w:val="clear" w:pos="567"/>
        </w:tabs>
        <w:spacing w:line="240" w:lineRule="auto"/>
        <w:rPr>
          <w:color w:val="000000"/>
          <w:szCs w:val="22"/>
          <w:u w:val="single"/>
          <w:lang w:val="es-ES"/>
        </w:rPr>
      </w:pPr>
      <w:r w:rsidRPr="003E0B98">
        <w:rPr>
          <w:color w:val="000000"/>
          <w:szCs w:val="22"/>
          <w:u w:val="single"/>
          <w:lang w:val="es-ES"/>
        </w:rPr>
        <w:t>Poblaciones con datos limitados</w:t>
      </w:r>
    </w:p>
    <w:p w14:paraId="543CE654" w14:textId="77777777" w:rsidR="00313DAC" w:rsidRPr="003E0B98" w:rsidRDefault="00313DAC" w:rsidP="004361AC">
      <w:pPr>
        <w:keepNext/>
        <w:tabs>
          <w:tab w:val="clear" w:pos="567"/>
        </w:tabs>
        <w:spacing w:line="240" w:lineRule="auto"/>
        <w:rPr>
          <w:color w:val="000000"/>
          <w:szCs w:val="22"/>
          <w:lang w:val="es-ES"/>
        </w:rPr>
      </w:pPr>
    </w:p>
    <w:p w14:paraId="3F5D1030" w14:textId="55E4E56B" w:rsidR="009C7FF4" w:rsidRPr="003E0B98" w:rsidRDefault="009C7FF4" w:rsidP="004361AC">
      <w:pPr>
        <w:tabs>
          <w:tab w:val="clear" w:pos="567"/>
        </w:tabs>
        <w:spacing w:line="240" w:lineRule="auto"/>
        <w:rPr>
          <w:color w:val="000000"/>
          <w:szCs w:val="22"/>
          <w:lang w:val="es-ES"/>
        </w:rPr>
      </w:pPr>
      <w:r w:rsidRPr="003E0B98">
        <w:rPr>
          <w:color w:val="000000"/>
          <w:szCs w:val="22"/>
          <w:lang w:val="es-ES"/>
        </w:rPr>
        <w:t xml:space="preserve">Sólo existe experiencia limitada en el tratamiento de sujetos con EMD debido a diabetes tipo I. </w:t>
      </w:r>
      <w:proofErr w:type="spellStart"/>
      <w:r w:rsidRPr="003E0B98">
        <w:rPr>
          <w:color w:val="000000"/>
          <w:szCs w:val="22"/>
          <w:lang w:val="es-ES"/>
        </w:rPr>
        <w:t>Lucentis</w:t>
      </w:r>
      <w:proofErr w:type="spellEnd"/>
      <w:r w:rsidRPr="003E0B98">
        <w:rPr>
          <w:color w:val="000000"/>
          <w:szCs w:val="22"/>
          <w:lang w:val="es-ES"/>
        </w:rPr>
        <w:t xml:space="preserve"> no ha sido estudiado en pacientes que hayan recibido previamente inyecciones intravítreas, en pacientes con infecciones sistémicas activas</w:t>
      </w:r>
      <w:r w:rsidR="002F08F3" w:rsidRPr="003E0B98">
        <w:rPr>
          <w:color w:val="000000"/>
          <w:szCs w:val="22"/>
          <w:lang w:val="es-ES"/>
        </w:rPr>
        <w:t xml:space="preserve"> </w:t>
      </w:r>
      <w:r w:rsidRPr="003E0B98">
        <w:rPr>
          <w:color w:val="000000"/>
          <w:szCs w:val="22"/>
          <w:lang w:val="es-ES"/>
        </w:rPr>
        <w:t xml:space="preserve">ni en pacientes con enfermedades oculares simultáneas tales como desprendimiento de retina o agujero macular. </w:t>
      </w:r>
      <w:r w:rsidR="002F08F3" w:rsidRPr="003E0B98">
        <w:rPr>
          <w:color w:val="000000"/>
          <w:szCs w:val="22"/>
          <w:lang w:val="es-ES"/>
        </w:rPr>
        <w:t>E</w:t>
      </w:r>
      <w:r w:rsidRPr="003E0B98">
        <w:rPr>
          <w:color w:val="000000"/>
          <w:szCs w:val="22"/>
          <w:lang w:val="es-ES"/>
        </w:rPr>
        <w:t xml:space="preserve">xiste experiencia </w:t>
      </w:r>
      <w:r w:rsidR="002F08F3" w:rsidRPr="003E0B98">
        <w:rPr>
          <w:color w:val="000000"/>
          <w:szCs w:val="22"/>
          <w:lang w:val="es-ES"/>
        </w:rPr>
        <w:t xml:space="preserve">limitada </w:t>
      </w:r>
      <w:r w:rsidRPr="003E0B98">
        <w:rPr>
          <w:color w:val="000000"/>
          <w:szCs w:val="22"/>
          <w:lang w:val="es-ES"/>
        </w:rPr>
        <w:t xml:space="preserve">en el tratamiento con </w:t>
      </w:r>
      <w:proofErr w:type="spellStart"/>
      <w:r w:rsidRPr="003E0B98">
        <w:rPr>
          <w:color w:val="000000"/>
          <w:szCs w:val="22"/>
          <w:lang w:val="es-ES"/>
        </w:rPr>
        <w:t>Lucentis</w:t>
      </w:r>
      <w:proofErr w:type="spellEnd"/>
      <w:r w:rsidRPr="003E0B98">
        <w:rPr>
          <w:color w:val="000000"/>
          <w:szCs w:val="22"/>
          <w:lang w:val="es-ES"/>
        </w:rPr>
        <w:t xml:space="preserve"> en pacientes diabéticos con un HbA1c por encima de </w:t>
      </w:r>
      <w:r w:rsidR="002F08F3" w:rsidRPr="003E0B98">
        <w:rPr>
          <w:color w:val="000000"/>
          <w:szCs w:val="22"/>
          <w:lang w:val="es-ES"/>
        </w:rPr>
        <w:t>108</w:t>
      </w:r>
      <w:r w:rsidR="003A34AB" w:rsidRPr="003E0B98">
        <w:rPr>
          <w:color w:val="000000"/>
          <w:szCs w:val="22"/>
          <w:lang w:val="es-ES"/>
        </w:rPr>
        <w:t> </w:t>
      </w:r>
      <w:r w:rsidR="002F08F3" w:rsidRPr="003E0B98">
        <w:rPr>
          <w:color w:val="000000"/>
          <w:szCs w:val="22"/>
          <w:lang w:val="es-ES"/>
        </w:rPr>
        <w:t>mmol/mol (</w:t>
      </w:r>
      <w:r w:rsidRPr="003E0B98">
        <w:rPr>
          <w:color w:val="000000"/>
          <w:szCs w:val="22"/>
          <w:lang w:val="es-ES"/>
        </w:rPr>
        <w:t>12%</w:t>
      </w:r>
      <w:r w:rsidR="002F08F3" w:rsidRPr="003E0B98">
        <w:rPr>
          <w:color w:val="000000"/>
          <w:szCs w:val="22"/>
          <w:lang w:val="es-ES"/>
        </w:rPr>
        <w:t>)</w:t>
      </w:r>
      <w:r w:rsidRPr="003E0B98">
        <w:rPr>
          <w:color w:val="000000"/>
          <w:szCs w:val="22"/>
          <w:lang w:val="es-ES"/>
        </w:rPr>
        <w:t xml:space="preserve"> </w:t>
      </w:r>
      <w:r w:rsidR="002F08F3" w:rsidRPr="003E0B98">
        <w:rPr>
          <w:color w:val="000000"/>
          <w:szCs w:val="22"/>
          <w:lang w:val="es-ES"/>
        </w:rPr>
        <w:t>y no existe experiencia en pacientes con</w:t>
      </w:r>
      <w:r w:rsidRPr="003E0B98">
        <w:rPr>
          <w:color w:val="000000"/>
          <w:szCs w:val="22"/>
          <w:lang w:val="es-ES"/>
        </w:rPr>
        <w:t xml:space="preserve"> hipertensión no controlada. El médico debe tener en cuenta esta falta de información al tratar a tales pacientes.</w:t>
      </w:r>
    </w:p>
    <w:p w14:paraId="7042DBF3" w14:textId="77777777" w:rsidR="009C7FF4" w:rsidRPr="003E0B98" w:rsidRDefault="009C7FF4" w:rsidP="004361AC">
      <w:pPr>
        <w:tabs>
          <w:tab w:val="clear" w:pos="567"/>
        </w:tabs>
        <w:spacing w:line="240" w:lineRule="auto"/>
        <w:rPr>
          <w:color w:val="000000"/>
          <w:szCs w:val="22"/>
          <w:lang w:val="es-ES"/>
        </w:rPr>
      </w:pPr>
    </w:p>
    <w:p w14:paraId="4FFCE34D" w14:textId="77777777" w:rsidR="008974F3" w:rsidRPr="003E0B98" w:rsidRDefault="008974F3" w:rsidP="004361AC">
      <w:pPr>
        <w:tabs>
          <w:tab w:val="clear" w:pos="567"/>
        </w:tabs>
        <w:spacing w:line="240" w:lineRule="auto"/>
        <w:rPr>
          <w:color w:val="000000"/>
          <w:szCs w:val="22"/>
          <w:lang w:val="es-ES"/>
        </w:rPr>
      </w:pPr>
      <w:r w:rsidRPr="003E0B98">
        <w:rPr>
          <w:color w:val="000000"/>
          <w:szCs w:val="22"/>
          <w:lang w:val="es-ES"/>
        </w:rPr>
        <w:t xml:space="preserve">No hay datos suficientes que permitan establecer una conclusión acerca del efecto de </w:t>
      </w:r>
      <w:proofErr w:type="spellStart"/>
      <w:r w:rsidRPr="003E0B98">
        <w:rPr>
          <w:color w:val="000000"/>
          <w:szCs w:val="22"/>
          <w:lang w:val="es-ES"/>
        </w:rPr>
        <w:t>Lucentis</w:t>
      </w:r>
      <w:proofErr w:type="spellEnd"/>
      <w:r w:rsidRPr="003E0B98">
        <w:rPr>
          <w:color w:val="000000"/>
          <w:szCs w:val="22"/>
          <w:lang w:val="es-ES"/>
        </w:rPr>
        <w:t xml:space="preserve"> en pacientes con OVR que presentan pérdida irreversible de la función visual isquémica.</w:t>
      </w:r>
    </w:p>
    <w:p w14:paraId="33A8DBB6" w14:textId="77777777" w:rsidR="008974F3" w:rsidRPr="003E0B98" w:rsidRDefault="008974F3" w:rsidP="004361AC">
      <w:pPr>
        <w:tabs>
          <w:tab w:val="clear" w:pos="567"/>
        </w:tabs>
        <w:spacing w:line="240" w:lineRule="auto"/>
        <w:rPr>
          <w:color w:val="000000"/>
          <w:szCs w:val="22"/>
          <w:lang w:val="es-ES"/>
        </w:rPr>
      </w:pPr>
    </w:p>
    <w:p w14:paraId="7001ADAE" w14:textId="13D91549" w:rsidR="009C7FF4" w:rsidRPr="003E0B98" w:rsidRDefault="009C7FF4" w:rsidP="004361AC">
      <w:pPr>
        <w:tabs>
          <w:tab w:val="clear" w:pos="567"/>
        </w:tabs>
        <w:spacing w:line="240" w:lineRule="auto"/>
        <w:rPr>
          <w:color w:val="000000"/>
          <w:szCs w:val="22"/>
          <w:lang w:val="es-ES"/>
        </w:rPr>
      </w:pPr>
      <w:r w:rsidRPr="003E0B98">
        <w:rPr>
          <w:color w:val="000000"/>
          <w:szCs w:val="22"/>
          <w:lang w:val="es-ES"/>
        </w:rPr>
        <w:t xml:space="preserve">En pacientes con MP, hay datos limitados del efecto de </w:t>
      </w:r>
      <w:proofErr w:type="spellStart"/>
      <w:r w:rsidRPr="003E0B98">
        <w:rPr>
          <w:color w:val="000000"/>
          <w:szCs w:val="22"/>
          <w:lang w:val="es-ES"/>
        </w:rPr>
        <w:t>Lucentis</w:t>
      </w:r>
      <w:proofErr w:type="spellEnd"/>
      <w:r w:rsidRPr="003E0B98">
        <w:rPr>
          <w:color w:val="000000"/>
          <w:szCs w:val="22"/>
          <w:lang w:val="es-ES"/>
        </w:rPr>
        <w:t xml:space="preserve"> en pacientes que han sido sometidos previamente a un tratamiento de terapia fotodinámica con </w:t>
      </w:r>
      <w:proofErr w:type="spellStart"/>
      <w:r w:rsidRPr="003E0B98">
        <w:rPr>
          <w:color w:val="000000"/>
          <w:szCs w:val="22"/>
          <w:lang w:val="es-ES"/>
        </w:rPr>
        <w:t>verteporfina</w:t>
      </w:r>
      <w:proofErr w:type="spellEnd"/>
      <w:r w:rsidRPr="003E0B98">
        <w:rPr>
          <w:color w:val="000000"/>
          <w:szCs w:val="22"/>
          <w:lang w:val="es-ES"/>
        </w:rPr>
        <w:t xml:space="preserve"> (</w:t>
      </w:r>
      <w:proofErr w:type="spellStart"/>
      <w:r w:rsidRPr="003E0B98">
        <w:rPr>
          <w:color w:val="000000"/>
          <w:szCs w:val="22"/>
          <w:lang w:val="es-ES"/>
        </w:rPr>
        <w:t>TFDv</w:t>
      </w:r>
      <w:proofErr w:type="spellEnd"/>
      <w:r w:rsidRPr="003E0B98">
        <w:rPr>
          <w:color w:val="000000"/>
          <w:szCs w:val="22"/>
          <w:lang w:val="es-ES"/>
        </w:rPr>
        <w:t xml:space="preserve">) sin </w:t>
      </w:r>
      <w:r w:rsidR="00BF5AF3" w:rsidRPr="003E0B98">
        <w:rPr>
          <w:color w:val="000000"/>
          <w:szCs w:val="22"/>
          <w:lang w:val="es-ES"/>
        </w:rPr>
        <w:t>é</w:t>
      </w:r>
      <w:r w:rsidRPr="003E0B98">
        <w:rPr>
          <w:color w:val="000000"/>
          <w:szCs w:val="22"/>
          <w:lang w:val="es-ES"/>
        </w:rPr>
        <w:t xml:space="preserve">xito. Además, mientras que en sujetos con lesiones </w:t>
      </w:r>
      <w:proofErr w:type="spellStart"/>
      <w:r w:rsidRPr="003E0B98">
        <w:rPr>
          <w:color w:val="000000"/>
          <w:szCs w:val="22"/>
          <w:lang w:val="es-ES"/>
        </w:rPr>
        <w:t>subfoveales</w:t>
      </w:r>
      <w:proofErr w:type="spellEnd"/>
      <w:r w:rsidRPr="003E0B98">
        <w:rPr>
          <w:color w:val="000000"/>
          <w:szCs w:val="22"/>
          <w:lang w:val="es-ES"/>
        </w:rPr>
        <w:t xml:space="preserve"> y </w:t>
      </w:r>
      <w:proofErr w:type="spellStart"/>
      <w:r w:rsidRPr="003E0B98">
        <w:rPr>
          <w:color w:val="000000"/>
          <w:szCs w:val="22"/>
          <w:lang w:val="es-ES"/>
        </w:rPr>
        <w:t>yuxtafoveales</w:t>
      </w:r>
      <w:proofErr w:type="spellEnd"/>
      <w:r w:rsidRPr="003E0B98">
        <w:rPr>
          <w:color w:val="000000"/>
          <w:szCs w:val="22"/>
          <w:lang w:val="es-ES"/>
        </w:rPr>
        <w:t xml:space="preserve"> se observó un efecto consistente, no hay datos suficientes para establecer conclusiones sobre el efecto de </w:t>
      </w:r>
      <w:proofErr w:type="spellStart"/>
      <w:r w:rsidRPr="003E0B98">
        <w:rPr>
          <w:color w:val="000000"/>
          <w:szCs w:val="22"/>
          <w:lang w:val="es-ES"/>
        </w:rPr>
        <w:t>Lucentis</w:t>
      </w:r>
      <w:proofErr w:type="spellEnd"/>
      <w:r w:rsidRPr="003E0B98">
        <w:rPr>
          <w:color w:val="000000"/>
          <w:szCs w:val="22"/>
          <w:lang w:val="es-ES"/>
        </w:rPr>
        <w:t xml:space="preserve"> en sujetos con MP y lesiones </w:t>
      </w:r>
      <w:proofErr w:type="spellStart"/>
      <w:r w:rsidRPr="003E0B98">
        <w:rPr>
          <w:color w:val="000000"/>
          <w:szCs w:val="22"/>
          <w:lang w:val="es-ES"/>
        </w:rPr>
        <w:t>extrafoveales</w:t>
      </w:r>
      <w:proofErr w:type="spellEnd"/>
      <w:r w:rsidRPr="003E0B98">
        <w:rPr>
          <w:color w:val="000000"/>
          <w:szCs w:val="22"/>
          <w:lang w:val="es-ES"/>
        </w:rPr>
        <w:t>.</w:t>
      </w:r>
    </w:p>
    <w:p w14:paraId="0B70E0E1" w14:textId="77777777" w:rsidR="009C7FF4" w:rsidRPr="003E0B98" w:rsidRDefault="009C7FF4" w:rsidP="004361AC">
      <w:pPr>
        <w:tabs>
          <w:tab w:val="clear" w:pos="567"/>
        </w:tabs>
        <w:spacing w:line="240" w:lineRule="auto"/>
        <w:rPr>
          <w:color w:val="000000"/>
          <w:szCs w:val="22"/>
          <w:lang w:val="es-ES_tradnl"/>
        </w:rPr>
      </w:pPr>
    </w:p>
    <w:p w14:paraId="046FC42D" w14:textId="77777777" w:rsidR="009C7FF4" w:rsidRPr="003E0B98" w:rsidRDefault="009C7FF4" w:rsidP="004361AC">
      <w:pPr>
        <w:keepNext/>
        <w:tabs>
          <w:tab w:val="clear" w:pos="567"/>
        </w:tabs>
        <w:spacing w:line="240" w:lineRule="auto"/>
        <w:rPr>
          <w:color w:val="000000"/>
          <w:szCs w:val="22"/>
          <w:u w:val="single"/>
          <w:lang w:val="es-ES_tradnl"/>
        </w:rPr>
      </w:pPr>
      <w:r w:rsidRPr="003E0B98">
        <w:rPr>
          <w:color w:val="000000"/>
          <w:szCs w:val="22"/>
          <w:u w:val="single"/>
          <w:lang w:val="es-ES_tradnl"/>
        </w:rPr>
        <w:t>Efectos sistémicos tras el uso intravítreo</w:t>
      </w:r>
    </w:p>
    <w:p w14:paraId="4EC59ACF" w14:textId="77777777" w:rsidR="00313DAC" w:rsidRPr="003E0B98" w:rsidRDefault="00313DAC" w:rsidP="004361AC">
      <w:pPr>
        <w:keepNext/>
        <w:tabs>
          <w:tab w:val="clear" w:pos="567"/>
        </w:tabs>
        <w:spacing w:line="240" w:lineRule="auto"/>
        <w:rPr>
          <w:color w:val="000000"/>
          <w:szCs w:val="22"/>
          <w:lang w:val="es-ES_tradnl"/>
        </w:rPr>
      </w:pPr>
    </w:p>
    <w:p w14:paraId="0DD0D457" w14:textId="77777777" w:rsidR="009C7FF4" w:rsidRPr="003E0B98" w:rsidRDefault="009C7FF4" w:rsidP="004361AC">
      <w:pPr>
        <w:tabs>
          <w:tab w:val="clear" w:pos="567"/>
        </w:tabs>
        <w:spacing w:line="240" w:lineRule="auto"/>
        <w:rPr>
          <w:color w:val="000000"/>
          <w:szCs w:val="22"/>
          <w:lang w:val="es-ES_tradnl"/>
        </w:rPr>
      </w:pPr>
      <w:r w:rsidRPr="003E0B98">
        <w:rPr>
          <w:color w:val="000000"/>
          <w:szCs w:val="22"/>
          <w:lang w:val="es-ES_tradnl"/>
        </w:rPr>
        <w:t>Se han notificado acontecimientos adversos sistémicos, incluyendo hemorragias no oculares y acontecimientos tromboembólicos arteriales tras la inyección intravítrea de inhibidores del VEGF.</w:t>
      </w:r>
    </w:p>
    <w:p w14:paraId="1F6EB89E" w14:textId="77777777" w:rsidR="009C7FF4" w:rsidRPr="003E0B98" w:rsidRDefault="009C7FF4" w:rsidP="004361AC">
      <w:pPr>
        <w:tabs>
          <w:tab w:val="clear" w:pos="567"/>
        </w:tabs>
        <w:spacing w:line="240" w:lineRule="auto"/>
        <w:rPr>
          <w:color w:val="000000"/>
          <w:szCs w:val="22"/>
          <w:lang w:val="es-ES_tradnl"/>
        </w:rPr>
      </w:pPr>
    </w:p>
    <w:p w14:paraId="75AD42E9" w14:textId="77777777" w:rsidR="009C7FF4" w:rsidRPr="003E0B98" w:rsidRDefault="009C7FF4" w:rsidP="004361AC">
      <w:pPr>
        <w:tabs>
          <w:tab w:val="clear" w:pos="567"/>
        </w:tabs>
        <w:spacing w:line="240" w:lineRule="auto"/>
        <w:rPr>
          <w:color w:val="000000"/>
          <w:szCs w:val="22"/>
          <w:lang w:val="es-ES_tradnl"/>
        </w:rPr>
      </w:pPr>
      <w:r w:rsidRPr="003E0B98">
        <w:rPr>
          <w:color w:val="000000"/>
          <w:szCs w:val="22"/>
          <w:lang w:val="es-ES_tradnl"/>
        </w:rPr>
        <w:t>Existen datos limitados sobre seguridad en el tratamiento de pacientes con EMD, edema macular debido a OVR y NVC secundaria a MP que tengan antecedentes de accidente cerebrovascular o ataques isquémicos transitorios. Se debe tener precaución cuando se traten tales pacientes (ver sección 4.8).</w:t>
      </w:r>
    </w:p>
    <w:p w14:paraId="12ECE9B8" w14:textId="77777777" w:rsidR="009C7FF4" w:rsidRPr="003E0B98" w:rsidRDefault="009C7FF4" w:rsidP="004361AC">
      <w:pPr>
        <w:tabs>
          <w:tab w:val="clear" w:pos="567"/>
        </w:tabs>
        <w:spacing w:line="240" w:lineRule="auto"/>
        <w:rPr>
          <w:color w:val="000000"/>
          <w:szCs w:val="22"/>
          <w:lang w:val="es-ES_tradnl"/>
        </w:rPr>
      </w:pPr>
    </w:p>
    <w:p w14:paraId="25CF021A" w14:textId="77777777" w:rsidR="009C7FF4" w:rsidRPr="003E0B98" w:rsidRDefault="009C7FF4" w:rsidP="004361AC">
      <w:pPr>
        <w:keepNext/>
        <w:tabs>
          <w:tab w:val="clear" w:pos="567"/>
        </w:tabs>
        <w:spacing w:line="240" w:lineRule="auto"/>
        <w:rPr>
          <w:color w:val="000000"/>
          <w:szCs w:val="22"/>
          <w:lang w:val="es-ES_tradnl"/>
        </w:rPr>
      </w:pPr>
      <w:r w:rsidRPr="003E0B98">
        <w:rPr>
          <w:b/>
          <w:color w:val="000000"/>
          <w:szCs w:val="22"/>
          <w:lang w:val="es-ES_tradnl"/>
        </w:rPr>
        <w:t>4.5</w:t>
      </w:r>
      <w:r w:rsidRPr="003E0B98">
        <w:rPr>
          <w:b/>
          <w:color w:val="000000"/>
          <w:szCs w:val="22"/>
          <w:lang w:val="es-ES_tradnl"/>
        </w:rPr>
        <w:tab/>
      </w:r>
      <w:r w:rsidRPr="003E0B98">
        <w:rPr>
          <w:b/>
          <w:color w:val="000000"/>
          <w:szCs w:val="22"/>
          <w:lang w:val="es-ES"/>
        </w:rPr>
        <w:t>Interacción con otros medicamentos y otras formas de interacción</w:t>
      </w:r>
    </w:p>
    <w:p w14:paraId="11905326" w14:textId="77777777" w:rsidR="009C7FF4" w:rsidRPr="003E0B98" w:rsidRDefault="009C7FF4" w:rsidP="004361AC">
      <w:pPr>
        <w:keepNext/>
        <w:tabs>
          <w:tab w:val="clear" w:pos="567"/>
        </w:tabs>
        <w:spacing w:line="240" w:lineRule="auto"/>
        <w:rPr>
          <w:color w:val="000000"/>
          <w:szCs w:val="22"/>
          <w:lang w:val="es-ES_tradnl"/>
        </w:rPr>
      </w:pPr>
    </w:p>
    <w:p w14:paraId="68D29904" w14:textId="77777777" w:rsidR="009C7FF4" w:rsidRPr="003E0B98" w:rsidRDefault="009C7FF4" w:rsidP="004361AC">
      <w:pPr>
        <w:pStyle w:val="Text"/>
        <w:spacing w:before="0"/>
        <w:jc w:val="left"/>
        <w:rPr>
          <w:color w:val="000000"/>
          <w:sz w:val="22"/>
          <w:szCs w:val="22"/>
          <w:lang w:val="es-ES_tradnl"/>
        </w:rPr>
      </w:pPr>
      <w:r w:rsidRPr="003E0B98">
        <w:rPr>
          <w:color w:val="000000"/>
          <w:sz w:val="22"/>
          <w:szCs w:val="22"/>
          <w:lang w:val="es-ES_tradnl"/>
        </w:rPr>
        <w:t>No se han realizado estudios de interacciones formales.</w:t>
      </w:r>
    </w:p>
    <w:p w14:paraId="724521D7" w14:textId="77777777" w:rsidR="009C7FF4" w:rsidRPr="003E0B98" w:rsidRDefault="009C7FF4" w:rsidP="004361AC">
      <w:pPr>
        <w:tabs>
          <w:tab w:val="clear" w:pos="567"/>
        </w:tabs>
        <w:spacing w:line="240" w:lineRule="auto"/>
        <w:rPr>
          <w:color w:val="000000"/>
          <w:szCs w:val="22"/>
          <w:lang w:val="es-ES_tradnl"/>
        </w:rPr>
      </w:pPr>
    </w:p>
    <w:p w14:paraId="61302AD1" w14:textId="77777777" w:rsidR="009C7FF4" w:rsidRPr="003E0B98" w:rsidRDefault="009C7FF4" w:rsidP="004361AC">
      <w:pPr>
        <w:tabs>
          <w:tab w:val="clear" w:pos="567"/>
        </w:tabs>
        <w:spacing w:line="240" w:lineRule="auto"/>
        <w:rPr>
          <w:color w:val="000000"/>
          <w:szCs w:val="22"/>
          <w:lang w:val="es-ES"/>
        </w:rPr>
      </w:pPr>
      <w:r w:rsidRPr="003E0B98">
        <w:rPr>
          <w:color w:val="000000"/>
          <w:szCs w:val="22"/>
          <w:lang w:val="es-ES_tradnl"/>
        </w:rPr>
        <w:t xml:space="preserve">Para el uso conjunto de terapia fotodinámica (TFD) con </w:t>
      </w:r>
      <w:proofErr w:type="spellStart"/>
      <w:r w:rsidRPr="003E0B98">
        <w:rPr>
          <w:color w:val="000000"/>
          <w:szCs w:val="22"/>
          <w:lang w:val="es-ES_tradnl"/>
        </w:rPr>
        <w:t>verteporfina</w:t>
      </w:r>
      <w:proofErr w:type="spellEnd"/>
      <w:r w:rsidRPr="003E0B98">
        <w:rPr>
          <w:color w:val="000000"/>
          <w:szCs w:val="22"/>
          <w:lang w:val="es-ES_tradnl"/>
        </w:rPr>
        <w:t xml:space="preserve"> y </w:t>
      </w:r>
      <w:proofErr w:type="spellStart"/>
      <w:r w:rsidRPr="003E0B98">
        <w:rPr>
          <w:color w:val="000000"/>
          <w:szCs w:val="22"/>
          <w:lang w:val="es-ES_tradnl"/>
        </w:rPr>
        <w:t>Lucentis</w:t>
      </w:r>
      <w:proofErr w:type="spellEnd"/>
      <w:r w:rsidRPr="003E0B98">
        <w:rPr>
          <w:color w:val="000000"/>
          <w:szCs w:val="22"/>
          <w:lang w:val="es-ES_tradnl"/>
        </w:rPr>
        <w:t xml:space="preserve"> en la DMAE exudativa y en la MP, </w:t>
      </w:r>
      <w:r w:rsidRPr="003E0B98">
        <w:rPr>
          <w:color w:val="000000"/>
          <w:szCs w:val="22"/>
          <w:lang w:val="es-ES"/>
        </w:rPr>
        <w:t>ver sección 5.1.</w:t>
      </w:r>
    </w:p>
    <w:p w14:paraId="0FE77B8E" w14:textId="77777777" w:rsidR="009C7FF4" w:rsidRPr="003E0B98" w:rsidRDefault="009C7FF4" w:rsidP="004361AC">
      <w:pPr>
        <w:tabs>
          <w:tab w:val="clear" w:pos="567"/>
        </w:tabs>
        <w:spacing w:line="240" w:lineRule="auto"/>
        <w:rPr>
          <w:color w:val="000000"/>
          <w:szCs w:val="22"/>
          <w:lang w:val="es-ES"/>
        </w:rPr>
      </w:pPr>
    </w:p>
    <w:p w14:paraId="3E7BB214" w14:textId="77777777" w:rsidR="009C7FF4" w:rsidRPr="003E0B98" w:rsidRDefault="009C7FF4" w:rsidP="004361AC">
      <w:pPr>
        <w:tabs>
          <w:tab w:val="clear" w:pos="567"/>
        </w:tabs>
        <w:spacing w:line="240" w:lineRule="auto"/>
        <w:rPr>
          <w:color w:val="000000"/>
          <w:szCs w:val="22"/>
          <w:lang w:val="es-ES_tradnl"/>
        </w:rPr>
      </w:pPr>
      <w:r w:rsidRPr="003E0B98">
        <w:rPr>
          <w:color w:val="000000"/>
          <w:szCs w:val="22"/>
          <w:lang w:val="es-ES"/>
        </w:rPr>
        <w:t xml:space="preserve">Para el uso conjunto de fotocoagulación con láser y </w:t>
      </w:r>
      <w:proofErr w:type="spellStart"/>
      <w:r w:rsidRPr="003E0B98">
        <w:rPr>
          <w:color w:val="000000"/>
          <w:szCs w:val="22"/>
          <w:lang w:val="es-ES"/>
        </w:rPr>
        <w:t>Lucentis</w:t>
      </w:r>
      <w:proofErr w:type="spellEnd"/>
      <w:r w:rsidRPr="003E0B98">
        <w:rPr>
          <w:color w:val="000000"/>
          <w:szCs w:val="22"/>
          <w:lang w:val="es-ES"/>
        </w:rPr>
        <w:t xml:space="preserve"> en EMD y ORVR, ver secciones 4.2 y 5.1.</w:t>
      </w:r>
    </w:p>
    <w:p w14:paraId="2A6B8BA6" w14:textId="77777777" w:rsidR="009C7FF4" w:rsidRPr="003E0B98" w:rsidRDefault="009C7FF4" w:rsidP="004361AC">
      <w:pPr>
        <w:tabs>
          <w:tab w:val="clear" w:pos="567"/>
        </w:tabs>
        <w:spacing w:line="240" w:lineRule="auto"/>
        <w:rPr>
          <w:color w:val="000000"/>
          <w:szCs w:val="22"/>
          <w:lang w:val="es-ES_tradnl"/>
        </w:rPr>
      </w:pPr>
    </w:p>
    <w:p w14:paraId="7AD925BC" w14:textId="77777777" w:rsidR="009C7FF4" w:rsidRPr="003E0B98" w:rsidRDefault="009C7FF4" w:rsidP="004361AC">
      <w:pPr>
        <w:tabs>
          <w:tab w:val="clear" w:pos="567"/>
        </w:tabs>
        <w:spacing w:line="240" w:lineRule="auto"/>
        <w:rPr>
          <w:color w:val="000000"/>
          <w:szCs w:val="22"/>
          <w:lang w:val="es-ES_tradnl"/>
        </w:rPr>
      </w:pPr>
      <w:r w:rsidRPr="003E0B98">
        <w:rPr>
          <w:color w:val="000000"/>
          <w:szCs w:val="22"/>
          <w:lang w:val="es-ES_tradnl"/>
        </w:rPr>
        <w:t xml:space="preserve">En ensayos clínicos para el tratamiento de la alteración visual debida al EMD, el tratamiento concomitante con </w:t>
      </w:r>
      <w:proofErr w:type="spellStart"/>
      <w:r w:rsidRPr="003E0B98">
        <w:rPr>
          <w:color w:val="000000"/>
          <w:szCs w:val="22"/>
          <w:lang w:val="es-ES_tradnl"/>
        </w:rPr>
        <w:t>tiazolidinedionas</w:t>
      </w:r>
      <w:proofErr w:type="spellEnd"/>
      <w:r w:rsidRPr="003E0B98">
        <w:rPr>
          <w:color w:val="000000"/>
          <w:szCs w:val="22"/>
          <w:lang w:val="es-ES_tradnl"/>
        </w:rPr>
        <w:t xml:space="preserve"> en pacientes tratados con </w:t>
      </w:r>
      <w:proofErr w:type="spellStart"/>
      <w:r w:rsidRPr="003E0B98">
        <w:rPr>
          <w:color w:val="000000"/>
          <w:szCs w:val="22"/>
          <w:lang w:val="es-ES_tradnl"/>
        </w:rPr>
        <w:t>Lucentis</w:t>
      </w:r>
      <w:proofErr w:type="spellEnd"/>
      <w:r w:rsidRPr="003E0B98">
        <w:rPr>
          <w:color w:val="000000"/>
          <w:szCs w:val="22"/>
          <w:lang w:val="es-ES_tradnl"/>
        </w:rPr>
        <w:t xml:space="preserve">, no afectó el resultado </w:t>
      </w:r>
      <w:proofErr w:type="gramStart"/>
      <w:r w:rsidRPr="003E0B98">
        <w:rPr>
          <w:color w:val="000000"/>
          <w:szCs w:val="22"/>
          <w:lang w:val="es-ES_tradnl"/>
        </w:rPr>
        <w:t>en relación a</w:t>
      </w:r>
      <w:proofErr w:type="gramEnd"/>
      <w:r w:rsidRPr="003E0B98">
        <w:rPr>
          <w:color w:val="000000"/>
          <w:szCs w:val="22"/>
          <w:lang w:val="es-ES_tradnl"/>
        </w:rPr>
        <w:t xml:space="preserve"> la agudeza visual o al grosor del subcampo central de la retina (GSCR).</w:t>
      </w:r>
    </w:p>
    <w:p w14:paraId="7789939B" w14:textId="77777777" w:rsidR="009C7FF4" w:rsidRPr="003E0B98" w:rsidRDefault="009C7FF4" w:rsidP="004361AC">
      <w:pPr>
        <w:tabs>
          <w:tab w:val="clear" w:pos="567"/>
        </w:tabs>
        <w:spacing w:line="240" w:lineRule="auto"/>
        <w:rPr>
          <w:color w:val="000000"/>
          <w:szCs w:val="22"/>
          <w:lang w:val="es-ES_tradnl"/>
        </w:rPr>
      </w:pPr>
    </w:p>
    <w:p w14:paraId="73F09A51" w14:textId="77777777" w:rsidR="009C7FF4" w:rsidRPr="003E0B98" w:rsidRDefault="009C7FF4" w:rsidP="004361AC">
      <w:pPr>
        <w:keepNext/>
        <w:tabs>
          <w:tab w:val="clear" w:pos="567"/>
        </w:tabs>
        <w:spacing w:line="240" w:lineRule="auto"/>
        <w:rPr>
          <w:color w:val="000000"/>
          <w:szCs w:val="22"/>
          <w:lang w:val="es-ES_tradnl"/>
        </w:rPr>
      </w:pPr>
      <w:r w:rsidRPr="003E0B98">
        <w:rPr>
          <w:b/>
          <w:color w:val="000000"/>
          <w:szCs w:val="22"/>
          <w:lang w:val="es-ES_tradnl"/>
        </w:rPr>
        <w:t>4.6</w:t>
      </w:r>
      <w:r w:rsidRPr="003E0B98">
        <w:rPr>
          <w:b/>
          <w:color w:val="000000"/>
          <w:szCs w:val="22"/>
          <w:lang w:val="es-ES_tradnl"/>
        </w:rPr>
        <w:tab/>
        <w:t xml:space="preserve">Fertilidad, </w:t>
      </w:r>
      <w:r w:rsidRPr="003E0B98">
        <w:rPr>
          <w:b/>
          <w:color w:val="000000"/>
          <w:szCs w:val="22"/>
          <w:lang w:val="es-ES"/>
        </w:rPr>
        <w:t>embarazo y lactancia</w:t>
      </w:r>
    </w:p>
    <w:p w14:paraId="705CFCC0" w14:textId="77777777" w:rsidR="009C7FF4" w:rsidRPr="003E0B98" w:rsidRDefault="009C7FF4" w:rsidP="004361AC">
      <w:pPr>
        <w:keepNext/>
        <w:tabs>
          <w:tab w:val="clear" w:pos="567"/>
        </w:tabs>
        <w:spacing w:line="240" w:lineRule="auto"/>
        <w:rPr>
          <w:color w:val="000000"/>
          <w:szCs w:val="22"/>
          <w:lang w:val="es-ES_tradnl"/>
        </w:rPr>
      </w:pPr>
    </w:p>
    <w:p w14:paraId="3A593E2C" w14:textId="77777777" w:rsidR="009C7FF4" w:rsidRPr="003E0B98" w:rsidRDefault="009C7FF4" w:rsidP="004361AC">
      <w:pPr>
        <w:keepNext/>
        <w:tabs>
          <w:tab w:val="clear" w:pos="567"/>
        </w:tabs>
        <w:spacing w:line="240" w:lineRule="auto"/>
        <w:rPr>
          <w:color w:val="000000"/>
          <w:szCs w:val="22"/>
          <w:u w:val="single"/>
          <w:lang w:val="es-ES_tradnl"/>
        </w:rPr>
      </w:pPr>
      <w:r w:rsidRPr="003E0B98">
        <w:rPr>
          <w:color w:val="000000"/>
          <w:szCs w:val="22"/>
          <w:u w:val="single"/>
          <w:lang w:val="es-ES_tradnl"/>
        </w:rPr>
        <w:t>Mujeres en edad fértil/anticoncepción en mujeres</w:t>
      </w:r>
    </w:p>
    <w:p w14:paraId="0CB2F188" w14:textId="77777777" w:rsidR="00313DAC" w:rsidRPr="003E0B98" w:rsidRDefault="00313DAC" w:rsidP="004361AC">
      <w:pPr>
        <w:keepNext/>
        <w:tabs>
          <w:tab w:val="clear" w:pos="567"/>
        </w:tabs>
        <w:spacing w:line="240" w:lineRule="auto"/>
        <w:rPr>
          <w:color w:val="000000"/>
          <w:szCs w:val="22"/>
          <w:lang w:val="es-ES_tradnl"/>
        </w:rPr>
      </w:pPr>
    </w:p>
    <w:p w14:paraId="47E8B630" w14:textId="77777777" w:rsidR="009C7FF4" w:rsidRPr="003E0B98" w:rsidRDefault="009C7FF4" w:rsidP="004361AC">
      <w:pPr>
        <w:tabs>
          <w:tab w:val="clear" w:pos="567"/>
        </w:tabs>
        <w:spacing w:line="240" w:lineRule="auto"/>
        <w:rPr>
          <w:color w:val="000000"/>
          <w:szCs w:val="22"/>
          <w:lang w:val="es-ES_tradnl"/>
        </w:rPr>
      </w:pPr>
      <w:r w:rsidRPr="003E0B98">
        <w:rPr>
          <w:color w:val="000000"/>
          <w:szCs w:val="22"/>
          <w:lang w:val="es-ES_tradnl"/>
        </w:rPr>
        <w:t>Las mujeres en edad fértil deben utilizar métodos anticonceptivos efectivos durante el tratamiento.</w:t>
      </w:r>
    </w:p>
    <w:p w14:paraId="45A229BA" w14:textId="77777777" w:rsidR="009C7FF4" w:rsidRPr="003E0B98" w:rsidRDefault="009C7FF4" w:rsidP="004361AC">
      <w:pPr>
        <w:tabs>
          <w:tab w:val="clear" w:pos="567"/>
        </w:tabs>
        <w:spacing w:line="240" w:lineRule="auto"/>
        <w:rPr>
          <w:color w:val="000000"/>
          <w:szCs w:val="22"/>
          <w:lang w:val="es-ES_tradnl"/>
        </w:rPr>
      </w:pPr>
    </w:p>
    <w:p w14:paraId="792799B0" w14:textId="77777777" w:rsidR="009C7FF4" w:rsidRPr="003E0B98" w:rsidRDefault="009C7FF4" w:rsidP="004361AC">
      <w:pPr>
        <w:keepNext/>
        <w:tabs>
          <w:tab w:val="clear" w:pos="567"/>
        </w:tabs>
        <w:spacing w:line="240" w:lineRule="auto"/>
        <w:rPr>
          <w:color w:val="000000"/>
          <w:szCs w:val="22"/>
          <w:u w:val="single"/>
          <w:lang w:val="es-ES_tradnl"/>
        </w:rPr>
      </w:pPr>
      <w:r w:rsidRPr="003E0B98">
        <w:rPr>
          <w:color w:val="000000"/>
          <w:szCs w:val="22"/>
          <w:u w:val="single"/>
          <w:lang w:val="es-ES_tradnl"/>
        </w:rPr>
        <w:t>Embarazo</w:t>
      </w:r>
    </w:p>
    <w:p w14:paraId="7F3FDBF6" w14:textId="77777777" w:rsidR="00313DAC" w:rsidRPr="003E0B98" w:rsidRDefault="00313DAC" w:rsidP="004361AC">
      <w:pPr>
        <w:keepNext/>
        <w:tabs>
          <w:tab w:val="clear" w:pos="567"/>
        </w:tabs>
        <w:spacing w:line="240" w:lineRule="auto"/>
        <w:rPr>
          <w:color w:val="000000"/>
          <w:szCs w:val="22"/>
          <w:lang w:val="es-ES_tradnl"/>
        </w:rPr>
      </w:pPr>
    </w:p>
    <w:p w14:paraId="4FE66347" w14:textId="77777777" w:rsidR="009C7FF4" w:rsidRPr="003E0B98" w:rsidRDefault="009C7FF4" w:rsidP="004361AC">
      <w:pPr>
        <w:tabs>
          <w:tab w:val="clear" w:pos="567"/>
        </w:tabs>
        <w:spacing w:line="240" w:lineRule="auto"/>
        <w:rPr>
          <w:color w:val="000000"/>
          <w:szCs w:val="22"/>
          <w:lang w:val="es-ES_tradnl"/>
        </w:rPr>
      </w:pPr>
      <w:r w:rsidRPr="003E0B98">
        <w:rPr>
          <w:color w:val="000000"/>
          <w:szCs w:val="22"/>
          <w:lang w:val="es-ES_tradnl"/>
        </w:rPr>
        <w:t xml:space="preserve">No se dispone de datos clínicos de exposición a </w:t>
      </w:r>
      <w:proofErr w:type="spellStart"/>
      <w:r w:rsidRPr="003E0B98">
        <w:rPr>
          <w:color w:val="000000"/>
          <w:szCs w:val="22"/>
          <w:lang w:val="es-ES_tradnl"/>
        </w:rPr>
        <w:t>ranibizumab</w:t>
      </w:r>
      <w:proofErr w:type="spellEnd"/>
      <w:r w:rsidRPr="003E0B98">
        <w:rPr>
          <w:color w:val="000000"/>
          <w:szCs w:val="22"/>
          <w:lang w:val="es-ES_tradnl"/>
        </w:rPr>
        <w:t xml:space="preserve"> en embarazos. Los estudios en </w:t>
      </w:r>
      <w:r w:rsidRPr="003E0B98">
        <w:rPr>
          <w:szCs w:val="22"/>
          <w:lang w:val="es-ES_tradnl"/>
        </w:rPr>
        <w:t xml:space="preserve">monos </w:t>
      </w:r>
      <w:proofErr w:type="spellStart"/>
      <w:r w:rsidRPr="003E0B98">
        <w:rPr>
          <w:szCs w:val="22"/>
          <w:lang w:val="es-ES_tradnl"/>
        </w:rPr>
        <w:t>cinomolgos</w:t>
      </w:r>
      <w:proofErr w:type="spellEnd"/>
      <w:r w:rsidRPr="003E0B98">
        <w:rPr>
          <w:color w:val="000000"/>
          <w:szCs w:val="22"/>
          <w:lang w:val="es-ES_tradnl"/>
        </w:rPr>
        <w:t xml:space="preserve"> </w:t>
      </w:r>
      <w:r w:rsidRPr="003E0B98">
        <w:rPr>
          <w:szCs w:val="22"/>
          <w:lang w:val="es-ES_tradnl"/>
        </w:rPr>
        <w:t xml:space="preserve">no sugieren efectos perjudiciales directos ni indirectos en términos de embarazo o desarrollo </w:t>
      </w:r>
      <w:proofErr w:type="spellStart"/>
      <w:r w:rsidRPr="003E0B98">
        <w:rPr>
          <w:szCs w:val="22"/>
          <w:lang w:val="es-ES_tradnl"/>
        </w:rPr>
        <w:t>embrional</w:t>
      </w:r>
      <w:proofErr w:type="spellEnd"/>
      <w:r w:rsidRPr="003E0B98">
        <w:rPr>
          <w:szCs w:val="22"/>
          <w:lang w:val="es-ES_tradnl"/>
        </w:rPr>
        <w:t xml:space="preserve">/fetal (ver sección 5.3). </w:t>
      </w:r>
      <w:r w:rsidRPr="003E0B98">
        <w:rPr>
          <w:color w:val="000000"/>
          <w:szCs w:val="22"/>
          <w:lang w:val="es-ES_tradnl"/>
        </w:rPr>
        <w:t xml:space="preserve">La exposición sistémica a </w:t>
      </w:r>
      <w:proofErr w:type="spellStart"/>
      <w:r w:rsidRPr="003E0B98">
        <w:rPr>
          <w:color w:val="000000"/>
          <w:szCs w:val="22"/>
          <w:lang w:val="es-ES_tradnl"/>
        </w:rPr>
        <w:t>ranibizumab</w:t>
      </w:r>
      <w:proofErr w:type="spellEnd"/>
      <w:r w:rsidRPr="003E0B98">
        <w:rPr>
          <w:color w:val="000000"/>
          <w:szCs w:val="22"/>
          <w:lang w:val="es-ES_tradnl"/>
        </w:rPr>
        <w:t xml:space="preserve"> tras la administración ocular es baja, pero debido a su mecanismo de acción, </w:t>
      </w:r>
      <w:proofErr w:type="spellStart"/>
      <w:r w:rsidRPr="003E0B98">
        <w:rPr>
          <w:color w:val="000000"/>
          <w:szCs w:val="22"/>
          <w:lang w:val="es-ES_tradnl"/>
        </w:rPr>
        <w:t>ranibizumab</w:t>
      </w:r>
      <w:proofErr w:type="spellEnd"/>
      <w:r w:rsidRPr="003E0B98">
        <w:rPr>
          <w:color w:val="000000"/>
          <w:szCs w:val="22"/>
          <w:lang w:val="es-ES_tradnl"/>
        </w:rPr>
        <w:t xml:space="preserve"> debe considerarse como potencialmente teratogénico y </w:t>
      </w:r>
      <w:proofErr w:type="spellStart"/>
      <w:r w:rsidRPr="003E0B98">
        <w:rPr>
          <w:color w:val="000000"/>
          <w:szCs w:val="22"/>
          <w:lang w:val="es-ES_tradnl"/>
        </w:rPr>
        <w:t>embrio</w:t>
      </w:r>
      <w:proofErr w:type="spellEnd"/>
      <w:r w:rsidRPr="003E0B98">
        <w:rPr>
          <w:color w:val="000000"/>
          <w:szCs w:val="22"/>
          <w:lang w:val="es-ES_tradnl"/>
        </w:rPr>
        <w:t>-/</w:t>
      </w:r>
      <w:proofErr w:type="spellStart"/>
      <w:r w:rsidRPr="003E0B98">
        <w:rPr>
          <w:color w:val="000000"/>
          <w:szCs w:val="22"/>
          <w:lang w:val="es-ES_tradnl"/>
        </w:rPr>
        <w:t>fetotóxico</w:t>
      </w:r>
      <w:proofErr w:type="spellEnd"/>
      <w:r w:rsidRPr="003E0B98">
        <w:rPr>
          <w:color w:val="000000"/>
          <w:szCs w:val="22"/>
          <w:lang w:val="es-ES_tradnl"/>
        </w:rPr>
        <w:t xml:space="preserve">. Por ello </w:t>
      </w:r>
      <w:proofErr w:type="spellStart"/>
      <w:r w:rsidRPr="003E0B98">
        <w:rPr>
          <w:color w:val="000000"/>
          <w:szCs w:val="22"/>
          <w:lang w:val="es-ES_tradnl"/>
        </w:rPr>
        <w:t>ranibizumab</w:t>
      </w:r>
      <w:proofErr w:type="spellEnd"/>
      <w:r w:rsidRPr="003E0B98">
        <w:rPr>
          <w:color w:val="000000"/>
          <w:szCs w:val="22"/>
          <w:lang w:val="es-ES_tradnl"/>
        </w:rPr>
        <w:t xml:space="preserve"> no se deberá usar durante el embarazo salvo que el beneficio esperado supere el riesgo potencial para el feto. </w:t>
      </w:r>
      <w:r w:rsidRPr="003E0B98">
        <w:rPr>
          <w:szCs w:val="22"/>
          <w:lang w:val="es-ES_tradnl"/>
        </w:rPr>
        <w:t xml:space="preserve">Para mujeres que deseen quedarse embarazadas y hayan sido tratadas con </w:t>
      </w:r>
      <w:proofErr w:type="spellStart"/>
      <w:r w:rsidRPr="003E0B98">
        <w:rPr>
          <w:szCs w:val="22"/>
          <w:lang w:val="es-ES_tradnl"/>
        </w:rPr>
        <w:t>ranibizumab</w:t>
      </w:r>
      <w:proofErr w:type="spellEnd"/>
      <w:r w:rsidRPr="003E0B98">
        <w:rPr>
          <w:szCs w:val="22"/>
          <w:lang w:val="es-ES_tradnl"/>
        </w:rPr>
        <w:t xml:space="preserve">, se recomienda esperar como mínimo 3 meses tras la última dosis de </w:t>
      </w:r>
      <w:proofErr w:type="spellStart"/>
      <w:r w:rsidRPr="003E0B98">
        <w:rPr>
          <w:szCs w:val="22"/>
          <w:lang w:val="es-ES_tradnl"/>
        </w:rPr>
        <w:t>ranibizumab</w:t>
      </w:r>
      <w:proofErr w:type="spellEnd"/>
      <w:r w:rsidRPr="003E0B98">
        <w:rPr>
          <w:szCs w:val="22"/>
          <w:lang w:val="es-ES_tradnl"/>
        </w:rPr>
        <w:t xml:space="preserve"> antes de concebir un hijo.</w:t>
      </w:r>
    </w:p>
    <w:p w14:paraId="547B7ED2" w14:textId="77777777" w:rsidR="009C7FF4" w:rsidRPr="003E0B98" w:rsidRDefault="009C7FF4" w:rsidP="004361AC">
      <w:pPr>
        <w:tabs>
          <w:tab w:val="clear" w:pos="567"/>
        </w:tabs>
        <w:spacing w:line="240" w:lineRule="auto"/>
        <w:rPr>
          <w:color w:val="000000"/>
          <w:szCs w:val="22"/>
          <w:lang w:val="es-ES_tradnl"/>
        </w:rPr>
      </w:pPr>
    </w:p>
    <w:p w14:paraId="20BD2AF0" w14:textId="77777777" w:rsidR="009C7FF4" w:rsidRPr="003E0B98" w:rsidRDefault="009C7FF4" w:rsidP="004361AC">
      <w:pPr>
        <w:keepNext/>
        <w:tabs>
          <w:tab w:val="clear" w:pos="567"/>
        </w:tabs>
        <w:spacing w:line="240" w:lineRule="auto"/>
        <w:rPr>
          <w:color w:val="000000"/>
          <w:szCs w:val="22"/>
          <w:u w:val="single"/>
          <w:lang w:val="es-ES_tradnl"/>
        </w:rPr>
      </w:pPr>
      <w:r w:rsidRPr="003E0B98">
        <w:rPr>
          <w:color w:val="000000"/>
          <w:szCs w:val="22"/>
          <w:u w:val="single"/>
          <w:lang w:val="es-ES_tradnl"/>
        </w:rPr>
        <w:t>Lactancia</w:t>
      </w:r>
    </w:p>
    <w:p w14:paraId="1424FB34" w14:textId="77777777" w:rsidR="00313DAC" w:rsidRPr="003E0B98" w:rsidRDefault="00313DAC" w:rsidP="004361AC">
      <w:pPr>
        <w:keepNext/>
        <w:tabs>
          <w:tab w:val="clear" w:pos="567"/>
        </w:tabs>
        <w:spacing w:line="240" w:lineRule="auto"/>
        <w:rPr>
          <w:color w:val="000000"/>
          <w:szCs w:val="22"/>
          <w:lang w:val="es-ES"/>
        </w:rPr>
      </w:pPr>
    </w:p>
    <w:p w14:paraId="69C5AE57" w14:textId="711333E7" w:rsidR="009C7FF4" w:rsidRPr="003E0B98" w:rsidRDefault="00E6036F" w:rsidP="004361AC">
      <w:pPr>
        <w:tabs>
          <w:tab w:val="clear" w:pos="567"/>
        </w:tabs>
        <w:spacing w:line="240" w:lineRule="auto"/>
        <w:rPr>
          <w:color w:val="000000"/>
          <w:szCs w:val="22"/>
          <w:lang w:val="es-ES_tradnl"/>
        </w:rPr>
      </w:pPr>
      <w:r w:rsidRPr="003E0B98">
        <w:rPr>
          <w:color w:val="000000"/>
          <w:szCs w:val="22"/>
          <w:lang w:val="es-ES"/>
        </w:rPr>
        <w:t xml:space="preserve">Según datos muy limitados, </w:t>
      </w:r>
      <w:proofErr w:type="spellStart"/>
      <w:r w:rsidRPr="003E0B98">
        <w:rPr>
          <w:color w:val="000000"/>
          <w:szCs w:val="22"/>
          <w:lang w:val="es-ES"/>
        </w:rPr>
        <w:t>ranibizumab</w:t>
      </w:r>
      <w:proofErr w:type="spellEnd"/>
      <w:r w:rsidRPr="003E0B98">
        <w:rPr>
          <w:color w:val="000000"/>
          <w:szCs w:val="22"/>
          <w:lang w:val="es-ES"/>
        </w:rPr>
        <w:t xml:space="preserve"> puede excretarse en la leche materna a niveles bajos. Se desconoce el efecto de </w:t>
      </w:r>
      <w:proofErr w:type="spellStart"/>
      <w:r w:rsidRPr="003E0B98">
        <w:rPr>
          <w:color w:val="000000"/>
          <w:szCs w:val="22"/>
          <w:lang w:val="es-ES"/>
        </w:rPr>
        <w:t>ranibizumab</w:t>
      </w:r>
      <w:proofErr w:type="spellEnd"/>
      <w:r w:rsidRPr="003E0B98">
        <w:rPr>
          <w:color w:val="000000"/>
          <w:szCs w:val="22"/>
          <w:lang w:val="es-ES"/>
        </w:rPr>
        <w:t xml:space="preserve"> en recién nacidos/niños lactantes</w:t>
      </w:r>
      <w:r w:rsidRPr="003E0B98">
        <w:rPr>
          <w:color w:val="000000"/>
          <w:szCs w:val="22"/>
          <w:lang w:val="es-ES_tradnl"/>
        </w:rPr>
        <w:t xml:space="preserve">. Como medida de precaución, </w:t>
      </w:r>
      <w:r w:rsidR="001B3C32" w:rsidRPr="003E0B98">
        <w:rPr>
          <w:color w:val="000000"/>
          <w:szCs w:val="22"/>
          <w:lang w:val="es-ES_tradnl"/>
        </w:rPr>
        <w:t>n</w:t>
      </w:r>
      <w:r w:rsidR="009C7FF4" w:rsidRPr="003E0B98">
        <w:rPr>
          <w:color w:val="000000"/>
          <w:szCs w:val="22"/>
          <w:lang w:val="es-ES_tradnl"/>
        </w:rPr>
        <w:t xml:space="preserve">o se recomienda la lactancia durante el uso de </w:t>
      </w:r>
      <w:proofErr w:type="spellStart"/>
      <w:r w:rsidR="009C7FF4" w:rsidRPr="003E0B98">
        <w:rPr>
          <w:color w:val="000000"/>
          <w:szCs w:val="22"/>
          <w:lang w:val="es-ES_tradnl"/>
        </w:rPr>
        <w:t>Lucentis</w:t>
      </w:r>
      <w:proofErr w:type="spellEnd"/>
      <w:r w:rsidR="009C7FF4" w:rsidRPr="003E0B98">
        <w:rPr>
          <w:color w:val="000000"/>
          <w:szCs w:val="22"/>
          <w:lang w:val="es-ES_tradnl"/>
        </w:rPr>
        <w:t>.</w:t>
      </w:r>
    </w:p>
    <w:p w14:paraId="5FBE1F23" w14:textId="77777777" w:rsidR="009C7FF4" w:rsidRPr="003E0B98" w:rsidRDefault="009C7FF4" w:rsidP="004361AC">
      <w:pPr>
        <w:tabs>
          <w:tab w:val="clear" w:pos="567"/>
        </w:tabs>
        <w:spacing w:line="240" w:lineRule="auto"/>
        <w:rPr>
          <w:color w:val="000000"/>
          <w:szCs w:val="22"/>
          <w:lang w:val="es-ES_tradnl"/>
        </w:rPr>
      </w:pPr>
    </w:p>
    <w:p w14:paraId="1BBD7242" w14:textId="77777777" w:rsidR="009C7FF4" w:rsidRPr="003E0B98" w:rsidRDefault="009C7FF4" w:rsidP="004361AC">
      <w:pPr>
        <w:keepNext/>
        <w:tabs>
          <w:tab w:val="clear" w:pos="567"/>
        </w:tabs>
        <w:spacing w:line="240" w:lineRule="auto"/>
        <w:rPr>
          <w:color w:val="000000"/>
          <w:szCs w:val="22"/>
          <w:u w:val="single"/>
          <w:lang w:val="es-ES_tradnl"/>
        </w:rPr>
      </w:pPr>
      <w:r w:rsidRPr="003E0B98">
        <w:rPr>
          <w:color w:val="000000"/>
          <w:szCs w:val="22"/>
          <w:u w:val="single"/>
          <w:lang w:val="es-ES_tradnl"/>
        </w:rPr>
        <w:t>Fertilidad</w:t>
      </w:r>
    </w:p>
    <w:p w14:paraId="4DD52112" w14:textId="77777777" w:rsidR="00313DAC" w:rsidRPr="003E0B98" w:rsidRDefault="00313DAC" w:rsidP="004361AC">
      <w:pPr>
        <w:tabs>
          <w:tab w:val="clear" w:pos="567"/>
        </w:tabs>
        <w:spacing w:line="240" w:lineRule="auto"/>
        <w:rPr>
          <w:color w:val="000000"/>
          <w:szCs w:val="22"/>
          <w:lang w:val="es-ES_tradnl"/>
        </w:rPr>
      </w:pPr>
    </w:p>
    <w:p w14:paraId="04629A3E" w14:textId="77777777" w:rsidR="009C7FF4" w:rsidRPr="003E0B98" w:rsidRDefault="009C7FF4" w:rsidP="004361AC">
      <w:pPr>
        <w:tabs>
          <w:tab w:val="clear" w:pos="567"/>
        </w:tabs>
        <w:spacing w:line="240" w:lineRule="auto"/>
        <w:rPr>
          <w:color w:val="000000"/>
          <w:szCs w:val="22"/>
          <w:lang w:val="es-ES_tradnl"/>
        </w:rPr>
      </w:pPr>
      <w:r w:rsidRPr="003E0B98">
        <w:rPr>
          <w:color w:val="000000"/>
          <w:szCs w:val="22"/>
          <w:lang w:val="es-ES_tradnl"/>
        </w:rPr>
        <w:t>No hay datos disponibles sobre fertilidad.</w:t>
      </w:r>
    </w:p>
    <w:p w14:paraId="55C3E2D0" w14:textId="77777777" w:rsidR="009C7FF4" w:rsidRPr="003E0B98" w:rsidRDefault="009C7FF4" w:rsidP="004361AC">
      <w:pPr>
        <w:tabs>
          <w:tab w:val="clear" w:pos="567"/>
        </w:tabs>
        <w:spacing w:line="240" w:lineRule="auto"/>
        <w:rPr>
          <w:color w:val="000000"/>
          <w:szCs w:val="22"/>
          <w:lang w:val="es-ES_tradnl"/>
        </w:rPr>
      </w:pPr>
    </w:p>
    <w:p w14:paraId="56E1186F" w14:textId="77777777" w:rsidR="009C7FF4" w:rsidRPr="003E0B98" w:rsidRDefault="009C7FF4" w:rsidP="004361AC">
      <w:pPr>
        <w:keepNext/>
        <w:tabs>
          <w:tab w:val="clear" w:pos="567"/>
        </w:tabs>
        <w:spacing w:line="240" w:lineRule="auto"/>
        <w:rPr>
          <w:color w:val="000000"/>
          <w:szCs w:val="22"/>
          <w:lang w:val="es-ES_tradnl"/>
        </w:rPr>
      </w:pPr>
      <w:r w:rsidRPr="003E0B98">
        <w:rPr>
          <w:b/>
          <w:color w:val="000000"/>
          <w:szCs w:val="22"/>
          <w:lang w:val="es-ES_tradnl"/>
        </w:rPr>
        <w:t>4.7</w:t>
      </w:r>
      <w:r w:rsidRPr="003E0B98">
        <w:rPr>
          <w:b/>
          <w:color w:val="000000"/>
          <w:szCs w:val="22"/>
          <w:lang w:val="es-ES_tradnl"/>
        </w:rPr>
        <w:tab/>
      </w:r>
      <w:r w:rsidRPr="003E0B98">
        <w:rPr>
          <w:b/>
          <w:noProof/>
          <w:color w:val="000000"/>
          <w:lang w:val="es-ES_tradnl"/>
        </w:rPr>
        <w:t>Efectos sobre la capacidad para conducir y utilizar máquinas</w:t>
      </w:r>
    </w:p>
    <w:p w14:paraId="1473301F" w14:textId="77777777" w:rsidR="009C7FF4" w:rsidRPr="003E0B98" w:rsidRDefault="009C7FF4" w:rsidP="004361AC">
      <w:pPr>
        <w:keepNext/>
        <w:tabs>
          <w:tab w:val="clear" w:pos="567"/>
        </w:tabs>
        <w:spacing w:line="240" w:lineRule="auto"/>
        <w:rPr>
          <w:color w:val="000000"/>
          <w:szCs w:val="22"/>
          <w:lang w:val="es-ES_tradnl"/>
        </w:rPr>
      </w:pPr>
    </w:p>
    <w:p w14:paraId="2209C7EA" w14:textId="77777777" w:rsidR="009C7FF4" w:rsidRPr="003E0B98" w:rsidRDefault="00313DAC" w:rsidP="004361AC">
      <w:pPr>
        <w:pStyle w:val="Text"/>
        <w:spacing w:before="0"/>
        <w:jc w:val="left"/>
        <w:rPr>
          <w:color w:val="000000"/>
          <w:sz w:val="22"/>
          <w:szCs w:val="22"/>
          <w:lang w:val="es-ES_tradnl"/>
        </w:rPr>
      </w:pPr>
      <w:r w:rsidRPr="003E0B98">
        <w:rPr>
          <w:rFonts w:eastAsia="MS Mincho"/>
          <w:color w:val="000000"/>
          <w:sz w:val="22"/>
          <w:szCs w:val="22"/>
          <w:lang w:val="es-ES_tradnl" w:eastAsia="ja-JP"/>
        </w:rPr>
        <w:t>La forma de administrar este</w:t>
      </w:r>
      <w:r w:rsidR="009C7FF4" w:rsidRPr="003E0B98">
        <w:rPr>
          <w:rFonts w:eastAsia="MS Mincho"/>
          <w:color w:val="000000"/>
          <w:sz w:val="22"/>
          <w:szCs w:val="22"/>
          <w:lang w:val="es-ES_tradnl" w:eastAsia="ja-JP"/>
        </w:rPr>
        <w:t xml:space="preserve"> tratamiento puede producir alteraciones visuales transitorias, que pueden afectar la capacidad para conducir o utilizar máquinas (ver sección 4.8). Los pacientes que experimenten estos signos no deben conducir ni utilizar máquinas hasta que dichas alteraciones visuales transitorias remitan.</w:t>
      </w:r>
    </w:p>
    <w:p w14:paraId="6C472DC1" w14:textId="77777777" w:rsidR="009C7FF4" w:rsidRPr="003E0B98" w:rsidRDefault="009C7FF4" w:rsidP="004361AC">
      <w:pPr>
        <w:tabs>
          <w:tab w:val="clear" w:pos="567"/>
        </w:tabs>
        <w:spacing w:line="240" w:lineRule="auto"/>
        <w:rPr>
          <w:color w:val="000000"/>
          <w:szCs w:val="22"/>
          <w:lang w:val="es-ES_tradnl"/>
        </w:rPr>
      </w:pPr>
    </w:p>
    <w:p w14:paraId="01B3257A" w14:textId="77777777" w:rsidR="009C7FF4" w:rsidRPr="003E0B98" w:rsidRDefault="009C7FF4" w:rsidP="004361AC">
      <w:pPr>
        <w:keepNext/>
        <w:tabs>
          <w:tab w:val="clear" w:pos="567"/>
        </w:tabs>
        <w:spacing w:line="240" w:lineRule="auto"/>
        <w:rPr>
          <w:b/>
          <w:color w:val="000000"/>
          <w:szCs w:val="22"/>
          <w:lang w:val="es-ES_tradnl"/>
        </w:rPr>
      </w:pPr>
      <w:r w:rsidRPr="003E0B98">
        <w:rPr>
          <w:b/>
          <w:color w:val="000000"/>
          <w:szCs w:val="22"/>
          <w:lang w:val="es-ES"/>
        </w:rPr>
        <w:t>4.8</w:t>
      </w:r>
      <w:r w:rsidRPr="003E0B98">
        <w:rPr>
          <w:b/>
          <w:color w:val="000000"/>
          <w:szCs w:val="22"/>
          <w:lang w:val="es-ES"/>
        </w:rPr>
        <w:tab/>
        <w:t>Reacciones adversas</w:t>
      </w:r>
    </w:p>
    <w:p w14:paraId="50B15D36" w14:textId="77777777" w:rsidR="009C7FF4" w:rsidRPr="003E0B98" w:rsidRDefault="009C7FF4" w:rsidP="004361AC">
      <w:pPr>
        <w:keepNext/>
        <w:tabs>
          <w:tab w:val="clear" w:pos="567"/>
        </w:tabs>
        <w:spacing w:line="240" w:lineRule="auto"/>
        <w:rPr>
          <w:color w:val="000000"/>
          <w:szCs w:val="22"/>
          <w:lang w:val="es-ES_tradnl"/>
        </w:rPr>
      </w:pPr>
    </w:p>
    <w:p w14:paraId="3F51BAAF" w14:textId="77777777" w:rsidR="009C7FF4" w:rsidRPr="003E0B98" w:rsidRDefault="009C7FF4" w:rsidP="004361AC">
      <w:pPr>
        <w:keepNext/>
        <w:tabs>
          <w:tab w:val="clear" w:pos="567"/>
        </w:tabs>
        <w:spacing w:line="240" w:lineRule="auto"/>
        <w:rPr>
          <w:color w:val="000000"/>
          <w:szCs w:val="22"/>
          <w:u w:val="single"/>
          <w:lang w:val="es-ES_tradnl"/>
        </w:rPr>
      </w:pPr>
      <w:r w:rsidRPr="003E0B98">
        <w:rPr>
          <w:color w:val="000000"/>
          <w:szCs w:val="22"/>
          <w:u w:val="single"/>
          <w:lang w:val="es-ES_tradnl"/>
        </w:rPr>
        <w:t>Resumen del perfil de seguridad</w:t>
      </w:r>
    </w:p>
    <w:p w14:paraId="3D73A2CB" w14:textId="77777777" w:rsidR="00313DAC" w:rsidRPr="003E0B98" w:rsidRDefault="00313DAC" w:rsidP="004361AC">
      <w:pPr>
        <w:keepNext/>
        <w:tabs>
          <w:tab w:val="clear" w:pos="567"/>
        </w:tabs>
        <w:spacing w:line="240" w:lineRule="auto"/>
        <w:rPr>
          <w:color w:val="000000"/>
          <w:szCs w:val="22"/>
          <w:lang w:val="es-ES_tradnl"/>
        </w:rPr>
      </w:pPr>
    </w:p>
    <w:p w14:paraId="183909B5" w14:textId="77777777" w:rsidR="009C7FF4" w:rsidRPr="003E0B98" w:rsidRDefault="009C7FF4" w:rsidP="004361AC">
      <w:pPr>
        <w:tabs>
          <w:tab w:val="clear" w:pos="567"/>
        </w:tabs>
        <w:spacing w:line="240" w:lineRule="auto"/>
        <w:rPr>
          <w:color w:val="000000"/>
          <w:szCs w:val="22"/>
          <w:lang w:val="es-ES_tradnl"/>
        </w:rPr>
      </w:pPr>
      <w:r w:rsidRPr="003E0B98">
        <w:rPr>
          <w:color w:val="000000"/>
          <w:szCs w:val="22"/>
          <w:lang w:val="es-ES_tradnl"/>
        </w:rPr>
        <w:t xml:space="preserve">La mayoría de las reacciones adversas notificadas tras la administración de </w:t>
      </w:r>
      <w:proofErr w:type="spellStart"/>
      <w:r w:rsidRPr="003E0B98">
        <w:rPr>
          <w:color w:val="000000"/>
          <w:szCs w:val="22"/>
          <w:lang w:val="es-ES_tradnl"/>
        </w:rPr>
        <w:t>Lucentis</w:t>
      </w:r>
      <w:proofErr w:type="spellEnd"/>
      <w:r w:rsidRPr="003E0B98">
        <w:rPr>
          <w:color w:val="000000"/>
          <w:szCs w:val="22"/>
          <w:lang w:val="es-ES_tradnl"/>
        </w:rPr>
        <w:t xml:space="preserve"> están relacionadas con el procedimiento de inyección intravítrea.</w:t>
      </w:r>
    </w:p>
    <w:p w14:paraId="5F3634ED" w14:textId="77777777" w:rsidR="009C7FF4" w:rsidRPr="003E0B98" w:rsidRDefault="009C7FF4" w:rsidP="004361AC">
      <w:pPr>
        <w:tabs>
          <w:tab w:val="clear" w:pos="567"/>
        </w:tabs>
        <w:spacing w:line="240" w:lineRule="auto"/>
        <w:rPr>
          <w:color w:val="000000"/>
          <w:szCs w:val="22"/>
          <w:lang w:val="es-ES_tradnl"/>
        </w:rPr>
      </w:pPr>
    </w:p>
    <w:p w14:paraId="3D994F93" w14:textId="77777777" w:rsidR="009C7FF4" w:rsidRPr="003E0B98" w:rsidRDefault="009C7FF4" w:rsidP="004361AC">
      <w:pPr>
        <w:tabs>
          <w:tab w:val="clear" w:pos="567"/>
        </w:tabs>
        <w:spacing w:line="240" w:lineRule="auto"/>
        <w:rPr>
          <w:color w:val="000000"/>
          <w:szCs w:val="22"/>
          <w:lang w:val="es-ES_tradnl"/>
        </w:rPr>
      </w:pPr>
      <w:r w:rsidRPr="003E0B98">
        <w:rPr>
          <w:color w:val="000000"/>
          <w:szCs w:val="22"/>
          <w:lang w:val="es-ES_tradnl"/>
        </w:rPr>
        <w:t xml:space="preserve">Las reacciones adversas oculares tras la inyección de </w:t>
      </w:r>
      <w:proofErr w:type="spellStart"/>
      <w:r w:rsidRPr="003E0B98">
        <w:rPr>
          <w:color w:val="000000"/>
          <w:szCs w:val="22"/>
          <w:lang w:val="es-ES_tradnl"/>
        </w:rPr>
        <w:t>Lucentis</w:t>
      </w:r>
      <w:proofErr w:type="spellEnd"/>
      <w:r w:rsidRPr="003E0B98">
        <w:rPr>
          <w:color w:val="000000"/>
          <w:szCs w:val="22"/>
          <w:lang w:val="es-ES_tradnl"/>
        </w:rPr>
        <w:t xml:space="preserve"> notificadas más frecuentemente son: dolor ocular, hiperemia ocular, aumento de la presión intraocular, </w:t>
      </w:r>
      <w:proofErr w:type="spellStart"/>
      <w:r w:rsidRPr="003E0B98">
        <w:rPr>
          <w:color w:val="000000"/>
          <w:szCs w:val="22"/>
          <w:lang w:val="es-ES_tradnl"/>
        </w:rPr>
        <w:t>vitritis</w:t>
      </w:r>
      <w:proofErr w:type="spellEnd"/>
      <w:r w:rsidRPr="003E0B98">
        <w:rPr>
          <w:color w:val="000000"/>
          <w:szCs w:val="22"/>
          <w:lang w:val="es-ES_tradnl"/>
        </w:rPr>
        <w:t>, desprendimiento de vítreo, hemorragia retiniana, alteración visual, partículas flotantes en el vítreo, hemorragia conjuntival, irritación ocular, sensación de cuerpo extraño en los ojos, aumento del lagrimeo, blefaritis, ojo seco, y prurito ocular.</w:t>
      </w:r>
    </w:p>
    <w:p w14:paraId="3D8E8E53" w14:textId="77777777" w:rsidR="00313DAC" w:rsidRPr="003E0B98" w:rsidRDefault="00313DAC" w:rsidP="004361AC">
      <w:pPr>
        <w:tabs>
          <w:tab w:val="clear" w:pos="567"/>
        </w:tabs>
        <w:spacing w:line="240" w:lineRule="auto"/>
        <w:rPr>
          <w:color w:val="000000"/>
          <w:szCs w:val="22"/>
          <w:lang w:val="es-ES_tradnl"/>
        </w:rPr>
      </w:pPr>
    </w:p>
    <w:p w14:paraId="20F6CA6A" w14:textId="77777777" w:rsidR="009C7FF4" w:rsidRPr="003E0B98" w:rsidRDefault="009C7FF4" w:rsidP="004361AC">
      <w:pPr>
        <w:tabs>
          <w:tab w:val="clear" w:pos="567"/>
        </w:tabs>
        <w:spacing w:line="240" w:lineRule="auto"/>
        <w:rPr>
          <w:color w:val="000000"/>
          <w:szCs w:val="22"/>
          <w:lang w:val="es-ES_tradnl"/>
        </w:rPr>
      </w:pPr>
      <w:r w:rsidRPr="003E0B98">
        <w:rPr>
          <w:color w:val="000000"/>
          <w:szCs w:val="22"/>
          <w:lang w:val="es-ES_tradnl"/>
        </w:rPr>
        <w:t>Las reacciones adversas no oculares notificadas más frecuentemente son cefalea, nasofaringitis y artralgia.</w:t>
      </w:r>
    </w:p>
    <w:p w14:paraId="36C00A31" w14:textId="77777777" w:rsidR="009C7FF4" w:rsidRPr="003E0B98" w:rsidRDefault="009C7FF4" w:rsidP="004361AC">
      <w:pPr>
        <w:pStyle w:val="Text"/>
        <w:tabs>
          <w:tab w:val="left" w:pos="996"/>
        </w:tabs>
        <w:spacing w:before="0"/>
        <w:jc w:val="left"/>
        <w:rPr>
          <w:color w:val="000000"/>
          <w:sz w:val="22"/>
          <w:szCs w:val="22"/>
          <w:lang w:val="es-ES_tradnl"/>
        </w:rPr>
      </w:pPr>
    </w:p>
    <w:p w14:paraId="0053D0CC" w14:textId="77777777" w:rsidR="009C7FF4" w:rsidRPr="003E0B98" w:rsidRDefault="009C7FF4" w:rsidP="004361AC">
      <w:pPr>
        <w:pStyle w:val="Text"/>
        <w:spacing w:before="0"/>
        <w:jc w:val="left"/>
        <w:rPr>
          <w:color w:val="000000"/>
          <w:sz w:val="22"/>
          <w:szCs w:val="22"/>
          <w:lang w:val="es-ES_tradnl"/>
        </w:rPr>
      </w:pPr>
      <w:r w:rsidRPr="003E0B98">
        <w:rPr>
          <w:color w:val="000000"/>
          <w:sz w:val="22"/>
          <w:szCs w:val="22"/>
          <w:lang w:val="es-ES_tradnl"/>
        </w:rPr>
        <w:t xml:space="preserve">Las reacciones adversas notificadas con menor frecuencia, pero de mayor gravedad, incluyen </w:t>
      </w:r>
      <w:proofErr w:type="spellStart"/>
      <w:r w:rsidRPr="003E0B98">
        <w:rPr>
          <w:color w:val="000000"/>
          <w:sz w:val="22"/>
          <w:szCs w:val="22"/>
          <w:lang w:val="es-ES"/>
        </w:rPr>
        <w:t>endoftalmitis</w:t>
      </w:r>
      <w:proofErr w:type="spellEnd"/>
      <w:r w:rsidRPr="003E0B98">
        <w:rPr>
          <w:color w:val="000000"/>
          <w:sz w:val="22"/>
          <w:szCs w:val="22"/>
          <w:lang w:val="es-ES"/>
        </w:rPr>
        <w:t>, ceguera, desprendimiento de retina, desgarro retiniano y catarata traumática iatrogénica</w:t>
      </w:r>
      <w:r w:rsidRPr="003E0B98">
        <w:rPr>
          <w:color w:val="000000"/>
          <w:sz w:val="22"/>
          <w:szCs w:val="22"/>
          <w:lang w:val="es-ES_tradnl"/>
        </w:rPr>
        <w:t xml:space="preserve"> (ver sección 4.4).</w:t>
      </w:r>
    </w:p>
    <w:p w14:paraId="2A7DD12A" w14:textId="77777777" w:rsidR="009C7FF4" w:rsidRPr="003E0B98" w:rsidRDefault="009C7FF4" w:rsidP="004361AC">
      <w:pPr>
        <w:pStyle w:val="Text"/>
        <w:spacing w:before="0"/>
        <w:jc w:val="left"/>
        <w:rPr>
          <w:color w:val="000000"/>
          <w:sz w:val="22"/>
          <w:szCs w:val="22"/>
          <w:lang w:val="es-ES_tradnl"/>
        </w:rPr>
      </w:pPr>
    </w:p>
    <w:p w14:paraId="37CE14CC" w14:textId="0B277113" w:rsidR="009C7FF4" w:rsidRPr="003E0B98" w:rsidRDefault="009C7FF4" w:rsidP="004361AC">
      <w:pPr>
        <w:pStyle w:val="Text"/>
        <w:spacing w:before="0"/>
        <w:jc w:val="left"/>
        <w:rPr>
          <w:color w:val="000000"/>
          <w:sz w:val="22"/>
          <w:szCs w:val="22"/>
          <w:lang w:val="es-ES_tradnl"/>
        </w:rPr>
      </w:pPr>
      <w:r w:rsidRPr="003E0B98">
        <w:rPr>
          <w:color w:val="000000"/>
          <w:sz w:val="22"/>
          <w:szCs w:val="22"/>
          <w:lang w:val="es-ES_tradnl"/>
        </w:rPr>
        <w:t xml:space="preserve">En la siguiente tabla se resumen las reacciones adversas ocurridas tras la administración de </w:t>
      </w:r>
      <w:proofErr w:type="spellStart"/>
      <w:r w:rsidRPr="003E0B98">
        <w:rPr>
          <w:color w:val="000000"/>
          <w:sz w:val="22"/>
          <w:szCs w:val="22"/>
          <w:lang w:val="es-ES_tradnl"/>
        </w:rPr>
        <w:t>Lucentis</w:t>
      </w:r>
      <w:proofErr w:type="spellEnd"/>
      <w:r w:rsidRPr="003E0B98">
        <w:rPr>
          <w:color w:val="000000"/>
          <w:sz w:val="22"/>
          <w:szCs w:val="22"/>
          <w:lang w:val="es-ES_tradnl"/>
        </w:rPr>
        <w:t xml:space="preserve"> en los </w:t>
      </w:r>
      <w:r w:rsidR="00784C67">
        <w:rPr>
          <w:color w:val="000000"/>
          <w:sz w:val="22"/>
          <w:szCs w:val="22"/>
          <w:lang w:val="es-ES_tradnl"/>
        </w:rPr>
        <w:t>estudios</w:t>
      </w:r>
      <w:r w:rsidR="00784C67" w:rsidRPr="003E0B98">
        <w:rPr>
          <w:color w:val="000000"/>
          <w:sz w:val="22"/>
          <w:szCs w:val="22"/>
          <w:lang w:val="es-ES_tradnl"/>
        </w:rPr>
        <w:t xml:space="preserve"> </w:t>
      </w:r>
      <w:r w:rsidRPr="003E0B98">
        <w:rPr>
          <w:color w:val="000000"/>
          <w:sz w:val="22"/>
          <w:szCs w:val="22"/>
          <w:lang w:val="es-ES_tradnl"/>
        </w:rPr>
        <w:t>clínicos.</w:t>
      </w:r>
    </w:p>
    <w:p w14:paraId="7800A47B" w14:textId="77777777" w:rsidR="009C7FF4" w:rsidRPr="003E0B98" w:rsidRDefault="009C7FF4" w:rsidP="004361AC">
      <w:pPr>
        <w:tabs>
          <w:tab w:val="clear" w:pos="567"/>
        </w:tabs>
        <w:spacing w:line="240" w:lineRule="auto"/>
        <w:rPr>
          <w:color w:val="000000"/>
          <w:szCs w:val="22"/>
          <w:lang w:val="es-ES_tradnl"/>
        </w:rPr>
      </w:pPr>
    </w:p>
    <w:p w14:paraId="4BB302BC" w14:textId="77777777" w:rsidR="009C7FF4" w:rsidRPr="003E0B98" w:rsidRDefault="009C7FF4" w:rsidP="004361AC">
      <w:pPr>
        <w:keepNext/>
        <w:tabs>
          <w:tab w:val="clear" w:pos="567"/>
        </w:tabs>
        <w:spacing w:line="240" w:lineRule="auto"/>
        <w:rPr>
          <w:color w:val="000000"/>
          <w:szCs w:val="22"/>
          <w:u w:val="single"/>
          <w:lang w:val="es-ES_tradnl"/>
        </w:rPr>
      </w:pPr>
      <w:r w:rsidRPr="003E0B98">
        <w:rPr>
          <w:color w:val="000000"/>
          <w:szCs w:val="22"/>
          <w:u w:val="single"/>
          <w:lang w:val="es-ES_tradnl"/>
        </w:rPr>
        <w:t>Tabla de reacciones adversas</w:t>
      </w:r>
      <w:r w:rsidRPr="003E0B98">
        <w:rPr>
          <w:color w:val="000000"/>
          <w:szCs w:val="22"/>
          <w:u w:val="single"/>
          <w:vertAlign w:val="superscript"/>
          <w:lang w:val="es-ES_tradnl"/>
        </w:rPr>
        <w:t>#</w:t>
      </w:r>
    </w:p>
    <w:p w14:paraId="2D7CD079" w14:textId="77777777" w:rsidR="00313DAC" w:rsidRPr="003E0B98" w:rsidRDefault="00313DAC" w:rsidP="004361AC">
      <w:pPr>
        <w:keepNext/>
        <w:tabs>
          <w:tab w:val="clear" w:pos="567"/>
        </w:tabs>
        <w:spacing w:line="240" w:lineRule="auto"/>
        <w:rPr>
          <w:color w:val="000000"/>
          <w:szCs w:val="22"/>
          <w:lang w:val="es-ES_tradnl"/>
        </w:rPr>
      </w:pPr>
    </w:p>
    <w:p w14:paraId="28567432" w14:textId="77777777" w:rsidR="009C7FF4" w:rsidRPr="003E0B98" w:rsidRDefault="009C7FF4" w:rsidP="004361AC">
      <w:pPr>
        <w:tabs>
          <w:tab w:val="clear" w:pos="567"/>
        </w:tabs>
        <w:spacing w:line="240" w:lineRule="auto"/>
        <w:rPr>
          <w:color w:val="000000"/>
          <w:szCs w:val="22"/>
          <w:lang w:val="es-ES_tradnl"/>
        </w:rPr>
      </w:pPr>
      <w:r w:rsidRPr="003E0B98">
        <w:rPr>
          <w:color w:val="000000"/>
          <w:szCs w:val="22"/>
          <w:lang w:val="es-ES_tradnl"/>
        </w:rPr>
        <w:t>Las reacciones adversas se listan con un sistema de clasificación de órganos y</w:t>
      </w:r>
      <w:r w:rsidRPr="003E0B98">
        <w:rPr>
          <w:color w:val="000000"/>
          <w:szCs w:val="22"/>
          <w:lang w:val="es-ES"/>
        </w:rPr>
        <w:t xml:space="preserve"> frecuencia usando el siguiente criterio:</w:t>
      </w:r>
      <w:r w:rsidRPr="003E0B98">
        <w:rPr>
          <w:color w:val="000000"/>
          <w:szCs w:val="22"/>
          <w:lang w:val="es-ES_tradnl"/>
        </w:rPr>
        <w:t xml:space="preserve"> </w:t>
      </w:r>
      <w:r w:rsidRPr="003E0B98">
        <w:rPr>
          <w:color w:val="000000"/>
          <w:szCs w:val="22"/>
          <w:lang w:val="es-ES"/>
        </w:rPr>
        <w:t xml:space="preserve">muy frecuentes </w:t>
      </w:r>
      <w:r w:rsidRPr="003E0B98">
        <w:rPr>
          <w:color w:val="000000"/>
          <w:szCs w:val="22"/>
          <w:lang w:val="es-ES_tradnl"/>
        </w:rPr>
        <w:t xml:space="preserve">(≥1/10), </w:t>
      </w:r>
      <w:r w:rsidRPr="003E0B98">
        <w:rPr>
          <w:color w:val="000000"/>
          <w:szCs w:val="22"/>
          <w:lang w:val="es-ES"/>
        </w:rPr>
        <w:t xml:space="preserve">frecuentes </w:t>
      </w:r>
      <w:r w:rsidRPr="003E0B98">
        <w:rPr>
          <w:color w:val="000000"/>
          <w:szCs w:val="22"/>
          <w:lang w:val="es-ES_tradnl"/>
        </w:rPr>
        <w:t xml:space="preserve">(≥1/100 a &lt;1/10), poco </w:t>
      </w:r>
      <w:r w:rsidRPr="003E0B98">
        <w:rPr>
          <w:color w:val="000000"/>
          <w:szCs w:val="22"/>
          <w:lang w:val="es-ES"/>
        </w:rPr>
        <w:t>frecuentes</w:t>
      </w:r>
      <w:r w:rsidRPr="003E0B98">
        <w:rPr>
          <w:color w:val="000000"/>
          <w:szCs w:val="22"/>
          <w:lang w:val="es-ES_tradnl"/>
        </w:rPr>
        <w:t xml:space="preserve"> (≥1/1.000 a &lt;1/100), raras (≥1/10.000 a &lt;1/1.000), muy raras (&lt;1/10.000), frecuencia no conocida (no puede estimarse a partir de los datos disponibles). Las reacciones adversas se enumeran en orden decreciente de gravedad dentro de cada intervalo frecuencia.</w:t>
      </w:r>
    </w:p>
    <w:p w14:paraId="17B46B86" w14:textId="77777777" w:rsidR="009C7FF4" w:rsidRPr="003E0B98" w:rsidRDefault="009C7FF4" w:rsidP="004361AC">
      <w:pPr>
        <w:tabs>
          <w:tab w:val="clear" w:pos="567"/>
        </w:tabs>
        <w:spacing w:line="240" w:lineRule="auto"/>
        <w:rPr>
          <w:color w:val="000000"/>
          <w:szCs w:val="22"/>
          <w:lang w:val="es-ES_tradnl"/>
        </w:rPr>
      </w:pPr>
    </w:p>
    <w:tbl>
      <w:tblPr>
        <w:tblW w:w="9356" w:type="dxa"/>
        <w:tblInd w:w="-34" w:type="dxa"/>
        <w:tblLook w:val="01E0" w:firstRow="1" w:lastRow="1" w:firstColumn="1" w:lastColumn="1" w:noHBand="0" w:noVBand="0"/>
      </w:tblPr>
      <w:tblGrid>
        <w:gridCol w:w="3261"/>
        <w:gridCol w:w="6095"/>
      </w:tblGrid>
      <w:tr w:rsidR="009C7FF4" w:rsidRPr="003E0B98" w14:paraId="38D28316" w14:textId="77777777" w:rsidTr="00942F06">
        <w:tc>
          <w:tcPr>
            <w:tcW w:w="3261" w:type="dxa"/>
          </w:tcPr>
          <w:p w14:paraId="7F8DA07C" w14:textId="77777777" w:rsidR="009C7FF4" w:rsidRPr="003E0B98" w:rsidRDefault="009C7FF4" w:rsidP="004361AC">
            <w:pPr>
              <w:keepNext/>
              <w:spacing w:line="240" w:lineRule="auto"/>
              <w:rPr>
                <w:color w:val="000000"/>
                <w:szCs w:val="22"/>
              </w:rPr>
            </w:pPr>
            <w:proofErr w:type="spellStart"/>
            <w:r w:rsidRPr="003E0B98">
              <w:rPr>
                <w:color w:val="000000"/>
                <w:szCs w:val="22"/>
              </w:rPr>
              <w:t>Infecciones</w:t>
            </w:r>
            <w:proofErr w:type="spellEnd"/>
            <w:r w:rsidRPr="003E0B98">
              <w:rPr>
                <w:color w:val="000000"/>
                <w:szCs w:val="22"/>
              </w:rPr>
              <w:t xml:space="preserve"> e </w:t>
            </w:r>
            <w:proofErr w:type="spellStart"/>
            <w:r w:rsidRPr="003E0B98">
              <w:rPr>
                <w:color w:val="000000"/>
                <w:szCs w:val="22"/>
              </w:rPr>
              <w:t>infestaciones</w:t>
            </w:r>
            <w:proofErr w:type="spellEnd"/>
          </w:p>
        </w:tc>
        <w:tc>
          <w:tcPr>
            <w:tcW w:w="6095" w:type="dxa"/>
          </w:tcPr>
          <w:p w14:paraId="7752A6B6" w14:textId="77777777" w:rsidR="009C7FF4" w:rsidRPr="003E0B98" w:rsidRDefault="009C7FF4" w:rsidP="004361AC">
            <w:pPr>
              <w:keepNext/>
              <w:spacing w:line="240" w:lineRule="auto"/>
              <w:rPr>
                <w:color w:val="000000"/>
                <w:szCs w:val="22"/>
              </w:rPr>
            </w:pPr>
          </w:p>
        </w:tc>
      </w:tr>
      <w:tr w:rsidR="009C7FF4" w:rsidRPr="003E0B98" w14:paraId="05768C76" w14:textId="77777777" w:rsidTr="00942F06">
        <w:tc>
          <w:tcPr>
            <w:tcW w:w="3261" w:type="dxa"/>
          </w:tcPr>
          <w:p w14:paraId="7EFBBD47" w14:textId="77777777" w:rsidR="009C7FF4" w:rsidRPr="003E0B98" w:rsidRDefault="009C7FF4" w:rsidP="004361AC">
            <w:pPr>
              <w:keepNext/>
              <w:spacing w:line="240" w:lineRule="auto"/>
              <w:rPr>
                <w:i/>
                <w:color w:val="000000"/>
                <w:szCs w:val="22"/>
              </w:rPr>
            </w:pPr>
            <w:r w:rsidRPr="003E0B98">
              <w:rPr>
                <w:i/>
                <w:color w:val="000000"/>
                <w:szCs w:val="22"/>
                <w:lang w:val="es-ES"/>
              </w:rPr>
              <w:t>Muy frecuentes</w:t>
            </w:r>
          </w:p>
        </w:tc>
        <w:tc>
          <w:tcPr>
            <w:tcW w:w="6095" w:type="dxa"/>
          </w:tcPr>
          <w:p w14:paraId="1A994847" w14:textId="77777777" w:rsidR="009C7FF4" w:rsidRPr="003E0B98" w:rsidRDefault="009C7FF4" w:rsidP="004361AC">
            <w:pPr>
              <w:keepNext/>
              <w:spacing w:line="240" w:lineRule="auto"/>
              <w:rPr>
                <w:color w:val="000000"/>
                <w:szCs w:val="22"/>
                <w:lang w:val="es-ES_tradnl"/>
              </w:rPr>
            </w:pPr>
            <w:proofErr w:type="spellStart"/>
            <w:r w:rsidRPr="003E0B98">
              <w:rPr>
                <w:color w:val="000000"/>
                <w:szCs w:val="22"/>
              </w:rPr>
              <w:t>Nasofaringitis</w:t>
            </w:r>
            <w:proofErr w:type="spellEnd"/>
          </w:p>
        </w:tc>
      </w:tr>
      <w:tr w:rsidR="009C7FF4" w:rsidRPr="003C169A" w14:paraId="6B41C3A2" w14:textId="77777777" w:rsidTr="00942F06">
        <w:tc>
          <w:tcPr>
            <w:tcW w:w="3261" w:type="dxa"/>
          </w:tcPr>
          <w:p w14:paraId="2FF734FA" w14:textId="77777777" w:rsidR="009C7FF4" w:rsidRPr="003E0B98" w:rsidRDefault="009C7FF4" w:rsidP="004361AC">
            <w:pPr>
              <w:rPr>
                <w:i/>
                <w:color w:val="000000"/>
                <w:szCs w:val="22"/>
                <w:lang w:val="es-ES_tradnl"/>
              </w:rPr>
            </w:pPr>
            <w:r w:rsidRPr="003E0B98">
              <w:rPr>
                <w:i/>
                <w:color w:val="000000"/>
                <w:szCs w:val="22"/>
                <w:lang w:val="es-ES"/>
              </w:rPr>
              <w:t>Frecuentes</w:t>
            </w:r>
          </w:p>
        </w:tc>
        <w:tc>
          <w:tcPr>
            <w:tcW w:w="6095" w:type="dxa"/>
          </w:tcPr>
          <w:p w14:paraId="39B837CF" w14:textId="77777777" w:rsidR="009C7FF4" w:rsidRPr="003E0B98" w:rsidRDefault="009C7FF4" w:rsidP="004361AC">
            <w:pPr>
              <w:rPr>
                <w:color w:val="000000"/>
                <w:szCs w:val="22"/>
                <w:lang w:val="es-ES_tradnl"/>
              </w:rPr>
            </w:pPr>
            <w:r w:rsidRPr="003E0B98">
              <w:rPr>
                <w:color w:val="000000"/>
                <w:szCs w:val="22"/>
                <w:lang w:val="es-ES_tradnl"/>
              </w:rPr>
              <w:t>Infección de las vías urinarias*</w:t>
            </w:r>
          </w:p>
        </w:tc>
      </w:tr>
      <w:tr w:rsidR="009C7FF4" w:rsidRPr="003C169A" w14:paraId="34ED810A" w14:textId="77777777" w:rsidTr="00942F06">
        <w:tc>
          <w:tcPr>
            <w:tcW w:w="3261" w:type="dxa"/>
          </w:tcPr>
          <w:p w14:paraId="54FB09F9" w14:textId="77777777" w:rsidR="009C7FF4" w:rsidRPr="003E0B98" w:rsidRDefault="009C7FF4" w:rsidP="004361AC">
            <w:pPr>
              <w:rPr>
                <w:i/>
                <w:color w:val="000000"/>
                <w:szCs w:val="22"/>
                <w:lang w:val="es-ES_tradnl"/>
              </w:rPr>
            </w:pPr>
          </w:p>
        </w:tc>
        <w:tc>
          <w:tcPr>
            <w:tcW w:w="6095" w:type="dxa"/>
          </w:tcPr>
          <w:p w14:paraId="3DBA737E" w14:textId="77777777" w:rsidR="009C7FF4" w:rsidRPr="003E0B98" w:rsidRDefault="009C7FF4" w:rsidP="004361AC">
            <w:pPr>
              <w:rPr>
                <w:color w:val="000000"/>
                <w:szCs w:val="22"/>
                <w:lang w:val="es-ES_tradnl"/>
              </w:rPr>
            </w:pPr>
          </w:p>
        </w:tc>
      </w:tr>
      <w:tr w:rsidR="009C7FF4" w:rsidRPr="003C169A" w14:paraId="361A5371" w14:textId="77777777" w:rsidTr="00942F06">
        <w:tc>
          <w:tcPr>
            <w:tcW w:w="9356" w:type="dxa"/>
            <w:gridSpan w:val="2"/>
          </w:tcPr>
          <w:p w14:paraId="167C356D" w14:textId="77777777" w:rsidR="009C7FF4" w:rsidRPr="003E0B98" w:rsidRDefault="009C7FF4" w:rsidP="004361AC">
            <w:pPr>
              <w:pStyle w:val="Text"/>
              <w:keepNext/>
              <w:spacing w:before="0"/>
              <w:jc w:val="left"/>
              <w:rPr>
                <w:color w:val="000000"/>
                <w:sz w:val="22"/>
                <w:szCs w:val="22"/>
                <w:lang w:val="es-ES_tradnl" w:eastAsia="en-US"/>
              </w:rPr>
            </w:pPr>
            <w:r w:rsidRPr="003E0B98">
              <w:rPr>
                <w:bCs/>
                <w:color w:val="000000"/>
                <w:sz w:val="22"/>
                <w:szCs w:val="22"/>
                <w:lang w:val="es-ES_tradnl" w:eastAsia="en-US"/>
              </w:rPr>
              <w:t>Trastornos de la sangre y del sistema linfático</w:t>
            </w:r>
          </w:p>
        </w:tc>
      </w:tr>
      <w:tr w:rsidR="009C7FF4" w:rsidRPr="003E0B98" w14:paraId="7C7BAF50" w14:textId="77777777" w:rsidTr="00942F06">
        <w:tc>
          <w:tcPr>
            <w:tcW w:w="3261" w:type="dxa"/>
          </w:tcPr>
          <w:p w14:paraId="2AFFDC69" w14:textId="77777777" w:rsidR="009C7FF4" w:rsidRPr="003E0B98" w:rsidRDefault="009C7FF4" w:rsidP="004361AC">
            <w:pPr>
              <w:pStyle w:val="Text"/>
              <w:spacing w:before="0"/>
              <w:jc w:val="left"/>
              <w:rPr>
                <w:bCs/>
                <w:i/>
                <w:iCs/>
                <w:color w:val="000000"/>
                <w:sz w:val="22"/>
                <w:szCs w:val="22"/>
                <w:lang w:val="en-GB" w:eastAsia="en-US"/>
              </w:rPr>
            </w:pPr>
            <w:r w:rsidRPr="003E0B98">
              <w:rPr>
                <w:i/>
                <w:color w:val="000000"/>
                <w:sz w:val="22"/>
                <w:szCs w:val="22"/>
                <w:lang w:val="es-ES" w:eastAsia="en-US"/>
              </w:rPr>
              <w:t>Frecuentes</w:t>
            </w:r>
          </w:p>
        </w:tc>
        <w:tc>
          <w:tcPr>
            <w:tcW w:w="6095" w:type="dxa"/>
          </w:tcPr>
          <w:p w14:paraId="34B77120" w14:textId="77777777" w:rsidR="009C7FF4" w:rsidRPr="003E0B98" w:rsidRDefault="009C7FF4" w:rsidP="004361AC">
            <w:pPr>
              <w:pStyle w:val="Text"/>
              <w:spacing w:before="0"/>
              <w:jc w:val="left"/>
              <w:rPr>
                <w:color w:val="000000"/>
                <w:sz w:val="22"/>
                <w:szCs w:val="22"/>
                <w:lang w:val="en-GB" w:eastAsia="en-US"/>
              </w:rPr>
            </w:pPr>
            <w:proofErr w:type="spellStart"/>
            <w:r w:rsidRPr="003E0B98">
              <w:rPr>
                <w:color w:val="000000"/>
                <w:sz w:val="22"/>
                <w:szCs w:val="22"/>
                <w:lang w:val="en-GB" w:eastAsia="en-US"/>
              </w:rPr>
              <w:t>Anemia</w:t>
            </w:r>
            <w:proofErr w:type="spellEnd"/>
          </w:p>
        </w:tc>
      </w:tr>
      <w:tr w:rsidR="009C7FF4" w:rsidRPr="003E0B98" w14:paraId="09948769" w14:textId="77777777" w:rsidTr="00942F06">
        <w:tc>
          <w:tcPr>
            <w:tcW w:w="3261" w:type="dxa"/>
          </w:tcPr>
          <w:p w14:paraId="30019656" w14:textId="77777777" w:rsidR="009C7FF4" w:rsidRPr="003E0B98" w:rsidRDefault="009C7FF4" w:rsidP="004361AC">
            <w:pPr>
              <w:pStyle w:val="Text"/>
              <w:spacing w:before="0"/>
              <w:jc w:val="left"/>
              <w:rPr>
                <w:b/>
                <w:color w:val="000000"/>
                <w:sz w:val="22"/>
                <w:szCs w:val="22"/>
                <w:lang w:val="en-GB" w:eastAsia="en-US"/>
              </w:rPr>
            </w:pPr>
          </w:p>
        </w:tc>
        <w:tc>
          <w:tcPr>
            <w:tcW w:w="6095" w:type="dxa"/>
          </w:tcPr>
          <w:p w14:paraId="47F127E6" w14:textId="77777777" w:rsidR="009C7FF4" w:rsidRPr="003E0B98" w:rsidRDefault="009C7FF4" w:rsidP="004361AC">
            <w:pPr>
              <w:pStyle w:val="Text"/>
              <w:spacing w:before="0"/>
              <w:jc w:val="left"/>
              <w:rPr>
                <w:color w:val="000000"/>
                <w:sz w:val="22"/>
                <w:szCs w:val="22"/>
                <w:lang w:val="en-GB" w:eastAsia="en-US"/>
              </w:rPr>
            </w:pPr>
          </w:p>
        </w:tc>
      </w:tr>
      <w:tr w:rsidR="009C7FF4" w:rsidRPr="003E0B98" w14:paraId="160A971B" w14:textId="77777777" w:rsidTr="00942F06">
        <w:tc>
          <w:tcPr>
            <w:tcW w:w="9356" w:type="dxa"/>
            <w:gridSpan w:val="2"/>
          </w:tcPr>
          <w:p w14:paraId="221B8D5B" w14:textId="77777777" w:rsidR="009C7FF4" w:rsidRPr="003E0B98" w:rsidRDefault="009C7FF4" w:rsidP="004361AC">
            <w:pPr>
              <w:pStyle w:val="Text"/>
              <w:keepNext/>
              <w:spacing w:before="0"/>
              <w:jc w:val="left"/>
              <w:rPr>
                <w:color w:val="000000"/>
                <w:sz w:val="22"/>
                <w:szCs w:val="22"/>
                <w:lang w:val="en-GB" w:eastAsia="en-US"/>
              </w:rPr>
            </w:pPr>
            <w:r w:rsidRPr="003E0B98">
              <w:rPr>
                <w:color w:val="000000"/>
                <w:sz w:val="22"/>
                <w:szCs w:val="22"/>
                <w:lang w:val="es-ES" w:eastAsia="en-US"/>
              </w:rPr>
              <w:t>Trastornos del sistema inmunológico</w:t>
            </w:r>
          </w:p>
        </w:tc>
      </w:tr>
      <w:tr w:rsidR="009C7FF4" w:rsidRPr="003E0B98" w14:paraId="0B8BB5C2" w14:textId="77777777" w:rsidTr="00942F06">
        <w:tc>
          <w:tcPr>
            <w:tcW w:w="3261" w:type="dxa"/>
          </w:tcPr>
          <w:p w14:paraId="2F539F61" w14:textId="77777777" w:rsidR="009C7FF4" w:rsidRPr="003E0B98" w:rsidRDefault="009C7FF4" w:rsidP="004361AC">
            <w:pPr>
              <w:pStyle w:val="Text"/>
              <w:spacing w:before="0"/>
              <w:jc w:val="left"/>
              <w:rPr>
                <w:b/>
                <w:color w:val="000000"/>
                <w:sz w:val="22"/>
                <w:szCs w:val="22"/>
                <w:lang w:val="en-GB" w:eastAsia="en-US"/>
              </w:rPr>
            </w:pPr>
            <w:r w:rsidRPr="003E0B98">
              <w:rPr>
                <w:i/>
                <w:color w:val="000000"/>
                <w:sz w:val="22"/>
                <w:szCs w:val="22"/>
                <w:lang w:val="es-ES" w:eastAsia="en-US"/>
              </w:rPr>
              <w:t>Frecuentes</w:t>
            </w:r>
          </w:p>
        </w:tc>
        <w:tc>
          <w:tcPr>
            <w:tcW w:w="6095" w:type="dxa"/>
          </w:tcPr>
          <w:p w14:paraId="36162B66" w14:textId="77777777" w:rsidR="009C7FF4" w:rsidRPr="003E0B98" w:rsidRDefault="009C7FF4" w:rsidP="004361AC">
            <w:pPr>
              <w:pStyle w:val="Text"/>
              <w:spacing w:before="0"/>
              <w:jc w:val="left"/>
              <w:rPr>
                <w:color w:val="000000"/>
                <w:sz w:val="22"/>
                <w:szCs w:val="22"/>
                <w:lang w:val="en-GB" w:eastAsia="en-US"/>
              </w:rPr>
            </w:pPr>
            <w:proofErr w:type="spellStart"/>
            <w:r w:rsidRPr="003E0B98">
              <w:rPr>
                <w:color w:val="000000"/>
                <w:sz w:val="22"/>
                <w:szCs w:val="22"/>
                <w:lang w:val="en-GB" w:eastAsia="en-US"/>
              </w:rPr>
              <w:t>Hipersensibilidad</w:t>
            </w:r>
            <w:proofErr w:type="spellEnd"/>
          </w:p>
        </w:tc>
      </w:tr>
      <w:tr w:rsidR="009C7FF4" w:rsidRPr="003E0B98" w14:paraId="34D72C3A" w14:textId="77777777" w:rsidTr="00942F06">
        <w:tc>
          <w:tcPr>
            <w:tcW w:w="3261" w:type="dxa"/>
          </w:tcPr>
          <w:p w14:paraId="09C894D1" w14:textId="77777777" w:rsidR="009C7FF4" w:rsidRPr="003E0B98" w:rsidRDefault="009C7FF4" w:rsidP="004361AC">
            <w:pPr>
              <w:pStyle w:val="Text"/>
              <w:spacing w:before="0"/>
              <w:jc w:val="left"/>
              <w:rPr>
                <w:b/>
                <w:color w:val="000000"/>
                <w:sz w:val="22"/>
                <w:szCs w:val="22"/>
                <w:lang w:val="en-GB" w:eastAsia="en-US"/>
              </w:rPr>
            </w:pPr>
          </w:p>
        </w:tc>
        <w:tc>
          <w:tcPr>
            <w:tcW w:w="6095" w:type="dxa"/>
          </w:tcPr>
          <w:p w14:paraId="6F01D862" w14:textId="77777777" w:rsidR="009C7FF4" w:rsidRPr="003E0B98" w:rsidRDefault="009C7FF4" w:rsidP="004361AC">
            <w:pPr>
              <w:pStyle w:val="Text"/>
              <w:spacing w:before="0"/>
              <w:jc w:val="left"/>
              <w:rPr>
                <w:color w:val="000000"/>
                <w:sz w:val="22"/>
                <w:szCs w:val="22"/>
                <w:lang w:val="en-GB" w:eastAsia="en-US"/>
              </w:rPr>
            </w:pPr>
          </w:p>
        </w:tc>
      </w:tr>
      <w:tr w:rsidR="009C7FF4" w:rsidRPr="003E0B98" w14:paraId="0B67425F" w14:textId="77777777" w:rsidTr="00942F06">
        <w:tc>
          <w:tcPr>
            <w:tcW w:w="3261" w:type="dxa"/>
          </w:tcPr>
          <w:p w14:paraId="3DC87407" w14:textId="77777777" w:rsidR="009C7FF4" w:rsidRPr="003E0B98" w:rsidRDefault="009C7FF4" w:rsidP="004361AC">
            <w:pPr>
              <w:pStyle w:val="Text"/>
              <w:keepNext/>
              <w:spacing w:before="0"/>
              <w:jc w:val="left"/>
              <w:rPr>
                <w:color w:val="000000"/>
                <w:sz w:val="22"/>
                <w:szCs w:val="22"/>
                <w:lang w:val="en-GB" w:eastAsia="en-US"/>
              </w:rPr>
            </w:pPr>
            <w:proofErr w:type="spellStart"/>
            <w:r w:rsidRPr="003E0B98">
              <w:rPr>
                <w:color w:val="000000"/>
                <w:sz w:val="22"/>
                <w:szCs w:val="22"/>
                <w:lang w:val="en-GB" w:eastAsia="en-US"/>
              </w:rPr>
              <w:t>Trastornos</w:t>
            </w:r>
            <w:proofErr w:type="spellEnd"/>
            <w:r w:rsidRPr="003E0B98">
              <w:rPr>
                <w:color w:val="000000"/>
                <w:sz w:val="22"/>
                <w:szCs w:val="22"/>
                <w:lang w:val="en-GB" w:eastAsia="en-US"/>
              </w:rPr>
              <w:t xml:space="preserve"> </w:t>
            </w:r>
            <w:proofErr w:type="spellStart"/>
            <w:r w:rsidRPr="003E0B98">
              <w:rPr>
                <w:color w:val="000000"/>
                <w:sz w:val="22"/>
                <w:szCs w:val="22"/>
                <w:lang w:val="en-GB" w:eastAsia="en-US"/>
              </w:rPr>
              <w:t>psiquiátricos</w:t>
            </w:r>
            <w:proofErr w:type="spellEnd"/>
          </w:p>
        </w:tc>
        <w:tc>
          <w:tcPr>
            <w:tcW w:w="6095" w:type="dxa"/>
          </w:tcPr>
          <w:p w14:paraId="4E180AE8" w14:textId="77777777" w:rsidR="009C7FF4" w:rsidRPr="003E0B98" w:rsidRDefault="009C7FF4" w:rsidP="004361AC">
            <w:pPr>
              <w:pStyle w:val="Text"/>
              <w:keepNext/>
              <w:spacing w:before="0"/>
              <w:jc w:val="left"/>
              <w:rPr>
                <w:color w:val="000000"/>
                <w:sz w:val="22"/>
                <w:szCs w:val="22"/>
                <w:lang w:val="en-GB" w:eastAsia="en-US"/>
              </w:rPr>
            </w:pPr>
          </w:p>
        </w:tc>
      </w:tr>
      <w:tr w:rsidR="009C7FF4" w:rsidRPr="003E0B98" w14:paraId="69C81A49" w14:textId="77777777" w:rsidTr="00942F06">
        <w:tc>
          <w:tcPr>
            <w:tcW w:w="3261" w:type="dxa"/>
          </w:tcPr>
          <w:p w14:paraId="1369F30F" w14:textId="77777777" w:rsidR="009C7FF4" w:rsidRPr="003E0B98" w:rsidRDefault="009C7FF4" w:rsidP="004361AC">
            <w:pPr>
              <w:pStyle w:val="Text"/>
              <w:spacing w:before="0"/>
              <w:jc w:val="left"/>
              <w:rPr>
                <w:b/>
                <w:color w:val="000000"/>
                <w:sz w:val="22"/>
                <w:szCs w:val="22"/>
                <w:lang w:val="en-GB" w:eastAsia="en-US"/>
              </w:rPr>
            </w:pPr>
            <w:r w:rsidRPr="003E0B98">
              <w:rPr>
                <w:i/>
                <w:color w:val="000000"/>
                <w:sz w:val="22"/>
                <w:szCs w:val="22"/>
                <w:lang w:val="es-ES" w:eastAsia="en-US"/>
              </w:rPr>
              <w:t>Frecuentes</w:t>
            </w:r>
          </w:p>
        </w:tc>
        <w:tc>
          <w:tcPr>
            <w:tcW w:w="6095" w:type="dxa"/>
          </w:tcPr>
          <w:p w14:paraId="629E30EF" w14:textId="77777777" w:rsidR="009C7FF4" w:rsidRPr="003E0B98" w:rsidRDefault="009C7FF4" w:rsidP="004361AC">
            <w:pPr>
              <w:pStyle w:val="Text"/>
              <w:spacing w:before="0"/>
              <w:jc w:val="left"/>
              <w:rPr>
                <w:color w:val="000000"/>
                <w:sz w:val="22"/>
                <w:szCs w:val="22"/>
                <w:lang w:val="en-GB" w:eastAsia="en-US"/>
              </w:rPr>
            </w:pPr>
            <w:proofErr w:type="spellStart"/>
            <w:r w:rsidRPr="003E0B98">
              <w:rPr>
                <w:color w:val="000000"/>
                <w:sz w:val="22"/>
                <w:szCs w:val="22"/>
                <w:lang w:val="en-GB" w:eastAsia="en-US"/>
              </w:rPr>
              <w:t>Ansiedad</w:t>
            </w:r>
            <w:proofErr w:type="spellEnd"/>
          </w:p>
        </w:tc>
      </w:tr>
      <w:tr w:rsidR="009C7FF4" w:rsidRPr="003E0B98" w14:paraId="1D8AFFE9" w14:textId="77777777" w:rsidTr="00942F06">
        <w:tc>
          <w:tcPr>
            <w:tcW w:w="3261" w:type="dxa"/>
          </w:tcPr>
          <w:p w14:paraId="3CA55E14" w14:textId="77777777" w:rsidR="009C7FF4" w:rsidRPr="003E0B98" w:rsidRDefault="009C7FF4" w:rsidP="004361AC">
            <w:pPr>
              <w:pStyle w:val="Text"/>
              <w:spacing w:before="0"/>
              <w:jc w:val="left"/>
              <w:rPr>
                <w:b/>
                <w:color w:val="000000"/>
                <w:sz w:val="22"/>
                <w:szCs w:val="22"/>
                <w:lang w:val="en-GB" w:eastAsia="en-US"/>
              </w:rPr>
            </w:pPr>
          </w:p>
        </w:tc>
        <w:tc>
          <w:tcPr>
            <w:tcW w:w="6095" w:type="dxa"/>
          </w:tcPr>
          <w:p w14:paraId="2F16ECE6" w14:textId="77777777" w:rsidR="009C7FF4" w:rsidRPr="003E0B98" w:rsidRDefault="009C7FF4" w:rsidP="004361AC">
            <w:pPr>
              <w:pStyle w:val="Text"/>
              <w:spacing w:before="0"/>
              <w:jc w:val="left"/>
              <w:rPr>
                <w:color w:val="000000"/>
                <w:sz w:val="22"/>
                <w:szCs w:val="22"/>
                <w:lang w:val="en-GB" w:eastAsia="en-US"/>
              </w:rPr>
            </w:pPr>
          </w:p>
        </w:tc>
      </w:tr>
      <w:tr w:rsidR="009C7FF4" w:rsidRPr="003E0B98" w14:paraId="00F20227" w14:textId="77777777" w:rsidTr="00942F06">
        <w:tc>
          <w:tcPr>
            <w:tcW w:w="3261" w:type="dxa"/>
          </w:tcPr>
          <w:p w14:paraId="788844A4" w14:textId="77777777" w:rsidR="009C7FF4" w:rsidRPr="003E0B98" w:rsidRDefault="009C7FF4" w:rsidP="004361AC">
            <w:pPr>
              <w:keepNext/>
              <w:tabs>
                <w:tab w:val="clear" w:pos="567"/>
              </w:tabs>
              <w:spacing w:line="240" w:lineRule="auto"/>
              <w:rPr>
                <w:color w:val="000000"/>
                <w:szCs w:val="22"/>
              </w:rPr>
            </w:pPr>
            <w:r w:rsidRPr="003E0B98">
              <w:rPr>
                <w:bCs/>
                <w:color w:val="000000"/>
                <w:szCs w:val="22"/>
                <w:lang w:val="es-ES_tradnl"/>
              </w:rPr>
              <w:t>Trastornos del sistema nervioso</w:t>
            </w:r>
          </w:p>
        </w:tc>
        <w:tc>
          <w:tcPr>
            <w:tcW w:w="6095" w:type="dxa"/>
          </w:tcPr>
          <w:p w14:paraId="1EBE2DDC" w14:textId="77777777" w:rsidR="009C7FF4" w:rsidRPr="003E0B98" w:rsidRDefault="009C7FF4" w:rsidP="004361AC">
            <w:pPr>
              <w:keepNext/>
              <w:tabs>
                <w:tab w:val="clear" w:pos="567"/>
              </w:tabs>
              <w:spacing w:line="240" w:lineRule="auto"/>
              <w:rPr>
                <w:b/>
                <w:color w:val="000000"/>
                <w:szCs w:val="22"/>
              </w:rPr>
            </w:pPr>
          </w:p>
        </w:tc>
      </w:tr>
      <w:tr w:rsidR="009C7FF4" w:rsidRPr="003E0B98" w14:paraId="7377A6F8" w14:textId="77777777" w:rsidTr="00942F06">
        <w:tc>
          <w:tcPr>
            <w:tcW w:w="3261" w:type="dxa"/>
          </w:tcPr>
          <w:p w14:paraId="5F49529B" w14:textId="77777777" w:rsidR="009C7FF4" w:rsidRPr="003E0B98" w:rsidRDefault="009C7FF4" w:rsidP="004361AC">
            <w:pPr>
              <w:pStyle w:val="Text"/>
              <w:spacing w:before="0"/>
              <w:jc w:val="left"/>
              <w:rPr>
                <w:color w:val="000000"/>
                <w:sz w:val="22"/>
                <w:szCs w:val="22"/>
                <w:lang w:val="en-GB" w:eastAsia="en-US"/>
              </w:rPr>
            </w:pPr>
            <w:r w:rsidRPr="003E0B98">
              <w:rPr>
                <w:i/>
                <w:color w:val="000000"/>
                <w:sz w:val="22"/>
                <w:szCs w:val="22"/>
                <w:lang w:val="es-ES" w:eastAsia="en-US"/>
              </w:rPr>
              <w:t>Muy frecuentes</w:t>
            </w:r>
          </w:p>
        </w:tc>
        <w:tc>
          <w:tcPr>
            <w:tcW w:w="6095" w:type="dxa"/>
          </w:tcPr>
          <w:p w14:paraId="1AF2E63E" w14:textId="77777777" w:rsidR="009C7FF4" w:rsidRPr="003E0B98" w:rsidRDefault="009C7FF4" w:rsidP="004361AC">
            <w:pPr>
              <w:tabs>
                <w:tab w:val="clear" w:pos="567"/>
              </w:tabs>
              <w:spacing w:line="240" w:lineRule="auto"/>
              <w:rPr>
                <w:color w:val="000000"/>
                <w:szCs w:val="22"/>
              </w:rPr>
            </w:pPr>
            <w:proofErr w:type="spellStart"/>
            <w:r w:rsidRPr="003E0B98">
              <w:rPr>
                <w:color w:val="000000"/>
                <w:szCs w:val="22"/>
              </w:rPr>
              <w:t>Cefalea</w:t>
            </w:r>
            <w:proofErr w:type="spellEnd"/>
          </w:p>
        </w:tc>
      </w:tr>
      <w:tr w:rsidR="009C7FF4" w:rsidRPr="003E0B98" w14:paraId="04398057" w14:textId="77777777" w:rsidTr="00942F06">
        <w:tc>
          <w:tcPr>
            <w:tcW w:w="3261" w:type="dxa"/>
          </w:tcPr>
          <w:p w14:paraId="504D7F1D" w14:textId="77777777" w:rsidR="009C7FF4" w:rsidRPr="003E0B98" w:rsidRDefault="009C7FF4" w:rsidP="004361AC">
            <w:pPr>
              <w:tabs>
                <w:tab w:val="clear" w:pos="567"/>
              </w:tabs>
              <w:spacing w:line="240" w:lineRule="auto"/>
              <w:rPr>
                <w:color w:val="000000"/>
                <w:szCs w:val="22"/>
              </w:rPr>
            </w:pPr>
          </w:p>
        </w:tc>
        <w:tc>
          <w:tcPr>
            <w:tcW w:w="6095" w:type="dxa"/>
          </w:tcPr>
          <w:p w14:paraId="481261AA" w14:textId="77777777" w:rsidR="009C7FF4" w:rsidRPr="003E0B98" w:rsidRDefault="009C7FF4" w:rsidP="004361AC">
            <w:pPr>
              <w:tabs>
                <w:tab w:val="clear" w:pos="567"/>
              </w:tabs>
              <w:spacing w:line="240" w:lineRule="auto"/>
              <w:rPr>
                <w:color w:val="000000"/>
                <w:szCs w:val="22"/>
              </w:rPr>
            </w:pPr>
          </w:p>
        </w:tc>
      </w:tr>
      <w:tr w:rsidR="009C7FF4" w:rsidRPr="003E0B98" w14:paraId="72AF9A96" w14:textId="77777777" w:rsidTr="00942F06">
        <w:tc>
          <w:tcPr>
            <w:tcW w:w="3261" w:type="dxa"/>
          </w:tcPr>
          <w:p w14:paraId="2CFD4B52" w14:textId="77777777" w:rsidR="009C7FF4" w:rsidRPr="003E0B98" w:rsidRDefault="009C7FF4" w:rsidP="004361AC">
            <w:pPr>
              <w:keepNext/>
              <w:spacing w:line="240" w:lineRule="auto"/>
              <w:rPr>
                <w:color w:val="000000"/>
                <w:szCs w:val="22"/>
              </w:rPr>
            </w:pPr>
            <w:r w:rsidRPr="003E0B98">
              <w:rPr>
                <w:bCs/>
                <w:color w:val="000000"/>
                <w:szCs w:val="22"/>
                <w:lang w:val="es-ES_tradnl"/>
              </w:rPr>
              <w:t>Trastornos oculares</w:t>
            </w:r>
          </w:p>
        </w:tc>
        <w:tc>
          <w:tcPr>
            <w:tcW w:w="6095" w:type="dxa"/>
          </w:tcPr>
          <w:p w14:paraId="0C3F47BB" w14:textId="77777777" w:rsidR="009C7FF4" w:rsidRPr="003E0B98" w:rsidRDefault="009C7FF4" w:rsidP="004361AC">
            <w:pPr>
              <w:pStyle w:val="Text"/>
              <w:keepNext/>
              <w:spacing w:before="0"/>
              <w:jc w:val="left"/>
              <w:rPr>
                <w:color w:val="000000"/>
                <w:sz w:val="22"/>
                <w:szCs w:val="22"/>
                <w:lang w:val="en-GB" w:eastAsia="en-US"/>
              </w:rPr>
            </w:pPr>
          </w:p>
        </w:tc>
      </w:tr>
      <w:tr w:rsidR="009C7FF4" w:rsidRPr="00174177" w14:paraId="11DA556A" w14:textId="77777777" w:rsidTr="00942F06">
        <w:tc>
          <w:tcPr>
            <w:tcW w:w="3261" w:type="dxa"/>
          </w:tcPr>
          <w:p w14:paraId="55CA5B89" w14:textId="77777777" w:rsidR="009C7FF4" w:rsidRPr="003E0B98" w:rsidRDefault="009C7FF4" w:rsidP="004361AC">
            <w:pPr>
              <w:pStyle w:val="Text"/>
              <w:keepNext/>
              <w:spacing w:before="0"/>
              <w:jc w:val="left"/>
              <w:rPr>
                <w:color w:val="000000"/>
                <w:sz w:val="22"/>
                <w:szCs w:val="22"/>
                <w:lang w:val="en-GB" w:eastAsia="en-US"/>
              </w:rPr>
            </w:pPr>
            <w:r w:rsidRPr="003E0B98">
              <w:rPr>
                <w:i/>
                <w:color w:val="000000"/>
                <w:sz w:val="22"/>
                <w:szCs w:val="22"/>
                <w:lang w:val="es-ES" w:eastAsia="en-US"/>
              </w:rPr>
              <w:t>Muy frecuentes</w:t>
            </w:r>
          </w:p>
        </w:tc>
        <w:tc>
          <w:tcPr>
            <w:tcW w:w="6095" w:type="dxa"/>
          </w:tcPr>
          <w:p w14:paraId="4F26781A" w14:textId="77777777" w:rsidR="009C7FF4" w:rsidRPr="003E0B98" w:rsidRDefault="009C7FF4" w:rsidP="004361AC">
            <w:pPr>
              <w:pStyle w:val="Text"/>
              <w:keepNext/>
              <w:spacing w:before="0"/>
              <w:jc w:val="left"/>
              <w:rPr>
                <w:color w:val="000000"/>
                <w:sz w:val="22"/>
                <w:szCs w:val="22"/>
                <w:lang w:val="es-ES_tradnl" w:eastAsia="en-US"/>
              </w:rPr>
            </w:pPr>
            <w:proofErr w:type="spellStart"/>
            <w:r w:rsidRPr="003E0B98">
              <w:rPr>
                <w:color w:val="000000"/>
                <w:sz w:val="22"/>
                <w:szCs w:val="22"/>
                <w:lang w:val="es-ES_tradnl" w:eastAsia="en-US"/>
              </w:rPr>
              <w:t>Vitritis</w:t>
            </w:r>
            <w:proofErr w:type="spellEnd"/>
            <w:r w:rsidRPr="003E0B98">
              <w:rPr>
                <w:color w:val="000000"/>
                <w:sz w:val="22"/>
                <w:szCs w:val="22"/>
                <w:lang w:val="es-ES_tradnl" w:eastAsia="en-US"/>
              </w:rPr>
              <w:t>, desprendimiento de vítreo, hemorragia retiniana, alteración visual, dolor ocular, partículas flotantes en el vítreo, hemorragia conjuntival, irritación ocular, sensación de cuerpo extraño en los ojos, aumento del lagrimeo, blefaritis, ojo seco, hiperemia ocular, prurito ocular.</w:t>
            </w:r>
          </w:p>
        </w:tc>
      </w:tr>
      <w:tr w:rsidR="009C7FF4" w:rsidRPr="00174177" w14:paraId="4E5922F5" w14:textId="77777777" w:rsidTr="00942F06">
        <w:tc>
          <w:tcPr>
            <w:tcW w:w="3261" w:type="dxa"/>
          </w:tcPr>
          <w:p w14:paraId="000B806E" w14:textId="77777777" w:rsidR="009C7FF4" w:rsidRPr="003E0B98" w:rsidRDefault="009C7FF4" w:rsidP="004361AC">
            <w:pPr>
              <w:pStyle w:val="Text"/>
              <w:keepNext/>
              <w:spacing w:before="0"/>
              <w:jc w:val="left"/>
              <w:rPr>
                <w:i/>
                <w:color w:val="000000"/>
                <w:sz w:val="22"/>
                <w:szCs w:val="22"/>
                <w:lang w:val="en-GB" w:eastAsia="en-US"/>
              </w:rPr>
            </w:pPr>
            <w:r w:rsidRPr="003E0B98">
              <w:rPr>
                <w:i/>
                <w:color w:val="000000"/>
                <w:sz w:val="22"/>
                <w:szCs w:val="22"/>
                <w:lang w:val="es-ES" w:eastAsia="en-US"/>
              </w:rPr>
              <w:t>Frecuentes</w:t>
            </w:r>
          </w:p>
        </w:tc>
        <w:tc>
          <w:tcPr>
            <w:tcW w:w="6095" w:type="dxa"/>
          </w:tcPr>
          <w:p w14:paraId="544AA2EC" w14:textId="77777777" w:rsidR="009C7FF4" w:rsidRPr="003E0B98" w:rsidRDefault="009C7FF4" w:rsidP="004361AC">
            <w:pPr>
              <w:pStyle w:val="Text"/>
              <w:keepNext/>
              <w:spacing w:before="0"/>
              <w:jc w:val="left"/>
              <w:rPr>
                <w:color w:val="000000"/>
                <w:sz w:val="22"/>
                <w:szCs w:val="22"/>
                <w:lang w:val="es-ES_tradnl" w:eastAsia="en-US"/>
              </w:rPr>
            </w:pPr>
            <w:r w:rsidRPr="003E0B98">
              <w:rPr>
                <w:color w:val="000000"/>
                <w:sz w:val="22"/>
                <w:szCs w:val="22"/>
                <w:lang w:val="es-ES_tradnl" w:eastAsia="en-US"/>
              </w:rPr>
              <w:t xml:space="preserve">Degeneración retiniana, trastorno retiniano, desprendimiento de retina, </w:t>
            </w:r>
            <w:r w:rsidRPr="003E0B98">
              <w:rPr>
                <w:color w:val="000000"/>
                <w:sz w:val="22"/>
                <w:szCs w:val="22"/>
                <w:lang w:val="es-ES" w:eastAsia="en-US"/>
              </w:rPr>
              <w:t xml:space="preserve">desgarro retiniano, </w:t>
            </w:r>
            <w:r w:rsidRPr="003E0B98">
              <w:rPr>
                <w:color w:val="000000"/>
                <w:sz w:val="22"/>
                <w:szCs w:val="22"/>
                <w:lang w:val="es-ES_tradnl" w:eastAsia="en-US"/>
              </w:rPr>
              <w:t xml:space="preserve">desprendimiento del epitelio pigmentario retiniano, desgarro del epitelio pigmentario retiniano, agudeza visual reducida, hemorragia vítrea, trastorno del cuerpo vítreo, uveítis, iritis, </w:t>
            </w:r>
            <w:proofErr w:type="spellStart"/>
            <w:r w:rsidRPr="003E0B98">
              <w:rPr>
                <w:color w:val="000000"/>
                <w:sz w:val="22"/>
                <w:szCs w:val="22"/>
                <w:lang w:val="es-ES_tradnl" w:eastAsia="en-US"/>
              </w:rPr>
              <w:t>iridociclitis</w:t>
            </w:r>
            <w:proofErr w:type="spellEnd"/>
            <w:r w:rsidRPr="003E0B98">
              <w:rPr>
                <w:color w:val="000000"/>
                <w:sz w:val="22"/>
                <w:szCs w:val="22"/>
                <w:lang w:val="es-ES_tradnl" w:eastAsia="en-US"/>
              </w:rPr>
              <w:t xml:space="preserve">, catarata, catarata subcapsular, opacificación de la cápsula posterior, queratitis </w:t>
            </w:r>
            <w:proofErr w:type="spellStart"/>
            <w:r w:rsidRPr="003E0B98">
              <w:rPr>
                <w:color w:val="000000"/>
                <w:sz w:val="22"/>
                <w:szCs w:val="22"/>
                <w:lang w:val="es-ES_tradnl" w:eastAsia="en-US"/>
              </w:rPr>
              <w:t>punctata</w:t>
            </w:r>
            <w:proofErr w:type="spellEnd"/>
            <w:r w:rsidRPr="003E0B98">
              <w:rPr>
                <w:color w:val="000000"/>
                <w:sz w:val="22"/>
                <w:szCs w:val="22"/>
                <w:lang w:val="es-ES_tradnl" w:eastAsia="en-US"/>
              </w:rPr>
              <w:t xml:space="preserve">, abrasión corneal, células flotantes en la cámara anterior, visión borrosa, hemorragia en el lugar de inyección, </w:t>
            </w:r>
            <w:r w:rsidRPr="003E0B98">
              <w:rPr>
                <w:color w:val="000000"/>
                <w:sz w:val="22"/>
                <w:szCs w:val="22"/>
                <w:lang w:val="es-ES" w:eastAsia="en-US"/>
              </w:rPr>
              <w:t xml:space="preserve">hemorragia ocular, </w:t>
            </w:r>
            <w:r w:rsidRPr="003E0B98">
              <w:rPr>
                <w:color w:val="000000"/>
                <w:sz w:val="22"/>
                <w:szCs w:val="22"/>
                <w:lang w:val="es-ES_tradnl" w:eastAsia="en-US"/>
              </w:rPr>
              <w:t xml:space="preserve">conjuntivitis, conjuntivitis alérgica, secreción ocular, </w:t>
            </w:r>
            <w:proofErr w:type="spellStart"/>
            <w:r w:rsidRPr="003E0B98">
              <w:rPr>
                <w:color w:val="000000"/>
                <w:sz w:val="22"/>
                <w:szCs w:val="22"/>
                <w:lang w:val="es-ES_tradnl" w:eastAsia="en-US"/>
              </w:rPr>
              <w:t>fotopsia</w:t>
            </w:r>
            <w:proofErr w:type="spellEnd"/>
            <w:r w:rsidRPr="003E0B98">
              <w:rPr>
                <w:color w:val="000000"/>
                <w:sz w:val="22"/>
                <w:szCs w:val="22"/>
                <w:lang w:val="es-ES_tradnl" w:eastAsia="en-US"/>
              </w:rPr>
              <w:t xml:space="preserve">, fotofobia, molestia ocular, </w:t>
            </w:r>
            <w:r w:rsidRPr="003E0B98">
              <w:rPr>
                <w:color w:val="000000"/>
                <w:sz w:val="22"/>
                <w:szCs w:val="22"/>
                <w:lang w:val="es-ES" w:eastAsia="en-US"/>
              </w:rPr>
              <w:t xml:space="preserve">edema palpebral, dolor palpebral, </w:t>
            </w:r>
            <w:r w:rsidRPr="003E0B98">
              <w:rPr>
                <w:color w:val="000000"/>
                <w:sz w:val="22"/>
                <w:szCs w:val="22"/>
                <w:lang w:val="es-ES_tradnl" w:eastAsia="en-US"/>
              </w:rPr>
              <w:t>hiperemia conjuntival.</w:t>
            </w:r>
          </w:p>
        </w:tc>
      </w:tr>
      <w:tr w:rsidR="009C7FF4" w:rsidRPr="00174177" w14:paraId="3706629D" w14:textId="77777777" w:rsidTr="00942F06">
        <w:tc>
          <w:tcPr>
            <w:tcW w:w="3261" w:type="dxa"/>
          </w:tcPr>
          <w:p w14:paraId="4C9EF5B5" w14:textId="77777777" w:rsidR="009C7FF4" w:rsidRPr="003E0B98" w:rsidRDefault="009C7FF4" w:rsidP="004361AC">
            <w:pPr>
              <w:pStyle w:val="Text"/>
              <w:spacing w:before="0"/>
              <w:jc w:val="left"/>
              <w:rPr>
                <w:color w:val="000000"/>
                <w:sz w:val="22"/>
                <w:szCs w:val="22"/>
                <w:lang w:val="en-GB" w:eastAsia="en-US"/>
              </w:rPr>
            </w:pPr>
            <w:r w:rsidRPr="003E0B98">
              <w:rPr>
                <w:i/>
                <w:color w:val="000000"/>
                <w:sz w:val="22"/>
                <w:szCs w:val="22"/>
                <w:lang w:val="es-ES" w:eastAsia="en-US"/>
              </w:rPr>
              <w:t>Poco frecuentes</w:t>
            </w:r>
          </w:p>
        </w:tc>
        <w:tc>
          <w:tcPr>
            <w:tcW w:w="6095" w:type="dxa"/>
          </w:tcPr>
          <w:p w14:paraId="0944FF64" w14:textId="77777777" w:rsidR="009C7FF4" w:rsidRPr="003E0B98" w:rsidRDefault="009C7FF4" w:rsidP="004361AC">
            <w:pPr>
              <w:pStyle w:val="Text"/>
              <w:spacing w:before="0"/>
              <w:jc w:val="left"/>
              <w:rPr>
                <w:i/>
                <w:color w:val="000000"/>
                <w:sz w:val="22"/>
                <w:szCs w:val="22"/>
                <w:lang w:val="es-ES_tradnl" w:eastAsia="en-US"/>
              </w:rPr>
            </w:pPr>
            <w:r w:rsidRPr="003E0B98">
              <w:rPr>
                <w:color w:val="000000"/>
                <w:sz w:val="22"/>
                <w:szCs w:val="22"/>
                <w:lang w:val="es-ES" w:eastAsia="en-US"/>
              </w:rPr>
              <w:t xml:space="preserve">Ceguera, </w:t>
            </w:r>
            <w:proofErr w:type="spellStart"/>
            <w:r w:rsidRPr="003E0B98">
              <w:rPr>
                <w:color w:val="000000"/>
                <w:sz w:val="22"/>
                <w:szCs w:val="22"/>
                <w:lang w:val="es-ES_tradnl" w:eastAsia="en-US"/>
              </w:rPr>
              <w:t>endoftalmitis</w:t>
            </w:r>
            <w:proofErr w:type="spellEnd"/>
            <w:r w:rsidRPr="003E0B98">
              <w:rPr>
                <w:color w:val="000000"/>
                <w:sz w:val="22"/>
                <w:szCs w:val="22"/>
                <w:lang w:val="es-ES_tradnl" w:eastAsia="en-US"/>
              </w:rPr>
              <w:t xml:space="preserve">, </w:t>
            </w:r>
            <w:proofErr w:type="spellStart"/>
            <w:r w:rsidRPr="003E0B98">
              <w:rPr>
                <w:color w:val="000000"/>
                <w:sz w:val="22"/>
                <w:szCs w:val="22"/>
                <w:lang w:val="es-ES" w:eastAsia="en-US"/>
              </w:rPr>
              <w:t>hipopion</w:t>
            </w:r>
            <w:proofErr w:type="spellEnd"/>
            <w:r w:rsidRPr="003E0B98">
              <w:rPr>
                <w:color w:val="000000"/>
                <w:sz w:val="22"/>
                <w:szCs w:val="22"/>
                <w:lang w:val="es-ES" w:eastAsia="en-US"/>
              </w:rPr>
              <w:t xml:space="preserve">, hipema, </w:t>
            </w:r>
            <w:proofErr w:type="spellStart"/>
            <w:r w:rsidRPr="003E0B98">
              <w:rPr>
                <w:color w:val="000000"/>
                <w:sz w:val="22"/>
                <w:szCs w:val="22"/>
                <w:lang w:val="es-ES" w:eastAsia="en-US"/>
              </w:rPr>
              <w:t>queratopatía</w:t>
            </w:r>
            <w:proofErr w:type="spellEnd"/>
            <w:r w:rsidRPr="003E0B98">
              <w:rPr>
                <w:color w:val="000000"/>
                <w:sz w:val="22"/>
                <w:szCs w:val="22"/>
                <w:lang w:val="es-ES" w:eastAsia="en-US"/>
              </w:rPr>
              <w:t xml:space="preserve">, adhesión del iris, depósitos corneales, edema corneal, </w:t>
            </w:r>
            <w:r w:rsidRPr="003E0B98">
              <w:rPr>
                <w:color w:val="000000"/>
                <w:sz w:val="22"/>
                <w:szCs w:val="22"/>
                <w:lang w:val="es-ES_tradnl" w:eastAsia="en-US"/>
              </w:rPr>
              <w:t xml:space="preserve">estrías corneales, dolor en el lugar de inyección, irritación en el lugar de inyección, sensación anormal en el ojo, </w:t>
            </w:r>
            <w:r w:rsidRPr="003E0B98">
              <w:rPr>
                <w:color w:val="000000"/>
                <w:sz w:val="22"/>
                <w:szCs w:val="22"/>
                <w:lang w:val="es-ES" w:eastAsia="en-US"/>
              </w:rPr>
              <w:t>irritación palpebral</w:t>
            </w:r>
            <w:r w:rsidRPr="003E0B98">
              <w:rPr>
                <w:color w:val="000000"/>
                <w:sz w:val="22"/>
                <w:szCs w:val="22"/>
                <w:lang w:val="es-ES_tradnl" w:eastAsia="en-US"/>
              </w:rPr>
              <w:t>.</w:t>
            </w:r>
          </w:p>
        </w:tc>
      </w:tr>
      <w:tr w:rsidR="009C7FF4" w:rsidRPr="00174177" w14:paraId="79ADE467" w14:textId="77777777" w:rsidTr="00942F06">
        <w:tc>
          <w:tcPr>
            <w:tcW w:w="3261" w:type="dxa"/>
          </w:tcPr>
          <w:p w14:paraId="0B01FF39" w14:textId="77777777" w:rsidR="009C7FF4" w:rsidRPr="003E0B98" w:rsidRDefault="009C7FF4" w:rsidP="004361AC">
            <w:pPr>
              <w:pStyle w:val="Text"/>
              <w:spacing w:before="0"/>
              <w:jc w:val="left"/>
              <w:rPr>
                <w:color w:val="000000"/>
                <w:sz w:val="22"/>
                <w:szCs w:val="22"/>
                <w:lang w:val="es-ES_tradnl" w:eastAsia="en-US"/>
              </w:rPr>
            </w:pPr>
          </w:p>
        </w:tc>
        <w:tc>
          <w:tcPr>
            <w:tcW w:w="6095" w:type="dxa"/>
          </w:tcPr>
          <w:p w14:paraId="66A8ED8B" w14:textId="77777777" w:rsidR="009C7FF4" w:rsidRPr="003E0B98" w:rsidRDefault="009C7FF4" w:rsidP="004361AC">
            <w:pPr>
              <w:pStyle w:val="Text"/>
              <w:spacing w:before="0"/>
              <w:jc w:val="left"/>
              <w:rPr>
                <w:color w:val="000000"/>
                <w:sz w:val="22"/>
                <w:szCs w:val="22"/>
                <w:lang w:val="es-ES_tradnl" w:eastAsia="en-US"/>
              </w:rPr>
            </w:pPr>
          </w:p>
        </w:tc>
      </w:tr>
      <w:tr w:rsidR="009C7FF4" w:rsidRPr="00174177" w14:paraId="35530B20" w14:textId="77777777" w:rsidTr="00942F06">
        <w:tc>
          <w:tcPr>
            <w:tcW w:w="9356" w:type="dxa"/>
            <w:gridSpan w:val="2"/>
          </w:tcPr>
          <w:p w14:paraId="1F204DBD" w14:textId="77777777" w:rsidR="009C7FF4" w:rsidRPr="003E0B98" w:rsidRDefault="009C7FF4" w:rsidP="004361AC">
            <w:pPr>
              <w:keepNext/>
              <w:spacing w:line="240" w:lineRule="auto"/>
              <w:rPr>
                <w:color w:val="000000"/>
                <w:szCs w:val="22"/>
                <w:lang w:val="es-ES_tradnl"/>
              </w:rPr>
            </w:pPr>
            <w:r w:rsidRPr="003E0B98">
              <w:rPr>
                <w:bCs/>
                <w:color w:val="000000"/>
                <w:szCs w:val="22"/>
                <w:lang w:val="es-ES_tradnl"/>
              </w:rPr>
              <w:t>Trastornos respiratorios, torácicos y mediastínicos</w:t>
            </w:r>
          </w:p>
        </w:tc>
      </w:tr>
      <w:tr w:rsidR="009C7FF4" w:rsidRPr="003E0B98" w14:paraId="35AAAFBA" w14:textId="77777777" w:rsidTr="00942F06">
        <w:tc>
          <w:tcPr>
            <w:tcW w:w="3261" w:type="dxa"/>
          </w:tcPr>
          <w:p w14:paraId="4DDE9EB2" w14:textId="77777777" w:rsidR="009C7FF4" w:rsidRPr="003E0B98" w:rsidRDefault="009C7FF4" w:rsidP="004361AC">
            <w:pPr>
              <w:tabs>
                <w:tab w:val="clear" w:pos="567"/>
              </w:tabs>
              <w:spacing w:line="240" w:lineRule="auto"/>
              <w:rPr>
                <w:i/>
                <w:color w:val="000000"/>
                <w:szCs w:val="22"/>
              </w:rPr>
            </w:pPr>
            <w:r w:rsidRPr="003E0B98">
              <w:rPr>
                <w:i/>
                <w:color w:val="000000"/>
                <w:szCs w:val="22"/>
                <w:lang w:val="es-ES"/>
              </w:rPr>
              <w:t>Frecuentes</w:t>
            </w:r>
          </w:p>
        </w:tc>
        <w:tc>
          <w:tcPr>
            <w:tcW w:w="6095" w:type="dxa"/>
          </w:tcPr>
          <w:p w14:paraId="707AE4DC" w14:textId="77777777" w:rsidR="009C7FF4" w:rsidRPr="003E0B98" w:rsidRDefault="009C7FF4" w:rsidP="004361AC">
            <w:pPr>
              <w:tabs>
                <w:tab w:val="clear" w:pos="567"/>
              </w:tabs>
              <w:spacing w:line="240" w:lineRule="auto"/>
              <w:rPr>
                <w:color w:val="000000"/>
                <w:szCs w:val="22"/>
              </w:rPr>
            </w:pPr>
            <w:r w:rsidRPr="003E0B98">
              <w:rPr>
                <w:color w:val="000000"/>
                <w:szCs w:val="22"/>
                <w:lang w:val="es-ES_tradnl"/>
              </w:rPr>
              <w:t>Tos</w:t>
            </w:r>
          </w:p>
        </w:tc>
      </w:tr>
      <w:tr w:rsidR="009C7FF4" w:rsidRPr="003E0B98" w14:paraId="2E617B87" w14:textId="77777777" w:rsidTr="00942F06">
        <w:tc>
          <w:tcPr>
            <w:tcW w:w="3261" w:type="dxa"/>
          </w:tcPr>
          <w:p w14:paraId="70244A4F" w14:textId="77777777" w:rsidR="009C7FF4" w:rsidRPr="003E0B98" w:rsidRDefault="009C7FF4" w:rsidP="004361AC">
            <w:pPr>
              <w:tabs>
                <w:tab w:val="clear" w:pos="567"/>
              </w:tabs>
              <w:spacing w:line="240" w:lineRule="auto"/>
              <w:rPr>
                <w:color w:val="000000"/>
                <w:szCs w:val="22"/>
              </w:rPr>
            </w:pPr>
          </w:p>
        </w:tc>
        <w:tc>
          <w:tcPr>
            <w:tcW w:w="6095" w:type="dxa"/>
          </w:tcPr>
          <w:p w14:paraId="3B43AD70" w14:textId="77777777" w:rsidR="009C7FF4" w:rsidRPr="003E0B98" w:rsidRDefault="009C7FF4" w:rsidP="004361AC">
            <w:pPr>
              <w:tabs>
                <w:tab w:val="clear" w:pos="567"/>
              </w:tabs>
              <w:spacing w:line="240" w:lineRule="auto"/>
              <w:rPr>
                <w:color w:val="000000"/>
                <w:szCs w:val="22"/>
              </w:rPr>
            </w:pPr>
          </w:p>
        </w:tc>
      </w:tr>
      <w:tr w:rsidR="009C7FF4" w:rsidRPr="003E0B98" w14:paraId="0ADB1D51" w14:textId="77777777" w:rsidTr="00942F06">
        <w:tc>
          <w:tcPr>
            <w:tcW w:w="3261" w:type="dxa"/>
          </w:tcPr>
          <w:p w14:paraId="6CCCBBB6" w14:textId="77777777" w:rsidR="009C7FF4" w:rsidRPr="003E0B98" w:rsidRDefault="009C7FF4" w:rsidP="004361AC">
            <w:pPr>
              <w:keepNext/>
              <w:tabs>
                <w:tab w:val="clear" w:pos="567"/>
              </w:tabs>
              <w:spacing w:line="240" w:lineRule="auto"/>
              <w:rPr>
                <w:color w:val="000000"/>
                <w:szCs w:val="22"/>
              </w:rPr>
            </w:pPr>
            <w:r w:rsidRPr="003E0B98">
              <w:rPr>
                <w:bCs/>
                <w:color w:val="000000"/>
                <w:szCs w:val="22"/>
                <w:lang w:val="es-ES_tradnl"/>
              </w:rPr>
              <w:t xml:space="preserve">Trastornos </w:t>
            </w:r>
            <w:proofErr w:type="spellStart"/>
            <w:r w:rsidRPr="003E0B98">
              <w:rPr>
                <w:color w:val="000000"/>
                <w:szCs w:val="22"/>
              </w:rPr>
              <w:t>gastrointestinales</w:t>
            </w:r>
            <w:proofErr w:type="spellEnd"/>
          </w:p>
        </w:tc>
        <w:tc>
          <w:tcPr>
            <w:tcW w:w="6095" w:type="dxa"/>
          </w:tcPr>
          <w:p w14:paraId="054A34E0" w14:textId="77777777" w:rsidR="009C7FF4" w:rsidRPr="003E0B98" w:rsidRDefault="009C7FF4" w:rsidP="004361AC">
            <w:pPr>
              <w:pStyle w:val="Text"/>
              <w:keepNext/>
              <w:spacing w:before="0"/>
              <w:jc w:val="left"/>
              <w:rPr>
                <w:color w:val="000000"/>
                <w:sz w:val="22"/>
                <w:szCs w:val="22"/>
                <w:lang w:val="en-GB" w:eastAsia="en-US"/>
              </w:rPr>
            </w:pPr>
          </w:p>
        </w:tc>
      </w:tr>
      <w:tr w:rsidR="009C7FF4" w:rsidRPr="003E0B98" w14:paraId="2C2518A2" w14:textId="77777777" w:rsidTr="00942F06">
        <w:tc>
          <w:tcPr>
            <w:tcW w:w="3261" w:type="dxa"/>
          </w:tcPr>
          <w:p w14:paraId="130058C9" w14:textId="77777777" w:rsidR="009C7FF4" w:rsidRPr="003E0B98" w:rsidRDefault="009C7FF4" w:rsidP="004361AC">
            <w:pPr>
              <w:tabs>
                <w:tab w:val="clear" w:pos="567"/>
              </w:tabs>
              <w:spacing w:line="240" w:lineRule="auto"/>
              <w:rPr>
                <w:color w:val="000000"/>
                <w:szCs w:val="22"/>
              </w:rPr>
            </w:pPr>
            <w:r w:rsidRPr="003E0B98">
              <w:rPr>
                <w:i/>
                <w:color w:val="000000"/>
                <w:szCs w:val="22"/>
                <w:lang w:val="es-ES"/>
              </w:rPr>
              <w:t>Frecuentes</w:t>
            </w:r>
          </w:p>
        </w:tc>
        <w:tc>
          <w:tcPr>
            <w:tcW w:w="6095" w:type="dxa"/>
          </w:tcPr>
          <w:p w14:paraId="0F5ADEE1" w14:textId="77777777" w:rsidR="009C7FF4" w:rsidRPr="003E0B98" w:rsidRDefault="009C7FF4" w:rsidP="004361AC">
            <w:pPr>
              <w:tabs>
                <w:tab w:val="clear" w:pos="567"/>
              </w:tabs>
              <w:spacing w:line="240" w:lineRule="auto"/>
              <w:rPr>
                <w:color w:val="000000"/>
                <w:szCs w:val="22"/>
              </w:rPr>
            </w:pPr>
            <w:proofErr w:type="spellStart"/>
            <w:r w:rsidRPr="003E0B98">
              <w:rPr>
                <w:color w:val="000000"/>
                <w:szCs w:val="22"/>
              </w:rPr>
              <w:t>Náuseas</w:t>
            </w:r>
            <w:proofErr w:type="spellEnd"/>
          </w:p>
        </w:tc>
      </w:tr>
      <w:tr w:rsidR="009C7FF4" w:rsidRPr="003E0B98" w14:paraId="33318DC0" w14:textId="77777777" w:rsidTr="00942F06">
        <w:tc>
          <w:tcPr>
            <w:tcW w:w="3261" w:type="dxa"/>
          </w:tcPr>
          <w:p w14:paraId="262ECFDA" w14:textId="77777777" w:rsidR="009C7FF4" w:rsidRPr="003E0B98" w:rsidRDefault="009C7FF4" w:rsidP="004361AC">
            <w:pPr>
              <w:tabs>
                <w:tab w:val="clear" w:pos="567"/>
              </w:tabs>
              <w:spacing w:line="240" w:lineRule="auto"/>
              <w:rPr>
                <w:color w:val="000000"/>
                <w:szCs w:val="22"/>
              </w:rPr>
            </w:pPr>
          </w:p>
        </w:tc>
        <w:tc>
          <w:tcPr>
            <w:tcW w:w="6095" w:type="dxa"/>
          </w:tcPr>
          <w:p w14:paraId="6CE89F3B" w14:textId="77777777" w:rsidR="009C7FF4" w:rsidRPr="003E0B98" w:rsidRDefault="009C7FF4" w:rsidP="004361AC">
            <w:pPr>
              <w:tabs>
                <w:tab w:val="clear" w:pos="567"/>
              </w:tabs>
              <w:spacing w:line="240" w:lineRule="auto"/>
              <w:rPr>
                <w:b/>
                <w:color w:val="000000"/>
                <w:szCs w:val="22"/>
              </w:rPr>
            </w:pPr>
          </w:p>
        </w:tc>
      </w:tr>
      <w:tr w:rsidR="009C7FF4" w:rsidRPr="003C169A" w14:paraId="1E420889" w14:textId="77777777" w:rsidTr="00942F06">
        <w:tc>
          <w:tcPr>
            <w:tcW w:w="9356" w:type="dxa"/>
            <w:gridSpan w:val="2"/>
          </w:tcPr>
          <w:p w14:paraId="0F17C735" w14:textId="77777777" w:rsidR="009C7FF4" w:rsidRPr="003E0B98" w:rsidRDefault="009C7FF4" w:rsidP="004361AC">
            <w:pPr>
              <w:keepNext/>
              <w:tabs>
                <w:tab w:val="clear" w:pos="567"/>
              </w:tabs>
              <w:spacing w:line="240" w:lineRule="auto"/>
              <w:rPr>
                <w:color w:val="000000"/>
                <w:szCs w:val="22"/>
                <w:lang w:val="es-ES_tradnl"/>
              </w:rPr>
            </w:pPr>
            <w:r w:rsidRPr="003E0B98">
              <w:rPr>
                <w:bCs/>
                <w:color w:val="000000"/>
                <w:szCs w:val="22"/>
                <w:lang w:val="es-ES_tradnl"/>
              </w:rPr>
              <w:t>Trastornos de la piel y del tejido subcutáneo</w:t>
            </w:r>
          </w:p>
        </w:tc>
      </w:tr>
      <w:tr w:rsidR="009C7FF4" w:rsidRPr="00174177" w14:paraId="0F8DB55F" w14:textId="77777777" w:rsidTr="00942F06">
        <w:tc>
          <w:tcPr>
            <w:tcW w:w="3261" w:type="dxa"/>
          </w:tcPr>
          <w:p w14:paraId="664E1FCC" w14:textId="77777777" w:rsidR="009C7FF4" w:rsidRPr="003E0B98" w:rsidRDefault="009C7FF4" w:rsidP="004361AC">
            <w:pPr>
              <w:tabs>
                <w:tab w:val="clear" w:pos="567"/>
              </w:tabs>
              <w:spacing w:line="240" w:lineRule="auto"/>
              <w:rPr>
                <w:i/>
                <w:color w:val="000000"/>
                <w:szCs w:val="22"/>
              </w:rPr>
            </w:pPr>
            <w:proofErr w:type="spellStart"/>
            <w:r w:rsidRPr="003E0B98">
              <w:rPr>
                <w:i/>
                <w:color w:val="000000"/>
                <w:szCs w:val="22"/>
              </w:rPr>
              <w:t>Frecuentes</w:t>
            </w:r>
            <w:proofErr w:type="spellEnd"/>
          </w:p>
        </w:tc>
        <w:tc>
          <w:tcPr>
            <w:tcW w:w="6095" w:type="dxa"/>
          </w:tcPr>
          <w:p w14:paraId="5E26BF82" w14:textId="77777777" w:rsidR="009C7FF4" w:rsidRPr="003E0B98" w:rsidRDefault="009C7FF4" w:rsidP="004361AC">
            <w:pPr>
              <w:tabs>
                <w:tab w:val="clear" w:pos="567"/>
              </w:tabs>
              <w:spacing w:line="240" w:lineRule="auto"/>
              <w:rPr>
                <w:color w:val="000000"/>
                <w:szCs w:val="22"/>
                <w:lang w:val="es-ES_tradnl"/>
              </w:rPr>
            </w:pPr>
            <w:r w:rsidRPr="003E0B98">
              <w:rPr>
                <w:color w:val="000000"/>
                <w:szCs w:val="22"/>
                <w:lang w:val="es-ES_tradnl"/>
              </w:rPr>
              <w:t>Reacciones alérgicas (erupción, urticaria, prurito, eritema)</w:t>
            </w:r>
          </w:p>
        </w:tc>
      </w:tr>
      <w:tr w:rsidR="009C7FF4" w:rsidRPr="00174177" w14:paraId="6706D4A1" w14:textId="77777777" w:rsidTr="00942F06">
        <w:tc>
          <w:tcPr>
            <w:tcW w:w="3261" w:type="dxa"/>
          </w:tcPr>
          <w:p w14:paraId="4A73BA81" w14:textId="77777777" w:rsidR="009C7FF4" w:rsidRPr="003E0B98" w:rsidRDefault="009C7FF4" w:rsidP="004361AC">
            <w:pPr>
              <w:pStyle w:val="Text"/>
              <w:spacing w:before="0"/>
              <w:jc w:val="left"/>
              <w:rPr>
                <w:b/>
                <w:color w:val="000000"/>
                <w:sz w:val="22"/>
                <w:szCs w:val="22"/>
                <w:lang w:val="es-ES_tradnl" w:eastAsia="en-US"/>
              </w:rPr>
            </w:pPr>
          </w:p>
        </w:tc>
        <w:tc>
          <w:tcPr>
            <w:tcW w:w="6095" w:type="dxa"/>
          </w:tcPr>
          <w:p w14:paraId="54C6BB28" w14:textId="77777777" w:rsidR="009C7FF4" w:rsidRPr="003E0B98" w:rsidRDefault="009C7FF4" w:rsidP="004361AC">
            <w:pPr>
              <w:rPr>
                <w:b/>
                <w:color w:val="000000"/>
                <w:szCs w:val="22"/>
                <w:lang w:val="es-ES_tradnl"/>
              </w:rPr>
            </w:pPr>
          </w:p>
        </w:tc>
      </w:tr>
      <w:tr w:rsidR="009C7FF4" w:rsidRPr="003C169A" w14:paraId="14E8701D" w14:textId="77777777" w:rsidTr="00942F06">
        <w:tc>
          <w:tcPr>
            <w:tcW w:w="9356" w:type="dxa"/>
            <w:gridSpan w:val="2"/>
          </w:tcPr>
          <w:p w14:paraId="0C18224C" w14:textId="77777777" w:rsidR="009C7FF4" w:rsidRPr="003E0B98" w:rsidRDefault="009C7FF4" w:rsidP="004361AC">
            <w:pPr>
              <w:keepNext/>
              <w:tabs>
                <w:tab w:val="clear" w:pos="567"/>
              </w:tabs>
              <w:spacing w:line="240" w:lineRule="auto"/>
              <w:rPr>
                <w:color w:val="000000"/>
                <w:szCs w:val="22"/>
                <w:lang w:val="es-ES_tradnl"/>
              </w:rPr>
            </w:pPr>
            <w:r w:rsidRPr="003E0B98">
              <w:rPr>
                <w:bCs/>
                <w:color w:val="000000"/>
                <w:szCs w:val="22"/>
                <w:lang w:val="es-ES_tradnl"/>
              </w:rPr>
              <w:t>Trastornos musculoesqueléticos y del tejido conjuntivo</w:t>
            </w:r>
          </w:p>
        </w:tc>
      </w:tr>
      <w:tr w:rsidR="009C7FF4" w:rsidRPr="003E0B98" w14:paraId="69528E64" w14:textId="77777777" w:rsidTr="00942F06">
        <w:tc>
          <w:tcPr>
            <w:tcW w:w="3261" w:type="dxa"/>
          </w:tcPr>
          <w:p w14:paraId="3421CC59" w14:textId="77777777" w:rsidR="009C7FF4" w:rsidRPr="003E0B98" w:rsidRDefault="009C7FF4" w:rsidP="004361AC">
            <w:pPr>
              <w:pStyle w:val="Text"/>
              <w:spacing w:before="0"/>
              <w:jc w:val="left"/>
              <w:rPr>
                <w:color w:val="000000"/>
                <w:sz w:val="22"/>
                <w:szCs w:val="22"/>
                <w:lang w:val="en-GB" w:eastAsia="en-US"/>
              </w:rPr>
            </w:pPr>
            <w:r w:rsidRPr="003E0B98">
              <w:rPr>
                <w:i/>
                <w:color w:val="000000"/>
                <w:sz w:val="22"/>
                <w:szCs w:val="22"/>
                <w:lang w:val="es-ES" w:eastAsia="en-US"/>
              </w:rPr>
              <w:t>Muy frecuentes</w:t>
            </w:r>
          </w:p>
        </w:tc>
        <w:tc>
          <w:tcPr>
            <w:tcW w:w="6095" w:type="dxa"/>
          </w:tcPr>
          <w:p w14:paraId="0FA93492" w14:textId="77777777" w:rsidR="009C7FF4" w:rsidRPr="003E0B98" w:rsidRDefault="009C7FF4" w:rsidP="004361AC">
            <w:pPr>
              <w:pStyle w:val="Text"/>
              <w:spacing w:before="0"/>
              <w:jc w:val="left"/>
              <w:rPr>
                <w:color w:val="000000"/>
                <w:sz w:val="22"/>
                <w:szCs w:val="22"/>
                <w:lang w:val="en-GB" w:eastAsia="en-US"/>
              </w:rPr>
            </w:pPr>
            <w:proofErr w:type="spellStart"/>
            <w:r w:rsidRPr="003E0B98">
              <w:rPr>
                <w:color w:val="000000"/>
                <w:sz w:val="22"/>
                <w:szCs w:val="22"/>
                <w:lang w:val="en-GB" w:eastAsia="en-US"/>
              </w:rPr>
              <w:t>Artralgia</w:t>
            </w:r>
            <w:proofErr w:type="spellEnd"/>
          </w:p>
        </w:tc>
      </w:tr>
      <w:tr w:rsidR="009C7FF4" w:rsidRPr="003E0B98" w14:paraId="1AC83163" w14:textId="77777777" w:rsidTr="00942F06">
        <w:tc>
          <w:tcPr>
            <w:tcW w:w="3261" w:type="dxa"/>
          </w:tcPr>
          <w:p w14:paraId="1F2D8BDD" w14:textId="77777777" w:rsidR="009C7FF4" w:rsidRPr="003E0B98" w:rsidRDefault="009C7FF4" w:rsidP="004361AC">
            <w:pPr>
              <w:tabs>
                <w:tab w:val="clear" w:pos="567"/>
              </w:tabs>
              <w:spacing w:line="240" w:lineRule="auto"/>
              <w:rPr>
                <w:color w:val="000000"/>
                <w:szCs w:val="22"/>
              </w:rPr>
            </w:pPr>
          </w:p>
        </w:tc>
        <w:tc>
          <w:tcPr>
            <w:tcW w:w="6095" w:type="dxa"/>
          </w:tcPr>
          <w:p w14:paraId="315B6897" w14:textId="77777777" w:rsidR="009C7FF4" w:rsidRPr="003E0B98" w:rsidRDefault="009C7FF4" w:rsidP="004361AC">
            <w:pPr>
              <w:tabs>
                <w:tab w:val="clear" w:pos="567"/>
              </w:tabs>
              <w:spacing w:line="240" w:lineRule="auto"/>
              <w:rPr>
                <w:color w:val="000000"/>
                <w:szCs w:val="22"/>
              </w:rPr>
            </w:pPr>
          </w:p>
        </w:tc>
      </w:tr>
      <w:tr w:rsidR="009C7FF4" w:rsidRPr="003E0B98" w14:paraId="270B3A3D" w14:textId="77777777" w:rsidTr="00942F06">
        <w:tc>
          <w:tcPr>
            <w:tcW w:w="3261" w:type="dxa"/>
          </w:tcPr>
          <w:p w14:paraId="0D1B7637" w14:textId="77777777" w:rsidR="009C7FF4" w:rsidRPr="003E0B98" w:rsidRDefault="009C7FF4" w:rsidP="004361AC">
            <w:pPr>
              <w:keepNext/>
              <w:tabs>
                <w:tab w:val="clear" w:pos="567"/>
              </w:tabs>
              <w:spacing w:line="240" w:lineRule="auto"/>
              <w:rPr>
                <w:color w:val="000000"/>
                <w:szCs w:val="22"/>
              </w:rPr>
            </w:pPr>
            <w:proofErr w:type="spellStart"/>
            <w:r w:rsidRPr="003E0B98">
              <w:rPr>
                <w:color w:val="000000"/>
                <w:szCs w:val="22"/>
              </w:rPr>
              <w:t>Exploraciones</w:t>
            </w:r>
            <w:proofErr w:type="spellEnd"/>
            <w:r w:rsidRPr="003E0B98">
              <w:rPr>
                <w:color w:val="000000"/>
                <w:szCs w:val="22"/>
              </w:rPr>
              <w:t xml:space="preserve"> </w:t>
            </w:r>
            <w:proofErr w:type="spellStart"/>
            <w:r w:rsidRPr="003E0B98">
              <w:rPr>
                <w:color w:val="000000"/>
                <w:szCs w:val="22"/>
              </w:rPr>
              <w:t>complementarias</w:t>
            </w:r>
            <w:proofErr w:type="spellEnd"/>
          </w:p>
        </w:tc>
        <w:tc>
          <w:tcPr>
            <w:tcW w:w="6095" w:type="dxa"/>
          </w:tcPr>
          <w:p w14:paraId="7192C7E3" w14:textId="77777777" w:rsidR="009C7FF4" w:rsidRPr="003E0B98" w:rsidRDefault="009C7FF4" w:rsidP="004361AC">
            <w:pPr>
              <w:keepNext/>
              <w:tabs>
                <w:tab w:val="clear" w:pos="567"/>
              </w:tabs>
              <w:spacing w:line="240" w:lineRule="auto"/>
              <w:rPr>
                <w:color w:val="000000"/>
                <w:szCs w:val="22"/>
              </w:rPr>
            </w:pPr>
          </w:p>
        </w:tc>
      </w:tr>
      <w:tr w:rsidR="009C7FF4" w:rsidRPr="003C169A" w14:paraId="5C9931D7" w14:textId="77777777" w:rsidTr="00942F06">
        <w:tc>
          <w:tcPr>
            <w:tcW w:w="3261" w:type="dxa"/>
          </w:tcPr>
          <w:p w14:paraId="74C609DA" w14:textId="77777777" w:rsidR="009C7FF4" w:rsidRPr="003E0B98" w:rsidRDefault="009C7FF4" w:rsidP="004361AC">
            <w:pPr>
              <w:keepNext/>
              <w:tabs>
                <w:tab w:val="clear" w:pos="567"/>
              </w:tabs>
              <w:spacing w:line="240" w:lineRule="auto"/>
              <w:rPr>
                <w:color w:val="000000"/>
                <w:szCs w:val="22"/>
              </w:rPr>
            </w:pPr>
            <w:r w:rsidRPr="003E0B98">
              <w:rPr>
                <w:i/>
                <w:color w:val="000000"/>
                <w:szCs w:val="22"/>
                <w:lang w:val="es-ES"/>
              </w:rPr>
              <w:t>Muy frecuentes</w:t>
            </w:r>
          </w:p>
        </w:tc>
        <w:tc>
          <w:tcPr>
            <w:tcW w:w="6095" w:type="dxa"/>
          </w:tcPr>
          <w:p w14:paraId="6C74EC46" w14:textId="77777777" w:rsidR="009C7FF4" w:rsidRPr="003E0B98" w:rsidRDefault="009C7FF4" w:rsidP="004361AC">
            <w:pPr>
              <w:keepNext/>
              <w:tabs>
                <w:tab w:val="clear" w:pos="567"/>
              </w:tabs>
              <w:spacing w:line="240" w:lineRule="auto"/>
              <w:rPr>
                <w:color w:val="000000"/>
                <w:szCs w:val="22"/>
                <w:lang w:val="es-ES_tradnl"/>
              </w:rPr>
            </w:pPr>
            <w:r w:rsidRPr="003E0B98">
              <w:rPr>
                <w:color w:val="000000"/>
                <w:szCs w:val="22"/>
                <w:lang w:val="es-ES_tradnl"/>
              </w:rPr>
              <w:t>Aumento de la presión intraocular</w:t>
            </w:r>
          </w:p>
        </w:tc>
      </w:tr>
      <w:tr w:rsidR="009C7FF4" w:rsidRPr="00174177" w14:paraId="09FDC0B8" w14:textId="77777777" w:rsidTr="00942F06">
        <w:tc>
          <w:tcPr>
            <w:tcW w:w="9356" w:type="dxa"/>
            <w:gridSpan w:val="2"/>
          </w:tcPr>
          <w:p w14:paraId="7C19DB0B" w14:textId="77777777" w:rsidR="009C7FF4" w:rsidRPr="003E0B98" w:rsidRDefault="009C7FF4" w:rsidP="004361AC">
            <w:pPr>
              <w:tabs>
                <w:tab w:val="clear" w:pos="567"/>
              </w:tabs>
              <w:spacing w:line="240" w:lineRule="auto"/>
              <w:rPr>
                <w:color w:val="000000"/>
                <w:szCs w:val="22"/>
                <w:lang w:val="es-ES_tradnl"/>
              </w:rPr>
            </w:pPr>
            <w:r w:rsidRPr="003E0B98">
              <w:rPr>
                <w:color w:val="000000"/>
                <w:szCs w:val="22"/>
                <w:vertAlign w:val="superscript"/>
                <w:lang w:val="es-ES_tradnl"/>
              </w:rPr>
              <w:t>#</w:t>
            </w:r>
            <w:r w:rsidRPr="003E0B98">
              <w:rPr>
                <w:color w:val="000000"/>
                <w:szCs w:val="22"/>
                <w:u w:val="single"/>
                <w:vertAlign w:val="superscript"/>
                <w:lang w:val="es-ES_tradnl"/>
              </w:rPr>
              <w:t xml:space="preserve"> </w:t>
            </w:r>
            <w:r w:rsidRPr="003E0B98">
              <w:rPr>
                <w:color w:val="000000"/>
                <w:szCs w:val="22"/>
                <w:lang w:val="es-ES_tradnl"/>
              </w:rPr>
              <w:t xml:space="preserve">Las reacciones adversas se definieron como acontecimientos adversos (en al menos 0,5 puntos porcentuales de pacientes) que ocurrieron con una frecuencia superior (como mínimo 2 puntos porcentuales) en los pacientes que recibieron el tratamiento con </w:t>
            </w:r>
            <w:proofErr w:type="spellStart"/>
            <w:r w:rsidRPr="003E0B98">
              <w:rPr>
                <w:color w:val="000000"/>
                <w:szCs w:val="22"/>
                <w:lang w:val="es-ES_tradnl"/>
              </w:rPr>
              <w:t>Lucentis</w:t>
            </w:r>
            <w:proofErr w:type="spellEnd"/>
            <w:r w:rsidRPr="003E0B98">
              <w:rPr>
                <w:color w:val="000000"/>
                <w:szCs w:val="22"/>
                <w:lang w:val="es-ES_tradnl"/>
              </w:rPr>
              <w:t xml:space="preserve"> 0,5 mg respecto a los que recibieron el tratamiento control (tratamiento simulado (</w:t>
            </w:r>
            <w:proofErr w:type="spellStart"/>
            <w:r w:rsidRPr="003E0B98">
              <w:rPr>
                <w:i/>
                <w:iCs/>
                <w:color w:val="000000"/>
                <w:szCs w:val="22"/>
                <w:lang w:val="es-ES_tradnl"/>
              </w:rPr>
              <w:t>sham</w:t>
            </w:r>
            <w:proofErr w:type="spellEnd"/>
            <w:r w:rsidRPr="003E0B98">
              <w:rPr>
                <w:i/>
                <w:iCs/>
                <w:color w:val="000000"/>
                <w:szCs w:val="22"/>
                <w:lang w:val="es-ES_tradnl"/>
              </w:rPr>
              <w:t>)</w:t>
            </w:r>
            <w:r w:rsidRPr="003E0B98">
              <w:rPr>
                <w:color w:val="000000"/>
                <w:szCs w:val="22"/>
                <w:lang w:val="es-ES_tradnl"/>
              </w:rPr>
              <w:t xml:space="preserve"> o TFD con </w:t>
            </w:r>
            <w:proofErr w:type="spellStart"/>
            <w:r w:rsidRPr="003E0B98">
              <w:rPr>
                <w:color w:val="000000"/>
                <w:szCs w:val="22"/>
                <w:lang w:val="es-ES_tradnl"/>
              </w:rPr>
              <w:t>verteporfina</w:t>
            </w:r>
            <w:proofErr w:type="spellEnd"/>
            <w:r w:rsidRPr="003E0B98">
              <w:rPr>
                <w:color w:val="000000"/>
                <w:szCs w:val="22"/>
                <w:lang w:val="es-ES_tradnl"/>
              </w:rPr>
              <w:t>).</w:t>
            </w:r>
          </w:p>
          <w:p w14:paraId="06F54251" w14:textId="77777777" w:rsidR="009C7FF4" w:rsidRPr="003E0B98" w:rsidRDefault="009C7FF4" w:rsidP="004361AC">
            <w:pPr>
              <w:tabs>
                <w:tab w:val="clear" w:pos="567"/>
              </w:tabs>
              <w:spacing w:line="240" w:lineRule="auto"/>
              <w:rPr>
                <w:color w:val="000000"/>
                <w:szCs w:val="22"/>
                <w:lang w:val="es-ES_tradnl"/>
              </w:rPr>
            </w:pPr>
            <w:r w:rsidRPr="003E0B98">
              <w:rPr>
                <w:color w:val="000000"/>
                <w:szCs w:val="22"/>
                <w:lang w:val="es-ES_tradnl"/>
              </w:rPr>
              <w:t>* observado sólo en población con EMD</w:t>
            </w:r>
          </w:p>
        </w:tc>
      </w:tr>
    </w:tbl>
    <w:p w14:paraId="66D71B86" w14:textId="77777777" w:rsidR="009C7FF4" w:rsidRPr="003E0B98" w:rsidRDefault="009C7FF4" w:rsidP="004361AC">
      <w:pPr>
        <w:tabs>
          <w:tab w:val="clear" w:pos="567"/>
        </w:tabs>
        <w:spacing w:line="240" w:lineRule="auto"/>
        <w:rPr>
          <w:color w:val="000000"/>
          <w:szCs w:val="22"/>
          <w:lang w:val="es-ES_tradnl"/>
        </w:rPr>
      </w:pPr>
    </w:p>
    <w:p w14:paraId="6547C4DC" w14:textId="77777777" w:rsidR="009C7FF4" w:rsidRPr="003E0B98" w:rsidRDefault="009C7FF4" w:rsidP="004361AC">
      <w:pPr>
        <w:keepNext/>
        <w:tabs>
          <w:tab w:val="clear" w:pos="567"/>
        </w:tabs>
        <w:spacing w:line="240" w:lineRule="auto"/>
        <w:rPr>
          <w:color w:val="000000"/>
          <w:szCs w:val="22"/>
          <w:lang w:val="es-ES_tradnl"/>
        </w:rPr>
      </w:pPr>
      <w:r w:rsidRPr="003E0B98">
        <w:rPr>
          <w:color w:val="000000"/>
          <w:szCs w:val="22"/>
          <w:u w:val="single"/>
          <w:lang w:val="es-ES_tradnl"/>
        </w:rPr>
        <w:t>Reacciones adversas de clase terapéutica</w:t>
      </w:r>
    </w:p>
    <w:p w14:paraId="0D581C51" w14:textId="77777777" w:rsidR="00313DAC" w:rsidRPr="003E0B98" w:rsidRDefault="00313DAC" w:rsidP="004361AC">
      <w:pPr>
        <w:keepNext/>
        <w:tabs>
          <w:tab w:val="clear" w:pos="567"/>
        </w:tabs>
        <w:spacing w:line="240" w:lineRule="auto"/>
        <w:rPr>
          <w:color w:val="000000"/>
          <w:szCs w:val="22"/>
          <w:lang w:val="es-ES_tradnl"/>
        </w:rPr>
      </w:pPr>
    </w:p>
    <w:p w14:paraId="08431497" w14:textId="6F5DDF5B" w:rsidR="009C7FF4" w:rsidRPr="003E0B98" w:rsidRDefault="009C7FF4" w:rsidP="004361AC">
      <w:pPr>
        <w:tabs>
          <w:tab w:val="clear" w:pos="567"/>
        </w:tabs>
        <w:spacing w:line="240" w:lineRule="auto"/>
        <w:rPr>
          <w:color w:val="000000"/>
          <w:szCs w:val="22"/>
          <w:lang w:val="es-ES_tradnl"/>
        </w:rPr>
      </w:pPr>
      <w:r w:rsidRPr="003E0B98">
        <w:rPr>
          <w:color w:val="000000"/>
          <w:szCs w:val="22"/>
          <w:lang w:val="es-ES_tradnl"/>
        </w:rPr>
        <w:t>En los ensayos fase III en DMAE exudativa, la frecuencia global de hemorragias no oculares, un efecto adverso potencialmente relacionado con la inhibición sistémica del VEGF (</w:t>
      </w:r>
      <w:r w:rsidRPr="003E0B98">
        <w:rPr>
          <w:color w:val="000000"/>
          <w:lang w:val="es-ES"/>
        </w:rPr>
        <w:t>factor de crecimiento endotelial vascular)</w:t>
      </w:r>
      <w:r w:rsidRPr="003E0B98">
        <w:rPr>
          <w:color w:val="000000"/>
          <w:szCs w:val="22"/>
          <w:lang w:val="es-ES_tradnl"/>
        </w:rPr>
        <w:t xml:space="preserve">, fue ligeramente superior en los pacientes tratados con </w:t>
      </w:r>
      <w:proofErr w:type="spellStart"/>
      <w:r w:rsidRPr="003E0B98">
        <w:rPr>
          <w:color w:val="000000"/>
          <w:szCs w:val="22"/>
          <w:lang w:val="es-ES_tradnl"/>
        </w:rPr>
        <w:t>ranibizumab</w:t>
      </w:r>
      <w:proofErr w:type="spellEnd"/>
      <w:r w:rsidRPr="003E0B98">
        <w:rPr>
          <w:color w:val="000000"/>
          <w:szCs w:val="22"/>
          <w:lang w:val="es-ES_tradnl"/>
        </w:rPr>
        <w:t xml:space="preserve">. Sin embargo, no hubo un patrón consistente entre las distintas hemorragias. Tras el uso intravítreo de inhibidores del VEGF existe un riesgo teórico de acontecimientos tromboembólicos arteriales, incluyendo accidente cerebrovascular e infarto de miocardio. En los </w:t>
      </w:r>
      <w:r w:rsidR="00784C67">
        <w:rPr>
          <w:color w:val="000000"/>
          <w:szCs w:val="22"/>
          <w:lang w:val="es-ES_tradnl"/>
        </w:rPr>
        <w:t>estudios</w:t>
      </w:r>
      <w:r w:rsidR="00784C67" w:rsidRPr="003E0B98">
        <w:rPr>
          <w:color w:val="000000"/>
          <w:szCs w:val="22"/>
          <w:lang w:val="es-ES_tradnl"/>
        </w:rPr>
        <w:t xml:space="preserve"> </w:t>
      </w:r>
      <w:r w:rsidRPr="003E0B98">
        <w:rPr>
          <w:color w:val="000000"/>
          <w:szCs w:val="22"/>
          <w:lang w:val="es-ES_tradnl"/>
        </w:rPr>
        <w:t xml:space="preserve">clínicos con </w:t>
      </w:r>
      <w:proofErr w:type="spellStart"/>
      <w:r w:rsidRPr="003E0B98">
        <w:rPr>
          <w:color w:val="000000"/>
          <w:szCs w:val="22"/>
          <w:lang w:val="es-ES_tradnl"/>
        </w:rPr>
        <w:t>Lucentis</w:t>
      </w:r>
      <w:proofErr w:type="spellEnd"/>
      <w:r w:rsidRPr="003E0B98">
        <w:rPr>
          <w:color w:val="000000"/>
          <w:szCs w:val="22"/>
          <w:lang w:val="es-ES_tradnl"/>
        </w:rPr>
        <w:t xml:space="preserve"> se observó una incidencia baja de acontecimientos tromboembólicos arteriales en pacientes con DMAE, </w:t>
      </w:r>
      <w:r w:rsidR="002F08F3" w:rsidRPr="003E0B98">
        <w:rPr>
          <w:color w:val="000000"/>
          <w:szCs w:val="22"/>
          <w:lang w:val="es-ES_tradnl"/>
        </w:rPr>
        <w:t xml:space="preserve">EMD, RDP, OVR y </w:t>
      </w:r>
      <w:r w:rsidR="00DE39FE" w:rsidRPr="003E0B98">
        <w:rPr>
          <w:color w:val="000000"/>
          <w:szCs w:val="22"/>
          <w:lang w:val="es-ES_tradnl"/>
        </w:rPr>
        <w:t>NVC</w:t>
      </w:r>
      <w:r w:rsidRPr="003E0B98">
        <w:rPr>
          <w:color w:val="000000"/>
          <w:szCs w:val="22"/>
          <w:lang w:val="es-ES_tradnl"/>
        </w:rPr>
        <w:t xml:space="preserve"> y no hubo ninguna diferencia destacable entre los grupos tratados con </w:t>
      </w:r>
      <w:proofErr w:type="spellStart"/>
      <w:r w:rsidRPr="003E0B98">
        <w:rPr>
          <w:color w:val="000000"/>
          <w:szCs w:val="22"/>
          <w:lang w:val="es-ES_tradnl"/>
        </w:rPr>
        <w:t>ranibizumab</w:t>
      </w:r>
      <w:proofErr w:type="spellEnd"/>
      <w:r w:rsidRPr="003E0B98">
        <w:rPr>
          <w:color w:val="000000"/>
          <w:szCs w:val="22"/>
          <w:lang w:val="es-ES_tradnl"/>
        </w:rPr>
        <w:t xml:space="preserve"> comparado con el control.</w:t>
      </w:r>
    </w:p>
    <w:p w14:paraId="10798B12" w14:textId="77777777" w:rsidR="009C7FF4" w:rsidRPr="003E0B98" w:rsidRDefault="009C7FF4" w:rsidP="004361AC">
      <w:pPr>
        <w:tabs>
          <w:tab w:val="clear" w:pos="567"/>
        </w:tabs>
        <w:spacing w:line="240" w:lineRule="auto"/>
        <w:rPr>
          <w:color w:val="000000"/>
          <w:szCs w:val="22"/>
          <w:lang w:val="es-ES_tradnl"/>
        </w:rPr>
      </w:pPr>
    </w:p>
    <w:p w14:paraId="21D8FD72" w14:textId="77777777" w:rsidR="009C7FF4" w:rsidRPr="003E0B98" w:rsidRDefault="009C7FF4" w:rsidP="004361AC">
      <w:pPr>
        <w:keepNext/>
        <w:spacing w:line="240" w:lineRule="auto"/>
        <w:rPr>
          <w:szCs w:val="24"/>
          <w:u w:val="single"/>
          <w:lang w:val="es-ES_tradnl"/>
        </w:rPr>
      </w:pPr>
      <w:r w:rsidRPr="003E0B98">
        <w:rPr>
          <w:szCs w:val="24"/>
          <w:u w:val="single"/>
          <w:lang w:val="es-ES_tradnl"/>
        </w:rPr>
        <w:t>Notificación de sospechas de reacciones adversas</w:t>
      </w:r>
    </w:p>
    <w:p w14:paraId="1C7FB1F8" w14:textId="77777777" w:rsidR="00FA589A" w:rsidRPr="003E0B98" w:rsidRDefault="00FA589A" w:rsidP="004361AC">
      <w:pPr>
        <w:keepNext/>
        <w:tabs>
          <w:tab w:val="clear" w:pos="567"/>
        </w:tabs>
        <w:spacing w:line="240" w:lineRule="auto"/>
        <w:rPr>
          <w:szCs w:val="24"/>
          <w:lang w:val="es-ES_tradnl"/>
        </w:rPr>
      </w:pPr>
    </w:p>
    <w:p w14:paraId="69DB295E" w14:textId="77777777" w:rsidR="009C7FF4" w:rsidRPr="003E0B98" w:rsidRDefault="009C7FF4" w:rsidP="004361AC">
      <w:pPr>
        <w:tabs>
          <w:tab w:val="clear" w:pos="567"/>
        </w:tabs>
        <w:spacing w:line="240" w:lineRule="auto"/>
        <w:rPr>
          <w:szCs w:val="22"/>
          <w:u w:val="single"/>
          <w:lang w:val="es-ES"/>
        </w:rPr>
      </w:pPr>
      <w:r w:rsidRPr="003E0B98">
        <w:rPr>
          <w:szCs w:val="24"/>
          <w:lang w:val="es-ES_tradnl"/>
        </w:rPr>
        <w:t xml:space="preserve">Es importante notificar sospechas de reacciones adversas al medicamento tras su autorización. Ello permite una supervisión continuada de la relación beneficio/riesgo del medicamento. Se invita a los profesionales sanitarios a notificar las sospechas de reacciones adversas a través del </w:t>
      </w:r>
      <w:r w:rsidRPr="003E0B98">
        <w:rPr>
          <w:szCs w:val="22"/>
          <w:shd w:val="pct15" w:color="auto" w:fill="auto"/>
          <w:lang w:val="es-ES"/>
        </w:rPr>
        <w:t xml:space="preserve">sistema nacional de notificación incluido en el </w:t>
      </w:r>
      <w:hyperlink r:id="rId17" w:history="1">
        <w:r w:rsidR="00FA589A" w:rsidRPr="003E0B98">
          <w:rPr>
            <w:rStyle w:val="Hyperlink"/>
            <w:szCs w:val="22"/>
            <w:shd w:val="pct15" w:color="auto" w:fill="auto"/>
            <w:lang w:val="es-ES"/>
          </w:rPr>
          <w:t>Apéndice V</w:t>
        </w:r>
      </w:hyperlink>
      <w:r w:rsidRPr="003E0B98">
        <w:rPr>
          <w:szCs w:val="22"/>
          <w:lang w:val="es-ES"/>
        </w:rPr>
        <w:t>.</w:t>
      </w:r>
    </w:p>
    <w:p w14:paraId="17CEF6C8" w14:textId="77777777" w:rsidR="009C7FF4" w:rsidRPr="003E0B98" w:rsidRDefault="009C7FF4" w:rsidP="004361AC">
      <w:pPr>
        <w:tabs>
          <w:tab w:val="clear" w:pos="567"/>
        </w:tabs>
        <w:spacing w:line="240" w:lineRule="auto"/>
        <w:rPr>
          <w:color w:val="000000"/>
          <w:szCs w:val="22"/>
          <w:lang w:val="es-ES_tradnl"/>
        </w:rPr>
      </w:pPr>
    </w:p>
    <w:p w14:paraId="79DE2541" w14:textId="77777777" w:rsidR="009C7FF4" w:rsidRPr="003E0B98" w:rsidRDefault="009C7FF4" w:rsidP="004361AC">
      <w:pPr>
        <w:keepNext/>
        <w:tabs>
          <w:tab w:val="clear" w:pos="567"/>
        </w:tabs>
        <w:spacing w:line="240" w:lineRule="auto"/>
        <w:rPr>
          <w:color w:val="000000"/>
          <w:szCs w:val="22"/>
          <w:lang w:val="es-ES_tradnl"/>
        </w:rPr>
      </w:pPr>
      <w:r w:rsidRPr="003E0B98">
        <w:rPr>
          <w:b/>
          <w:color w:val="000000"/>
          <w:szCs w:val="22"/>
          <w:lang w:val="es-ES_tradnl"/>
        </w:rPr>
        <w:t>4.9</w:t>
      </w:r>
      <w:r w:rsidRPr="003E0B98">
        <w:rPr>
          <w:b/>
          <w:color w:val="000000"/>
          <w:szCs w:val="22"/>
          <w:lang w:val="es-ES_tradnl"/>
        </w:rPr>
        <w:tab/>
      </w:r>
      <w:r w:rsidRPr="003E0B98">
        <w:rPr>
          <w:b/>
          <w:color w:val="000000"/>
          <w:szCs w:val="22"/>
          <w:lang w:val="es-ES"/>
        </w:rPr>
        <w:t>Sobredosis</w:t>
      </w:r>
    </w:p>
    <w:p w14:paraId="5A481D35" w14:textId="77777777" w:rsidR="009C7FF4" w:rsidRPr="003E0B98" w:rsidRDefault="009C7FF4" w:rsidP="004361AC">
      <w:pPr>
        <w:keepNext/>
        <w:tabs>
          <w:tab w:val="clear" w:pos="567"/>
        </w:tabs>
        <w:spacing w:line="240" w:lineRule="auto"/>
        <w:rPr>
          <w:color w:val="000000"/>
          <w:szCs w:val="22"/>
          <w:lang w:val="es-ES_tradnl"/>
        </w:rPr>
      </w:pPr>
    </w:p>
    <w:p w14:paraId="1B9557FE" w14:textId="77777777" w:rsidR="009C7FF4" w:rsidRPr="003E0B98" w:rsidRDefault="009C7FF4" w:rsidP="004361AC">
      <w:pPr>
        <w:tabs>
          <w:tab w:val="clear" w:pos="567"/>
        </w:tabs>
        <w:spacing w:line="240" w:lineRule="auto"/>
        <w:rPr>
          <w:color w:val="000000"/>
          <w:szCs w:val="22"/>
          <w:lang w:val="es-ES_tradnl"/>
        </w:rPr>
      </w:pPr>
      <w:r w:rsidRPr="003E0B98">
        <w:rPr>
          <w:color w:val="000000"/>
          <w:szCs w:val="22"/>
          <w:lang w:val="es-ES_tradnl"/>
        </w:rPr>
        <w:t xml:space="preserve">Se han notificado casos de sobredosis accidental procedentes de los ensayos clínicos en DMAE exudativa y de los datos </w:t>
      </w:r>
      <w:proofErr w:type="spellStart"/>
      <w:r w:rsidRPr="003E0B98">
        <w:rPr>
          <w:color w:val="000000"/>
          <w:szCs w:val="22"/>
          <w:lang w:val="es-ES_tradnl"/>
        </w:rPr>
        <w:t>post-comercialización</w:t>
      </w:r>
      <w:proofErr w:type="spellEnd"/>
      <w:r w:rsidRPr="003E0B98">
        <w:rPr>
          <w:color w:val="000000"/>
          <w:szCs w:val="22"/>
          <w:lang w:val="es-ES_tradnl"/>
        </w:rPr>
        <w:t>. Las reacciones adversas que se asociaron a estos casos notificados fueron aumento de la presión intraocular, ceguera transitoria, agudeza visual reducida, edema corneal, dolor corneal y dolor ocular. En caso de sobredosis, se deberá realizar un seguimiento y tratamiento de la presión intraocular, si el médico lo considera necesario.</w:t>
      </w:r>
    </w:p>
    <w:p w14:paraId="4B5D67AA" w14:textId="77777777" w:rsidR="009C7FF4" w:rsidRPr="003E0B98" w:rsidRDefault="009C7FF4" w:rsidP="004361AC">
      <w:pPr>
        <w:tabs>
          <w:tab w:val="clear" w:pos="567"/>
        </w:tabs>
        <w:spacing w:line="240" w:lineRule="auto"/>
        <w:rPr>
          <w:color w:val="000000"/>
          <w:szCs w:val="22"/>
          <w:lang w:val="es-ES_tradnl"/>
        </w:rPr>
      </w:pPr>
    </w:p>
    <w:p w14:paraId="595ECE08" w14:textId="77777777" w:rsidR="009C7FF4" w:rsidRPr="003E0B98" w:rsidRDefault="009C7FF4" w:rsidP="004361AC">
      <w:pPr>
        <w:tabs>
          <w:tab w:val="clear" w:pos="567"/>
        </w:tabs>
        <w:spacing w:line="240" w:lineRule="auto"/>
        <w:rPr>
          <w:color w:val="000000"/>
          <w:szCs w:val="22"/>
          <w:lang w:val="es-ES_tradnl"/>
        </w:rPr>
      </w:pPr>
    </w:p>
    <w:p w14:paraId="2512EA9D" w14:textId="77777777" w:rsidR="009C7FF4" w:rsidRPr="003E0B98" w:rsidRDefault="009C7FF4" w:rsidP="004361AC">
      <w:pPr>
        <w:keepNext/>
        <w:tabs>
          <w:tab w:val="clear" w:pos="567"/>
        </w:tabs>
        <w:spacing w:line="240" w:lineRule="auto"/>
        <w:rPr>
          <w:color w:val="000000"/>
          <w:szCs w:val="22"/>
          <w:lang w:val="es-ES_tradnl"/>
        </w:rPr>
      </w:pPr>
      <w:r w:rsidRPr="003E0B98">
        <w:rPr>
          <w:b/>
          <w:color w:val="000000"/>
          <w:szCs w:val="22"/>
          <w:lang w:val="es-ES_tradnl"/>
        </w:rPr>
        <w:t>5.</w:t>
      </w:r>
      <w:r w:rsidRPr="003E0B98">
        <w:rPr>
          <w:b/>
          <w:color w:val="000000"/>
          <w:szCs w:val="22"/>
          <w:lang w:val="es-ES_tradnl"/>
        </w:rPr>
        <w:tab/>
      </w:r>
      <w:r w:rsidRPr="003E0B98">
        <w:rPr>
          <w:b/>
          <w:noProof/>
          <w:color w:val="000000"/>
          <w:lang w:val="es-ES_tradnl"/>
        </w:rPr>
        <w:t>PROPIEDADES FARMACOLÓGICAS</w:t>
      </w:r>
    </w:p>
    <w:p w14:paraId="61BF5D7A" w14:textId="77777777" w:rsidR="009C7FF4" w:rsidRPr="003E0B98" w:rsidRDefault="009C7FF4" w:rsidP="004361AC">
      <w:pPr>
        <w:keepNext/>
        <w:tabs>
          <w:tab w:val="clear" w:pos="567"/>
        </w:tabs>
        <w:spacing w:line="240" w:lineRule="auto"/>
        <w:rPr>
          <w:color w:val="000000"/>
          <w:szCs w:val="22"/>
          <w:lang w:val="es-ES_tradnl"/>
        </w:rPr>
      </w:pPr>
    </w:p>
    <w:p w14:paraId="0572065D" w14:textId="77777777" w:rsidR="009C7FF4" w:rsidRPr="003E0B98" w:rsidRDefault="009C7FF4" w:rsidP="004361AC">
      <w:pPr>
        <w:keepNext/>
        <w:tabs>
          <w:tab w:val="clear" w:pos="567"/>
        </w:tabs>
        <w:spacing w:line="240" w:lineRule="auto"/>
        <w:rPr>
          <w:color w:val="000000"/>
          <w:szCs w:val="22"/>
          <w:lang w:val="es-ES_tradnl"/>
        </w:rPr>
      </w:pPr>
      <w:r w:rsidRPr="003E0B98">
        <w:rPr>
          <w:b/>
          <w:color w:val="000000"/>
          <w:szCs w:val="22"/>
          <w:lang w:val="es-ES_tradnl"/>
        </w:rPr>
        <w:t>5.1</w:t>
      </w:r>
      <w:r w:rsidRPr="003E0B98">
        <w:rPr>
          <w:b/>
          <w:color w:val="000000"/>
          <w:szCs w:val="22"/>
          <w:lang w:val="es-ES_tradnl"/>
        </w:rPr>
        <w:tab/>
      </w:r>
      <w:r w:rsidRPr="003E0B98">
        <w:rPr>
          <w:b/>
          <w:color w:val="000000"/>
          <w:szCs w:val="22"/>
          <w:lang w:val="es-ES"/>
        </w:rPr>
        <w:t>Propiedades farmacodinámicas</w:t>
      </w:r>
    </w:p>
    <w:p w14:paraId="026AC6A0" w14:textId="77777777" w:rsidR="009C7FF4" w:rsidRPr="003E0B98" w:rsidRDefault="009C7FF4" w:rsidP="004361AC">
      <w:pPr>
        <w:keepNext/>
        <w:tabs>
          <w:tab w:val="clear" w:pos="567"/>
        </w:tabs>
        <w:spacing w:line="240" w:lineRule="auto"/>
        <w:rPr>
          <w:color w:val="000000"/>
          <w:szCs w:val="22"/>
          <w:lang w:val="es-ES_tradnl"/>
        </w:rPr>
      </w:pPr>
    </w:p>
    <w:p w14:paraId="55529B60" w14:textId="77777777" w:rsidR="009C7FF4" w:rsidRPr="003E0B98" w:rsidRDefault="009C7FF4" w:rsidP="004361AC">
      <w:pPr>
        <w:tabs>
          <w:tab w:val="clear" w:pos="567"/>
        </w:tabs>
        <w:spacing w:line="240" w:lineRule="auto"/>
        <w:rPr>
          <w:color w:val="000000"/>
          <w:szCs w:val="22"/>
          <w:lang w:val="es-ES_tradnl"/>
        </w:rPr>
      </w:pPr>
      <w:r w:rsidRPr="003E0B98">
        <w:rPr>
          <w:color w:val="000000"/>
          <w:szCs w:val="22"/>
          <w:lang w:val="pt-PT"/>
        </w:rPr>
        <w:t>Grupo farmacoterapéutico</w:t>
      </w:r>
      <w:r w:rsidRPr="003E0B98">
        <w:rPr>
          <w:color w:val="000000"/>
          <w:szCs w:val="22"/>
          <w:lang w:val="es-ES_tradnl"/>
        </w:rPr>
        <w:t xml:space="preserve">: Oftalmológicos, </w:t>
      </w:r>
      <w:r w:rsidRPr="003E0B98">
        <w:rPr>
          <w:color w:val="000000"/>
          <w:szCs w:val="22"/>
          <w:lang w:val="es-ES"/>
        </w:rPr>
        <w:t xml:space="preserve">agentes </w:t>
      </w:r>
      <w:proofErr w:type="spellStart"/>
      <w:r w:rsidRPr="003E0B98">
        <w:rPr>
          <w:color w:val="000000"/>
          <w:szCs w:val="22"/>
          <w:lang w:val="es-ES"/>
        </w:rPr>
        <w:t>antineovascularización</w:t>
      </w:r>
      <w:proofErr w:type="spellEnd"/>
      <w:r w:rsidRPr="003E0B98">
        <w:rPr>
          <w:color w:val="000000"/>
          <w:szCs w:val="22"/>
          <w:lang w:val="es-ES_tradnl"/>
        </w:rPr>
        <w:t xml:space="preserve">, </w:t>
      </w:r>
      <w:r w:rsidRPr="003E0B98">
        <w:rPr>
          <w:color w:val="000000"/>
          <w:szCs w:val="22"/>
          <w:lang w:val="pt-PT"/>
        </w:rPr>
        <w:t>código ATC</w:t>
      </w:r>
      <w:r w:rsidRPr="003E0B98">
        <w:rPr>
          <w:color w:val="000000"/>
          <w:szCs w:val="22"/>
          <w:lang w:val="es-ES_tradnl"/>
        </w:rPr>
        <w:t>: S01LA04</w:t>
      </w:r>
    </w:p>
    <w:p w14:paraId="5D1F9502" w14:textId="77777777" w:rsidR="009C7FF4" w:rsidRPr="003E0B98" w:rsidRDefault="009C7FF4" w:rsidP="004361AC">
      <w:pPr>
        <w:tabs>
          <w:tab w:val="clear" w:pos="567"/>
        </w:tabs>
        <w:spacing w:line="240" w:lineRule="auto"/>
        <w:rPr>
          <w:color w:val="000000"/>
          <w:szCs w:val="22"/>
          <w:lang w:val="es-ES_tradnl"/>
        </w:rPr>
      </w:pPr>
    </w:p>
    <w:p w14:paraId="1FA4441F" w14:textId="77777777" w:rsidR="00FA589A" w:rsidRPr="003E0B98" w:rsidRDefault="00FA589A" w:rsidP="004361AC">
      <w:pPr>
        <w:keepNext/>
        <w:tabs>
          <w:tab w:val="clear" w:pos="567"/>
        </w:tabs>
        <w:spacing w:line="240" w:lineRule="auto"/>
        <w:rPr>
          <w:color w:val="000000"/>
          <w:u w:val="single"/>
          <w:lang w:val="es-ES"/>
        </w:rPr>
      </w:pPr>
      <w:r w:rsidRPr="003E0B98">
        <w:rPr>
          <w:color w:val="000000"/>
          <w:u w:val="single"/>
          <w:lang w:val="es-ES"/>
        </w:rPr>
        <w:t>Mecanismo de acción</w:t>
      </w:r>
    </w:p>
    <w:p w14:paraId="7BD61D4B" w14:textId="77777777" w:rsidR="00FA589A" w:rsidRPr="003E0B98" w:rsidRDefault="00FA589A" w:rsidP="004361AC">
      <w:pPr>
        <w:keepNext/>
        <w:tabs>
          <w:tab w:val="clear" w:pos="567"/>
        </w:tabs>
        <w:spacing w:line="240" w:lineRule="auto"/>
        <w:rPr>
          <w:color w:val="000000"/>
          <w:lang w:val="es-ES"/>
        </w:rPr>
      </w:pPr>
    </w:p>
    <w:p w14:paraId="602EC3C0" w14:textId="77777777" w:rsidR="009C7FF4" w:rsidRPr="003E0B98" w:rsidRDefault="009C7FF4" w:rsidP="004361AC">
      <w:pPr>
        <w:tabs>
          <w:tab w:val="clear" w:pos="567"/>
        </w:tabs>
        <w:spacing w:line="240" w:lineRule="auto"/>
        <w:rPr>
          <w:color w:val="000000"/>
          <w:szCs w:val="22"/>
          <w:lang w:val="es-ES_tradnl"/>
        </w:rPr>
      </w:pPr>
      <w:proofErr w:type="spellStart"/>
      <w:r w:rsidRPr="003E0B98">
        <w:rPr>
          <w:color w:val="000000"/>
          <w:lang w:val="es-ES"/>
        </w:rPr>
        <w:t>Ranibizumab</w:t>
      </w:r>
      <w:proofErr w:type="spellEnd"/>
      <w:r w:rsidRPr="003E0B98">
        <w:rPr>
          <w:color w:val="000000"/>
          <w:lang w:val="es-ES"/>
        </w:rPr>
        <w:t xml:space="preserve"> es un fragmento de anticuerpo monoclonal recombinante humanizado dirigido contra el factor de crecimiento endotelial vascular A (</w:t>
      </w:r>
      <w:r w:rsidRPr="003E0B98">
        <w:rPr>
          <w:color w:val="000000"/>
          <w:szCs w:val="22"/>
          <w:lang w:val="es-ES_tradnl"/>
        </w:rPr>
        <w:t xml:space="preserve">VEGF-A) </w:t>
      </w:r>
      <w:r w:rsidRPr="003E0B98">
        <w:rPr>
          <w:color w:val="000000"/>
          <w:lang w:val="es-ES"/>
        </w:rPr>
        <w:t>humano</w:t>
      </w:r>
      <w:r w:rsidRPr="003E0B98">
        <w:rPr>
          <w:color w:val="000000"/>
          <w:szCs w:val="22"/>
          <w:lang w:val="es-ES_tradnl"/>
        </w:rPr>
        <w:t>. Se une con alta afinidad a las isoformas del VEGF-A (p. ej. VEGF</w:t>
      </w:r>
      <w:r w:rsidRPr="003E0B98">
        <w:rPr>
          <w:color w:val="000000"/>
          <w:szCs w:val="22"/>
          <w:vertAlign w:val="subscript"/>
          <w:lang w:val="es-ES_tradnl"/>
        </w:rPr>
        <w:t>110</w:t>
      </w:r>
      <w:r w:rsidRPr="003E0B98">
        <w:rPr>
          <w:color w:val="000000"/>
          <w:szCs w:val="22"/>
          <w:lang w:val="es-ES_tradnl"/>
        </w:rPr>
        <w:t>, VEGF</w:t>
      </w:r>
      <w:r w:rsidRPr="003E0B98">
        <w:rPr>
          <w:color w:val="000000"/>
          <w:szCs w:val="22"/>
          <w:vertAlign w:val="subscript"/>
          <w:lang w:val="es-ES_tradnl"/>
        </w:rPr>
        <w:t>121</w:t>
      </w:r>
      <w:r w:rsidRPr="003E0B98">
        <w:rPr>
          <w:color w:val="000000"/>
          <w:szCs w:val="22"/>
          <w:lang w:val="es-ES_tradnl"/>
        </w:rPr>
        <w:t xml:space="preserve"> y VEGF</w:t>
      </w:r>
      <w:r w:rsidRPr="003E0B98">
        <w:rPr>
          <w:color w:val="000000"/>
          <w:szCs w:val="22"/>
          <w:vertAlign w:val="subscript"/>
          <w:lang w:val="es-ES_tradnl"/>
        </w:rPr>
        <w:t>165</w:t>
      </w:r>
      <w:r w:rsidRPr="003E0B98">
        <w:rPr>
          <w:color w:val="000000"/>
          <w:szCs w:val="22"/>
          <w:lang w:val="es-ES_tradnl"/>
        </w:rPr>
        <w:t xml:space="preserve">), impidiendo, por tanto, la unión del VEGF-A a sus receptores VEGFR-1 y VEGFR-2. La unión del VEGF-A a sus receptores conduce a la proliferación de las células endoteliales y la neovascularización, así como a la exudación vascular, todo lo cual se cree que contribuye a la progresión de la forma </w:t>
      </w:r>
      <w:proofErr w:type="spellStart"/>
      <w:r w:rsidRPr="003E0B98">
        <w:rPr>
          <w:color w:val="000000"/>
          <w:szCs w:val="22"/>
          <w:lang w:val="es-ES_tradnl"/>
        </w:rPr>
        <w:t>neovascular</w:t>
      </w:r>
      <w:proofErr w:type="spellEnd"/>
      <w:r w:rsidRPr="003E0B98">
        <w:rPr>
          <w:color w:val="000000"/>
          <w:szCs w:val="22"/>
          <w:lang w:val="es-ES_tradnl"/>
        </w:rPr>
        <w:t xml:space="preserve"> de la </w:t>
      </w:r>
      <w:r w:rsidRPr="003E0B98">
        <w:rPr>
          <w:color w:val="000000"/>
          <w:lang w:val="es-ES"/>
        </w:rPr>
        <w:t>degeneración macular asociada a la edad, la miopía patológica</w:t>
      </w:r>
      <w:r w:rsidR="00DE39FE" w:rsidRPr="003E0B98">
        <w:rPr>
          <w:color w:val="000000"/>
          <w:lang w:val="es-ES"/>
        </w:rPr>
        <w:t xml:space="preserve"> y la NVC</w:t>
      </w:r>
      <w:r w:rsidRPr="003E0B98">
        <w:rPr>
          <w:color w:val="000000"/>
          <w:lang w:val="es-ES"/>
        </w:rPr>
        <w:t xml:space="preserve"> o a la </w:t>
      </w:r>
      <w:r w:rsidRPr="003E0B98">
        <w:rPr>
          <w:color w:val="000000"/>
          <w:szCs w:val="22"/>
          <w:lang w:val="es-ES"/>
        </w:rPr>
        <w:t>alteración</w:t>
      </w:r>
      <w:r w:rsidRPr="003E0B98">
        <w:rPr>
          <w:color w:val="000000"/>
          <w:lang w:val="es-ES"/>
        </w:rPr>
        <w:t xml:space="preserve"> visual causada por el edema macular diabético o por el edema macular secundario a OVR.</w:t>
      </w:r>
    </w:p>
    <w:p w14:paraId="7D18802D" w14:textId="77777777" w:rsidR="009C7FF4" w:rsidRPr="003E0B98" w:rsidRDefault="009C7FF4" w:rsidP="004361AC">
      <w:pPr>
        <w:tabs>
          <w:tab w:val="clear" w:pos="567"/>
        </w:tabs>
        <w:spacing w:line="240" w:lineRule="auto"/>
        <w:rPr>
          <w:color w:val="000000"/>
          <w:szCs w:val="22"/>
          <w:lang w:val="es-ES_tradnl"/>
        </w:rPr>
      </w:pPr>
    </w:p>
    <w:p w14:paraId="2FFA3FFA" w14:textId="77777777" w:rsidR="00FA589A" w:rsidRPr="003E0B98" w:rsidRDefault="00FA589A" w:rsidP="004361AC">
      <w:pPr>
        <w:keepNext/>
        <w:tabs>
          <w:tab w:val="clear" w:pos="567"/>
        </w:tabs>
        <w:spacing w:line="240" w:lineRule="auto"/>
        <w:rPr>
          <w:color w:val="000000"/>
          <w:szCs w:val="22"/>
          <w:lang w:val="es-ES_tradnl"/>
        </w:rPr>
      </w:pPr>
      <w:r w:rsidRPr="003E0B98">
        <w:rPr>
          <w:color w:val="000000"/>
          <w:szCs w:val="22"/>
          <w:u w:val="single"/>
          <w:lang w:val="es-ES_tradnl"/>
        </w:rPr>
        <w:t>Eficacia clínica y seguridad</w:t>
      </w:r>
    </w:p>
    <w:p w14:paraId="2E751697" w14:textId="77777777" w:rsidR="00FA589A" w:rsidRPr="003E0B98" w:rsidRDefault="00FA589A" w:rsidP="004361AC">
      <w:pPr>
        <w:keepNext/>
        <w:tabs>
          <w:tab w:val="clear" w:pos="567"/>
        </w:tabs>
        <w:spacing w:line="240" w:lineRule="auto"/>
        <w:rPr>
          <w:color w:val="000000"/>
          <w:szCs w:val="22"/>
          <w:lang w:val="es-ES_tradnl"/>
        </w:rPr>
      </w:pPr>
    </w:p>
    <w:p w14:paraId="5CF05E3E" w14:textId="77777777" w:rsidR="009C7FF4" w:rsidRPr="003E0B98" w:rsidRDefault="009C7FF4" w:rsidP="004361AC">
      <w:pPr>
        <w:keepNext/>
        <w:tabs>
          <w:tab w:val="clear" w:pos="567"/>
        </w:tabs>
        <w:spacing w:line="240" w:lineRule="auto"/>
        <w:rPr>
          <w:i/>
          <w:color w:val="000000"/>
          <w:szCs w:val="22"/>
          <w:u w:val="single"/>
          <w:lang w:val="es-ES_tradnl"/>
        </w:rPr>
      </w:pPr>
      <w:r w:rsidRPr="003E0B98">
        <w:rPr>
          <w:i/>
          <w:color w:val="000000"/>
          <w:szCs w:val="22"/>
          <w:u w:val="single"/>
          <w:lang w:val="es-ES_tradnl"/>
        </w:rPr>
        <w:t>Tratamiento de la DMAE exudativa</w:t>
      </w:r>
    </w:p>
    <w:p w14:paraId="0C5C63FE" w14:textId="77777777" w:rsidR="009C7FF4" w:rsidRPr="003E0B98" w:rsidRDefault="009C7FF4" w:rsidP="004361AC">
      <w:pPr>
        <w:tabs>
          <w:tab w:val="clear" w:pos="567"/>
        </w:tabs>
        <w:spacing w:line="240" w:lineRule="auto"/>
        <w:rPr>
          <w:color w:val="000000"/>
          <w:szCs w:val="22"/>
          <w:lang w:val="es-ES_tradnl"/>
        </w:rPr>
      </w:pPr>
      <w:r w:rsidRPr="003E0B98">
        <w:rPr>
          <w:color w:val="000000"/>
          <w:szCs w:val="22"/>
          <w:lang w:val="es-ES_tradnl"/>
        </w:rPr>
        <w:t xml:space="preserve">En la DMAE exudativa, la eficacia y seguridad clínicas de </w:t>
      </w:r>
      <w:proofErr w:type="spellStart"/>
      <w:r w:rsidRPr="003E0B98">
        <w:rPr>
          <w:color w:val="000000"/>
          <w:szCs w:val="22"/>
          <w:lang w:val="es-ES_tradnl"/>
        </w:rPr>
        <w:t>Lucentis</w:t>
      </w:r>
      <w:proofErr w:type="spellEnd"/>
      <w:r w:rsidRPr="003E0B98">
        <w:rPr>
          <w:color w:val="000000"/>
          <w:szCs w:val="22"/>
          <w:lang w:val="es-ES_tradnl"/>
        </w:rPr>
        <w:t xml:space="preserve"> se han evaluado en tres ensayos aleatorizados, doble ciego, controlados con tratamiento simulado (</w:t>
      </w:r>
      <w:proofErr w:type="spellStart"/>
      <w:r w:rsidRPr="003E0B98">
        <w:rPr>
          <w:color w:val="000000"/>
          <w:szCs w:val="22"/>
          <w:lang w:val="es-ES_tradnl"/>
        </w:rPr>
        <w:t>sham</w:t>
      </w:r>
      <w:proofErr w:type="spellEnd"/>
      <w:r w:rsidRPr="003E0B98">
        <w:rPr>
          <w:color w:val="000000"/>
          <w:szCs w:val="22"/>
          <w:lang w:val="es-ES_tradnl"/>
        </w:rPr>
        <w:t xml:space="preserve">) o con tratamiento activo de 24 meses de duración, en pacientes con DMAE </w:t>
      </w:r>
      <w:proofErr w:type="spellStart"/>
      <w:r w:rsidRPr="003E0B98">
        <w:rPr>
          <w:color w:val="000000"/>
          <w:szCs w:val="22"/>
          <w:lang w:val="es-ES_tradnl"/>
        </w:rPr>
        <w:t>neovascular</w:t>
      </w:r>
      <w:proofErr w:type="spellEnd"/>
      <w:r w:rsidRPr="003E0B98">
        <w:rPr>
          <w:color w:val="000000"/>
          <w:szCs w:val="22"/>
          <w:lang w:val="es-ES_tradnl"/>
        </w:rPr>
        <w:t>. En estos ensayos fueron reclutados un total de 1.323 pacientes (879 con tratamiento activo y 444 con control).</w:t>
      </w:r>
    </w:p>
    <w:p w14:paraId="4F74B73A" w14:textId="77777777" w:rsidR="009C7FF4" w:rsidRPr="003E0B98" w:rsidRDefault="009C7FF4" w:rsidP="004361AC">
      <w:pPr>
        <w:tabs>
          <w:tab w:val="clear" w:pos="567"/>
        </w:tabs>
        <w:spacing w:line="240" w:lineRule="auto"/>
        <w:rPr>
          <w:color w:val="000000"/>
          <w:szCs w:val="22"/>
          <w:lang w:val="es-ES_tradnl"/>
        </w:rPr>
      </w:pPr>
    </w:p>
    <w:p w14:paraId="4BA60F80" w14:textId="77777777" w:rsidR="009C7FF4" w:rsidRPr="003E0B98" w:rsidRDefault="0024767F" w:rsidP="004361AC">
      <w:pPr>
        <w:tabs>
          <w:tab w:val="clear" w:pos="567"/>
        </w:tabs>
        <w:spacing w:line="240" w:lineRule="auto"/>
        <w:rPr>
          <w:color w:val="000000"/>
          <w:szCs w:val="22"/>
          <w:lang w:val="es-ES_tradnl"/>
        </w:rPr>
      </w:pPr>
      <w:r w:rsidRPr="003E0B98">
        <w:rPr>
          <w:color w:val="000000"/>
          <w:szCs w:val="22"/>
          <w:lang w:val="es-ES_tradnl"/>
        </w:rPr>
        <w:t xml:space="preserve">En el ensayo FVF2598g (MARINA), se aleatorizaron 716 pacientes con lesiones mínimamente clásicas u ocultas sin componente clásico en </w:t>
      </w:r>
      <w:proofErr w:type="gramStart"/>
      <w:r w:rsidRPr="003E0B98">
        <w:rPr>
          <w:color w:val="000000"/>
          <w:szCs w:val="22"/>
          <w:lang w:val="es-ES_tradnl"/>
        </w:rPr>
        <w:t>un ratio</w:t>
      </w:r>
      <w:proofErr w:type="gramEnd"/>
      <w:r w:rsidRPr="003E0B98">
        <w:rPr>
          <w:color w:val="000000"/>
          <w:szCs w:val="22"/>
          <w:lang w:val="es-ES_tradnl"/>
        </w:rPr>
        <w:t xml:space="preserve"> 1:1:1 para recibir inyecciones de </w:t>
      </w:r>
      <w:proofErr w:type="spellStart"/>
      <w:r w:rsidRPr="003E0B98">
        <w:rPr>
          <w:color w:val="000000"/>
          <w:szCs w:val="22"/>
          <w:lang w:val="es-ES_tradnl"/>
        </w:rPr>
        <w:t>Lucentis</w:t>
      </w:r>
      <w:proofErr w:type="spellEnd"/>
      <w:r w:rsidRPr="003E0B98">
        <w:rPr>
          <w:color w:val="000000"/>
          <w:szCs w:val="22"/>
          <w:lang w:val="es-ES_tradnl"/>
        </w:rPr>
        <w:t xml:space="preserve"> 0,3 mg, </w:t>
      </w:r>
      <w:proofErr w:type="spellStart"/>
      <w:r w:rsidRPr="003E0B98">
        <w:rPr>
          <w:color w:val="000000"/>
          <w:szCs w:val="22"/>
          <w:lang w:val="es-ES_tradnl"/>
        </w:rPr>
        <w:t>Lucentis</w:t>
      </w:r>
      <w:proofErr w:type="spellEnd"/>
      <w:r w:rsidRPr="003E0B98">
        <w:rPr>
          <w:color w:val="000000"/>
          <w:szCs w:val="22"/>
          <w:lang w:val="es-ES_tradnl"/>
        </w:rPr>
        <w:t xml:space="preserve"> 0,5 mg o tratamiento simulado una vez al mes.</w:t>
      </w:r>
    </w:p>
    <w:p w14:paraId="3CAD7CC3" w14:textId="77777777" w:rsidR="009C7FF4" w:rsidRPr="003E0B98" w:rsidRDefault="009C7FF4" w:rsidP="004361AC">
      <w:pPr>
        <w:tabs>
          <w:tab w:val="clear" w:pos="567"/>
        </w:tabs>
        <w:spacing w:line="240" w:lineRule="auto"/>
        <w:rPr>
          <w:color w:val="000000"/>
          <w:szCs w:val="22"/>
          <w:lang w:val="es-ES_tradnl"/>
        </w:rPr>
      </w:pPr>
    </w:p>
    <w:p w14:paraId="669827D1" w14:textId="77777777" w:rsidR="009C7FF4" w:rsidRPr="003E0B98" w:rsidRDefault="0024767F" w:rsidP="004361AC">
      <w:pPr>
        <w:tabs>
          <w:tab w:val="clear" w:pos="567"/>
        </w:tabs>
        <w:spacing w:line="240" w:lineRule="auto"/>
        <w:rPr>
          <w:color w:val="000000"/>
          <w:szCs w:val="22"/>
          <w:lang w:val="es-ES_tradnl"/>
        </w:rPr>
      </w:pPr>
      <w:r w:rsidRPr="003E0B98">
        <w:rPr>
          <w:color w:val="000000"/>
          <w:szCs w:val="22"/>
          <w:lang w:val="es-ES_tradnl"/>
        </w:rPr>
        <w:t xml:space="preserve">En el ensayo FVF2587g (ANCHOR), se aleatorizaron 423 pacientes con lesiones de NVC predominantemente clásicas en </w:t>
      </w:r>
      <w:proofErr w:type="gramStart"/>
      <w:r w:rsidRPr="003E0B98">
        <w:rPr>
          <w:color w:val="000000"/>
          <w:szCs w:val="22"/>
          <w:lang w:val="es-ES_tradnl"/>
        </w:rPr>
        <w:t>un ratio</w:t>
      </w:r>
      <w:proofErr w:type="gramEnd"/>
      <w:r w:rsidRPr="003E0B98">
        <w:rPr>
          <w:color w:val="000000"/>
          <w:szCs w:val="22"/>
          <w:lang w:val="es-ES_tradnl"/>
        </w:rPr>
        <w:t xml:space="preserve"> 1:1:1 para recibir </w:t>
      </w:r>
      <w:proofErr w:type="spellStart"/>
      <w:r w:rsidRPr="003E0B98">
        <w:rPr>
          <w:color w:val="000000"/>
          <w:szCs w:val="22"/>
          <w:lang w:val="es-ES_tradnl"/>
        </w:rPr>
        <w:t>Lucentis</w:t>
      </w:r>
      <w:proofErr w:type="spellEnd"/>
      <w:r w:rsidRPr="003E0B98">
        <w:rPr>
          <w:color w:val="000000"/>
          <w:szCs w:val="22"/>
          <w:lang w:val="es-ES_tradnl"/>
        </w:rPr>
        <w:t xml:space="preserve"> 0,3 mg una vez al mes, </w:t>
      </w:r>
      <w:proofErr w:type="spellStart"/>
      <w:r w:rsidRPr="003E0B98">
        <w:rPr>
          <w:color w:val="000000"/>
          <w:szCs w:val="22"/>
          <w:lang w:val="es-ES_tradnl"/>
        </w:rPr>
        <w:t>Lucentis</w:t>
      </w:r>
      <w:proofErr w:type="spellEnd"/>
      <w:r w:rsidRPr="003E0B98">
        <w:rPr>
          <w:color w:val="000000"/>
          <w:szCs w:val="22"/>
          <w:lang w:val="es-ES_tradnl"/>
        </w:rPr>
        <w:t xml:space="preserve"> 0,5 mg una vez al mes o TFD con </w:t>
      </w:r>
      <w:proofErr w:type="spellStart"/>
      <w:r w:rsidRPr="003E0B98">
        <w:rPr>
          <w:color w:val="000000"/>
          <w:szCs w:val="22"/>
          <w:lang w:val="es-ES_tradnl"/>
        </w:rPr>
        <w:t>verteporfina</w:t>
      </w:r>
      <w:proofErr w:type="spellEnd"/>
      <w:r w:rsidRPr="003E0B98">
        <w:rPr>
          <w:color w:val="000000"/>
          <w:szCs w:val="22"/>
          <w:lang w:val="es-ES_tradnl"/>
        </w:rPr>
        <w:t xml:space="preserve"> (al inicio y posteriormente cada 3 meses si la angiografía </w:t>
      </w:r>
      <w:proofErr w:type="spellStart"/>
      <w:r w:rsidRPr="003E0B98">
        <w:rPr>
          <w:color w:val="000000"/>
          <w:szCs w:val="22"/>
          <w:lang w:val="es-ES_tradnl"/>
        </w:rPr>
        <w:t>fluoresceínica</w:t>
      </w:r>
      <w:proofErr w:type="spellEnd"/>
      <w:r w:rsidRPr="003E0B98">
        <w:rPr>
          <w:color w:val="000000"/>
          <w:szCs w:val="22"/>
          <w:lang w:val="es-ES_tradnl"/>
        </w:rPr>
        <w:t xml:space="preserve"> mostraba persistencia o recurrencia de la exudación vascular).</w:t>
      </w:r>
    </w:p>
    <w:p w14:paraId="763C7B1A" w14:textId="77777777" w:rsidR="009C7FF4" w:rsidRPr="003E0B98" w:rsidRDefault="009C7FF4" w:rsidP="004361AC">
      <w:pPr>
        <w:tabs>
          <w:tab w:val="clear" w:pos="567"/>
        </w:tabs>
        <w:spacing w:line="240" w:lineRule="auto"/>
        <w:rPr>
          <w:color w:val="000000"/>
          <w:szCs w:val="22"/>
          <w:lang w:val="es-ES_tradnl"/>
        </w:rPr>
      </w:pPr>
    </w:p>
    <w:p w14:paraId="094B9028" w14:textId="77777777" w:rsidR="009C7FF4" w:rsidRPr="003E0B98" w:rsidRDefault="009C7FF4" w:rsidP="004361AC">
      <w:pPr>
        <w:tabs>
          <w:tab w:val="clear" w:pos="567"/>
        </w:tabs>
        <w:spacing w:line="240" w:lineRule="auto"/>
        <w:rPr>
          <w:color w:val="000000"/>
          <w:szCs w:val="22"/>
          <w:lang w:val="es-ES_tradnl"/>
        </w:rPr>
      </w:pPr>
      <w:r w:rsidRPr="003E0B98">
        <w:rPr>
          <w:color w:val="000000"/>
          <w:szCs w:val="22"/>
          <w:lang w:val="es-ES_tradnl"/>
        </w:rPr>
        <w:t>En la Tabla 1 y en la Figura 1 se resumen los resultados clave.</w:t>
      </w:r>
    </w:p>
    <w:p w14:paraId="32E5FDD0" w14:textId="77777777" w:rsidR="009C7FF4" w:rsidRPr="003E0B98" w:rsidRDefault="009C7FF4" w:rsidP="004361AC">
      <w:pPr>
        <w:tabs>
          <w:tab w:val="clear" w:pos="567"/>
        </w:tabs>
        <w:spacing w:line="240" w:lineRule="auto"/>
        <w:rPr>
          <w:color w:val="000000"/>
          <w:szCs w:val="22"/>
          <w:lang w:val="es-ES_tradnl"/>
        </w:rPr>
      </w:pPr>
    </w:p>
    <w:p w14:paraId="3C46DFA4" w14:textId="77777777" w:rsidR="009C7FF4" w:rsidRPr="003E0B98" w:rsidRDefault="009C7FF4" w:rsidP="004361AC">
      <w:pPr>
        <w:keepNext/>
        <w:keepLines/>
        <w:tabs>
          <w:tab w:val="clear" w:pos="567"/>
        </w:tabs>
        <w:spacing w:line="240" w:lineRule="auto"/>
        <w:ind w:left="1134" w:hanging="1134"/>
        <w:rPr>
          <w:b/>
          <w:color w:val="000000"/>
          <w:szCs w:val="22"/>
          <w:lang w:val="es-ES_tradnl"/>
        </w:rPr>
      </w:pPr>
      <w:r w:rsidRPr="003E0B98">
        <w:rPr>
          <w:b/>
          <w:color w:val="000000"/>
          <w:szCs w:val="22"/>
          <w:lang w:val="es-ES_tradnl"/>
        </w:rPr>
        <w:t>Tabla 1</w:t>
      </w:r>
      <w:r w:rsidRPr="003E0B98">
        <w:rPr>
          <w:b/>
          <w:color w:val="000000"/>
          <w:szCs w:val="22"/>
          <w:lang w:val="es-ES_tradnl"/>
        </w:rPr>
        <w:tab/>
        <w:t>Resultados al Mes 12 y al Mes 24 en el ensayo FVF2598g (MARINA) y FVF2587g (ANCHOR)</w:t>
      </w:r>
    </w:p>
    <w:p w14:paraId="05FE7092" w14:textId="77777777" w:rsidR="009C7FF4" w:rsidRPr="003E0B98" w:rsidRDefault="009C7FF4" w:rsidP="004361AC">
      <w:pPr>
        <w:keepNext/>
        <w:keepLines/>
        <w:tabs>
          <w:tab w:val="clear" w:pos="567"/>
        </w:tabs>
        <w:spacing w:line="240" w:lineRule="auto"/>
        <w:rPr>
          <w:color w:val="000000"/>
          <w:szCs w:val="22"/>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7"/>
        <w:gridCol w:w="1283"/>
        <w:gridCol w:w="1292"/>
        <w:gridCol w:w="1313"/>
        <w:gridCol w:w="1650"/>
        <w:gridCol w:w="1466"/>
      </w:tblGrid>
      <w:tr w:rsidR="009C7FF4" w:rsidRPr="003E0B98" w14:paraId="68FF21F3" w14:textId="77777777" w:rsidTr="00942F06">
        <w:tc>
          <w:tcPr>
            <w:tcW w:w="2143" w:type="dxa"/>
          </w:tcPr>
          <w:p w14:paraId="0D314A4A" w14:textId="77777777" w:rsidR="009C7FF4" w:rsidRPr="003E0B98" w:rsidRDefault="009C7FF4" w:rsidP="004361AC">
            <w:pPr>
              <w:keepNext/>
              <w:tabs>
                <w:tab w:val="clear" w:pos="567"/>
              </w:tabs>
              <w:spacing w:line="240" w:lineRule="auto"/>
              <w:rPr>
                <w:color w:val="000000"/>
                <w:szCs w:val="22"/>
                <w:lang w:val="es-ES"/>
              </w:rPr>
            </w:pPr>
          </w:p>
        </w:tc>
        <w:tc>
          <w:tcPr>
            <w:tcW w:w="1362" w:type="dxa"/>
          </w:tcPr>
          <w:p w14:paraId="36FBA3AB" w14:textId="77777777" w:rsidR="009C7FF4" w:rsidRPr="003E0B98" w:rsidRDefault="009C7FF4" w:rsidP="004361AC">
            <w:pPr>
              <w:keepNext/>
              <w:tabs>
                <w:tab w:val="clear" w:pos="567"/>
              </w:tabs>
              <w:spacing w:line="240" w:lineRule="auto"/>
              <w:jc w:val="center"/>
              <w:rPr>
                <w:color w:val="000000"/>
                <w:szCs w:val="22"/>
                <w:lang w:val="es-ES"/>
              </w:rPr>
            </w:pPr>
          </w:p>
        </w:tc>
        <w:tc>
          <w:tcPr>
            <w:tcW w:w="2505" w:type="dxa"/>
            <w:gridSpan w:val="2"/>
          </w:tcPr>
          <w:p w14:paraId="6EC2A618" w14:textId="77777777" w:rsidR="009C7FF4" w:rsidRPr="003E0B98" w:rsidRDefault="009C7FF4" w:rsidP="004361AC">
            <w:pPr>
              <w:keepNext/>
              <w:tabs>
                <w:tab w:val="clear" w:pos="567"/>
              </w:tabs>
              <w:spacing w:line="240" w:lineRule="auto"/>
              <w:jc w:val="center"/>
              <w:rPr>
                <w:color w:val="000000"/>
                <w:szCs w:val="22"/>
              </w:rPr>
            </w:pPr>
            <w:r w:rsidRPr="003E0B98">
              <w:rPr>
                <w:color w:val="000000"/>
                <w:szCs w:val="22"/>
              </w:rPr>
              <w:t>FVF2598g (MARINA)</w:t>
            </w:r>
          </w:p>
        </w:tc>
        <w:tc>
          <w:tcPr>
            <w:tcW w:w="3277" w:type="dxa"/>
            <w:gridSpan w:val="2"/>
          </w:tcPr>
          <w:p w14:paraId="3C6AD1CB" w14:textId="77777777" w:rsidR="009C7FF4" w:rsidRPr="003E0B98" w:rsidRDefault="009C7FF4" w:rsidP="004361AC">
            <w:pPr>
              <w:keepNext/>
              <w:tabs>
                <w:tab w:val="clear" w:pos="567"/>
              </w:tabs>
              <w:spacing w:line="240" w:lineRule="auto"/>
              <w:jc w:val="center"/>
              <w:rPr>
                <w:color w:val="000000"/>
                <w:szCs w:val="22"/>
              </w:rPr>
            </w:pPr>
            <w:r w:rsidRPr="003E0B98">
              <w:rPr>
                <w:color w:val="000000"/>
                <w:szCs w:val="22"/>
              </w:rPr>
              <w:t>FVF2587g (ANCHOR)</w:t>
            </w:r>
          </w:p>
        </w:tc>
      </w:tr>
      <w:tr w:rsidR="009C7FF4" w:rsidRPr="003E0B98" w14:paraId="6319C673" w14:textId="77777777" w:rsidTr="000B316C">
        <w:tc>
          <w:tcPr>
            <w:tcW w:w="2143" w:type="dxa"/>
          </w:tcPr>
          <w:p w14:paraId="1EC652E0" w14:textId="77777777" w:rsidR="009C7FF4" w:rsidRPr="003E0B98" w:rsidRDefault="009C7FF4" w:rsidP="004361AC">
            <w:pPr>
              <w:keepNext/>
              <w:tabs>
                <w:tab w:val="clear" w:pos="567"/>
              </w:tabs>
              <w:spacing w:line="240" w:lineRule="auto"/>
              <w:rPr>
                <w:color w:val="000000"/>
                <w:szCs w:val="22"/>
              </w:rPr>
            </w:pPr>
            <w:proofErr w:type="spellStart"/>
            <w:r w:rsidRPr="003E0B98">
              <w:rPr>
                <w:color w:val="000000"/>
                <w:szCs w:val="22"/>
              </w:rPr>
              <w:t>Medida</w:t>
            </w:r>
            <w:proofErr w:type="spellEnd"/>
            <w:r w:rsidRPr="003E0B98">
              <w:rPr>
                <w:color w:val="000000"/>
                <w:szCs w:val="22"/>
              </w:rPr>
              <w:t xml:space="preserve"> del </w:t>
            </w:r>
            <w:proofErr w:type="spellStart"/>
            <w:r w:rsidRPr="003E0B98">
              <w:rPr>
                <w:color w:val="000000"/>
                <w:szCs w:val="22"/>
              </w:rPr>
              <w:t>resultado</w:t>
            </w:r>
            <w:proofErr w:type="spellEnd"/>
          </w:p>
        </w:tc>
        <w:tc>
          <w:tcPr>
            <w:tcW w:w="1362" w:type="dxa"/>
          </w:tcPr>
          <w:p w14:paraId="39662EEC" w14:textId="77777777" w:rsidR="009C7FF4" w:rsidRPr="003E0B98" w:rsidRDefault="009C7FF4" w:rsidP="004361AC">
            <w:pPr>
              <w:keepNext/>
              <w:tabs>
                <w:tab w:val="clear" w:pos="567"/>
              </w:tabs>
              <w:spacing w:line="240" w:lineRule="auto"/>
              <w:jc w:val="center"/>
              <w:rPr>
                <w:color w:val="000000"/>
                <w:szCs w:val="22"/>
              </w:rPr>
            </w:pPr>
            <w:r w:rsidRPr="003E0B98">
              <w:rPr>
                <w:color w:val="000000"/>
                <w:szCs w:val="22"/>
              </w:rPr>
              <w:t>Mes</w:t>
            </w:r>
          </w:p>
        </w:tc>
        <w:tc>
          <w:tcPr>
            <w:tcW w:w="1128" w:type="dxa"/>
          </w:tcPr>
          <w:p w14:paraId="2022DB85" w14:textId="77777777" w:rsidR="009C7FF4" w:rsidRPr="003E0B98" w:rsidRDefault="009C7FF4" w:rsidP="004361AC">
            <w:pPr>
              <w:keepNext/>
              <w:tabs>
                <w:tab w:val="clear" w:pos="567"/>
              </w:tabs>
              <w:spacing w:line="240" w:lineRule="auto"/>
              <w:jc w:val="center"/>
              <w:rPr>
                <w:color w:val="000000"/>
                <w:szCs w:val="22"/>
                <w:lang w:val="es-ES_tradnl"/>
              </w:rPr>
            </w:pPr>
            <w:r w:rsidRPr="003E0B98">
              <w:rPr>
                <w:color w:val="000000"/>
                <w:szCs w:val="22"/>
                <w:lang w:val="es-ES_tradnl"/>
              </w:rPr>
              <w:t xml:space="preserve">Tratamiento simulado o </w:t>
            </w:r>
            <w:proofErr w:type="spellStart"/>
            <w:r w:rsidRPr="003E0B98">
              <w:rPr>
                <w:color w:val="000000"/>
                <w:szCs w:val="22"/>
                <w:lang w:val="es-ES_tradnl"/>
              </w:rPr>
              <w:t>sham</w:t>
            </w:r>
            <w:proofErr w:type="spellEnd"/>
          </w:p>
          <w:p w14:paraId="744C313D" w14:textId="77777777" w:rsidR="009C7FF4" w:rsidRPr="003E0B98" w:rsidRDefault="009C7FF4" w:rsidP="004361AC">
            <w:pPr>
              <w:keepNext/>
              <w:tabs>
                <w:tab w:val="clear" w:pos="567"/>
              </w:tabs>
              <w:spacing w:line="240" w:lineRule="auto"/>
              <w:jc w:val="center"/>
              <w:rPr>
                <w:color w:val="000000"/>
                <w:szCs w:val="22"/>
                <w:lang w:val="es-ES_tradnl"/>
              </w:rPr>
            </w:pPr>
            <w:r w:rsidRPr="003E0B98">
              <w:rPr>
                <w:color w:val="000000"/>
                <w:szCs w:val="22"/>
                <w:lang w:val="es-ES_tradnl"/>
              </w:rPr>
              <w:t>(n=238)</w:t>
            </w:r>
          </w:p>
        </w:tc>
        <w:tc>
          <w:tcPr>
            <w:tcW w:w="1377" w:type="dxa"/>
          </w:tcPr>
          <w:p w14:paraId="2A09ECA5" w14:textId="77777777" w:rsidR="009C7FF4" w:rsidRPr="003E0B98" w:rsidRDefault="009C7FF4" w:rsidP="004361AC">
            <w:pPr>
              <w:keepNext/>
              <w:tabs>
                <w:tab w:val="clear" w:pos="567"/>
              </w:tabs>
              <w:spacing w:line="240" w:lineRule="auto"/>
              <w:jc w:val="center"/>
              <w:rPr>
                <w:color w:val="000000"/>
                <w:szCs w:val="22"/>
              </w:rPr>
            </w:pPr>
            <w:r w:rsidRPr="003E0B98">
              <w:rPr>
                <w:color w:val="000000"/>
                <w:szCs w:val="22"/>
              </w:rPr>
              <w:t>Lucentis 0,5 mg</w:t>
            </w:r>
          </w:p>
          <w:p w14:paraId="59C8369A" w14:textId="77777777" w:rsidR="009C7FF4" w:rsidRPr="003E0B98" w:rsidRDefault="009C7FF4" w:rsidP="004361AC">
            <w:pPr>
              <w:keepNext/>
              <w:tabs>
                <w:tab w:val="clear" w:pos="567"/>
              </w:tabs>
              <w:spacing w:line="240" w:lineRule="auto"/>
              <w:jc w:val="center"/>
              <w:rPr>
                <w:color w:val="000000"/>
                <w:szCs w:val="22"/>
              </w:rPr>
            </w:pPr>
            <w:r w:rsidRPr="003E0B98">
              <w:rPr>
                <w:color w:val="000000"/>
                <w:szCs w:val="22"/>
              </w:rPr>
              <w:t>(n=240)</w:t>
            </w:r>
          </w:p>
        </w:tc>
        <w:tc>
          <w:tcPr>
            <w:tcW w:w="1718" w:type="dxa"/>
          </w:tcPr>
          <w:p w14:paraId="70E3A8C7" w14:textId="77777777" w:rsidR="009C7FF4" w:rsidRPr="003E0B98" w:rsidRDefault="009C7FF4" w:rsidP="004361AC">
            <w:pPr>
              <w:keepNext/>
              <w:tabs>
                <w:tab w:val="clear" w:pos="567"/>
              </w:tabs>
              <w:spacing w:line="240" w:lineRule="auto"/>
              <w:jc w:val="center"/>
              <w:rPr>
                <w:color w:val="000000"/>
                <w:szCs w:val="22"/>
              </w:rPr>
            </w:pPr>
            <w:r w:rsidRPr="003E0B98">
              <w:rPr>
                <w:color w:val="000000"/>
                <w:szCs w:val="22"/>
              </w:rPr>
              <w:t xml:space="preserve">TFD con </w:t>
            </w:r>
            <w:proofErr w:type="spellStart"/>
            <w:r w:rsidRPr="003E0B98">
              <w:rPr>
                <w:color w:val="000000"/>
                <w:szCs w:val="22"/>
              </w:rPr>
              <w:t>verteporfina</w:t>
            </w:r>
            <w:proofErr w:type="spellEnd"/>
            <w:r w:rsidRPr="003E0B98">
              <w:rPr>
                <w:color w:val="000000"/>
                <w:szCs w:val="22"/>
              </w:rPr>
              <w:t xml:space="preserve"> (n=143)</w:t>
            </w:r>
          </w:p>
        </w:tc>
        <w:tc>
          <w:tcPr>
            <w:tcW w:w="1559" w:type="dxa"/>
          </w:tcPr>
          <w:p w14:paraId="68CEDDA4" w14:textId="77777777" w:rsidR="009C7FF4" w:rsidRPr="003E0B98" w:rsidRDefault="009C7FF4" w:rsidP="004361AC">
            <w:pPr>
              <w:keepNext/>
              <w:tabs>
                <w:tab w:val="clear" w:pos="567"/>
              </w:tabs>
              <w:spacing w:line="240" w:lineRule="auto"/>
              <w:jc w:val="center"/>
              <w:rPr>
                <w:color w:val="000000"/>
                <w:szCs w:val="22"/>
              </w:rPr>
            </w:pPr>
            <w:r w:rsidRPr="003E0B98">
              <w:rPr>
                <w:color w:val="000000"/>
                <w:szCs w:val="22"/>
              </w:rPr>
              <w:t>Lucentis 0,5 mg (n=140)</w:t>
            </w:r>
          </w:p>
        </w:tc>
      </w:tr>
      <w:tr w:rsidR="009C7FF4" w:rsidRPr="003E0B98" w14:paraId="60E4B22E" w14:textId="77777777" w:rsidTr="000B316C">
        <w:tc>
          <w:tcPr>
            <w:tcW w:w="2143" w:type="dxa"/>
            <w:vMerge w:val="restart"/>
          </w:tcPr>
          <w:p w14:paraId="6EDF1CDD" w14:textId="77777777" w:rsidR="009C7FF4" w:rsidRPr="003E0B98" w:rsidRDefault="009C7FF4" w:rsidP="004361AC">
            <w:pPr>
              <w:keepNext/>
              <w:tabs>
                <w:tab w:val="clear" w:pos="567"/>
              </w:tabs>
              <w:spacing w:line="240" w:lineRule="auto"/>
              <w:rPr>
                <w:color w:val="000000"/>
                <w:szCs w:val="22"/>
                <w:lang w:val="es-ES_tradnl"/>
              </w:rPr>
            </w:pPr>
            <w:r w:rsidRPr="003E0B98">
              <w:rPr>
                <w:color w:val="000000"/>
                <w:szCs w:val="22"/>
                <w:lang w:val="es-ES_tradnl"/>
              </w:rPr>
              <w:t>Pérdida de &lt;15 letras de agudeza visual (</w:t>
            </w:r>
            <w:proofErr w:type="gramStart"/>
            <w:r w:rsidRPr="003E0B98">
              <w:rPr>
                <w:color w:val="000000"/>
                <w:szCs w:val="22"/>
                <w:lang w:val="es-ES_tradnl"/>
              </w:rPr>
              <w:t>%)</w:t>
            </w:r>
            <w:r w:rsidRPr="003E0B98">
              <w:rPr>
                <w:color w:val="000000"/>
                <w:szCs w:val="22"/>
                <w:vertAlign w:val="superscript"/>
                <w:lang w:val="es-ES_tradnl"/>
              </w:rPr>
              <w:t>a</w:t>
            </w:r>
            <w:proofErr w:type="gramEnd"/>
          </w:p>
          <w:p w14:paraId="00634A7E" w14:textId="77777777" w:rsidR="009C7FF4" w:rsidRPr="003E0B98" w:rsidRDefault="009C7FF4" w:rsidP="004361AC">
            <w:pPr>
              <w:keepNext/>
              <w:tabs>
                <w:tab w:val="clear" w:pos="567"/>
              </w:tabs>
              <w:spacing w:line="240" w:lineRule="auto"/>
              <w:rPr>
                <w:color w:val="000000"/>
                <w:szCs w:val="22"/>
                <w:lang w:val="es-ES_tradnl"/>
              </w:rPr>
            </w:pPr>
            <w:r w:rsidRPr="003E0B98">
              <w:rPr>
                <w:color w:val="000000"/>
                <w:szCs w:val="22"/>
                <w:lang w:val="es-ES_tradnl"/>
              </w:rPr>
              <w:t>(mantenimiento de la visión, variable primaria)</w:t>
            </w:r>
          </w:p>
        </w:tc>
        <w:tc>
          <w:tcPr>
            <w:tcW w:w="1362" w:type="dxa"/>
          </w:tcPr>
          <w:p w14:paraId="7C2D6F27" w14:textId="77777777" w:rsidR="009C7FF4" w:rsidRPr="003E0B98" w:rsidRDefault="009C7FF4" w:rsidP="004361AC">
            <w:pPr>
              <w:keepNext/>
              <w:tabs>
                <w:tab w:val="clear" w:pos="567"/>
              </w:tabs>
              <w:spacing w:line="240" w:lineRule="auto"/>
              <w:jc w:val="center"/>
              <w:rPr>
                <w:color w:val="000000"/>
                <w:szCs w:val="22"/>
              </w:rPr>
            </w:pPr>
            <w:r w:rsidRPr="003E0B98">
              <w:rPr>
                <w:color w:val="000000"/>
                <w:szCs w:val="22"/>
              </w:rPr>
              <w:t>Mes 12</w:t>
            </w:r>
          </w:p>
        </w:tc>
        <w:tc>
          <w:tcPr>
            <w:tcW w:w="1128" w:type="dxa"/>
          </w:tcPr>
          <w:p w14:paraId="760E31E3" w14:textId="77777777" w:rsidR="009C7FF4" w:rsidRPr="003E0B98" w:rsidRDefault="009C7FF4" w:rsidP="004361AC">
            <w:pPr>
              <w:keepNext/>
              <w:tabs>
                <w:tab w:val="clear" w:pos="567"/>
              </w:tabs>
              <w:spacing w:line="240" w:lineRule="auto"/>
              <w:jc w:val="center"/>
              <w:rPr>
                <w:color w:val="000000"/>
                <w:szCs w:val="22"/>
              </w:rPr>
            </w:pPr>
            <w:r w:rsidRPr="003E0B98">
              <w:rPr>
                <w:color w:val="000000"/>
                <w:szCs w:val="22"/>
              </w:rPr>
              <w:t>62%</w:t>
            </w:r>
          </w:p>
        </w:tc>
        <w:tc>
          <w:tcPr>
            <w:tcW w:w="1377" w:type="dxa"/>
          </w:tcPr>
          <w:p w14:paraId="199CD052" w14:textId="77777777" w:rsidR="009C7FF4" w:rsidRPr="003E0B98" w:rsidRDefault="009C7FF4" w:rsidP="004361AC">
            <w:pPr>
              <w:keepNext/>
              <w:tabs>
                <w:tab w:val="clear" w:pos="567"/>
              </w:tabs>
              <w:spacing w:line="240" w:lineRule="auto"/>
              <w:jc w:val="center"/>
              <w:rPr>
                <w:color w:val="000000"/>
                <w:szCs w:val="22"/>
              </w:rPr>
            </w:pPr>
            <w:r w:rsidRPr="003E0B98">
              <w:rPr>
                <w:color w:val="000000"/>
                <w:szCs w:val="22"/>
              </w:rPr>
              <w:t>95%</w:t>
            </w:r>
          </w:p>
        </w:tc>
        <w:tc>
          <w:tcPr>
            <w:tcW w:w="1718" w:type="dxa"/>
          </w:tcPr>
          <w:p w14:paraId="2FF0A132" w14:textId="77777777" w:rsidR="009C7FF4" w:rsidRPr="003E0B98" w:rsidRDefault="009C7FF4" w:rsidP="004361AC">
            <w:pPr>
              <w:keepNext/>
              <w:tabs>
                <w:tab w:val="clear" w:pos="567"/>
              </w:tabs>
              <w:spacing w:line="240" w:lineRule="auto"/>
              <w:jc w:val="center"/>
              <w:rPr>
                <w:color w:val="000000"/>
                <w:szCs w:val="22"/>
              </w:rPr>
            </w:pPr>
            <w:r w:rsidRPr="003E0B98">
              <w:rPr>
                <w:color w:val="000000"/>
                <w:szCs w:val="22"/>
              </w:rPr>
              <w:t>64%</w:t>
            </w:r>
          </w:p>
        </w:tc>
        <w:tc>
          <w:tcPr>
            <w:tcW w:w="1559" w:type="dxa"/>
          </w:tcPr>
          <w:p w14:paraId="3D64D8FA" w14:textId="77777777" w:rsidR="009C7FF4" w:rsidRPr="003E0B98" w:rsidRDefault="009C7FF4" w:rsidP="004361AC">
            <w:pPr>
              <w:keepNext/>
              <w:tabs>
                <w:tab w:val="clear" w:pos="567"/>
              </w:tabs>
              <w:spacing w:line="240" w:lineRule="auto"/>
              <w:jc w:val="center"/>
              <w:rPr>
                <w:color w:val="000000"/>
                <w:szCs w:val="22"/>
              </w:rPr>
            </w:pPr>
            <w:r w:rsidRPr="003E0B98">
              <w:rPr>
                <w:color w:val="000000"/>
                <w:szCs w:val="22"/>
              </w:rPr>
              <w:t>96%</w:t>
            </w:r>
          </w:p>
        </w:tc>
      </w:tr>
      <w:tr w:rsidR="009C7FF4" w:rsidRPr="003E0B98" w14:paraId="55C22556" w14:textId="77777777" w:rsidTr="000B316C">
        <w:tc>
          <w:tcPr>
            <w:tcW w:w="2143" w:type="dxa"/>
            <w:vMerge/>
          </w:tcPr>
          <w:p w14:paraId="409473DD" w14:textId="77777777" w:rsidR="009C7FF4" w:rsidRPr="003E0B98" w:rsidRDefault="009C7FF4" w:rsidP="004361AC">
            <w:pPr>
              <w:keepNext/>
              <w:tabs>
                <w:tab w:val="clear" w:pos="567"/>
              </w:tabs>
              <w:spacing w:line="240" w:lineRule="auto"/>
              <w:rPr>
                <w:color w:val="000000"/>
                <w:szCs w:val="22"/>
                <w:lang w:val="es-ES_tradnl"/>
              </w:rPr>
            </w:pPr>
          </w:p>
        </w:tc>
        <w:tc>
          <w:tcPr>
            <w:tcW w:w="1362" w:type="dxa"/>
          </w:tcPr>
          <w:p w14:paraId="1A2DC75E" w14:textId="77777777" w:rsidR="009C7FF4" w:rsidRPr="003E0B98" w:rsidRDefault="009C7FF4" w:rsidP="004361AC">
            <w:pPr>
              <w:keepNext/>
              <w:tabs>
                <w:tab w:val="clear" w:pos="567"/>
              </w:tabs>
              <w:spacing w:line="240" w:lineRule="auto"/>
              <w:jc w:val="center"/>
              <w:rPr>
                <w:color w:val="000000"/>
                <w:szCs w:val="22"/>
              </w:rPr>
            </w:pPr>
            <w:r w:rsidRPr="003E0B98">
              <w:rPr>
                <w:color w:val="000000"/>
                <w:szCs w:val="22"/>
              </w:rPr>
              <w:t>Mes 24</w:t>
            </w:r>
          </w:p>
        </w:tc>
        <w:tc>
          <w:tcPr>
            <w:tcW w:w="1128" w:type="dxa"/>
          </w:tcPr>
          <w:p w14:paraId="69463212" w14:textId="77777777" w:rsidR="009C7FF4" w:rsidRPr="003E0B98" w:rsidRDefault="009C7FF4" w:rsidP="004361AC">
            <w:pPr>
              <w:keepNext/>
              <w:tabs>
                <w:tab w:val="clear" w:pos="567"/>
              </w:tabs>
              <w:spacing w:line="240" w:lineRule="auto"/>
              <w:jc w:val="center"/>
              <w:rPr>
                <w:color w:val="000000"/>
                <w:szCs w:val="22"/>
              </w:rPr>
            </w:pPr>
            <w:r w:rsidRPr="003E0B98">
              <w:rPr>
                <w:color w:val="000000"/>
                <w:szCs w:val="22"/>
              </w:rPr>
              <w:t>53%</w:t>
            </w:r>
          </w:p>
        </w:tc>
        <w:tc>
          <w:tcPr>
            <w:tcW w:w="1377" w:type="dxa"/>
          </w:tcPr>
          <w:p w14:paraId="44FBBCF9" w14:textId="77777777" w:rsidR="009C7FF4" w:rsidRPr="003E0B98" w:rsidRDefault="009C7FF4" w:rsidP="004361AC">
            <w:pPr>
              <w:keepNext/>
              <w:tabs>
                <w:tab w:val="clear" w:pos="567"/>
              </w:tabs>
              <w:spacing w:line="240" w:lineRule="auto"/>
              <w:jc w:val="center"/>
              <w:rPr>
                <w:color w:val="000000"/>
                <w:szCs w:val="22"/>
              </w:rPr>
            </w:pPr>
            <w:r w:rsidRPr="003E0B98">
              <w:rPr>
                <w:color w:val="000000"/>
                <w:szCs w:val="22"/>
              </w:rPr>
              <w:t>90%</w:t>
            </w:r>
          </w:p>
        </w:tc>
        <w:tc>
          <w:tcPr>
            <w:tcW w:w="1718" w:type="dxa"/>
          </w:tcPr>
          <w:p w14:paraId="088D6D88" w14:textId="77777777" w:rsidR="009C7FF4" w:rsidRPr="003E0B98" w:rsidRDefault="009C7FF4" w:rsidP="004361AC">
            <w:pPr>
              <w:keepNext/>
              <w:tabs>
                <w:tab w:val="clear" w:pos="567"/>
              </w:tabs>
              <w:spacing w:line="240" w:lineRule="auto"/>
              <w:jc w:val="center"/>
              <w:rPr>
                <w:color w:val="000000"/>
                <w:szCs w:val="22"/>
              </w:rPr>
            </w:pPr>
            <w:r w:rsidRPr="003E0B98">
              <w:rPr>
                <w:color w:val="000000"/>
                <w:szCs w:val="22"/>
              </w:rPr>
              <w:t>66%</w:t>
            </w:r>
          </w:p>
        </w:tc>
        <w:tc>
          <w:tcPr>
            <w:tcW w:w="1559" w:type="dxa"/>
          </w:tcPr>
          <w:p w14:paraId="34AFC26A" w14:textId="77777777" w:rsidR="009C7FF4" w:rsidRPr="003E0B98" w:rsidRDefault="009C7FF4" w:rsidP="004361AC">
            <w:pPr>
              <w:keepNext/>
              <w:tabs>
                <w:tab w:val="clear" w:pos="567"/>
              </w:tabs>
              <w:spacing w:line="240" w:lineRule="auto"/>
              <w:jc w:val="center"/>
              <w:rPr>
                <w:color w:val="000000"/>
                <w:szCs w:val="22"/>
              </w:rPr>
            </w:pPr>
            <w:r w:rsidRPr="003E0B98">
              <w:rPr>
                <w:color w:val="000000"/>
                <w:szCs w:val="22"/>
              </w:rPr>
              <w:t>90%</w:t>
            </w:r>
          </w:p>
        </w:tc>
      </w:tr>
      <w:tr w:rsidR="009C7FF4" w:rsidRPr="003E0B98" w14:paraId="303DC42A" w14:textId="77777777" w:rsidTr="000B316C">
        <w:tc>
          <w:tcPr>
            <w:tcW w:w="2143" w:type="dxa"/>
            <w:vMerge w:val="restart"/>
          </w:tcPr>
          <w:p w14:paraId="141F435D" w14:textId="77777777" w:rsidR="009C7FF4" w:rsidRPr="003E0B98" w:rsidRDefault="009C7FF4" w:rsidP="004361AC">
            <w:pPr>
              <w:keepNext/>
              <w:tabs>
                <w:tab w:val="clear" w:pos="567"/>
              </w:tabs>
              <w:spacing w:line="240" w:lineRule="auto"/>
              <w:rPr>
                <w:color w:val="000000"/>
                <w:szCs w:val="22"/>
                <w:lang w:val="es-ES_tradnl"/>
              </w:rPr>
            </w:pPr>
            <w:r w:rsidRPr="003E0B98">
              <w:rPr>
                <w:color w:val="000000"/>
                <w:szCs w:val="22"/>
                <w:lang w:val="es-ES_tradnl"/>
              </w:rPr>
              <w:t>Ganancia de ≥15 letras de agudeza visual (</w:t>
            </w:r>
            <w:proofErr w:type="gramStart"/>
            <w:r w:rsidRPr="003E0B98">
              <w:rPr>
                <w:color w:val="000000"/>
                <w:szCs w:val="22"/>
                <w:lang w:val="es-ES_tradnl"/>
              </w:rPr>
              <w:t>%)</w:t>
            </w:r>
            <w:r w:rsidRPr="003E0B98">
              <w:rPr>
                <w:color w:val="000000"/>
                <w:szCs w:val="22"/>
                <w:vertAlign w:val="superscript"/>
                <w:lang w:val="es-ES_tradnl"/>
              </w:rPr>
              <w:t>a</w:t>
            </w:r>
            <w:proofErr w:type="gramEnd"/>
          </w:p>
        </w:tc>
        <w:tc>
          <w:tcPr>
            <w:tcW w:w="1362" w:type="dxa"/>
          </w:tcPr>
          <w:p w14:paraId="0E680893" w14:textId="77777777" w:rsidR="009C7FF4" w:rsidRPr="003E0B98" w:rsidRDefault="009C7FF4" w:rsidP="004361AC">
            <w:pPr>
              <w:keepNext/>
              <w:tabs>
                <w:tab w:val="clear" w:pos="567"/>
              </w:tabs>
              <w:spacing w:line="240" w:lineRule="auto"/>
              <w:jc w:val="center"/>
              <w:rPr>
                <w:color w:val="000000"/>
                <w:szCs w:val="22"/>
              </w:rPr>
            </w:pPr>
            <w:r w:rsidRPr="003E0B98">
              <w:rPr>
                <w:color w:val="000000"/>
                <w:szCs w:val="22"/>
              </w:rPr>
              <w:t>Mes 12</w:t>
            </w:r>
          </w:p>
        </w:tc>
        <w:tc>
          <w:tcPr>
            <w:tcW w:w="1128" w:type="dxa"/>
          </w:tcPr>
          <w:p w14:paraId="481DB54F" w14:textId="77777777" w:rsidR="009C7FF4" w:rsidRPr="003E0B98" w:rsidRDefault="009C7FF4" w:rsidP="004361AC">
            <w:pPr>
              <w:keepNext/>
              <w:tabs>
                <w:tab w:val="clear" w:pos="567"/>
              </w:tabs>
              <w:spacing w:line="240" w:lineRule="auto"/>
              <w:jc w:val="center"/>
              <w:rPr>
                <w:color w:val="000000"/>
                <w:szCs w:val="22"/>
              </w:rPr>
            </w:pPr>
            <w:r w:rsidRPr="003E0B98">
              <w:rPr>
                <w:color w:val="000000"/>
                <w:szCs w:val="22"/>
              </w:rPr>
              <w:t>5%</w:t>
            </w:r>
          </w:p>
        </w:tc>
        <w:tc>
          <w:tcPr>
            <w:tcW w:w="1377" w:type="dxa"/>
          </w:tcPr>
          <w:p w14:paraId="36C18399" w14:textId="77777777" w:rsidR="009C7FF4" w:rsidRPr="003E0B98" w:rsidRDefault="009C7FF4" w:rsidP="004361AC">
            <w:pPr>
              <w:keepNext/>
              <w:tabs>
                <w:tab w:val="clear" w:pos="567"/>
              </w:tabs>
              <w:spacing w:line="240" w:lineRule="auto"/>
              <w:jc w:val="center"/>
              <w:rPr>
                <w:color w:val="000000"/>
                <w:szCs w:val="22"/>
              </w:rPr>
            </w:pPr>
            <w:r w:rsidRPr="003E0B98">
              <w:rPr>
                <w:color w:val="000000"/>
                <w:szCs w:val="22"/>
              </w:rPr>
              <w:t>34%</w:t>
            </w:r>
          </w:p>
        </w:tc>
        <w:tc>
          <w:tcPr>
            <w:tcW w:w="1718" w:type="dxa"/>
          </w:tcPr>
          <w:p w14:paraId="38E24DA3" w14:textId="77777777" w:rsidR="009C7FF4" w:rsidRPr="003E0B98" w:rsidRDefault="009C7FF4" w:rsidP="004361AC">
            <w:pPr>
              <w:keepNext/>
              <w:tabs>
                <w:tab w:val="clear" w:pos="567"/>
              </w:tabs>
              <w:spacing w:line="240" w:lineRule="auto"/>
              <w:jc w:val="center"/>
              <w:rPr>
                <w:color w:val="000000"/>
                <w:szCs w:val="22"/>
              </w:rPr>
            </w:pPr>
            <w:r w:rsidRPr="003E0B98">
              <w:rPr>
                <w:color w:val="000000"/>
                <w:szCs w:val="22"/>
              </w:rPr>
              <w:t>6%</w:t>
            </w:r>
          </w:p>
        </w:tc>
        <w:tc>
          <w:tcPr>
            <w:tcW w:w="1559" w:type="dxa"/>
          </w:tcPr>
          <w:p w14:paraId="5CC943E0" w14:textId="77777777" w:rsidR="009C7FF4" w:rsidRPr="003E0B98" w:rsidRDefault="009C7FF4" w:rsidP="004361AC">
            <w:pPr>
              <w:keepNext/>
              <w:tabs>
                <w:tab w:val="clear" w:pos="567"/>
              </w:tabs>
              <w:spacing w:line="240" w:lineRule="auto"/>
              <w:jc w:val="center"/>
              <w:rPr>
                <w:color w:val="000000"/>
                <w:szCs w:val="22"/>
              </w:rPr>
            </w:pPr>
            <w:r w:rsidRPr="003E0B98">
              <w:rPr>
                <w:color w:val="000000"/>
                <w:szCs w:val="22"/>
              </w:rPr>
              <w:t>40%</w:t>
            </w:r>
          </w:p>
        </w:tc>
      </w:tr>
      <w:tr w:rsidR="009C7FF4" w:rsidRPr="003E0B98" w14:paraId="6EA04552" w14:textId="77777777" w:rsidTr="000B316C">
        <w:tc>
          <w:tcPr>
            <w:tcW w:w="2143" w:type="dxa"/>
            <w:vMerge/>
          </w:tcPr>
          <w:p w14:paraId="4C9B464A" w14:textId="77777777" w:rsidR="009C7FF4" w:rsidRPr="003E0B98" w:rsidRDefault="009C7FF4" w:rsidP="004361AC">
            <w:pPr>
              <w:keepNext/>
              <w:tabs>
                <w:tab w:val="clear" w:pos="567"/>
              </w:tabs>
              <w:spacing w:line="240" w:lineRule="auto"/>
              <w:rPr>
                <w:color w:val="000000"/>
                <w:szCs w:val="22"/>
                <w:lang w:val="es-ES_tradnl"/>
              </w:rPr>
            </w:pPr>
          </w:p>
        </w:tc>
        <w:tc>
          <w:tcPr>
            <w:tcW w:w="1362" w:type="dxa"/>
          </w:tcPr>
          <w:p w14:paraId="7BE46636" w14:textId="77777777" w:rsidR="009C7FF4" w:rsidRPr="003E0B98" w:rsidRDefault="009C7FF4" w:rsidP="004361AC">
            <w:pPr>
              <w:keepNext/>
              <w:tabs>
                <w:tab w:val="clear" w:pos="567"/>
              </w:tabs>
              <w:spacing w:line="240" w:lineRule="auto"/>
              <w:jc w:val="center"/>
              <w:rPr>
                <w:color w:val="000000"/>
                <w:szCs w:val="22"/>
              </w:rPr>
            </w:pPr>
            <w:r w:rsidRPr="003E0B98">
              <w:rPr>
                <w:color w:val="000000"/>
                <w:szCs w:val="22"/>
              </w:rPr>
              <w:t>Mes 24</w:t>
            </w:r>
          </w:p>
        </w:tc>
        <w:tc>
          <w:tcPr>
            <w:tcW w:w="1128" w:type="dxa"/>
          </w:tcPr>
          <w:p w14:paraId="043223F3" w14:textId="77777777" w:rsidR="009C7FF4" w:rsidRPr="003E0B98" w:rsidRDefault="009C7FF4" w:rsidP="004361AC">
            <w:pPr>
              <w:keepNext/>
              <w:tabs>
                <w:tab w:val="clear" w:pos="567"/>
              </w:tabs>
              <w:spacing w:line="240" w:lineRule="auto"/>
              <w:jc w:val="center"/>
              <w:rPr>
                <w:color w:val="000000"/>
                <w:szCs w:val="22"/>
              </w:rPr>
            </w:pPr>
            <w:r w:rsidRPr="003E0B98">
              <w:rPr>
                <w:color w:val="000000"/>
                <w:szCs w:val="22"/>
              </w:rPr>
              <w:t>4%</w:t>
            </w:r>
          </w:p>
        </w:tc>
        <w:tc>
          <w:tcPr>
            <w:tcW w:w="1377" w:type="dxa"/>
          </w:tcPr>
          <w:p w14:paraId="1299DE59" w14:textId="77777777" w:rsidR="009C7FF4" w:rsidRPr="003E0B98" w:rsidRDefault="009C7FF4" w:rsidP="004361AC">
            <w:pPr>
              <w:keepNext/>
              <w:tabs>
                <w:tab w:val="clear" w:pos="567"/>
              </w:tabs>
              <w:spacing w:line="240" w:lineRule="auto"/>
              <w:jc w:val="center"/>
              <w:rPr>
                <w:color w:val="000000"/>
                <w:szCs w:val="22"/>
              </w:rPr>
            </w:pPr>
            <w:r w:rsidRPr="003E0B98">
              <w:rPr>
                <w:color w:val="000000"/>
                <w:szCs w:val="22"/>
              </w:rPr>
              <w:t>33%</w:t>
            </w:r>
          </w:p>
        </w:tc>
        <w:tc>
          <w:tcPr>
            <w:tcW w:w="1718" w:type="dxa"/>
          </w:tcPr>
          <w:p w14:paraId="33F3B13C" w14:textId="77777777" w:rsidR="009C7FF4" w:rsidRPr="003E0B98" w:rsidRDefault="009C7FF4" w:rsidP="004361AC">
            <w:pPr>
              <w:keepNext/>
              <w:tabs>
                <w:tab w:val="clear" w:pos="567"/>
              </w:tabs>
              <w:spacing w:line="240" w:lineRule="auto"/>
              <w:jc w:val="center"/>
              <w:rPr>
                <w:color w:val="000000"/>
                <w:szCs w:val="22"/>
              </w:rPr>
            </w:pPr>
            <w:r w:rsidRPr="003E0B98">
              <w:rPr>
                <w:color w:val="000000"/>
                <w:szCs w:val="22"/>
              </w:rPr>
              <w:t>6%</w:t>
            </w:r>
          </w:p>
        </w:tc>
        <w:tc>
          <w:tcPr>
            <w:tcW w:w="1559" w:type="dxa"/>
          </w:tcPr>
          <w:p w14:paraId="26E3076A" w14:textId="77777777" w:rsidR="009C7FF4" w:rsidRPr="003E0B98" w:rsidRDefault="009C7FF4" w:rsidP="004361AC">
            <w:pPr>
              <w:keepNext/>
              <w:tabs>
                <w:tab w:val="clear" w:pos="567"/>
              </w:tabs>
              <w:spacing w:line="240" w:lineRule="auto"/>
              <w:jc w:val="center"/>
              <w:rPr>
                <w:color w:val="000000"/>
                <w:szCs w:val="22"/>
              </w:rPr>
            </w:pPr>
            <w:r w:rsidRPr="003E0B98">
              <w:rPr>
                <w:color w:val="000000"/>
                <w:szCs w:val="22"/>
              </w:rPr>
              <w:t>41%</w:t>
            </w:r>
          </w:p>
        </w:tc>
      </w:tr>
      <w:tr w:rsidR="009C7FF4" w:rsidRPr="003E0B98" w14:paraId="2E5984C4" w14:textId="77777777" w:rsidTr="000B316C">
        <w:tc>
          <w:tcPr>
            <w:tcW w:w="2143" w:type="dxa"/>
            <w:vMerge w:val="restart"/>
          </w:tcPr>
          <w:p w14:paraId="15905680" w14:textId="77777777" w:rsidR="009C7FF4" w:rsidRPr="003E0B98" w:rsidRDefault="009C7FF4" w:rsidP="004361AC">
            <w:pPr>
              <w:keepNext/>
              <w:tabs>
                <w:tab w:val="clear" w:pos="567"/>
              </w:tabs>
              <w:spacing w:line="240" w:lineRule="auto"/>
              <w:rPr>
                <w:color w:val="000000"/>
                <w:szCs w:val="22"/>
                <w:lang w:val="es-ES_tradnl"/>
              </w:rPr>
            </w:pPr>
            <w:r w:rsidRPr="003E0B98">
              <w:rPr>
                <w:color w:val="000000"/>
                <w:szCs w:val="22"/>
                <w:lang w:val="es-ES_tradnl"/>
              </w:rPr>
              <w:t xml:space="preserve">Cambio </w:t>
            </w:r>
            <w:r w:rsidR="006006F4" w:rsidRPr="003E0B98">
              <w:rPr>
                <w:color w:val="000000"/>
                <w:szCs w:val="22"/>
                <w:lang w:val="es-ES_tradnl"/>
              </w:rPr>
              <w:t>pro</w:t>
            </w:r>
            <w:r w:rsidRPr="003E0B98">
              <w:rPr>
                <w:color w:val="000000"/>
                <w:szCs w:val="22"/>
                <w:lang w:val="es-ES_tradnl"/>
              </w:rPr>
              <w:t xml:space="preserve">medio </w:t>
            </w:r>
            <w:r w:rsidR="008222CB" w:rsidRPr="003E0B98">
              <w:rPr>
                <w:color w:val="000000"/>
                <w:szCs w:val="22"/>
                <w:lang w:val="es-ES_tradnl"/>
              </w:rPr>
              <w:t>de</w:t>
            </w:r>
            <w:r w:rsidRPr="003E0B98">
              <w:rPr>
                <w:color w:val="000000"/>
                <w:szCs w:val="22"/>
                <w:lang w:val="es-ES_tradnl"/>
              </w:rPr>
              <w:t xml:space="preserve"> la agudeza visual (letras) (desviación </w:t>
            </w:r>
            <w:proofErr w:type="gramStart"/>
            <w:r w:rsidRPr="003E0B98">
              <w:rPr>
                <w:color w:val="000000"/>
                <w:szCs w:val="22"/>
                <w:lang w:val="es-ES_tradnl"/>
              </w:rPr>
              <w:t>estándar)</w:t>
            </w:r>
            <w:r w:rsidRPr="003E0B98">
              <w:rPr>
                <w:color w:val="000000"/>
                <w:szCs w:val="22"/>
                <w:vertAlign w:val="superscript"/>
                <w:lang w:val="es-ES_tradnl"/>
              </w:rPr>
              <w:t>a</w:t>
            </w:r>
            <w:proofErr w:type="gramEnd"/>
          </w:p>
        </w:tc>
        <w:tc>
          <w:tcPr>
            <w:tcW w:w="1362" w:type="dxa"/>
            <w:tcBorders>
              <w:bottom w:val="single" w:sz="4" w:space="0" w:color="auto"/>
            </w:tcBorders>
          </w:tcPr>
          <w:p w14:paraId="5D531BC7" w14:textId="77777777" w:rsidR="009C7FF4" w:rsidRPr="003E0B98" w:rsidRDefault="009C7FF4" w:rsidP="004361AC">
            <w:pPr>
              <w:keepNext/>
              <w:tabs>
                <w:tab w:val="clear" w:pos="567"/>
              </w:tabs>
              <w:spacing w:line="240" w:lineRule="auto"/>
              <w:jc w:val="center"/>
              <w:rPr>
                <w:color w:val="000000"/>
                <w:szCs w:val="22"/>
              </w:rPr>
            </w:pPr>
            <w:r w:rsidRPr="003E0B98">
              <w:rPr>
                <w:color w:val="000000"/>
                <w:szCs w:val="22"/>
              </w:rPr>
              <w:t>Mes 12</w:t>
            </w:r>
          </w:p>
        </w:tc>
        <w:tc>
          <w:tcPr>
            <w:tcW w:w="1128" w:type="dxa"/>
            <w:tcBorders>
              <w:bottom w:val="single" w:sz="4" w:space="0" w:color="auto"/>
            </w:tcBorders>
          </w:tcPr>
          <w:p w14:paraId="585D92BC" w14:textId="77777777" w:rsidR="009C7FF4" w:rsidRPr="003E0B98" w:rsidRDefault="009C7FF4" w:rsidP="004361AC">
            <w:pPr>
              <w:keepNext/>
              <w:tabs>
                <w:tab w:val="clear" w:pos="567"/>
              </w:tabs>
              <w:spacing w:line="240" w:lineRule="auto"/>
              <w:jc w:val="center"/>
              <w:rPr>
                <w:color w:val="000000"/>
                <w:szCs w:val="22"/>
              </w:rPr>
            </w:pPr>
            <w:r w:rsidRPr="003E0B98">
              <w:rPr>
                <w:color w:val="000000"/>
                <w:szCs w:val="22"/>
              </w:rPr>
              <w:noBreakHyphen/>
              <w:t>10,5 (16,6)</w:t>
            </w:r>
          </w:p>
        </w:tc>
        <w:tc>
          <w:tcPr>
            <w:tcW w:w="1377" w:type="dxa"/>
            <w:tcBorders>
              <w:bottom w:val="single" w:sz="4" w:space="0" w:color="auto"/>
            </w:tcBorders>
          </w:tcPr>
          <w:p w14:paraId="18D3104A" w14:textId="77777777" w:rsidR="009C7FF4" w:rsidRPr="003E0B98" w:rsidRDefault="009C7FF4" w:rsidP="004361AC">
            <w:pPr>
              <w:keepNext/>
              <w:tabs>
                <w:tab w:val="clear" w:pos="567"/>
              </w:tabs>
              <w:spacing w:line="240" w:lineRule="auto"/>
              <w:jc w:val="center"/>
              <w:rPr>
                <w:color w:val="000000"/>
                <w:szCs w:val="22"/>
              </w:rPr>
            </w:pPr>
            <w:r w:rsidRPr="003E0B98">
              <w:rPr>
                <w:color w:val="000000"/>
                <w:szCs w:val="22"/>
              </w:rPr>
              <w:t>+7,2 (14,4)</w:t>
            </w:r>
          </w:p>
        </w:tc>
        <w:tc>
          <w:tcPr>
            <w:tcW w:w="1718" w:type="dxa"/>
            <w:tcBorders>
              <w:bottom w:val="single" w:sz="4" w:space="0" w:color="auto"/>
            </w:tcBorders>
          </w:tcPr>
          <w:p w14:paraId="7424A020" w14:textId="77777777" w:rsidR="009C7FF4" w:rsidRPr="003E0B98" w:rsidRDefault="009C7FF4" w:rsidP="004361AC">
            <w:pPr>
              <w:keepNext/>
              <w:tabs>
                <w:tab w:val="clear" w:pos="567"/>
              </w:tabs>
              <w:spacing w:line="240" w:lineRule="auto"/>
              <w:jc w:val="center"/>
              <w:rPr>
                <w:color w:val="000000"/>
                <w:szCs w:val="22"/>
              </w:rPr>
            </w:pPr>
            <w:r w:rsidRPr="003E0B98">
              <w:rPr>
                <w:color w:val="000000"/>
                <w:szCs w:val="22"/>
              </w:rPr>
              <w:noBreakHyphen/>
              <w:t>9,5 (16,4)</w:t>
            </w:r>
          </w:p>
        </w:tc>
        <w:tc>
          <w:tcPr>
            <w:tcW w:w="1559" w:type="dxa"/>
            <w:tcBorders>
              <w:bottom w:val="single" w:sz="4" w:space="0" w:color="auto"/>
            </w:tcBorders>
          </w:tcPr>
          <w:p w14:paraId="3C1FE323" w14:textId="77777777" w:rsidR="009C7FF4" w:rsidRPr="003E0B98" w:rsidRDefault="009C7FF4" w:rsidP="004361AC">
            <w:pPr>
              <w:keepNext/>
              <w:tabs>
                <w:tab w:val="clear" w:pos="567"/>
              </w:tabs>
              <w:spacing w:line="240" w:lineRule="auto"/>
              <w:jc w:val="center"/>
              <w:rPr>
                <w:color w:val="000000"/>
                <w:szCs w:val="22"/>
              </w:rPr>
            </w:pPr>
            <w:r w:rsidRPr="003E0B98">
              <w:rPr>
                <w:color w:val="000000"/>
                <w:szCs w:val="22"/>
              </w:rPr>
              <w:t>+11,3 (14,6)</w:t>
            </w:r>
          </w:p>
        </w:tc>
      </w:tr>
      <w:tr w:rsidR="009C7FF4" w:rsidRPr="003E0B98" w14:paraId="16C48135" w14:textId="77777777" w:rsidTr="000B316C">
        <w:tc>
          <w:tcPr>
            <w:tcW w:w="2143" w:type="dxa"/>
            <w:vMerge/>
            <w:tcBorders>
              <w:bottom w:val="single" w:sz="4" w:space="0" w:color="auto"/>
            </w:tcBorders>
          </w:tcPr>
          <w:p w14:paraId="3B471EE2" w14:textId="77777777" w:rsidR="009C7FF4" w:rsidRPr="003E0B98" w:rsidRDefault="009C7FF4" w:rsidP="004361AC">
            <w:pPr>
              <w:tabs>
                <w:tab w:val="clear" w:pos="567"/>
              </w:tabs>
              <w:spacing w:line="240" w:lineRule="auto"/>
              <w:rPr>
                <w:color w:val="000000"/>
                <w:szCs w:val="22"/>
                <w:lang w:val="es-ES_tradnl"/>
              </w:rPr>
            </w:pPr>
          </w:p>
        </w:tc>
        <w:tc>
          <w:tcPr>
            <w:tcW w:w="1362" w:type="dxa"/>
            <w:tcBorders>
              <w:bottom w:val="single" w:sz="4" w:space="0" w:color="auto"/>
            </w:tcBorders>
          </w:tcPr>
          <w:p w14:paraId="3278891D" w14:textId="77777777" w:rsidR="009C7FF4" w:rsidRPr="003E0B98" w:rsidRDefault="009C7FF4" w:rsidP="004361AC">
            <w:pPr>
              <w:tabs>
                <w:tab w:val="clear" w:pos="567"/>
              </w:tabs>
              <w:spacing w:line="240" w:lineRule="auto"/>
              <w:jc w:val="center"/>
              <w:rPr>
                <w:color w:val="000000"/>
                <w:szCs w:val="22"/>
              </w:rPr>
            </w:pPr>
            <w:r w:rsidRPr="003E0B98">
              <w:rPr>
                <w:color w:val="000000"/>
                <w:szCs w:val="22"/>
              </w:rPr>
              <w:t>Mes 24</w:t>
            </w:r>
          </w:p>
        </w:tc>
        <w:tc>
          <w:tcPr>
            <w:tcW w:w="1128" w:type="dxa"/>
            <w:tcBorders>
              <w:bottom w:val="single" w:sz="4" w:space="0" w:color="auto"/>
            </w:tcBorders>
          </w:tcPr>
          <w:p w14:paraId="5530DC2D" w14:textId="77777777" w:rsidR="009C7FF4" w:rsidRPr="003E0B98" w:rsidRDefault="009C7FF4" w:rsidP="004361AC">
            <w:pPr>
              <w:tabs>
                <w:tab w:val="clear" w:pos="567"/>
              </w:tabs>
              <w:spacing w:line="240" w:lineRule="auto"/>
              <w:jc w:val="center"/>
              <w:rPr>
                <w:color w:val="000000"/>
                <w:szCs w:val="22"/>
              </w:rPr>
            </w:pPr>
            <w:r w:rsidRPr="003E0B98">
              <w:rPr>
                <w:color w:val="000000"/>
                <w:szCs w:val="22"/>
              </w:rPr>
              <w:noBreakHyphen/>
              <w:t>14,9 (18,7)</w:t>
            </w:r>
          </w:p>
        </w:tc>
        <w:tc>
          <w:tcPr>
            <w:tcW w:w="1377" w:type="dxa"/>
            <w:tcBorders>
              <w:bottom w:val="single" w:sz="4" w:space="0" w:color="auto"/>
            </w:tcBorders>
          </w:tcPr>
          <w:p w14:paraId="4E7B7E7E" w14:textId="77777777" w:rsidR="009C7FF4" w:rsidRPr="003E0B98" w:rsidRDefault="009C7FF4" w:rsidP="004361AC">
            <w:pPr>
              <w:tabs>
                <w:tab w:val="clear" w:pos="567"/>
              </w:tabs>
              <w:spacing w:line="240" w:lineRule="auto"/>
              <w:jc w:val="center"/>
              <w:rPr>
                <w:color w:val="000000"/>
                <w:szCs w:val="22"/>
              </w:rPr>
            </w:pPr>
            <w:r w:rsidRPr="003E0B98">
              <w:rPr>
                <w:color w:val="000000"/>
                <w:szCs w:val="22"/>
              </w:rPr>
              <w:t>+6,6 (16,5)</w:t>
            </w:r>
          </w:p>
        </w:tc>
        <w:tc>
          <w:tcPr>
            <w:tcW w:w="1718" w:type="dxa"/>
            <w:tcBorders>
              <w:bottom w:val="single" w:sz="4" w:space="0" w:color="auto"/>
            </w:tcBorders>
          </w:tcPr>
          <w:p w14:paraId="72B080EF" w14:textId="77777777" w:rsidR="009C7FF4" w:rsidRPr="003E0B98" w:rsidRDefault="009C7FF4" w:rsidP="004361AC">
            <w:pPr>
              <w:tabs>
                <w:tab w:val="clear" w:pos="567"/>
              </w:tabs>
              <w:spacing w:line="240" w:lineRule="auto"/>
              <w:jc w:val="center"/>
              <w:rPr>
                <w:color w:val="000000"/>
                <w:szCs w:val="22"/>
              </w:rPr>
            </w:pPr>
            <w:r w:rsidRPr="003E0B98">
              <w:rPr>
                <w:color w:val="000000"/>
                <w:szCs w:val="22"/>
              </w:rPr>
              <w:noBreakHyphen/>
              <w:t>9,8 (17,6)</w:t>
            </w:r>
          </w:p>
        </w:tc>
        <w:tc>
          <w:tcPr>
            <w:tcW w:w="1559" w:type="dxa"/>
            <w:tcBorders>
              <w:bottom w:val="single" w:sz="4" w:space="0" w:color="auto"/>
            </w:tcBorders>
          </w:tcPr>
          <w:p w14:paraId="784F56DE" w14:textId="77777777" w:rsidR="009C7FF4" w:rsidRPr="003E0B98" w:rsidRDefault="009C7FF4" w:rsidP="004361AC">
            <w:pPr>
              <w:tabs>
                <w:tab w:val="clear" w:pos="567"/>
              </w:tabs>
              <w:spacing w:line="240" w:lineRule="auto"/>
              <w:jc w:val="center"/>
              <w:rPr>
                <w:color w:val="000000"/>
                <w:szCs w:val="22"/>
              </w:rPr>
            </w:pPr>
            <w:r w:rsidRPr="003E0B98">
              <w:rPr>
                <w:color w:val="000000"/>
                <w:szCs w:val="22"/>
              </w:rPr>
              <w:t>+10,7 (16,5)</w:t>
            </w:r>
          </w:p>
        </w:tc>
      </w:tr>
      <w:tr w:rsidR="009C7FF4" w:rsidRPr="003E0B98" w14:paraId="3B2EF302" w14:textId="77777777" w:rsidTr="000B316C">
        <w:tc>
          <w:tcPr>
            <w:tcW w:w="2143" w:type="dxa"/>
            <w:tcBorders>
              <w:top w:val="single" w:sz="4" w:space="0" w:color="auto"/>
              <w:left w:val="nil"/>
              <w:bottom w:val="nil"/>
              <w:right w:val="nil"/>
            </w:tcBorders>
          </w:tcPr>
          <w:p w14:paraId="0B9D79CA" w14:textId="77777777" w:rsidR="009C7FF4" w:rsidRPr="003E0B98" w:rsidRDefault="009C7FF4" w:rsidP="004361AC">
            <w:pPr>
              <w:tabs>
                <w:tab w:val="clear" w:pos="567"/>
              </w:tabs>
              <w:spacing w:line="240" w:lineRule="auto"/>
              <w:rPr>
                <w:color w:val="000000"/>
                <w:szCs w:val="22"/>
              </w:rPr>
            </w:pPr>
            <w:r w:rsidRPr="003E0B98">
              <w:rPr>
                <w:color w:val="000000"/>
                <w:szCs w:val="22"/>
                <w:vertAlign w:val="superscript"/>
              </w:rPr>
              <w:t xml:space="preserve">a </w:t>
            </w:r>
            <w:r w:rsidRPr="003E0B98">
              <w:rPr>
                <w:color w:val="000000"/>
                <w:szCs w:val="22"/>
              </w:rPr>
              <w:t>p&lt;0,01</w:t>
            </w:r>
          </w:p>
        </w:tc>
        <w:tc>
          <w:tcPr>
            <w:tcW w:w="1362" w:type="dxa"/>
            <w:tcBorders>
              <w:top w:val="single" w:sz="4" w:space="0" w:color="auto"/>
              <w:left w:val="nil"/>
              <w:bottom w:val="nil"/>
              <w:right w:val="nil"/>
            </w:tcBorders>
          </w:tcPr>
          <w:p w14:paraId="33560251" w14:textId="77777777" w:rsidR="009C7FF4" w:rsidRPr="003E0B98" w:rsidRDefault="009C7FF4" w:rsidP="004361AC">
            <w:pPr>
              <w:tabs>
                <w:tab w:val="clear" w:pos="567"/>
              </w:tabs>
              <w:spacing w:line="240" w:lineRule="auto"/>
              <w:rPr>
                <w:color w:val="000000"/>
                <w:szCs w:val="22"/>
              </w:rPr>
            </w:pPr>
          </w:p>
        </w:tc>
        <w:tc>
          <w:tcPr>
            <w:tcW w:w="1128" w:type="dxa"/>
            <w:tcBorders>
              <w:top w:val="single" w:sz="4" w:space="0" w:color="auto"/>
              <w:left w:val="nil"/>
              <w:bottom w:val="nil"/>
              <w:right w:val="nil"/>
            </w:tcBorders>
          </w:tcPr>
          <w:p w14:paraId="05A39F4B" w14:textId="77777777" w:rsidR="009C7FF4" w:rsidRPr="003E0B98" w:rsidRDefault="009C7FF4" w:rsidP="004361AC">
            <w:pPr>
              <w:tabs>
                <w:tab w:val="clear" w:pos="567"/>
              </w:tabs>
              <w:spacing w:line="240" w:lineRule="auto"/>
              <w:rPr>
                <w:color w:val="000000"/>
                <w:szCs w:val="22"/>
              </w:rPr>
            </w:pPr>
          </w:p>
        </w:tc>
        <w:tc>
          <w:tcPr>
            <w:tcW w:w="1377" w:type="dxa"/>
            <w:tcBorders>
              <w:top w:val="single" w:sz="4" w:space="0" w:color="auto"/>
              <w:left w:val="nil"/>
              <w:bottom w:val="nil"/>
              <w:right w:val="nil"/>
            </w:tcBorders>
          </w:tcPr>
          <w:p w14:paraId="7122A6C2" w14:textId="77777777" w:rsidR="009C7FF4" w:rsidRPr="003E0B98" w:rsidRDefault="009C7FF4" w:rsidP="004361AC">
            <w:pPr>
              <w:tabs>
                <w:tab w:val="clear" w:pos="567"/>
              </w:tabs>
              <w:spacing w:line="240" w:lineRule="auto"/>
              <w:rPr>
                <w:color w:val="000000"/>
                <w:szCs w:val="22"/>
              </w:rPr>
            </w:pPr>
          </w:p>
        </w:tc>
        <w:tc>
          <w:tcPr>
            <w:tcW w:w="1718" w:type="dxa"/>
            <w:tcBorders>
              <w:top w:val="single" w:sz="4" w:space="0" w:color="auto"/>
              <w:left w:val="nil"/>
              <w:bottom w:val="nil"/>
              <w:right w:val="nil"/>
            </w:tcBorders>
          </w:tcPr>
          <w:p w14:paraId="59644840" w14:textId="77777777" w:rsidR="009C7FF4" w:rsidRPr="003E0B98" w:rsidRDefault="009C7FF4" w:rsidP="004361AC">
            <w:pPr>
              <w:tabs>
                <w:tab w:val="clear" w:pos="567"/>
              </w:tabs>
              <w:spacing w:line="240" w:lineRule="auto"/>
              <w:rPr>
                <w:color w:val="000000"/>
                <w:szCs w:val="22"/>
              </w:rPr>
            </w:pPr>
          </w:p>
        </w:tc>
        <w:tc>
          <w:tcPr>
            <w:tcW w:w="1559" w:type="dxa"/>
            <w:tcBorders>
              <w:top w:val="single" w:sz="4" w:space="0" w:color="auto"/>
              <w:left w:val="nil"/>
              <w:bottom w:val="nil"/>
              <w:right w:val="nil"/>
            </w:tcBorders>
          </w:tcPr>
          <w:p w14:paraId="7734AF1D" w14:textId="77777777" w:rsidR="009C7FF4" w:rsidRPr="003E0B98" w:rsidRDefault="009C7FF4" w:rsidP="004361AC">
            <w:pPr>
              <w:tabs>
                <w:tab w:val="clear" w:pos="567"/>
              </w:tabs>
              <w:spacing w:line="240" w:lineRule="auto"/>
              <w:rPr>
                <w:color w:val="000000"/>
                <w:szCs w:val="22"/>
              </w:rPr>
            </w:pPr>
          </w:p>
        </w:tc>
      </w:tr>
    </w:tbl>
    <w:p w14:paraId="132D56CA" w14:textId="77777777" w:rsidR="009C7FF4" w:rsidRPr="003E0B98" w:rsidRDefault="009C7FF4" w:rsidP="004361AC">
      <w:pPr>
        <w:tabs>
          <w:tab w:val="clear" w:pos="567"/>
        </w:tabs>
        <w:spacing w:line="240" w:lineRule="auto"/>
        <w:rPr>
          <w:color w:val="000000"/>
          <w:szCs w:val="22"/>
        </w:rPr>
      </w:pPr>
    </w:p>
    <w:p w14:paraId="4D674CAA" w14:textId="77777777" w:rsidR="009C7FF4" w:rsidRPr="003E0B98" w:rsidRDefault="009C7FF4" w:rsidP="004361AC">
      <w:pPr>
        <w:keepNext/>
        <w:keepLines/>
        <w:tabs>
          <w:tab w:val="clear" w:pos="567"/>
        </w:tabs>
        <w:spacing w:line="240" w:lineRule="auto"/>
        <w:ind w:left="1138" w:hanging="1138"/>
        <w:rPr>
          <w:color w:val="000000"/>
          <w:szCs w:val="22"/>
          <w:lang w:val="es-ES_tradnl"/>
        </w:rPr>
      </w:pPr>
      <w:r w:rsidRPr="003E0B98">
        <w:rPr>
          <w:b/>
          <w:color w:val="000000"/>
          <w:szCs w:val="22"/>
          <w:lang w:val="es-ES_tradnl"/>
        </w:rPr>
        <w:t>Figura 1</w:t>
      </w:r>
      <w:r w:rsidRPr="003E0B98">
        <w:rPr>
          <w:b/>
          <w:color w:val="000000"/>
          <w:szCs w:val="22"/>
          <w:lang w:val="es-ES_tradnl"/>
        </w:rPr>
        <w:tab/>
        <w:t xml:space="preserve">Cambio </w:t>
      </w:r>
      <w:r w:rsidR="006006F4" w:rsidRPr="003E0B98">
        <w:rPr>
          <w:b/>
          <w:color w:val="000000"/>
          <w:szCs w:val="22"/>
          <w:lang w:val="es-ES_tradnl"/>
        </w:rPr>
        <w:t>pro</w:t>
      </w:r>
      <w:r w:rsidRPr="003E0B98">
        <w:rPr>
          <w:b/>
          <w:color w:val="000000"/>
          <w:szCs w:val="22"/>
          <w:lang w:val="es-ES_tradnl"/>
        </w:rPr>
        <w:t xml:space="preserve">medio </w:t>
      </w:r>
      <w:r w:rsidR="008222CB" w:rsidRPr="003E0B98">
        <w:rPr>
          <w:b/>
          <w:color w:val="000000"/>
          <w:szCs w:val="22"/>
          <w:lang w:val="es-ES_tradnl"/>
        </w:rPr>
        <w:t>de</w:t>
      </w:r>
      <w:r w:rsidRPr="003E0B98">
        <w:rPr>
          <w:b/>
          <w:color w:val="000000"/>
          <w:szCs w:val="22"/>
          <w:lang w:val="es-ES_tradnl"/>
        </w:rPr>
        <w:t xml:space="preserve"> la agudeza visual desde el inicio hasta el Mes 24 en el ensayo FVF2598g (MARINA) y el ensayo FVF2587g (ANCHOR)</w:t>
      </w:r>
    </w:p>
    <w:p w14:paraId="0EF4E1F7" w14:textId="77777777" w:rsidR="00524E52" w:rsidRPr="003E0B98" w:rsidRDefault="00524E52" w:rsidP="004361AC">
      <w:pPr>
        <w:keepNext/>
        <w:keepLines/>
        <w:tabs>
          <w:tab w:val="clear" w:pos="567"/>
        </w:tabs>
        <w:spacing w:line="240" w:lineRule="auto"/>
        <w:ind w:left="1138" w:hanging="1138"/>
        <w:rPr>
          <w:color w:val="000000"/>
          <w:szCs w:val="22"/>
          <w:lang w:val="es-ES_tradnl"/>
        </w:rPr>
      </w:pPr>
    </w:p>
    <w:p w14:paraId="638D69CA" w14:textId="5E92FD47" w:rsidR="00524E52" w:rsidRPr="003E0B98" w:rsidRDefault="00B135E5" w:rsidP="004361AC">
      <w:pPr>
        <w:tabs>
          <w:tab w:val="clear" w:pos="567"/>
        </w:tabs>
        <w:spacing w:line="240" w:lineRule="auto"/>
        <w:rPr>
          <w:color w:val="000000"/>
          <w:szCs w:val="22"/>
          <w:lang w:val="es-ES_tradnl"/>
        </w:rPr>
      </w:pPr>
      <w:r w:rsidRPr="003E0B98">
        <w:rPr>
          <w:noProof/>
          <w:lang w:val="es-ES" w:eastAsia="es-ES"/>
        </w:rPr>
        <w:drawing>
          <wp:inline distT="0" distB="0" distL="0" distR="0" wp14:anchorId="480B77CA" wp14:editId="7AFF68E8">
            <wp:extent cx="5686425" cy="6048375"/>
            <wp:effectExtent l="0" t="0" r="952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86425" cy="6048375"/>
                    </a:xfrm>
                    <a:prstGeom prst="rect">
                      <a:avLst/>
                    </a:prstGeom>
                  </pic:spPr>
                </pic:pic>
              </a:graphicData>
            </a:graphic>
          </wp:inline>
        </w:drawing>
      </w:r>
    </w:p>
    <w:p w14:paraId="432058E7" w14:textId="77777777" w:rsidR="00524E52" w:rsidRPr="003E0B98" w:rsidRDefault="00524E52" w:rsidP="004361AC">
      <w:pPr>
        <w:tabs>
          <w:tab w:val="clear" w:pos="567"/>
        </w:tabs>
        <w:spacing w:line="240" w:lineRule="auto"/>
        <w:rPr>
          <w:color w:val="000000"/>
          <w:szCs w:val="22"/>
          <w:lang w:val="es-ES_tradnl"/>
        </w:rPr>
      </w:pPr>
    </w:p>
    <w:p w14:paraId="4AFF6CAF" w14:textId="7F4E890A" w:rsidR="009C7FF4" w:rsidRPr="003E0B98" w:rsidRDefault="009C7FF4" w:rsidP="004361AC">
      <w:pPr>
        <w:tabs>
          <w:tab w:val="clear" w:pos="567"/>
        </w:tabs>
        <w:spacing w:line="240" w:lineRule="auto"/>
        <w:rPr>
          <w:color w:val="000000"/>
          <w:szCs w:val="22"/>
          <w:lang w:val="es-ES"/>
        </w:rPr>
      </w:pPr>
      <w:r w:rsidRPr="003E0B98">
        <w:rPr>
          <w:color w:val="000000"/>
          <w:szCs w:val="22"/>
          <w:lang w:val="es-ES_tradnl"/>
        </w:rPr>
        <w:t xml:space="preserve">Los resultados de ambos </w:t>
      </w:r>
      <w:r w:rsidR="00784C67">
        <w:rPr>
          <w:color w:val="000000"/>
          <w:szCs w:val="22"/>
          <w:lang w:val="es-ES_tradnl"/>
        </w:rPr>
        <w:t>estudios</w:t>
      </w:r>
      <w:r w:rsidR="00784C67" w:rsidRPr="003E0B98">
        <w:rPr>
          <w:color w:val="000000"/>
          <w:szCs w:val="22"/>
          <w:lang w:val="es-ES_tradnl"/>
        </w:rPr>
        <w:t xml:space="preserve"> </w:t>
      </w:r>
      <w:r w:rsidRPr="003E0B98">
        <w:rPr>
          <w:color w:val="000000"/>
          <w:szCs w:val="22"/>
          <w:lang w:val="es-ES_tradnl"/>
        </w:rPr>
        <w:t xml:space="preserve">indicaron que el tratamiento continuado con </w:t>
      </w:r>
      <w:proofErr w:type="spellStart"/>
      <w:r w:rsidRPr="003E0B98">
        <w:rPr>
          <w:color w:val="000000"/>
          <w:szCs w:val="22"/>
          <w:lang w:val="es-ES_tradnl"/>
        </w:rPr>
        <w:t>ranibizumab</w:t>
      </w:r>
      <w:proofErr w:type="spellEnd"/>
      <w:r w:rsidRPr="003E0B98">
        <w:rPr>
          <w:color w:val="000000"/>
          <w:szCs w:val="22"/>
          <w:lang w:val="es-ES_tradnl"/>
        </w:rPr>
        <w:t xml:space="preserve"> también puede ser beneficioso en pacientes que perdieron </w:t>
      </w:r>
      <w:r w:rsidRPr="003E0B98">
        <w:rPr>
          <w:color w:val="000000"/>
          <w:szCs w:val="22"/>
          <w:lang w:val="es-ES"/>
        </w:rPr>
        <w:t>≥15 letras de agudeza visual mejor corregida (AVMC) en el primer año de tratamiento.</w:t>
      </w:r>
    </w:p>
    <w:p w14:paraId="43F95C73" w14:textId="77777777" w:rsidR="0024767F" w:rsidRPr="003E0B98" w:rsidRDefault="0024767F" w:rsidP="004361AC">
      <w:pPr>
        <w:tabs>
          <w:tab w:val="clear" w:pos="567"/>
        </w:tabs>
        <w:spacing w:line="240" w:lineRule="auto"/>
        <w:rPr>
          <w:color w:val="000000"/>
          <w:szCs w:val="22"/>
          <w:lang w:val="es-ES_tradnl"/>
        </w:rPr>
      </w:pPr>
    </w:p>
    <w:p w14:paraId="505C90AD" w14:textId="77777777" w:rsidR="0024767F" w:rsidRPr="003E0B98" w:rsidRDefault="0024767F" w:rsidP="004361AC">
      <w:pPr>
        <w:tabs>
          <w:tab w:val="clear" w:pos="567"/>
        </w:tabs>
        <w:spacing w:line="240" w:lineRule="auto"/>
        <w:rPr>
          <w:color w:val="000000"/>
          <w:szCs w:val="22"/>
          <w:lang w:val="es-ES_tradnl"/>
        </w:rPr>
      </w:pPr>
      <w:r w:rsidRPr="003E0B98">
        <w:rPr>
          <w:color w:val="000000"/>
          <w:lang w:val="es-ES"/>
        </w:rPr>
        <w:t>En ambos ensayos MARINA y ANCHOR</w:t>
      </w:r>
      <w:r w:rsidRPr="003E0B98">
        <w:rPr>
          <w:szCs w:val="22"/>
          <w:lang w:val="es-ES"/>
        </w:rPr>
        <w:t xml:space="preserve"> se observaron beneficios en la función visual notificados por el mismo paciente estadísticamente significativos en el tratamiento con </w:t>
      </w:r>
      <w:proofErr w:type="spellStart"/>
      <w:r w:rsidRPr="003E0B98">
        <w:rPr>
          <w:szCs w:val="22"/>
          <w:lang w:val="es-ES"/>
        </w:rPr>
        <w:t>ranibizumab</w:t>
      </w:r>
      <w:proofErr w:type="spellEnd"/>
      <w:r w:rsidRPr="003E0B98">
        <w:rPr>
          <w:szCs w:val="22"/>
          <w:lang w:val="es-ES"/>
        </w:rPr>
        <w:t xml:space="preserve"> respecto al grupo control, medidos según el </w:t>
      </w:r>
      <w:r w:rsidRPr="003E0B98">
        <w:rPr>
          <w:szCs w:val="22"/>
          <w:lang w:val="es-ES_tradnl"/>
        </w:rPr>
        <w:t>NEI VFQ-25.</w:t>
      </w:r>
    </w:p>
    <w:p w14:paraId="0A272214" w14:textId="77777777" w:rsidR="0024767F" w:rsidRPr="003E0B98" w:rsidRDefault="0024767F" w:rsidP="004361AC">
      <w:pPr>
        <w:tabs>
          <w:tab w:val="clear" w:pos="567"/>
        </w:tabs>
        <w:spacing w:line="240" w:lineRule="auto"/>
        <w:rPr>
          <w:color w:val="000000"/>
          <w:szCs w:val="22"/>
          <w:lang w:val="es-ES_tradnl"/>
        </w:rPr>
      </w:pPr>
    </w:p>
    <w:p w14:paraId="1A531BF4" w14:textId="77777777" w:rsidR="009C7FF4" w:rsidRPr="003E0B98" w:rsidRDefault="0024767F" w:rsidP="004361AC">
      <w:pPr>
        <w:tabs>
          <w:tab w:val="clear" w:pos="567"/>
        </w:tabs>
        <w:spacing w:line="240" w:lineRule="auto"/>
        <w:rPr>
          <w:color w:val="000000"/>
          <w:szCs w:val="22"/>
          <w:lang w:val="es-ES_tradnl"/>
        </w:rPr>
      </w:pPr>
      <w:r w:rsidRPr="003E0B98">
        <w:rPr>
          <w:color w:val="000000"/>
          <w:szCs w:val="22"/>
          <w:lang w:val="es-ES_tradnl"/>
        </w:rPr>
        <w:t xml:space="preserve">En el ensayo FVF3192g (PIER), se aleatorizaron 184 pacientes que presentaban todas las formas de DMAE </w:t>
      </w:r>
      <w:proofErr w:type="spellStart"/>
      <w:r w:rsidRPr="003E0B98">
        <w:rPr>
          <w:color w:val="000000"/>
          <w:szCs w:val="22"/>
          <w:lang w:val="es-ES_tradnl"/>
        </w:rPr>
        <w:t>neovascular</w:t>
      </w:r>
      <w:proofErr w:type="spellEnd"/>
      <w:r w:rsidRPr="003E0B98">
        <w:rPr>
          <w:color w:val="000000"/>
          <w:szCs w:val="22"/>
          <w:lang w:val="es-ES_tradnl"/>
        </w:rPr>
        <w:t xml:space="preserve"> en </w:t>
      </w:r>
      <w:proofErr w:type="gramStart"/>
      <w:r w:rsidRPr="003E0B98">
        <w:rPr>
          <w:color w:val="000000"/>
          <w:szCs w:val="22"/>
          <w:lang w:val="es-ES_tradnl"/>
        </w:rPr>
        <w:t>un ratio</w:t>
      </w:r>
      <w:proofErr w:type="gramEnd"/>
      <w:r w:rsidRPr="003E0B98">
        <w:rPr>
          <w:color w:val="000000"/>
          <w:szCs w:val="22"/>
          <w:lang w:val="es-ES_tradnl"/>
        </w:rPr>
        <w:t xml:space="preserve"> 1:1:1 para recibir </w:t>
      </w:r>
      <w:proofErr w:type="spellStart"/>
      <w:r w:rsidRPr="003E0B98">
        <w:rPr>
          <w:color w:val="000000"/>
          <w:szCs w:val="22"/>
          <w:lang w:val="es-ES_tradnl"/>
        </w:rPr>
        <w:t>Lucentis</w:t>
      </w:r>
      <w:proofErr w:type="spellEnd"/>
      <w:r w:rsidRPr="003E0B98">
        <w:rPr>
          <w:color w:val="000000"/>
          <w:szCs w:val="22"/>
          <w:lang w:val="es-ES_tradnl"/>
        </w:rPr>
        <w:t xml:space="preserve"> 0,3 mg, </w:t>
      </w:r>
      <w:proofErr w:type="spellStart"/>
      <w:r w:rsidRPr="003E0B98">
        <w:rPr>
          <w:color w:val="000000"/>
          <w:szCs w:val="22"/>
          <w:lang w:val="es-ES_tradnl"/>
        </w:rPr>
        <w:t>Lucentis</w:t>
      </w:r>
      <w:proofErr w:type="spellEnd"/>
      <w:r w:rsidRPr="003E0B98">
        <w:rPr>
          <w:color w:val="000000"/>
          <w:szCs w:val="22"/>
          <w:lang w:val="es-ES_tradnl"/>
        </w:rPr>
        <w:t xml:space="preserve"> 0,5 mg o inyecciones simuladas (</w:t>
      </w:r>
      <w:proofErr w:type="spellStart"/>
      <w:r w:rsidRPr="003E0B98">
        <w:rPr>
          <w:color w:val="000000"/>
          <w:szCs w:val="22"/>
          <w:lang w:val="es-ES_tradnl"/>
        </w:rPr>
        <w:t>sham</w:t>
      </w:r>
      <w:proofErr w:type="spellEnd"/>
      <w:r w:rsidRPr="003E0B98">
        <w:rPr>
          <w:color w:val="000000"/>
          <w:szCs w:val="22"/>
          <w:lang w:val="es-ES_tradnl"/>
        </w:rPr>
        <w:t xml:space="preserve">) una vez al mes en 3 dosis consecutivas, seguido de la administración de una dosis una vez cada 3 meses. </w:t>
      </w:r>
      <w:r w:rsidR="009C7FF4" w:rsidRPr="003E0B98">
        <w:rPr>
          <w:color w:val="000000"/>
          <w:szCs w:val="22"/>
          <w:lang w:val="es-ES_tradnl"/>
        </w:rPr>
        <w:t>A partir del Mes 14 del ensayo, se permitió a los pacientes tratados con inyecciones simuladas (</w:t>
      </w:r>
      <w:proofErr w:type="spellStart"/>
      <w:r w:rsidR="009C7FF4" w:rsidRPr="003E0B98">
        <w:rPr>
          <w:color w:val="000000"/>
          <w:szCs w:val="22"/>
          <w:lang w:val="es-ES_tradnl"/>
        </w:rPr>
        <w:t>sham</w:t>
      </w:r>
      <w:proofErr w:type="spellEnd"/>
      <w:r w:rsidR="009C7FF4" w:rsidRPr="003E0B98">
        <w:rPr>
          <w:color w:val="000000"/>
          <w:szCs w:val="22"/>
          <w:lang w:val="es-ES_tradnl"/>
        </w:rPr>
        <w:t xml:space="preserve">) recibir </w:t>
      </w:r>
      <w:proofErr w:type="spellStart"/>
      <w:r w:rsidR="009C7FF4" w:rsidRPr="003E0B98">
        <w:rPr>
          <w:color w:val="000000"/>
          <w:szCs w:val="22"/>
          <w:lang w:val="es-ES_tradnl"/>
        </w:rPr>
        <w:t>ranibizumab</w:t>
      </w:r>
      <w:proofErr w:type="spellEnd"/>
      <w:r w:rsidR="009C7FF4" w:rsidRPr="003E0B98">
        <w:rPr>
          <w:color w:val="000000"/>
          <w:szCs w:val="22"/>
          <w:lang w:val="es-ES_tradnl"/>
        </w:rPr>
        <w:t xml:space="preserve">, y a partir del Mes 19 fueron posibles tratamientos más frecuentes. Los pacientes tratados con </w:t>
      </w:r>
      <w:proofErr w:type="spellStart"/>
      <w:r w:rsidR="009C7FF4" w:rsidRPr="003E0B98">
        <w:rPr>
          <w:color w:val="000000"/>
          <w:szCs w:val="22"/>
          <w:lang w:val="es-ES_tradnl"/>
        </w:rPr>
        <w:t>Lucentis</w:t>
      </w:r>
      <w:proofErr w:type="spellEnd"/>
      <w:r w:rsidR="009C7FF4" w:rsidRPr="003E0B98">
        <w:rPr>
          <w:color w:val="000000"/>
          <w:szCs w:val="22"/>
          <w:lang w:val="es-ES_tradnl"/>
        </w:rPr>
        <w:t xml:space="preserve"> en el ensayo PIER recibieron un promedio de 10 tratamientos.</w:t>
      </w:r>
    </w:p>
    <w:p w14:paraId="01642C72" w14:textId="77777777" w:rsidR="009C7FF4" w:rsidRPr="003E0B98" w:rsidRDefault="009C7FF4" w:rsidP="004361AC">
      <w:pPr>
        <w:tabs>
          <w:tab w:val="clear" w:pos="567"/>
        </w:tabs>
        <w:spacing w:line="240" w:lineRule="auto"/>
        <w:rPr>
          <w:color w:val="000000"/>
          <w:szCs w:val="22"/>
          <w:lang w:val="es-ES_tradnl"/>
        </w:rPr>
      </w:pPr>
    </w:p>
    <w:p w14:paraId="7B09CBDB" w14:textId="77777777" w:rsidR="009C7FF4" w:rsidRPr="003E0B98" w:rsidRDefault="009C7FF4" w:rsidP="004361AC">
      <w:pPr>
        <w:tabs>
          <w:tab w:val="clear" w:pos="567"/>
        </w:tabs>
        <w:spacing w:line="240" w:lineRule="auto"/>
        <w:rPr>
          <w:color w:val="000000"/>
          <w:szCs w:val="22"/>
          <w:lang w:val="es-ES_tradnl"/>
        </w:rPr>
      </w:pPr>
      <w:r w:rsidRPr="003E0B98">
        <w:rPr>
          <w:color w:val="000000"/>
          <w:szCs w:val="22"/>
          <w:lang w:val="es-ES_tradnl"/>
        </w:rPr>
        <w:t xml:space="preserve">En general, tras un incremento inicial en la agudeza visual (después de la dosificación mensual), la agudeza visual de los pacientes disminuyó con la dosis trimestral, volviendo al valor basal en el Mes 12 y este efecto se mantuvo al Mes 24 en la mayoría de los pacientes tratados con </w:t>
      </w:r>
      <w:proofErr w:type="spellStart"/>
      <w:r w:rsidRPr="003E0B98">
        <w:rPr>
          <w:color w:val="000000"/>
          <w:szCs w:val="22"/>
          <w:lang w:val="es-ES_tradnl"/>
        </w:rPr>
        <w:t>ranibizumab</w:t>
      </w:r>
      <w:proofErr w:type="spellEnd"/>
      <w:r w:rsidRPr="003E0B98">
        <w:rPr>
          <w:color w:val="000000"/>
          <w:szCs w:val="22"/>
          <w:lang w:val="es-ES_tradnl"/>
        </w:rPr>
        <w:t xml:space="preserve"> (82%). </w:t>
      </w:r>
      <w:r w:rsidR="0024767F" w:rsidRPr="003E0B98">
        <w:rPr>
          <w:color w:val="000000"/>
          <w:szCs w:val="22"/>
          <w:lang w:val="es-ES_tradnl"/>
        </w:rPr>
        <w:t xml:space="preserve">Datos limitados procedentes de sujetos que recibieron tratamiento simulado y que posteriormente fueron tratados con </w:t>
      </w:r>
      <w:proofErr w:type="spellStart"/>
      <w:r w:rsidR="0024767F" w:rsidRPr="003E0B98">
        <w:rPr>
          <w:color w:val="000000"/>
          <w:szCs w:val="22"/>
          <w:lang w:val="es-ES_tradnl"/>
        </w:rPr>
        <w:t>ranibizumab</w:t>
      </w:r>
      <w:proofErr w:type="spellEnd"/>
      <w:r w:rsidR="0024767F" w:rsidRPr="003E0B98">
        <w:rPr>
          <w:color w:val="000000"/>
          <w:szCs w:val="22"/>
          <w:lang w:val="es-ES_tradnl"/>
        </w:rPr>
        <w:t>, sugirieron que el inicio temprano del tratamiento puede asociarse a una mejor conservación de la agudeza visual.</w:t>
      </w:r>
    </w:p>
    <w:p w14:paraId="41DE8479" w14:textId="77777777" w:rsidR="009C7FF4" w:rsidRPr="003E0B98" w:rsidRDefault="009C7FF4" w:rsidP="004361AC">
      <w:pPr>
        <w:tabs>
          <w:tab w:val="clear" w:pos="567"/>
        </w:tabs>
        <w:spacing w:line="240" w:lineRule="auto"/>
        <w:rPr>
          <w:color w:val="000000"/>
          <w:lang w:val="es-ES_tradnl"/>
        </w:rPr>
      </w:pPr>
    </w:p>
    <w:p w14:paraId="108CFB57" w14:textId="77777777" w:rsidR="009C7FF4" w:rsidRPr="003E0B98" w:rsidRDefault="009C7FF4" w:rsidP="004361AC">
      <w:pPr>
        <w:tabs>
          <w:tab w:val="clear" w:pos="567"/>
        </w:tabs>
        <w:spacing w:line="240" w:lineRule="auto"/>
        <w:rPr>
          <w:color w:val="000000"/>
          <w:szCs w:val="22"/>
          <w:lang w:val="es-ES_tradnl"/>
        </w:rPr>
      </w:pPr>
      <w:r w:rsidRPr="003E0B98">
        <w:rPr>
          <w:color w:val="000000"/>
          <w:szCs w:val="22"/>
          <w:lang w:val="es-ES_tradnl"/>
        </w:rPr>
        <w:t xml:space="preserve">Los datos de dos ensayos (MONT BLANC, BPD952A2308 y DENALI, BPD952A2309) </w:t>
      </w:r>
      <w:r w:rsidR="00AA24C4" w:rsidRPr="003E0B98">
        <w:rPr>
          <w:color w:val="000000"/>
          <w:szCs w:val="22"/>
          <w:lang w:val="es-ES_tradnl"/>
        </w:rPr>
        <w:t xml:space="preserve">realizados tras la autorización de comercialización, confirmaron la eficacia de </w:t>
      </w:r>
      <w:proofErr w:type="spellStart"/>
      <w:proofErr w:type="gramStart"/>
      <w:r w:rsidR="00AA24C4" w:rsidRPr="003E0B98">
        <w:rPr>
          <w:color w:val="000000"/>
          <w:szCs w:val="22"/>
          <w:lang w:val="es-ES_tradnl"/>
        </w:rPr>
        <w:t>Lucentis</w:t>
      </w:r>
      <w:proofErr w:type="spellEnd"/>
      <w:proofErr w:type="gramEnd"/>
      <w:r w:rsidR="00AA24C4" w:rsidRPr="003E0B98">
        <w:rPr>
          <w:color w:val="000000"/>
          <w:szCs w:val="22"/>
          <w:lang w:val="es-ES_tradnl"/>
        </w:rPr>
        <w:t xml:space="preserve"> pero </w:t>
      </w:r>
      <w:r w:rsidRPr="003E0B98">
        <w:rPr>
          <w:color w:val="000000"/>
          <w:szCs w:val="22"/>
          <w:lang w:val="es-ES_tradnl"/>
        </w:rPr>
        <w:t xml:space="preserve">no demostraron un efecto adicional en la administración combinada de </w:t>
      </w:r>
      <w:proofErr w:type="spellStart"/>
      <w:r w:rsidRPr="003E0B98">
        <w:rPr>
          <w:color w:val="000000"/>
          <w:szCs w:val="22"/>
          <w:lang w:val="es-ES_tradnl"/>
        </w:rPr>
        <w:t>verteporfina</w:t>
      </w:r>
      <w:proofErr w:type="spellEnd"/>
      <w:r w:rsidRPr="003E0B98">
        <w:rPr>
          <w:color w:val="000000"/>
          <w:szCs w:val="22"/>
          <w:lang w:val="es-ES_tradnl"/>
        </w:rPr>
        <w:t xml:space="preserve"> (</w:t>
      </w:r>
      <w:proofErr w:type="spellStart"/>
      <w:r w:rsidRPr="003E0B98">
        <w:rPr>
          <w:color w:val="000000"/>
          <w:szCs w:val="22"/>
          <w:lang w:val="es-ES_tradnl"/>
        </w:rPr>
        <w:t>Visudyne</w:t>
      </w:r>
      <w:proofErr w:type="spellEnd"/>
      <w:r w:rsidRPr="003E0B98">
        <w:rPr>
          <w:color w:val="000000"/>
          <w:szCs w:val="22"/>
          <w:lang w:val="es-ES_tradnl"/>
        </w:rPr>
        <w:t xml:space="preserve"> TFD) y </w:t>
      </w:r>
      <w:proofErr w:type="spellStart"/>
      <w:r w:rsidRPr="003E0B98">
        <w:rPr>
          <w:color w:val="000000"/>
          <w:szCs w:val="22"/>
          <w:lang w:val="es-ES_tradnl"/>
        </w:rPr>
        <w:t>Lucentis</w:t>
      </w:r>
      <w:proofErr w:type="spellEnd"/>
      <w:r w:rsidRPr="003E0B98">
        <w:rPr>
          <w:color w:val="000000"/>
          <w:szCs w:val="22"/>
          <w:lang w:val="es-ES_tradnl"/>
        </w:rPr>
        <w:t xml:space="preserve"> comparado con </w:t>
      </w:r>
      <w:proofErr w:type="spellStart"/>
      <w:r w:rsidRPr="003E0B98">
        <w:rPr>
          <w:color w:val="000000"/>
          <w:szCs w:val="22"/>
          <w:lang w:val="es-ES_tradnl"/>
        </w:rPr>
        <w:t>Lucentis</w:t>
      </w:r>
      <w:proofErr w:type="spellEnd"/>
      <w:r w:rsidRPr="003E0B98">
        <w:rPr>
          <w:color w:val="000000"/>
          <w:szCs w:val="22"/>
          <w:lang w:val="es-ES_tradnl"/>
        </w:rPr>
        <w:t xml:space="preserve"> en monoterapia.</w:t>
      </w:r>
    </w:p>
    <w:p w14:paraId="0B92E2DE" w14:textId="77777777" w:rsidR="00DE39FE" w:rsidRPr="003E0B98" w:rsidRDefault="00DE39FE" w:rsidP="004361AC">
      <w:pPr>
        <w:tabs>
          <w:tab w:val="clear" w:pos="567"/>
        </w:tabs>
        <w:spacing w:line="240" w:lineRule="auto"/>
        <w:rPr>
          <w:bCs/>
          <w:szCs w:val="22"/>
          <w:lang w:val="es-ES_tradnl"/>
        </w:rPr>
      </w:pPr>
    </w:p>
    <w:p w14:paraId="1D162336" w14:textId="77777777" w:rsidR="00DE39FE" w:rsidRPr="003E0B98" w:rsidRDefault="00DE39FE" w:rsidP="004361AC">
      <w:pPr>
        <w:keepNext/>
        <w:tabs>
          <w:tab w:val="clear" w:pos="567"/>
        </w:tabs>
        <w:spacing w:line="240" w:lineRule="auto"/>
        <w:rPr>
          <w:i/>
          <w:color w:val="000000"/>
          <w:szCs w:val="22"/>
          <w:u w:val="single"/>
          <w:lang w:val="es-ES_tradnl"/>
        </w:rPr>
      </w:pPr>
      <w:r w:rsidRPr="003E0B98">
        <w:rPr>
          <w:i/>
          <w:color w:val="000000"/>
          <w:szCs w:val="22"/>
          <w:u w:val="single"/>
          <w:lang w:val="es-ES_tradnl"/>
        </w:rPr>
        <w:t xml:space="preserve">Tratamiento de la </w:t>
      </w:r>
      <w:r w:rsidRPr="003E0B98">
        <w:rPr>
          <w:i/>
          <w:color w:val="000000"/>
          <w:szCs w:val="22"/>
          <w:u w:val="single"/>
          <w:lang w:val="es-ES"/>
        </w:rPr>
        <w:t>alteración</w:t>
      </w:r>
      <w:r w:rsidRPr="003E0B98">
        <w:rPr>
          <w:i/>
          <w:color w:val="000000"/>
          <w:szCs w:val="22"/>
          <w:u w:val="single"/>
          <w:lang w:val="es-ES_tradnl"/>
        </w:rPr>
        <w:t xml:space="preserve"> visual debida a la NVC secundaria a MP</w:t>
      </w:r>
    </w:p>
    <w:p w14:paraId="755189CF" w14:textId="77777777" w:rsidR="00DE39FE" w:rsidRPr="003E0B98" w:rsidRDefault="00DE39FE" w:rsidP="004361AC">
      <w:pPr>
        <w:keepNext/>
        <w:tabs>
          <w:tab w:val="clear" w:pos="567"/>
        </w:tabs>
        <w:spacing w:line="240" w:lineRule="auto"/>
        <w:rPr>
          <w:color w:val="000000"/>
          <w:szCs w:val="22"/>
          <w:lang w:val="es-ES_tradnl"/>
        </w:rPr>
      </w:pPr>
      <w:r w:rsidRPr="003E0B98">
        <w:rPr>
          <w:color w:val="000000"/>
          <w:szCs w:val="22"/>
          <w:lang w:val="es-ES_tradnl"/>
        </w:rPr>
        <w:t xml:space="preserve">La seguridad y eficacia clínicas de </w:t>
      </w:r>
      <w:proofErr w:type="spellStart"/>
      <w:r w:rsidRPr="003E0B98">
        <w:rPr>
          <w:color w:val="000000"/>
          <w:szCs w:val="22"/>
          <w:lang w:val="es-ES_tradnl"/>
        </w:rPr>
        <w:t>Lucentis</w:t>
      </w:r>
      <w:proofErr w:type="spellEnd"/>
      <w:r w:rsidRPr="003E0B98">
        <w:rPr>
          <w:color w:val="000000"/>
          <w:szCs w:val="22"/>
          <w:lang w:val="es-ES_tradnl"/>
        </w:rPr>
        <w:t xml:space="preserve"> en pacientes con </w:t>
      </w:r>
      <w:r w:rsidRPr="003E0B98">
        <w:rPr>
          <w:color w:val="000000"/>
          <w:szCs w:val="22"/>
          <w:lang w:val="es-ES"/>
        </w:rPr>
        <w:t>alteración</w:t>
      </w:r>
      <w:r w:rsidRPr="003E0B98">
        <w:rPr>
          <w:color w:val="000000"/>
          <w:szCs w:val="22"/>
          <w:lang w:val="es-ES_tradnl"/>
        </w:rPr>
        <w:t xml:space="preserve"> visual debida a la NVC secundaria a MP se han evaluado teniendo en cuenta los datos de 12 meses del ensayo </w:t>
      </w:r>
      <w:proofErr w:type="spellStart"/>
      <w:r w:rsidRPr="003E0B98">
        <w:rPr>
          <w:color w:val="000000"/>
          <w:szCs w:val="22"/>
          <w:lang w:val="es-ES_tradnl"/>
        </w:rPr>
        <w:t>pivotal</w:t>
      </w:r>
      <w:proofErr w:type="spellEnd"/>
      <w:r w:rsidRPr="003E0B98">
        <w:rPr>
          <w:color w:val="000000"/>
          <w:szCs w:val="22"/>
          <w:lang w:val="es-ES_tradnl"/>
        </w:rPr>
        <w:t xml:space="preserve"> F2301 (RADIANCE) controlado, doble ciego. En este ensayo 277 pacientes fueron aleatorizados en </w:t>
      </w:r>
      <w:proofErr w:type="gramStart"/>
      <w:r w:rsidRPr="003E0B98">
        <w:rPr>
          <w:color w:val="000000"/>
          <w:szCs w:val="22"/>
          <w:lang w:val="es-ES_tradnl"/>
        </w:rPr>
        <w:t>un ratio</w:t>
      </w:r>
      <w:proofErr w:type="gramEnd"/>
      <w:r w:rsidRPr="003E0B98">
        <w:rPr>
          <w:color w:val="000000"/>
          <w:szCs w:val="22"/>
          <w:lang w:val="es-ES_tradnl"/>
        </w:rPr>
        <w:t> 2:2:1 para los siguientes grupos:</w:t>
      </w:r>
    </w:p>
    <w:p w14:paraId="5420B712" w14:textId="77777777" w:rsidR="00DE39FE" w:rsidRPr="003E0B98" w:rsidRDefault="00DE39FE" w:rsidP="004361AC">
      <w:pPr>
        <w:pStyle w:val="Text"/>
        <w:numPr>
          <w:ilvl w:val="0"/>
          <w:numId w:val="9"/>
        </w:numPr>
        <w:spacing w:before="0"/>
        <w:ind w:left="567" w:hanging="567"/>
        <w:jc w:val="left"/>
        <w:rPr>
          <w:color w:val="000000"/>
          <w:sz w:val="22"/>
          <w:szCs w:val="22"/>
          <w:lang w:val="es-ES_tradnl"/>
        </w:rPr>
      </w:pPr>
      <w:r w:rsidRPr="003E0B98">
        <w:rPr>
          <w:color w:val="000000"/>
          <w:sz w:val="22"/>
          <w:szCs w:val="22"/>
          <w:lang w:val="es-ES_tradnl"/>
        </w:rPr>
        <w:t>Grupo I (</w:t>
      </w:r>
      <w:proofErr w:type="spellStart"/>
      <w:r w:rsidRPr="003E0B98">
        <w:rPr>
          <w:color w:val="000000"/>
          <w:sz w:val="22"/>
          <w:szCs w:val="22"/>
          <w:lang w:val="es-ES_tradnl"/>
        </w:rPr>
        <w:t>ranibizumab</w:t>
      </w:r>
      <w:proofErr w:type="spellEnd"/>
      <w:r w:rsidRPr="003E0B98">
        <w:rPr>
          <w:color w:val="000000"/>
          <w:sz w:val="22"/>
          <w:szCs w:val="22"/>
          <w:lang w:val="es-ES_tradnl"/>
        </w:rPr>
        <w:t xml:space="preserve"> 0,5 mg, pauta posológica basada en criterios de “estabilidad” definida como ningún cambio en la AVMC en comparación con las dos evaluaciones mensuales previas).</w:t>
      </w:r>
    </w:p>
    <w:p w14:paraId="061C0489" w14:textId="77777777" w:rsidR="00DE39FE" w:rsidRPr="003E0B98" w:rsidRDefault="00DE39FE" w:rsidP="004361AC">
      <w:pPr>
        <w:pStyle w:val="Text"/>
        <w:numPr>
          <w:ilvl w:val="0"/>
          <w:numId w:val="9"/>
        </w:numPr>
        <w:spacing w:before="0"/>
        <w:ind w:left="567" w:hanging="567"/>
        <w:jc w:val="left"/>
        <w:rPr>
          <w:color w:val="000000"/>
          <w:sz w:val="22"/>
          <w:szCs w:val="22"/>
          <w:lang w:val="es-ES_tradnl"/>
        </w:rPr>
      </w:pPr>
      <w:r w:rsidRPr="003E0B98">
        <w:rPr>
          <w:color w:val="000000"/>
          <w:sz w:val="22"/>
          <w:szCs w:val="22"/>
          <w:lang w:val="es-ES_tradnl"/>
        </w:rPr>
        <w:t>Grupo II (</w:t>
      </w:r>
      <w:proofErr w:type="spellStart"/>
      <w:r w:rsidRPr="003E0B98">
        <w:rPr>
          <w:color w:val="000000"/>
          <w:sz w:val="22"/>
          <w:szCs w:val="22"/>
          <w:lang w:val="es-ES_tradnl"/>
        </w:rPr>
        <w:t>ranibizumab</w:t>
      </w:r>
      <w:proofErr w:type="spellEnd"/>
      <w:r w:rsidRPr="003E0B98">
        <w:rPr>
          <w:color w:val="000000"/>
          <w:sz w:val="22"/>
          <w:szCs w:val="22"/>
          <w:lang w:val="es-ES_tradnl"/>
        </w:rPr>
        <w:t xml:space="preserve"> 0,5 mg, pauta posológica basada en criterios de “actividad de la enfermedad” definida como </w:t>
      </w:r>
      <w:r w:rsidRPr="003E0B98">
        <w:rPr>
          <w:color w:val="000000"/>
          <w:sz w:val="22"/>
          <w:szCs w:val="22"/>
          <w:lang w:val="es-ES"/>
        </w:rPr>
        <w:t>alteración</w:t>
      </w:r>
      <w:r w:rsidRPr="003E0B98">
        <w:rPr>
          <w:color w:val="000000"/>
          <w:sz w:val="22"/>
          <w:szCs w:val="22"/>
          <w:lang w:val="es-ES_tradnl"/>
        </w:rPr>
        <w:t xml:space="preserve"> de la visión atribuible al </w:t>
      </w:r>
      <w:r w:rsidR="00124830" w:rsidRPr="003E0B98">
        <w:rPr>
          <w:color w:val="000000"/>
          <w:sz w:val="22"/>
          <w:szCs w:val="22"/>
          <w:lang w:val="es-ES_tradnl"/>
        </w:rPr>
        <w:t>lí</w:t>
      </w:r>
      <w:r w:rsidRPr="003E0B98">
        <w:rPr>
          <w:color w:val="000000"/>
          <w:sz w:val="22"/>
          <w:szCs w:val="22"/>
          <w:lang w:val="es-ES_tradnl"/>
        </w:rPr>
        <w:t xml:space="preserve">quido intra o </w:t>
      </w:r>
      <w:proofErr w:type="spellStart"/>
      <w:r w:rsidRPr="003E0B98">
        <w:rPr>
          <w:color w:val="000000"/>
          <w:sz w:val="22"/>
          <w:szCs w:val="22"/>
          <w:lang w:val="es-ES_tradnl"/>
        </w:rPr>
        <w:t>subretiniano</w:t>
      </w:r>
      <w:proofErr w:type="spellEnd"/>
      <w:r w:rsidRPr="003E0B98">
        <w:rPr>
          <w:color w:val="000000"/>
          <w:sz w:val="22"/>
          <w:szCs w:val="22"/>
          <w:lang w:val="es-ES_tradnl"/>
        </w:rPr>
        <w:t xml:space="preserve"> o exudación activa debido a la lesión de NVC y evaluada mediante tomografía de coherencia óptica y/o angiografía con fluoresceína).</w:t>
      </w:r>
    </w:p>
    <w:p w14:paraId="7BE6AAD2" w14:textId="77777777" w:rsidR="00DE39FE" w:rsidRPr="003E0B98" w:rsidRDefault="00DE39FE" w:rsidP="004361AC">
      <w:pPr>
        <w:pStyle w:val="Text"/>
        <w:keepNext/>
        <w:numPr>
          <w:ilvl w:val="0"/>
          <w:numId w:val="9"/>
        </w:numPr>
        <w:spacing w:before="0"/>
        <w:ind w:left="567" w:hanging="567"/>
        <w:jc w:val="left"/>
        <w:rPr>
          <w:color w:val="000000"/>
          <w:sz w:val="22"/>
          <w:szCs w:val="22"/>
          <w:lang w:val="es-ES"/>
        </w:rPr>
      </w:pPr>
      <w:r w:rsidRPr="003E0B98">
        <w:rPr>
          <w:color w:val="000000"/>
          <w:sz w:val="22"/>
          <w:szCs w:val="22"/>
          <w:lang w:val="es-ES"/>
        </w:rPr>
        <w:t>Grupo III (</w:t>
      </w:r>
      <w:proofErr w:type="spellStart"/>
      <w:r w:rsidRPr="003E0B98">
        <w:rPr>
          <w:color w:val="000000"/>
          <w:sz w:val="22"/>
          <w:szCs w:val="22"/>
          <w:lang w:val="es-ES"/>
        </w:rPr>
        <w:t>TFDv</w:t>
      </w:r>
      <w:proofErr w:type="spellEnd"/>
      <w:r w:rsidRPr="003E0B98">
        <w:rPr>
          <w:color w:val="000000"/>
          <w:sz w:val="22"/>
          <w:szCs w:val="22"/>
          <w:lang w:val="es-ES"/>
        </w:rPr>
        <w:t xml:space="preserve"> – se permitió a los pacientes recibir tratamiento con </w:t>
      </w:r>
      <w:proofErr w:type="spellStart"/>
      <w:r w:rsidRPr="003E0B98">
        <w:rPr>
          <w:color w:val="000000"/>
          <w:sz w:val="22"/>
          <w:szCs w:val="22"/>
          <w:lang w:val="es-ES"/>
        </w:rPr>
        <w:t>ranibizumab</w:t>
      </w:r>
      <w:proofErr w:type="spellEnd"/>
      <w:r w:rsidRPr="003E0B98">
        <w:rPr>
          <w:color w:val="000000"/>
          <w:sz w:val="22"/>
          <w:szCs w:val="22"/>
          <w:lang w:val="es-ES"/>
        </w:rPr>
        <w:t xml:space="preserve"> a partir del Mes 3).</w:t>
      </w:r>
    </w:p>
    <w:p w14:paraId="5B343D30" w14:textId="77777777" w:rsidR="00DE39FE" w:rsidRPr="003E0B98" w:rsidRDefault="00DE39FE" w:rsidP="004361AC">
      <w:pPr>
        <w:tabs>
          <w:tab w:val="clear" w:pos="567"/>
        </w:tabs>
        <w:spacing w:line="240" w:lineRule="auto"/>
        <w:rPr>
          <w:szCs w:val="22"/>
          <w:lang w:val="es-ES"/>
        </w:rPr>
      </w:pPr>
      <w:r w:rsidRPr="003E0B98">
        <w:rPr>
          <w:szCs w:val="22"/>
          <w:lang w:val="es-ES"/>
        </w:rPr>
        <w:t xml:space="preserve">En el Grupo II, que se corresponde con la posología recomendada (ver sección 4.2), el 50,9% de los pacientes requirió 1 </w:t>
      </w:r>
      <w:proofErr w:type="spellStart"/>
      <w:r w:rsidRPr="003E0B98">
        <w:rPr>
          <w:szCs w:val="22"/>
          <w:lang w:val="es-ES"/>
        </w:rPr>
        <w:t>ó</w:t>
      </w:r>
      <w:proofErr w:type="spellEnd"/>
      <w:r w:rsidRPr="003E0B98">
        <w:rPr>
          <w:szCs w:val="22"/>
          <w:lang w:val="es-ES"/>
        </w:rPr>
        <w:t xml:space="preserve"> 2 inyecciones, el 34,5% requirió de 3 a 5 inyecciones y el 14,7% requirió de 6 a 12 inyecciones durante el periodo de 12 meses del ensayo. El 62,9% de los pacientes del Grupo II no requirió inyecciones en el segundo semestre del ensayo.</w:t>
      </w:r>
    </w:p>
    <w:p w14:paraId="7E1C40DC" w14:textId="77777777" w:rsidR="00DE39FE" w:rsidRPr="003E0B98" w:rsidRDefault="00DE39FE" w:rsidP="004361AC">
      <w:pPr>
        <w:tabs>
          <w:tab w:val="clear" w:pos="567"/>
        </w:tabs>
        <w:spacing w:line="240" w:lineRule="auto"/>
        <w:rPr>
          <w:szCs w:val="22"/>
          <w:lang w:val="es-ES"/>
        </w:rPr>
      </w:pPr>
    </w:p>
    <w:p w14:paraId="1CF143BE" w14:textId="77777777" w:rsidR="00DE39FE" w:rsidRPr="003E0B98" w:rsidRDefault="00DE39FE" w:rsidP="004361AC">
      <w:pPr>
        <w:tabs>
          <w:tab w:val="clear" w:pos="567"/>
        </w:tabs>
        <w:spacing w:line="240" w:lineRule="auto"/>
        <w:rPr>
          <w:sz w:val="24"/>
          <w:lang w:val="es-ES"/>
        </w:rPr>
      </w:pPr>
      <w:r w:rsidRPr="003E0B98">
        <w:rPr>
          <w:szCs w:val="22"/>
          <w:lang w:val="es-ES"/>
        </w:rPr>
        <w:t xml:space="preserve">En la Tabla 2 y en la Figura 2 se resumen las variables principales del ensayo </w:t>
      </w:r>
      <w:r w:rsidRPr="003E0B98">
        <w:rPr>
          <w:color w:val="000000"/>
          <w:szCs w:val="22"/>
          <w:lang w:val="es-ES_tradnl"/>
        </w:rPr>
        <w:t>RADIANCE</w:t>
      </w:r>
      <w:r w:rsidRPr="003E0B98">
        <w:rPr>
          <w:szCs w:val="22"/>
          <w:lang w:val="es-ES"/>
        </w:rPr>
        <w:t>.</w:t>
      </w:r>
    </w:p>
    <w:p w14:paraId="6EC08166" w14:textId="77777777" w:rsidR="00DE39FE" w:rsidRPr="003E0B98" w:rsidRDefault="00DE39FE" w:rsidP="004361AC">
      <w:pPr>
        <w:tabs>
          <w:tab w:val="clear" w:pos="567"/>
        </w:tabs>
        <w:spacing w:line="240" w:lineRule="auto"/>
        <w:rPr>
          <w:szCs w:val="22"/>
          <w:lang w:val="es-ES"/>
        </w:rPr>
      </w:pPr>
    </w:p>
    <w:p w14:paraId="6A311ACA" w14:textId="77777777" w:rsidR="00DE39FE" w:rsidRPr="003E0B98" w:rsidRDefault="00DE39FE" w:rsidP="004361AC">
      <w:pPr>
        <w:keepNext/>
        <w:tabs>
          <w:tab w:val="clear" w:pos="567"/>
        </w:tabs>
        <w:spacing w:line="240" w:lineRule="auto"/>
        <w:ind w:left="1134" w:hanging="1134"/>
        <w:rPr>
          <w:b/>
          <w:color w:val="000000"/>
          <w:lang w:val="es-ES"/>
        </w:rPr>
      </w:pPr>
      <w:r w:rsidRPr="003E0B98">
        <w:rPr>
          <w:b/>
          <w:color w:val="000000"/>
          <w:lang w:val="es-ES"/>
        </w:rPr>
        <w:t>Tabla 2</w:t>
      </w:r>
      <w:r w:rsidRPr="003E0B98">
        <w:rPr>
          <w:b/>
          <w:color w:val="000000"/>
          <w:lang w:val="es-ES"/>
        </w:rPr>
        <w:tab/>
      </w:r>
      <w:r w:rsidRPr="003E0B98">
        <w:rPr>
          <w:b/>
          <w:color w:val="000000"/>
          <w:lang w:val="es-ES_tradnl"/>
        </w:rPr>
        <w:t xml:space="preserve">Resultados a los Meses 3 y 12 </w:t>
      </w:r>
      <w:r w:rsidRPr="003E0B98">
        <w:rPr>
          <w:b/>
          <w:color w:val="000000"/>
          <w:lang w:val="es-ES"/>
        </w:rPr>
        <w:t>(RADIANCE)</w:t>
      </w:r>
    </w:p>
    <w:p w14:paraId="78DDB795" w14:textId="77777777" w:rsidR="00DE39FE" w:rsidRPr="003E0B98" w:rsidRDefault="00DE39FE" w:rsidP="004361AC">
      <w:pPr>
        <w:keepNext/>
        <w:spacing w:line="240" w:lineRule="auto"/>
        <w:rPr>
          <w:lang w:val="es-ES"/>
        </w:rPr>
      </w:pPr>
    </w:p>
    <w:tbl>
      <w:tblPr>
        <w:tblW w:w="9293" w:type="dxa"/>
        <w:tblBorders>
          <w:top w:val="single" w:sz="4" w:space="0" w:color="auto"/>
          <w:bottom w:val="single" w:sz="4" w:space="0" w:color="auto"/>
        </w:tblBorders>
        <w:tblLayout w:type="fixed"/>
        <w:tblLook w:val="0000" w:firstRow="0" w:lastRow="0" w:firstColumn="0" w:lastColumn="0" w:noHBand="0" w:noVBand="0"/>
      </w:tblPr>
      <w:tblGrid>
        <w:gridCol w:w="4219"/>
        <w:gridCol w:w="1843"/>
        <w:gridCol w:w="1984"/>
        <w:gridCol w:w="1247"/>
      </w:tblGrid>
      <w:tr w:rsidR="00DE39FE" w:rsidRPr="003E0B98" w14:paraId="7A85A564" w14:textId="77777777" w:rsidTr="00E91D8B">
        <w:tc>
          <w:tcPr>
            <w:tcW w:w="4219" w:type="dxa"/>
            <w:tcBorders>
              <w:top w:val="single" w:sz="4" w:space="0" w:color="auto"/>
              <w:bottom w:val="single" w:sz="4" w:space="0" w:color="auto"/>
            </w:tcBorders>
          </w:tcPr>
          <w:p w14:paraId="6CD8C729" w14:textId="77777777" w:rsidR="00DE39FE" w:rsidRPr="003E0B98" w:rsidRDefault="00DE39FE" w:rsidP="004361AC">
            <w:pPr>
              <w:pStyle w:val="Table"/>
              <w:keepNext/>
              <w:spacing w:before="0" w:after="0"/>
              <w:rPr>
                <w:rFonts w:ascii="Times New Roman" w:hAnsi="Times New Roman"/>
                <w:sz w:val="22"/>
                <w:szCs w:val="22"/>
                <w:lang w:val="es-ES" w:eastAsia="en-US"/>
              </w:rPr>
            </w:pPr>
          </w:p>
        </w:tc>
        <w:tc>
          <w:tcPr>
            <w:tcW w:w="1843" w:type="dxa"/>
            <w:tcBorders>
              <w:top w:val="single" w:sz="4" w:space="0" w:color="auto"/>
              <w:bottom w:val="single" w:sz="4" w:space="0" w:color="auto"/>
            </w:tcBorders>
          </w:tcPr>
          <w:p w14:paraId="535D6FCC" w14:textId="77777777" w:rsidR="00DE39FE" w:rsidRPr="003E0B98" w:rsidRDefault="00DE39FE" w:rsidP="004361AC">
            <w:pPr>
              <w:pStyle w:val="Text"/>
              <w:keepNext/>
              <w:spacing w:before="0"/>
              <w:jc w:val="center"/>
              <w:rPr>
                <w:rFonts w:eastAsia="MS Mincho"/>
                <w:b/>
                <w:bCs/>
                <w:sz w:val="22"/>
                <w:szCs w:val="22"/>
              </w:rPr>
            </w:pPr>
            <w:r w:rsidRPr="003E0B98">
              <w:rPr>
                <w:rFonts w:eastAsia="MS Mincho"/>
                <w:b/>
                <w:bCs/>
                <w:sz w:val="22"/>
                <w:szCs w:val="22"/>
              </w:rPr>
              <w:t>Grup</w:t>
            </w:r>
            <w:r w:rsidRPr="003E0B98">
              <w:rPr>
                <w:rFonts w:eastAsia="MS Mincho"/>
                <w:b/>
                <w:bCs/>
                <w:sz w:val="22"/>
                <w:szCs w:val="22"/>
                <w:lang w:val="es-ES"/>
              </w:rPr>
              <w:t>o</w:t>
            </w:r>
            <w:r w:rsidRPr="003E0B98">
              <w:rPr>
                <w:rFonts w:eastAsia="MS Mincho"/>
                <w:b/>
                <w:bCs/>
                <w:sz w:val="22"/>
                <w:szCs w:val="22"/>
              </w:rPr>
              <w:t xml:space="preserve"> I</w:t>
            </w:r>
          </w:p>
          <w:p w14:paraId="4296C159" w14:textId="77777777" w:rsidR="00DE39FE" w:rsidRPr="003E0B98" w:rsidRDefault="00DE39FE" w:rsidP="004361AC">
            <w:pPr>
              <w:pStyle w:val="Text"/>
              <w:keepNext/>
              <w:spacing w:before="0"/>
              <w:jc w:val="center"/>
              <w:rPr>
                <w:rFonts w:eastAsia="MS Mincho"/>
                <w:b/>
                <w:bCs/>
                <w:sz w:val="22"/>
                <w:szCs w:val="22"/>
              </w:rPr>
            </w:pPr>
            <w:r w:rsidRPr="003E0B98">
              <w:rPr>
                <w:rFonts w:eastAsia="MS Mincho"/>
                <w:b/>
                <w:bCs/>
                <w:sz w:val="22"/>
                <w:szCs w:val="22"/>
              </w:rPr>
              <w:t>Ranibizumab</w:t>
            </w:r>
          </w:p>
          <w:p w14:paraId="2C843DD0" w14:textId="77777777" w:rsidR="00DE39FE" w:rsidRPr="003E0B98" w:rsidRDefault="00DE39FE" w:rsidP="004361AC">
            <w:pPr>
              <w:pStyle w:val="Text"/>
              <w:keepNext/>
              <w:spacing w:before="0"/>
              <w:jc w:val="center"/>
              <w:rPr>
                <w:rFonts w:eastAsia="MS Mincho"/>
                <w:b/>
                <w:bCs/>
                <w:sz w:val="22"/>
                <w:szCs w:val="22"/>
              </w:rPr>
            </w:pPr>
            <w:r w:rsidRPr="003E0B98">
              <w:rPr>
                <w:rFonts w:eastAsia="MS Mincho"/>
                <w:b/>
                <w:bCs/>
                <w:sz w:val="22"/>
                <w:szCs w:val="22"/>
              </w:rPr>
              <w:t>0</w:t>
            </w:r>
            <w:r w:rsidRPr="003E0B98">
              <w:rPr>
                <w:rFonts w:eastAsia="MS Mincho"/>
                <w:b/>
                <w:bCs/>
                <w:sz w:val="22"/>
                <w:szCs w:val="22"/>
                <w:lang w:val="es-ES"/>
              </w:rPr>
              <w:t>,</w:t>
            </w:r>
            <w:r w:rsidRPr="003E0B98">
              <w:rPr>
                <w:rFonts w:eastAsia="MS Mincho"/>
                <w:b/>
                <w:bCs/>
                <w:sz w:val="22"/>
                <w:szCs w:val="22"/>
              </w:rPr>
              <w:t>5 mg</w:t>
            </w:r>
          </w:p>
          <w:p w14:paraId="68441D2A" w14:textId="77777777" w:rsidR="00DE39FE" w:rsidRPr="003E0B98" w:rsidRDefault="00DE39FE" w:rsidP="004361AC">
            <w:pPr>
              <w:pStyle w:val="Text"/>
              <w:keepNext/>
              <w:spacing w:before="0"/>
              <w:jc w:val="center"/>
              <w:rPr>
                <w:rFonts w:eastAsia="MS Mincho"/>
                <w:b/>
                <w:bCs/>
                <w:sz w:val="22"/>
                <w:szCs w:val="22"/>
              </w:rPr>
            </w:pPr>
            <w:r w:rsidRPr="003E0B98">
              <w:rPr>
                <w:rFonts w:eastAsia="MS Mincho"/>
                <w:b/>
                <w:bCs/>
                <w:sz w:val="22"/>
                <w:szCs w:val="22"/>
              </w:rPr>
              <w:t>“</w:t>
            </w:r>
            <w:proofErr w:type="spellStart"/>
            <w:r w:rsidRPr="003E0B98">
              <w:rPr>
                <w:rFonts w:eastAsia="MS Mincho"/>
                <w:b/>
                <w:bCs/>
                <w:sz w:val="22"/>
                <w:szCs w:val="22"/>
                <w:lang w:val="es-ES"/>
              </w:rPr>
              <w:t>estabilidad</w:t>
            </w:r>
            <w:proofErr w:type="spellEnd"/>
            <w:r w:rsidRPr="003E0B98">
              <w:rPr>
                <w:rFonts w:eastAsia="MS Mincho"/>
                <w:b/>
                <w:bCs/>
                <w:sz w:val="22"/>
                <w:szCs w:val="22"/>
                <w:lang w:val="es-ES"/>
              </w:rPr>
              <w:t xml:space="preserve"> de la </w:t>
            </w:r>
            <w:proofErr w:type="spellStart"/>
            <w:r w:rsidRPr="003E0B98">
              <w:rPr>
                <w:rFonts w:eastAsia="MS Mincho"/>
                <w:b/>
                <w:bCs/>
                <w:sz w:val="22"/>
                <w:szCs w:val="22"/>
              </w:rPr>
              <w:t>visi</w:t>
            </w:r>
            <w:r w:rsidRPr="003E0B98">
              <w:rPr>
                <w:rFonts w:eastAsia="MS Mincho"/>
                <w:b/>
                <w:bCs/>
                <w:sz w:val="22"/>
                <w:szCs w:val="22"/>
                <w:lang w:val="es-ES"/>
              </w:rPr>
              <w:t>ó</w:t>
            </w:r>
            <w:proofErr w:type="spellEnd"/>
            <w:r w:rsidRPr="003E0B98">
              <w:rPr>
                <w:rFonts w:eastAsia="MS Mincho"/>
                <w:b/>
                <w:bCs/>
                <w:sz w:val="22"/>
                <w:szCs w:val="22"/>
              </w:rPr>
              <w:t>n”</w:t>
            </w:r>
          </w:p>
          <w:p w14:paraId="181FD4D6" w14:textId="77777777" w:rsidR="00DE39FE" w:rsidRPr="003E0B98" w:rsidRDefault="00DE39FE" w:rsidP="004361AC">
            <w:pPr>
              <w:pStyle w:val="Table"/>
              <w:keepNext/>
              <w:spacing w:before="0" w:after="0"/>
              <w:jc w:val="center"/>
              <w:rPr>
                <w:rFonts w:ascii="Times New Roman" w:hAnsi="Times New Roman"/>
                <w:sz w:val="22"/>
                <w:szCs w:val="22"/>
                <w:lang w:val="es-ES" w:eastAsia="en-US"/>
              </w:rPr>
            </w:pPr>
            <w:r w:rsidRPr="003E0B98">
              <w:rPr>
                <w:rFonts w:ascii="Times New Roman" w:hAnsi="Times New Roman"/>
                <w:b/>
                <w:bCs/>
                <w:sz w:val="22"/>
                <w:szCs w:val="22"/>
                <w:lang w:val="es-ES" w:eastAsia="en-US"/>
              </w:rPr>
              <w:t>(n=105)</w:t>
            </w:r>
          </w:p>
        </w:tc>
        <w:tc>
          <w:tcPr>
            <w:tcW w:w="1984" w:type="dxa"/>
            <w:tcBorders>
              <w:top w:val="single" w:sz="4" w:space="0" w:color="auto"/>
              <w:bottom w:val="single" w:sz="4" w:space="0" w:color="auto"/>
            </w:tcBorders>
          </w:tcPr>
          <w:p w14:paraId="1834E3E5" w14:textId="77777777" w:rsidR="00DE39FE" w:rsidRPr="003E0B98" w:rsidRDefault="00DE39FE" w:rsidP="004361AC">
            <w:pPr>
              <w:pStyle w:val="Text"/>
              <w:keepNext/>
              <w:spacing w:before="0"/>
              <w:jc w:val="center"/>
              <w:rPr>
                <w:rFonts w:eastAsia="MS Mincho"/>
                <w:b/>
                <w:bCs/>
                <w:sz w:val="22"/>
                <w:szCs w:val="22"/>
              </w:rPr>
            </w:pPr>
            <w:r w:rsidRPr="003E0B98">
              <w:rPr>
                <w:rFonts w:eastAsia="MS Mincho"/>
                <w:b/>
                <w:bCs/>
                <w:sz w:val="22"/>
                <w:szCs w:val="22"/>
              </w:rPr>
              <w:t>Grup</w:t>
            </w:r>
            <w:r w:rsidRPr="003E0B98">
              <w:rPr>
                <w:rFonts w:eastAsia="MS Mincho"/>
                <w:b/>
                <w:bCs/>
                <w:sz w:val="22"/>
                <w:szCs w:val="22"/>
                <w:lang w:val="es-ES"/>
              </w:rPr>
              <w:t>o</w:t>
            </w:r>
            <w:r w:rsidRPr="003E0B98">
              <w:rPr>
                <w:rFonts w:eastAsia="MS Mincho"/>
                <w:b/>
                <w:bCs/>
                <w:sz w:val="22"/>
                <w:szCs w:val="22"/>
              </w:rPr>
              <w:t xml:space="preserve"> II</w:t>
            </w:r>
          </w:p>
          <w:p w14:paraId="40178CFA" w14:textId="77777777" w:rsidR="00DE39FE" w:rsidRPr="003E0B98" w:rsidRDefault="00DE39FE" w:rsidP="004361AC">
            <w:pPr>
              <w:pStyle w:val="Text"/>
              <w:keepNext/>
              <w:spacing w:before="0"/>
              <w:jc w:val="center"/>
              <w:rPr>
                <w:rFonts w:eastAsia="MS Mincho"/>
                <w:b/>
                <w:bCs/>
                <w:sz w:val="22"/>
                <w:szCs w:val="22"/>
              </w:rPr>
            </w:pPr>
            <w:r w:rsidRPr="003E0B98">
              <w:rPr>
                <w:rFonts w:eastAsia="MS Mincho"/>
                <w:b/>
                <w:bCs/>
                <w:sz w:val="22"/>
                <w:szCs w:val="22"/>
              </w:rPr>
              <w:t>Ranibizumab</w:t>
            </w:r>
          </w:p>
          <w:p w14:paraId="628822EB" w14:textId="77777777" w:rsidR="00DE39FE" w:rsidRPr="003E0B98" w:rsidRDefault="00DE39FE" w:rsidP="004361AC">
            <w:pPr>
              <w:pStyle w:val="Text"/>
              <w:keepNext/>
              <w:spacing w:before="0"/>
              <w:jc w:val="center"/>
              <w:rPr>
                <w:rFonts w:eastAsia="MS Mincho"/>
                <w:b/>
                <w:bCs/>
                <w:sz w:val="22"/>
                <w:szCs w:val="22"/>
              </w:rPr>
            </w:pPr>
            <w:r w:rsidRPr="003E0B98">
              <w:rPr>
                <w:rFonts w:eastAsia="MS Mincho"/>
                <w:b/>
                <w:bCs/>
                <w:sz w:val="22"/>
                <w:szCs w:val="22"/>
              </w:rPr>
              <w:t>0</w:t>
            </w:r>
            <w:r w:rsidRPr="003E0B98">
              <w:rPr>
                <w:rFonts w:eastAsia="MS Mincho"/>
                <w:b/>
                <w:bCs/>
                <w:sz w:val="22"/>
                <w:szCs w:val="22"/>
                <w:lang w:val="es-ES"/>
              </w:rPr>
              <w:t>,</w:t>
            </w:r>
            <w:r w:rsidRPr="003E0B98">
              <w:rPr>
                <w:rFonts w:eastAsia="MS Mincho"/>
                <w:b/>
                <w:bCs/>
                <w:sz w:val="22"/>
                <w:szCs w:val="22"/>
              </w:rPr>
              <w:t>5 mg</w:t>
            </w:r>
          </w:p>
          <w:p w14:paraId="1BB071E2" w14:textId="77777777" w:rsidR="00DE39FE" w:rsidRPr="003E0B98" w:rsidRDefault="00DE39FE" w:rsidP="004361AC">
            <w:pPr>
              <w:pStyle w:val="Text"/>
              <w:keepNext/>
              <w:spacing w:before="0"/>
              <w:jc w:val="center"/>
              <w:rPr>
                <w:rFonts w:eastAsia="MS Mincho"/>
                <w:b/>
                <w:bCs/>
                <w:sz w:val="22"/>
                <w:szCs w:val="22"/>
              </w:rPr>
            </w:pPr>
            <w:r w:rsidRPr="003E0B98">
              <w:rPr>
                <w:rFonts w:eastAsia="MS Mincho"/>
                <w:b/>
                <w:bCs/>
                <w:sz w:val="22"/>
                <w:szCs w:val="22"/>
              </w:rPr>
              <w:t>“</w:t>
            </w:r>
            <w:proofErr w:type="spellStart"/>
            <w:r w:rsidRPr="003E0B98">
              <w:rPr>
                <w:rFonts w:eastAsia="MS Mincho"/>
                <w:b/>
                <w:bCs/>
                <w:sz w:val="22"/>
                <w:szCs w:val="22"/>
                <w:lang w:val="es-ES"/>
              </w:rPr>
              <w:t>actividad</w:t>
            </w:r>
            <w:proofErr w:type="spellEnd"/>
            <w:r w:rsidRPr="003E0B98">
              <w:rPr>
                <w:rFonts w:eastAsia="MS Mincho"/>
                <w:b/>
                <w:bCs/>
                <w:sz w:val="22"/>
                <w:szCs w:val="22"/>
                <w:lang w:val="es-ES"/>
              </w:rPr>
              <w:t xml:space="preserve"> de la enfermedad</w:t>
            </w:r>
            <w:r w:rsidRPr="003E0B98">
              <w:rPr>
                <w:rFonts w:eastAsia="MS Mincho"/>
                <w:b/>
                <w:bCs/>
                <w:sz w:val="22"/>
                <w:szCs w:val="22"/>
              </w:rPr>
              <w:t>”</w:t>
            </w:r>
          </w:p>
          <w:p w14:paraId="5B0D9CC7" w14:textId="77777777" w:rsidR="00DE39FE" w:rsidRPr="003E0B98" w:rsidRDefault="00DE39FE" w:rsidP="004361AC">
            <w:pPr>
              <w:pStyle w:val="Table"/>
              <w:keepNext/>
              <w:spacing w:before="0" w:after="0"/>
              <w:jc w:val="center"/>
              <w:rPr>
                <w:rFonts w:ascii="Times New Roman" w:hAnsi="Times New Roman"/>
                <w:sz w:val="22"/>
                <w:szCs w:val="22"/>
                <w:lang w:val="es-ES" w:eastAsia="en-US"/>
              </w:rPr>
            </w:pPr>
            <w:r w:rsidRPr="003E0B98">
              <w:rPr>
                <w:rFonts w:ascii="Times New Roman" w:hAnsi="Times New Roman"/>
                <w:b/>
                <w:bCs/>
                <w:sz w:val="22"/>
                <w:szCs w:val="22"/>
                <w:lang w:val="es-ES" w:eastAsia="en-US"/>
              </w:rPr>
              <w:t>(n=116)</w:t>
            </w:r>
          </w:p>
        </w:tc>
        <w:tc>
          <w:tcPr>
            <w:tcW w:w="1247" w:type="dxa"/>
            <w:tcBorders>
              <w:top w:val="single" w:sz="4" w:space="0" w:color="auto"/>
              <w:bottom w:val="single" w:sz="4" w:space="0" w:color="auto"/>
            </w:tcBorders>
          </w:tcPr>
          <w:p w14:paraId="3444688B" w14:textId="77777777" w:rsidR="00DE39FE" w:rsidRPr="003E0B98" w:rsidRDefault="00DE39FE" w:rsidP="004361AC">
            <w:pPr>
              <w:pStyle w:val="Text"/>
              <w:keepNext/>
              <w:spacing w:before="0"/>
              <w:jc w:val="center"/>
              <w:rPr>
                <w:rFonts w:eastAsia="MS Mincho"/>
                <w:b/>
                <w:bCs/>
                <w:sz w:val="22"/>
                <w:szCs w:val="22"/>
              </w:rPr>
            </w:pPr>
            <w:r w:rsidRPr="003E0B98">
              <w:rPr>
                <w:rFonts w:eastAsia="MS Mincho"/>
                <w:b/>
                <w:bCs/>
                <w:sz w:val="22"/>
                <w:szCs w:val="22"/>
              </w:rPr>
              <w:t>Grup</w:t>
            </w:r>
            <w:r w:rsidRPr="003E0B98">
              <w:rPr>
                <w:rFonts w:eastAsia="MS Mincho"/>
                <w:b/>
                <w:bCs/>
                <w:sz w:val="22"/>
                <w:szCs w:val="22"/>
                <w:lang w:val="es-ES"/>
              </w:rPr>
              <w:t>o</w:t>
            </w:r>
            <w:r w:rsidRPr="003E0B98">
              <w:rPr>
                <w:rFonts w:eastAsia="MS Mincho"/>
                <w:b/>
                <w:bCs/>
                <w:sz w:val="22"/>
                <w:szCs w:val="22"/>
              </w:rPr>
              <w:t xml:space="preserve"> III</w:t>
            </w:r>
          </w:p>
          <w:p w14:paraId="3F6B65B4" w14:textId="77777777" w:rsidR="00DE39FE" w:rsidRPr="003E0B98" w:rsidRDefault="00DE39FE" w:rsidP="004361AC">
            <w:pPr>
              <w:pStyle w:val="Text"/>
              <w:keepNext/>
              <w:spacing w:before="0"/>
              <w:jc w:val="center"/>
              <w:rPr>
                <w:rFonts w:eastAsia="MS Mincho"/>
                <w:b/>
                <w:bCs/>
                <w:sz w:val="22"/>
                <w:szCs w:val="22"/>
                <w:lang w:val="de-CH"/>
              </w:rPr>
            </w:pPr>
            <w:r w:rsidRPr="003E0B98">
              <w:rPr>
                <w:rFonts w:eastAsia="MS Mincho"/>
                <w:b/>
                <w:bCs/>
                <w:sz w:val="22"/>
                <w:szCs w:val="22"/>
                <w:lang w:val="es-ES"/>
              </w:rPr>
              <w:t>TF</w:t>
            </w:r>
            <w:proofErr w:type="spellStart"/>
            <w:r w:rsidRPr="003E0B98">
              <w:rPr>
                <w:rFonts w:eastAsia="MS Mincho"/>
                <w:b/>
                <w:bCs/>
                <w:sz w:val="22"/>
                <w:szCs w:val="22"/>
              </w:rPr>
              <w:t>D</w:t>
            </w:r>
            <w:r w:rsidRPr="003E0B98">
              <w:rPr>
                <w:rFonts w:eastAsia="MS Mincho"/>
                <w:b/>
                <w:bCs/>
                <w:sz w:val="22"/>
                <w:szCs w:val="22"/>
                <w:lang w:val="es-ES"/>
              </w:rPr>
              <w:t>v</w:t>
            </w:r>
            <w:proofErr w:type="spellEnd"/>
            <w:r w:rsidRPr="003E0B98">
              <w:rPr>
                <w:rFonts w:eastAsia="MS Mincho"/>
                <w:b/>
                <w:bCs/>
                <w:sz w:val="22"/>
                <w:szCs w:val="22"/>
                <w:vertAlign w:val="superscript"/>
                <w:lang w:val="de-CH"/>
              </w:rPr>
              <w:t>b</w:t>
            </w:r>
          </w:p>
          <w:p w14:paraId="16296FA1" w14:textId="77777777" w:rsidR="00DE39FE" w:rsidRPr="003E0B98" w:rsidRDefault="00DE39FE" w:rsidP="004361AC">
            <w:pPr>
              <w:pStyle w:val="Text"/>
              <w:keepNext/>
              <w:spacing w:before="0"/>
              <w:jc w:val="center"/>
              <w:rPr>
                <w:rFonts w:eastAsia="MS Mincho"/>
                <w:bCs/>
                <w:sz w:val="22"/>
                <w:szCs w:val="22"/>
              </w:rPr>
            </w:pPr>
          </w:p>
          <w:p w14:paraId="4EAC20AB" w14:textId="77777777" w:rsidR="00DE39FE" w:rsidRPr="003E0B98" w:rsidRDefault="00DE39FE" w:rsidP="004361AC">
            <w:pPr>
              <w:pStyle w:val="Text"/>
              <w:keepNext/>
              <w:spacing w:before="0"/>
              <w:jc w:val="center"/>
              <w:rPr>
                <w:rFonts w:eastAsia="MS Mincho"/>
                <w:bCs/>
                <w:sz w:val="22"/>
                <w:szCs w:val="22"/>
                <w:lang w:val="es-ES"/>
              </w:rPr>
            </w:pPr>
          </w:p>
          <w:p w14:paraId="3C6E2E44" w14:textId="77777777" w:rsidR="00DE39FE" w:rsidRPr="003E0B98" w:rsidRDefault="00DE39FE" w:rsidP="004361AC">
            <w:pPr>
              <w:pStyle w:val="Text"/>
              <w:keepNext/>
              <w:spacing w:before="0"/>
              <w:jc w:val="center"/>
              <w:rPr>
                <w:rFonts w:eastAsia="MS Mincho"/>
                <w:bCs/>
                <w:sz w:val="22"/>
                <w:szCs w:val="22"/>
                <w:lang w:val="es-ES"/>
              </w:rPr>
            </w:pPr>
          </w:p>
          <w:p w14:paraId="69F1C0FD" w14:textId="77777777" w:rsidR="00DE39FE" w:rsidRPr="003E0B98" w:rsidRDefault="00DE39FE" w:rsidP="004361AC">
            <w:pPr>
              <w:pStyle w:val="Table"/>
              <w:keepNext/>
              <w:spacing w:before="0" w:after="0"/>
              <w:jc w:val="center"/>
              <w:rPr>
                <w:rFonts w:ascii="Times New Roman" w:hAnsi="Times New Roman"/>
                <w:sz w:val="22"/>
                <w:szCs w:val="22"/>
                <w:lang w:val="en-US" w:eastAsia="en-US"/>
              </w:rPr>
            </w:pPr>
            <w:r w:rsidRPr="003E0B98">
              <w:rPr>
                <w:rFonts w:ascii="Times New Roman" w:hAnsi="Times New Roman"/>
                <w:b/>
                <w:bCs/>
                <w:sz w:val="22"/>
                <w:szCs w:val="22"/>
                <w:lang w:val="en-US" w:eastAsia="en-US"/>
              </w:rPr>
              <w:t>(n=55)</w:t>
            </w:r>
          </w:p>
        </w:tc>
      </w:tr>
      <w:tr w:rsidR="00DE39FE" w:rsidRPr="003E0B98" w14:paraId="112600D8" w14:textId="77777777" w:rsidTr="00E91D8B">
        <w:tc>
          <w:tcPr>
            <w:tcW w:w="4219" w:type="dxa"/>
            <w:tcBorders>
              <w:top w:val="single" w:sz="4" w:space="0" w:color="auto"/>
            </w:tcBorders>
          </w:tcPr>
          <w:p w14:paraId="7426D45A" w14:textId="77777777" w:rsidR="00DE39FE" w:rsidRPr="003E0B98" w:rsidRDefault="00DE39FE" w:rsidP="004361AC">
            <w:pPr>
              <w:pStyle w:val="Table"/>
              <w:keepNext/>
              <w:spacing w:before="0" w:after="0"/>
              <w:rPr>
                <w:rFonts w:ascii="Times New Roman" w:hAnsi="Times New Roman"/>
                <w:b/>
                <w:sz w:val="22"/>
                <w:szCs w:val="22"/>
                <w:lang w:val="en-US" w:eastAsia="en-US"/>
              </w:rPr>
            </w:pPr>
            <w:r w:rsidRPr="003E0B98">
              <w:rPr>
                <w:rFonts w:ascii="Times New Roman" w:hAnsi="Times New Roman"/>
                <w:b/>
                <w:sz w:val="22"/>
                <w:szCs w:val="22"/>
                <w:lang w:val="en-US" w:eastAsia="en-US"/>
              </w:rPr>
              <w:t>Mes 3</w:t>
            </w:r>
          </w:p>
        </w:tc>
        <w:tc>
          <w:tcPr>
            <w:tcW w:w="1843" w:type="dxa"/>
            <w:tcBorders>
              <w:top w:val="single" w:sz="4" w:space="0" w:color="auto"/>
            </w:tcBorders>
          </w:tcPr>
          <w:p w14:paraId="10AD779C" w14:textId="77777777" w:rsidR="00DE39FE" w:rsidRPr="003E0B98" w:rsidRDefault="00DE39FE" w:rsidP="004361AC">
            <w:pPr>
              <w:pStyle w:val="Table"/>
              <w:keepNext/>
              <w:spacing w:before="0" w:after="0"/>
              <w:rPr>
                <w:rFonts w:ascii="Times New Roman" w:hAnsi="Times New Roman"/>
                <w:sz w:val="22"/>
                <w:szCs w:val="22"/>
                <w:lang w:val="en-US" w:eastAsia="en-US"/>
              </w:rPr>
            </w:pPr>
          </w:p>
        </w:tc>
        <w:tc>
          <w:tcPr>
            <w:tcW w:w="1984" w:type="dxa"/>
            <w:tcBorders>
              <w:top w:val="single" w:sz="4" w:space="0" w:color="auto"/>
            </w:tcBorders>
          </w:tcPr>
          <w:p w14:paraId="69D25956" w14:textId="77777777" w:rsidR="00DE39FE" w:rsidRPr="003E0B98" w:rsidRDefault="00DE39FE" w:rsidP="004361AC">
            <w:pPr>
              <w:pStyle w:val="Table"/>
              <w:keepNext/>
              <w:spacing w:before="0" w:after="0"/>
              <w:rPr>
                <w:rFonts w:ascii="Times New Roman" w:hAnsi="Times New Roman"/>
                <w:sz w:val="22"/>
                <w:szCs w:val="22"/>
                <w:lang w:val="en-US" w:eastAsia="en-US"/>
              </w:rPr>
            </w:pPr>
          </w:p>
        </w:tc>
        <w:tc>
          <w:tcPr>
            <w:tcW w:w="1247" w:type="dxa"/>
            <w:tcBorders>
              <w:top w:val="single" w:sz="4" w:space="0" w:color="auto"/>
            </w:tcBorders>
          </w:tcPr>
          <w:p w14:paraId="45BA24E3" w14:textId="77777777" w:rsidR="00DE39FE" w:rsidRPr="003E0B98" w:rsidRDefault="00DE39FE" w:rsidP="004361AC">
            <w:pPr>
              <w:pStyle w:val="Table"/>
              <w:keepNext/>
              <w:spacing w:before="0" w:after="0"/>
              <w:rPr>
                <w:rFonts w:ascii="Times New Roman" w:hAnsi="Times New Roman"/>
                <w:sz w:val="22"/>
                <w:szCs w:val="22"/>
                <w:lang w:val="en-US" w:eastAsia="en-US"/>
              </w:rPr>
            </w:pPr>
          </w:p>
        </w:tc>
      </w:tr>
      <w:tr w:rsidR="00DE39FE" w:rsidRPr="003E0B98" w14:paraId="6637ACF4" w14:textId="77777777" w:rsidTr="00E91D8B">
        <w:tc>
          <w:tcPr>
            <w:tcW w:w="4219" w:type="dxa"/>
          </w:tcPr>
          <w:p w14:paraId="79FB12EA" w14:textId="77777777" w:rsidR="00DE39FE" w:rsidRPr="003E0B98" w:rsidRDefault="00DE39FE" w:rsidP="004361AC">
            <w:pPr>
              <w:pStyle w:val="Table"/>
              <w:keepNext/>
              <w:spacing w:before="0" w:after="0"/>
              <w:rPr>
                <w:rFonts w:ascii="Times New Roman" w:hAnsi="Times New Roman"/>
                <w:sz w:val="22"/>
                <w:szCs w:val="22"/>
                <w:lang w:val="es-ES" w:eastAsia="en-US"/>
              </w:rPr>
            </w:pPr>
            <w:r w:rsidRPr="003E0B98">
              <w:rPr>
                <w:rFonts w:ascii="Times New Roman" w:eastAsia="Times New Roman" w:hAnsi="Times New Roman"/>
                <w:color w:val="000000"/>
                <w:sz w:val="22"/>
                <w:szCs w:val="22"/>
                <w:lang w:val="es-ES_tradnl" w:eastAsia="en-US"/>
              </w:rPr>
              <w:t>Cambio promedio de la AVMC desde el Mes</w:t>
            </w:r>
            <w:r w:rsidRPr="003E0B98">
              <w:rPr>
                <w:rFonts w:ascii="Times New Roman" w:hAnsi="Times New Roman"/>
                <w:color w:val="000000"/>
                <w:sz w:val="22"/>
                <w:szCs w:val="22"/>
                <w:lang w:val="es-ES_tradnl" w:eastAsia="en-US"/>
              </w:rPr>
              <w:t> </w:t>
            </w:r>
            <w:r w:rsidRPr="003E0B98">
              <w:rPr>
                <w:rFonts w:ascii="Times New Roman" w:eastAsia="Times New Roman" w:hAnsi="Times New Roman"/>
                <w:color w:val="000000"/>
                <w:sz w:val="22"/>
                <w:szCs w:val="22"/>
                <w:lang w:val="es-ES_tradnl" w:eastAsia="en-US"/>
              </w:rPr>
              <w:t>1 al Mes</w:t>
            </w:r>
            <w:r w:rsidRPr="003E0B98">
              <w:rPr>
                <w:rFonts w:ascii="Times New Roman" w:hAnsi="Times New Roman"/>
                <w:color w:val="000000"/>
                <w:sz w:val="22"/>
                <w:szCs w:val="22"/>
                <w:lang w:val="es-ES_tradnl" w:eastAsia="en-US"/>
              </w:rPr>
              <w:t> </w:t>
            </w:r>
            <w:r w:rsidRPr="003E0B98">
              <w:rPr>
                <w:rFonts w:ascii="Times New Roman" w:eastAsia="Times New Roman" w:hAnsi="Times New Roman"/>
                <w:color w:val="000000"/>
                <w:sz w:val="22"/>
                <w:szCs w:val="22"/>
                <w:lang w:val="es-ES_tradnl" w:eastAsia="en-US"/>
              </w:rPr>
              <w:t xml:space="preserve">3 comparado con el </w:t>
            </w:r>
            <w:proofErr w:type="spellStart"/>
            <w:r w:rsidRPr="003E0B98">
              <w:rPr>
                <w:rFonts w:ascii="Times New Roman" w:eastAsia="Times New Roman" w:hAnsi="Times New Roman"/>
                <w:color w:val="000000"/>
                <w:sz w:val="22"/>
                <w:szCs w:val="22"/>
                <w:lang w:val="es-ES_tradnl" w:eastAsia="en-US"/>
              </w:rPr>
              <w:t>inicio</w:t>
            </w:r>
            <w:r w:rsidRPr="003E0B98">
              <w:rPr>
                <w:rFonts w:ascii="Times New Roman" w:eastAsia="Times New Roman" w:hAnsi="Times New Roman"/>
                <w:color w:val="000000"/>
                <w:sz w:val="22"/>
                <w:szCs w:val="22"/>
                <w:vertAlign w:val="superscript"/>
                <w:lang w:val="es-ES_tradnl" w:eastAsia="en-US"/>
              </w:rPr>
              <w:t>a</w:t>
            </w:r>
            <w:proofErr w:type="spellEnd"/>
            <w:r w:rsidRPr="003E0B98">
              <w:rPr>
                <w:rFonts w:ascii="Times New Roman" w:eastAsia="Times New Roman" w:hAnsi="Times New Roman"/>
                <w:color w:val="000000"/>
                <w:sz w:val="22"/>
                <w:szCs w:val="22"/>
                <w:lang w:val="es-ES_tradnl" w:eastAsia="en-US"/>
              </w:rPr>
              <w:t xml:space="preserve"> (letras)</w:t>
            </w:r>
          </w:p>
        </w:tc>
        <w:tc>
          <w:tcPr>
            <w:tcW w:w="1843" w:type="dxa"/>
          </w:tcPr>
          <w:p w14:paraId="3011A0E8" w14:textId="77777777" w:rsidR="00DE39FE" w:rsidRPr="003E0B98" w:rsidRDefault="00DE39FE" w:rsidP="004361AC">
            <w:pPr>
              <w:pStyle w:val="Table"/>
              <w:keepNext/>
              <w:spacing w:before="0" w:after="0"/>
              <w:jc w:val="center"/>
              <w:rPr>
                <w:rFonts w:ascii="Times New Roman" w:hAnsi="Times New Roman"/>
                <w:sz w:val="22"/>
                <w:szCs w:val="22"/>
                <w:lang w:val="en-US" w:eastAsia="en-US"/>
              </w:rPr>
            </w:pPr>
            <w:r w:rsidRPr="003E0B98">
              <w:rPr>
                <w:rFonts w:ascii="Times New Roman" w:hAnsi="Times New Roman"/>
                <w:sz w:val="22"/>
                <w:szCs w:val="22"/>
                <w:lang w:val="en-US" w:eastAsia="en-US"/>
              </w:rPr>
              <w:t>+10,5</w:t>
            </w:r>
          </w:p>
        </w:tc>
        <w:tc>
          <w:tcPr>
            <w:tcW w:w="1984" w:type="dxa"/>
          </w:tcPr>
          <w:p w14:paraId="2F56AE89" w14:textId="77777777" w:rsidR="00DE39FE" w:rsidRPr="003E0B98" w:rsidRDefault="00DE39FE" w:rsidP="004361AC">
            <w:pPr>
              <w:pStyle w:val="Table"/>
              <w:keepNext/>
              <w:spacing w:before="0" w:after="0"/>
              <w:jc w:val="center"/>
              <w:rPr>
                <w:rFonts w:ascii="Times New Roman" w:hAnsi="Times New Roman"/>
                <w:sz w:val="22"/>
                <w:szCs w:val="22"/>
                <w:lang w:val="en-US" w:eastAsia="en-US"/>
              </w:rPr>
            </w:pPr>
            <w:r w:rsidRPr="003E0B98">
              <w:rPr>
                <w:rFonts w:ascii="Times New Roman" w:hAnsi="Times New Roman"/>
                <w:sz w:val="22"/>
                <w:szCs w:val="22"/>
                <w:lang w:val="en-US" w:eastAsia="en-US"/>
              </w:rPr>
              <w:t>+10,6</w:t>
            </w:r>
          </w:p>
        </w:tc>
        <w:tc>
          <w:tcPr>
            <w:tcW w:w="1247" w:type="dxa"/>
          </w:tcPr>
          <w:p w14:paraId="2B7297D6" w14:textId="77777777" w:rsidR="00DE39FE" w:rsidRPr="003E0B98" w:rsidRDefault="00DE39FE" w:rsidP="004361AC">
            <w:pPr>
              <w:pStyle w:val="Table"/>
              <w:keepNext/>
              <w:spacing w:before="0" w:after="0"/>
              <w:jc w:val="center"/>
              <w:rPr>
                <w:rFonts w:ascii="Times New Roman" w:hAnsi="Times New Roman"/>
                <w:sz w:val="22"/>
                <w:szCs w:val="22"/>
                <w:lang w:val="en-US" w:eastAsia="en-US"/>
              </w:rPr>
            </w:pPr>
            <w:r w:rsidRPr="003E0B98">
              <w:rPr>
                <w:rFonts w:ascii="Times New Roman" w:hAnsi="Times New Roman"/>
                <w:sz w:val="22"/>
                <w:szCs w:val="22"/>
                <w:lang w:val="en-US" w:eastAsia="en-US"/>
              </w:rPr>
              <w:t>+2,2</w:t>
            </w:r>
          </w:p>
        </w:tc>
      </w:tr>
      <w:tr w:rsidR="00DE39FE" w:rsidRPr="003E0B98" w14:paraId="34AD0250" w14:textId="77777777" w:rsidTr="00E91D8B">
        <w:tc>
          <w:tcPr>
            <w:tcW w:w="4219" w:type="dxa"/>
          </w:tcPr>
          <w:p w14:paraId="00F30009" w14:textId="77777777" w:rsidR="00DE39FE" w:rsidRPr="003E0B98" w:rsidRDefault="00DE39FE" w:rsidP="004361AC">
            <w:pPr>
              <w:pStyle w:val="Text"/>
              <w:keepNext/>
              <w:spacing w:before="0"/>
              <w:jc w:val="left"/>
              <w:rPr>
                <w:rFonts w:eastAsia="MS Mincho"/>
                <w:sz w:val="22"/>
                <w:szCs w:val="22"/>
              </w:rPr>
            </w:pPr>
            <w:proofErr w:type="spellStart"/>
            <w:r w:rsidRPr="003E0B98">
              <w:rPr>
                <w:rFonts w:eastAsia="MS Mincho"/>
                <w:sz w:val="22"/>
                <w:szCs w:val="22"/>
              </w:rPr>
              <w:t>Propor</w:t>
            </w:r>
            <w:r w:rsidRPr="003E0B98">
              <w:rPr>
                <w:rFonts w:eastAsia="MS Mincho"/>
                <w:sz w:val="22"/>
                <w:szCs w:val="22"/>
                <w:lang w:val="es-ES"/>
              </w:rPr>
              <w:t>c</w:t>
            </w:r>
            <w:r w:rsidRPr="003E0B98">
              <w:rPr>
                <w:rFonts w:eastAsia="MS Mincho"/>
                <w:sz w:val="22"/>
                <w:szCs w:val="22"/>
              </w:rPr>
              <w:t>i</w:t>
            </w:r>
            <w:r w:rsidRPr="003E0B98">
              <w:rPr>
                <w:rFonts w:eastAsia="MS Mincho"/>
                <w:sz w:val="22"/>
                <w:szCs w:val="22"/>
                <w:lang w:val="es-ES"/>
              </w:rPr>
              <w:t>ó</w:t>
            </w:r>
            <w:proofErr w:type="spellEnd"/>
            <w:r w:rsidRPr="003E0B98">
              <w:rPr>
                <w:rFonts w:eastAsia="MS Mincho"/>
                <w:sz w:val="22"/>
                <w:szCs w:val="22"/>
              </w:rPr>
              <w:t xml:space="preserve">n </w:t>
            </w:r>
            <w:r w:rsidRPr="003E0B98">
              <w:rPr>
                <w:rFonts w:eastAsia="MS Mincho"/>
                <w:sz w:val="22"/>
                <w:szCs w:val="22"/>
                <w:lang w:val="es-ES"/>
              </w:rPr>
              <w:t>de pacientes que ganaron</w:t>
            </w:r>
            <w:r w:rsidRPr="003E0B98">
              <w:rPr>
                <w:rFonts w:eastAsia="MS Mincho"/>
                <w:sz w:val="22"/>
                <w:szCs w:val="22"/>
              </w:rPr>
              <w:t>:</w:t>
            </w:r>
          </w:p>
          <w:p w14:paraId="05550242" w14:textId="77777777" w:rsidR="00DE39FE" w:rsidRPr="003E0B98" w:rsidRDefault="00DE39FE" w:rsidP="004361AC">
            <w:pPr>
              <w:pStyle w:val="Text"/>
              <w:keepNext/>
              <w:spacing w:before="0"/>
              <w:jc w:val="left"/>
              <w:rPr>
                <w:rFonts w:eastAsia="MS Mincho"/>
                <w:sz w:val="22"/>
                <w:szCs w:val="22"/>
              </w:rPr>
            </w:pPr>
            <w:r w:rsidRPr="003E0B98">
              <w:rPr>
                <w:rFonts w:eastAsia="MS Mincho"/>
                <w:sz w:val="22"/>
                <w:szCs w:val="22"/>
              </w:rPr>
              <w:t>≥15 </w:t>
            </w:r>
            <w:proofErr w:type="spellStart"/>
            <w:r w:rsidRPr="003E0B98">
              <w:rPr>
                <w:rFonts w:eastAsia="MS Mincho"/>
                <w:sz w:val="22"/>
                <w:szCs w:val="22"/>
              </w:rPr>
              <w:t>let</w:t>
            </w:r>
            <w:r w:rsidRPr="003E0B98">
              <w:rPr>
                <w:rFonts w:eastAsia="MS Mincho"/>
                <w:sz w:val="22"/>
                <w:szCs w:val="22"/>
                <w:lang w:val="es-ES"/>
              </w:rPr>
              <w:t>ra</w:t>
            </w:r>
            <w:proofErr w:type="spellEnd"/>
            <w:r w:rsidRPr="003E0B98">
              <w:rPr>
                <w:rFonts w:eastAsia="MS Mincho"/>
                <w:sz w:val="22"/>
                <w:szCs w:val="22"/>
              </w:rPr>
              <w:t xml:space="preserve">s, o </w:t>
            </w:r>
            <w:r w:rsidRPr="003E0B98">
              <w:rPr>
                <w:rFonts w:eastAsia="MS Mincho"/>
                <w:sz w:val="22"/>
                <w:szCs w:val="22"/>
                <w:lang w:val="es-ES"/>
              </w:rPr>
              <w:t>alcanzaron</w:t>
            </w:r>
            <w:r w:rsidRPr="003E0B98">
              <w:rPr>
                <w:rFonts w:eastAsia="MS Mincho"/>
                <w:sz w:val="22"/>
                <w:szCs w:val="22"/>
              </w:rPr>
              <w:t xml:space="preserve"> ≥84 </w:t>
            </w:r>
            <w:proofErr w:type="spellStart"/>
            <w:r w:rsidRPr="003E0B98">
              <w:rPr>
                <w:rFonts w:eastAsia="MS Mincho"/>
                <w:sz w:val="22"/>
                <w:szCs w:val="22"/>
              </w:rPr>
              <w:t>let</w:t>
            </w:r>
            <w:r w:rsidRPr="003E0B98">
              <w:rPr>
                <w:rFonts w:eastAsia="MS Mincho"/>
                <w:sz w:val="22"/>
                <w:szCs w:val="22"/>
                <w:lang w:val="es-ES"/>
              </w:rPr>
              <w:t>ras</w:t>
            </w:r>
            <w:proofErr w:type="spellEnd"/>
            <w:r w:rsidRPr="003E0B98">
              <w:rPr>
                <w:rFonts w:eastAsia="MS Mincho"/>
                <w:sz w:val="22"/>
                <w:szCs w:val="22"/>
              </w:rPr>
              <w:t xml:space="preserve"> </w:t>
            </w:r>
            <w:r w:rsidRPr="003E0B98">
              <w:rPr>
                <w:rFonts w:eastAsia="MS Mincho"/>
                <w:sz w:val="22"/>
                <w:szCs w:val="22"/>
                <w:lang w:val="es-ES"/>
              </w:rPr>
              <w:t>e</w:t>
            </w:r>
            <w:r w:rsidRPr="003E0B98">
              <w:rPr>
                <w:rFonts w:eastAsia="MS Mincho"/>
                <w:sz w:val="22"/>
                <w:szCs w:val="22"/>
              </w:rPr>
              <w:t>n</w:t>
            </w:r>
            <w:r w:rsidRPr="003E0B98">
              <w:rPr>
                <w:rFonts w:eastAsia="MS Mincho"/>
                <w:sz w:val="22"/>
                <w:szCs w:val="22"/>
                <w:lang w:val="es-ES"/>
              </w:rPr>
              <w:t xml:space="preserve"> la AVMC</w:t>
            </w:r>
          </w:p>
        </w:tc>
        <w:tc>
          <w:tcPr>
            <w:tcW w:w="1843" w:type="dxa"/>
          </w:tcPr>
          <w:p w14:paraId="29445F2B" w14:textId="77777777" w:rsidR="00DE39FE" w:rsidRPr="003E0B98" w:rsidRDefault="00DE39FE" w:rsidP="004361AC">
            <w:pPr>
              <w:pStyle w:val="Text"/>
              <w:keepNext/>
              <w:spacing w:before="0"/>
              <w:jc w:val="center"/>
              <w:rPr>
                <w:rFonts w:eastAsia="MS Mincho"/>
                <w:sz w:val="22"/>
                <w:szCs w:val="22"/>
                <w:lang w:val="es-ES"/>
              </w:rPr>
            </w:pPr>
          </w:p>
          <w:p w14:paraId="3F03B4A5" w14:textId="77777777" w:rsidR="00DE39FE" w:rsidRPr="003E0B98" w:rsidRDefault="00DE39FE" w:rsidP="004361AC">
            <w:pPr>
              <w:pStyle w:val="Text"/>
              <w:keepNext/>
              <w:tabs>
                <w:tab w:val="center" w:pos="1053"/>
                <w:tab w:val="right" w:pos="2107"/>
              </w:tabs>
              <w:spacing w:before="0"/>
              <w:jc w:val="center"/>
              <w:rPr>
                <w:rFonts w:eastAsia="MS Mincho"/>
                <w:sz w:val="22"/>
                <w:szCs w:val="22"/>
              </w:rPr>
            </w:pPr>
            <w:r w:rsidRPr="003E0B98">
              <w:rPr>
                <w:rFonts w:eastAsia="MS Mincho"/>
                <w:sz w:val="22"/>
                <w:szCs w:val="22"/>
              </w:rPr>
              <w:t>38</w:t>
            </w:r>
            <w:r w:rsidRPr="003E0B98">
              <w:rPr>
                <w:rFonts w:eastAsia="MS Mincho"/>
                <w:sz w:val="22"/>
                <w:szCs w:val="22"/>
                <w:lang w:val="es-ES"/>
              </w:rPr>
              <w:t>,</w:t>
            </w:r>
            <w:r w:rsidRPr="003E0B98">
              <w:rPr>
                <w:rFonts w:eastAsia="MS Mincho"/>
                <w:sz w:val="22"/>
                <w:szCs w:val="22"/>
              </w:rPr>
              <w:t>1%</w:t>
            </w:r>
          </w:p>
        </w:tc>
        <w:tc>
          <w:tcPr>
            <w:tcW w:w="1984" w:type="dxa"/>
          </w:tcPr>
          <w:p w14:paraId="0C35E517" w14:textId="77777777" w:rsidR="00DE39FE" w:rsidRPr="003E0B98" w:rsidRDefault="00DE39FE" w:rsidP="004361AC">
            <w:pPr>
              <w:pStyle w:val="Text"/>
              <w:keepNext/>
              <w:spacing w:before="0"/>
              <w:jc w:val="center"/>
              <w:rPr>
                <w:rFonts w:eastAsia="MS Mincho"/>
                <w:sz w:val="22"/>
                <w:szCs w:val="22"/>
                <w:lang w:val="es-ES"/>
              </w:rPr>
            </w:pPr>
          </w:p>
          <w:p w14:paraId="0AA25590" w14:textId="77777777" w:rsidR="00DE39FE" w:rsidRPr="003E0B98" w:rsidRDefault="00DE39FE" w:rsidP="004361AC">
            <w:pPr>
              <w:pStyle w:val="Text"/>
              <w:keepNext/>
              <w:spacing w:before="0"/>
              <w:jc w:val="center"/>
              <w:rPr>
                <w:rFonts w:eastAsia="MS Mincho"/>
                <w:sz w:val="22"/>
                <w:szCs w:val="22"/>
              </w:rPr>
            </w:pPr>
            <w:r w:rsidRPr="003E0B98">
              <w:rPr>
                <w:rFonts w:eastAsia="MS Mincho"/>
                <w:sz w:val="22"/>
                <w:szCs w:val="22"/>
              </w:rPr>
              <w:t>43</w:t>
            </w:r>
            <w:r w:rsidRPr="003E0B98">
              <w:rPr>
                <w:rFonts w:eastAsia="MS Mincho"/>
                <w:sz w:val="22"/>
                <w:szCs w:val="22"/>
                <w:lang w:val="es-ES"/>
              </w:rPr>
              <w:t>,</w:t>
            </w:r>
            <w:r w:rsidRPr="003E0B98">
              <w:rPr>
                <w:rFonts w:eastAsia="MS Mincho"/>
                <w:sz w:val="22"/>
                <w:szCs w:val="22"/>
              </w:rPr>
              <w:t>1%</w:t>
            </w:r>
          </w:p>
        </w:tc>
        <w:tc>
          <w:tcPr>
            <w:tcW w:w="1247" w:type="dxa"/>
          </w:tcPr>
          <w:p w14:paraId="10B91D41" w14:textId="77777777" w:rsidR="00DE39FE" w:rsidRPr="003E0B98" w:rsidRDefault="00DE39FE" w:rsidP="004361AC">
            <w:pPr>
              <w:pStyle w:val="Text"/>
              <w:keepNext/>
              <w:spacing w:before="0"/>
              <w:jc w:val="center"/>
              <w:rPr>
                <w:rFonts w:eastAsia="MS Mincho"/>
                <w:sz w:val="22"/>
                <w:szCs w:val="22"/>
                <w:lang w:val="es-ES"/>
              </w:rPr>
            </w:pPr>
          </w:p>
          <w:p w14:paraId="28A3F2F9" w14:textId="77777777" w:rsidR="00DE39FE" w:rsidRPr="003E0B98" w:rsidRDefault="00DE39FE" w:rsidP="004361AC">
            <w:pPr>
              <w:pStyle w:val="Text"/>
              <w:keepNext/>
              <w:spacing w:before="0"/>
              <w:jc w:val="center"/>
              <w:rPr>
                <w:rFonts w:eastAsia="MS Mincho"/>
                <w:sz w:val="22"/>
                <w:szCs w:val="22"/>
              </w:rPr>
            </w:pPr>
            <w:r w:rsidRPr="003E0B98">
              <w:rPr>
                <w:rFonts w:eastAsia="MS Mincho"/>
                <w:sz w:val="22"/>
                <w:szCs w:val="22"/>
              </w:rPr>
              <w:t>14</w:t>
            </w:r>
            <w:r w:rsidRPr="003E0B98">
              <w:rPr>
                <w:rFonts w:eastAsia="MS Mincho"/>
                <w:sz w:val="22"/>
                <w:szCs w:val="22"/>
                <w:lang w:val="es-ES"/>
              </w:rPr>
              <w:t>,</w:t>
            </w:r>
            <w:r w:rsidRPr="003E0B98">
              <w:rPr>
                <w:rFonts w:eastAsia="MS Mincho"/>
                <w:sz w:val="22"/>
                <w:szCs w:val="22"/>
              </w:rPr>
              <w:t>5%</w:t>
            </w:r>
          </w:p>
        </w:tc>
      </w:tr>
      <w:tr w:rsidR="00DE39FE" w:rsidRPr="003E0B98" w14:paraId="628F3FB5" w14:textId="77777777" w:rsidTr="00E91D8B">
        <w:tc>
          <w:tcPr>
            <w:tcW w:w="4219" w:type="dxa"/>
          </w:tcPr>
          <w:p w14:paraId="6C3E9851" w14:textId="77777777" w:rsidR="00DE39FE" w:rsidRPr="003E0B98" w:rsidRDefault="00DE39FE" w:rsidP="004361AC">
            <w:pPr>
              <w:pStyle w:val="Table"/>
              <w:keepNext/>
              <w:spacing w:before="0" w:after="0"/>
              <w:rPr>
                <w:rFonts w:ascii="Times New Roman" w:hAnsi="Times New Roman"/>
                <w:b/>
                <w:sz w:val="22"/>
                <w:szCs w:val="22"/>
                <w:lang w:val="en-US" w:eastAsia="en-US"/>
              </w:rPr>
            </w:pPr>
            <w:r w:rsidRPr="003E0B98">
              <w:rPr>
                <w:rFonts w:ascii="Times New Roman" w:hAnsi="Times New Roman"/>
                <w:b/>
                <w:sz w:val="22"/>
                <w:szCs w:val="22"/>
                <w:lang w:val="en-US" w:eastAsia="en-US"/>
              </w:rPr>
              <w:t>Mes 12</w:t>
            </w:r>
          </w:p>
        </w:tc>
        <w:tc>
          <w:tcPr>
            <w:tcW w:w="1843" w:type="dxa"/>
          </w:tcPr>
          <w:p w14:paraId="386652CA" w14:textId="77777777" w:rsidR="00DE39FE" w:rsidRPr="003E0B98" w:rsidRDefault="00DE39FE" w:rsidP="004361AC">
            <w:pPr>
              <w:pStyle w:val="Table"/>
              <w:keepNext/>
              <w:spacing w:before="0" w:after="0"/>
              <w:jc w:val="center"/>
              <w:rPr>
                <w:rFonts w:ascii="Times New Roman" w:hAnsi="Times New Roman"/>
                <w:sz w:val="22"/>
                <w:szCs w:val="22"/>
                <w:lang w:val="en-US" w:eastAsia="en-US"/>
              </w:rPr>
            </w:pPr>
          </w:p>
        </w:tc>
        <w:tc>
          <w:tcPr>
            <w:tcW w:w="1984" w:type="dxa"/>
          </w:tcPr>
          <w:p w14:paraId="4882D07F" w14:textId="77777777" w:rsidR="00DE39FE" w:rsidRPr="003E0B98" w:rsidRDefault="00DE39FE" w:rsidP="004361AC">
            <w:pPr>
              <w:pStyle w:val="Table"/>
              <w:keepNext/>
              <w:spacing w:before="0" w:after="0"/>
              <w:jc w:val="center"/>
              <w:rPr>
                <w:rFonts w:ascii="Times New Roman" w:hAnsi="Times New Roman"/>
                <w:sz w:val="22"/>
                <w:szCs w:val="22"/>
                <w:lang w:val="en-US" w:eastAsia="en-US"/>
              </w:rPr>
            </w:pPr>
          </w:p>
        </w:tc>
        <w:tc>
          <w:tcPr>
            <w:tcW w:w="1247" w:type="dxa"/>
          </w:tcPr>
          <w:p w14:paraId="5D856C0E" w14:textId="77777777" w:rsidR="00DE39FE" w:rsidRPr="003E0B98" w:rsidRDefault="00DE39FE" w:rsidP="004361AC">
            <w:pPr>
              <w:pStyle w:val="Table"/>
              <w:keepNext/>
              <w:spacing w:before="0" w:after="0"/>
              <w:jc w:val="center"/>
              <w:rPr>
                <w:rFonts w:ascii="Times New Roman" w:hAnsi="Times New Roman"/>
                <w:sz w:val="22"/>
                <w:szCs w:val="22"/>
                <w:lang w:val="en-US" w:eastAsia="en-US"/>
              </w:rPr>
            </w:pPr>
          </w:p>
        </w:tc>
      </w:tr>
      <w:tr w:rsidR="00DE39FE" w:rsidRPr="003E0B98" w14:paraId="149A64DC" w14:textId="77777777" w:rsidTr="00E91D8B">
        <w:tc>
          <w:tcPr>
            <w:tcW w:w="4219" w:type="dxa"/>
          </w:tcPr>
          <w:p w14:paraId="2C8BEECD" w14:textId="77777777" w:rsidR="00DE39FE" w:rsidRPr="003E0B98" w:rsidRDefault="00DE39FE" w:rsidP="004361AC">
            <w:pPr>
              <w:pStyle w:val="Table"/>
              <w:keepNext/>
              <w:spacing w:before="0" w:after="0"/>
              <w:rPr>
                <w:rFonts w:ascii="Times New Roman" w:hAnsi="Times New Roman"/>
                <w:sz w:val="22"/>
                <w:szCs w:val="22"/>
                <w:lang w:val="es-ES" w:eastAsia="en-US"/>
              </w:rPr>
            </w:pPr>
            <w:r w:rsidRPr="003E0B98">
              <w:rPr>
                <w:rFonts w:ascii="Times New Roman" w:hAnsi="Times New Roman"/>
                <w:sz w:val="22"/>
                <w:szCs w:val="22"/>
                <w:lang w:val="es-ES" w:eastAsia="en-US"/>
              </w:rPr>
              <w:t>Número de inyecciones hasta el Mes 12:</w:t>
            </w:r>
          </w:p>
          <w:p w14:paraId="0F550578" w14:textId="77777777" w:rsidR="00DE39FE" w:rsidRPr="003E0B98" w:rsidRDefault="00DE39FE" w:rsidP="004361AC">
            <w:pPr>
              <w:pStyle w:val="Table"/>
              <w:keepNext/>
              <w:spacing w:before="0" w:after="0"/>
              <w:rPr>
                <w:rFonts w:ascii="Times New Roman" w:hAnsi="Times New Roman"/>
                <w:sz w:val="22"/>
                <w:szCs w:val="22"/>
                <w:lang w:val="en-US" w:eastAsia="en-US"/>
              </w:rPr>
            </w:pPr>
            <w:r w:rsidRPr="003E0B98">
              <w:rPr>
                <w:rFonts w:ascii="Times New Roman" w:hAnsi="Times New Roman"/>
                <w:sz w:val="22"/>
                <w:szCs w:val="22"/>
                <w:lang w:val="en-US" w:eastAsia="en-US"/>
              </w:rPr>
              <w:t>Media</w:t>
            </w:r>
          </w:p>
          <w:p w14:paraId="4BBF7BA6" w14:textId="77777777" w:rsidR="00DE39FE" w:rsidRPr="003E0B98" w:rsidRDefault="00DE39FE" w:rsidP="004361AC">
            <w:pPr>
              <w:pStyle w:val="Table"/>
              <w:keepNext/>
              <w:spacing w:before="0" w:after="0"/>
              <w:rPr>
                <w:rFonts w:ascii="Times New Roman" w:hAnsi="Times New Roman"/>
                <w:sz w:val="22"/>
                <w:szCs w:val="22"/>
                <w:lang w:val="en-US" w:eastAsia="en-US"/>
              </w:rPr>
            </w:pPr>
            <w:r w:rsidRPr="003E0B98">
              <w:rPr>
                <w:rFonts w:ascii="Times New Roman" w:hAnsi="Times New Roman"/>
                <w:sz w:val="22"/>
                <w:szCs w:val="22"/>
                <w:lang w:val="en-US" w:eastAsia="en-US"/>
              </w:rPr>
              <w:t>Mediana</w:t>
            </w:r>
          </w:p>
        </w:tc>
        <w:tc>
          <w:tcPr>
            <w:tcW w:w="1843" w:type="dxa"/>
          </w:tcPr>
          <w:p w14:paraId="0BF76BD8" w14:textId="77777777" w:rsidR="00DE39FE" w:rsidRPr="003E0B98" w:rsidRDefault="00DE39FE" w:rsidP="004361AC">
            <w:pPr>
              <w:pStyle w:val="Table"/>
              <w:keepNext/>
              <w:spacing w:before="0" w:after="0"/>
              <w:jc w:val="center"/>
              <w:rPr>
                <w:rFonts w:ascii="Times New Roman" w:hAnsi="Times New Roman"/>
                <w:sz w:val="22"/>
                <w:szCs w:val="22"/>
                <w:lang w:val="en-US" w:eastAsia="en-US"/>
              </w:rPr>
            </w:pPr>
          </w:p>
          <w:p w14:paraId="2DF0FD75" w14:textId="77777777" w:rsidR="00DE39FE" w:rsidRPr="003E0B98" w:rsidRDefault="00DE39FE" w:rsidP="004361AC">
            <w:pPr>
              <w:pStyle w:val="Table"/>
              <w:keepNext/>
              <w:spacing w:before="0" w:after="0"/>
              <w:jc w:val="center"/>
              <w:rPr>
                <w:rFonts w:ascii="Times New Roman" w:hAnsi="Times New Roman"/>
                <w:sz w:val="22"/>
                <w:szCs w:val="22"/>
                <w:lang w:val="en-US" w:eastAsia="en-US"/>
              </w:rPr>
            </w:pPr>
            <w:r w:rsidRPr="003E0B98">
              <w:rPr>
                <w:rFonts w:ascii="Times New Roman" w:hAnsi="Times New Roman"/>
                <w:sz w:val="22"/>
                <w:szCs w:val="22"/>
                <w:lang w:val="en-US" w:eastAsia="en-US"/>
              </w:rPr>
              <w:t>4,6</w:t>
            </w:r>
          </w:p>
          <w:p w14:paraId="11384FFE" w14:textId="77777777" w:rsidR="00DE39FE" w:rsidRPr="003E0B98" w:rsidRDefault="00DE39FE" w:rsidP="004361AC">
            <w:pPr>
              <w:pStyle w:val="Table"/>
              <w:keepNext/>
              <w:spacing w:before="0" w:after="0"/>
              <w:jc w:val="center"/>
              <w:rPr>
                <w:rFonts w:ascii="Times New Roman" w:hAnsi="Times New Roman"/>
                <w:sz w:val="22"/>
                <w:szCs w:val="22"/>
                <w:lang w:val="en-US" w:eastAsia="en-US"/>
              </w:rPr>
            </w:pPr>
            <w:r w:rsidRPr="003E0B98">
              <w:rPr>
                <w:rFonts w:ascii="Times New Roman" w:hAnsi="Times New Roman"/>
                <w:sz w:val="22"/>
                <w:szCs w:val="22"/>
                <w:lang w:val="en-US" w:eastAsia="en-US"/>
              </w:rPr>
              <w:t>4,0</w:t>
            </w:r>
          </w:p>
        </w:tc>
        <w:tc>
          <w:tcPr>
            <w:tcW w:w="1984" w:type="dxa"/>
          </w:tcPr>
          <w:p w14:paraId="386178A0" w14:textId="77777777" w:rsidR="00DE39FE" w:rsidRPr="003E0B98" w:rsidRDefault="00DE39FE" w:rsidP="004361AC">
            <w:pPr>
              <w:pStyle w:val="Table"/>
              <w:keepNext/>
              <w:spacing w:before="0" w:after="0"/>
              <w:jc w:val="center"/>
              <w:rPr>
                <w:rFonts w:ascii="Times New Roman" w:hAnsi="Times New Roman"/>
                <w:sz w:val="22"/>
                <w:szCs w:val="22"/>
                <w:lang w:val="en-US" w:eastAsia="en-US"/>
              </w:rPr>
            </w:pPr>
          </w:p>
          <w:p w14:paraId="0E5D5231" w14:textId="77777777" w:rsidR="00DE39FE" w:rsidRPr="003E0B98" w:rsidRDefault="00DE39FE" w:rsidP="004361AC">
            <w:pPr>
              <w:pStyle w:val="Table"/>
              <w:keepNext/>
              <w:spacing w:before="0" w:after="0"/>
              <w:jc w:val="center"/>
              <w:rPr>
                <w:rFonts w:ascii="Times New Roman" w:hAnsi="Times New Roman"/>
                <w:sz w:val="22"/>
                <w:szCs w:val="22"/>
                <w:lang w:val="en-US" w:eastAsia="en-US"/>
              </w:rPr>
            </w:pPr>
            <w:r w:rsidRPr="003E0B98">
              <w:rPr>
                <w:rFonts w:ascii="Times New Roman" w:hAnsi="Times New Roman"/>
                <w:sz w:val="22"/>
                <w:szCs w:val="22"/>
                <w:lang w:val="en-US" w:eastAsia="en-US"/>
              </w:rPr>
              <w:t>3,5</w:t>
            </w:r>
          </w:p>
          <w:p w14:paraId="2D26E0E4" w14:textId="77777777" w:rsidR="00DE39FE" w:rsidRPr="003E0B98" w:rsidRDefault="00DE39FE" w:rsidP="004361AC">
            <w:pPr>
              <w:pStyle w:val="Table"/>
              <w:keepNext/>
              <w:spacing w:before="0" w:after="0"/>
              <w:jc w:val="center"/>
              <w:rPr>
                <w:rFonts w:ascii="Times New Roman" w:hAnsi="Times New Roman"/>
                <w:sz w:val="22"/>
                <w:szCs w:val="22"/>
                <w:lang w:val="en-US" w:eastAsia="en-US"/>
              </w:rPr>
            </w:pPr>
            <w:r w:rsidRPr="003E0B98">
              <w:rPr>
                <w:rFonts w:ascii="Times New Roman" w:hAnsi="Times New Roman"/>
                <w:sz w:val="22"/>
                <w:szCs w:val="22"/>
                <w:lang w:val="en-US" w:eastAsia="en-US"/>
              </w:rPr>
              <w:t>2,5</w:t>
            </w:r>
          </w:p>
        </w:tc>
        <w:tc>
          <w:tcPr>
            <w:tcW w:w="1247" w:type="dxa"/>
          </w:tcPr>
          <w:p w14:paraId="478E626B" w14:textId="77777777" w:rsidR="00DE39FE" w:rsidRPr="003E0B98" w:rsidRDefault="00DE39FE" w:rsidP="004361AC">
            <w:pPr>
              <w:pStyle w:val="Table"/>
              <w:keepNext/>
              <w:spacing w:before="0" w:after="0"/>
              <w:jc w:val="center"/>
              <w:rPr>
                <w:rFonts w:ascii="Times New Roman" w:hAnsi="Times New Roman"/>
                <w:sz w:val="22"/>
                <w:szCs w:val="22"/>
                <w:lang w:val="en-US" w:eastAsia="en-US"/>
              </w:rPr>
            </w:pPr>
          </w:p>
          <w:p w14:paraId="3C6289AC" w14:textId="77777777" w:rsidR="00DE39FE" w:rsidRPr="003E0B98" w:rsidRDefault="00DE39FE" w:rsidP="004361AC">
            <w:pPr>
              <w:pStyle w:val="Table"/>
              <w:keepNext/>
              <w:spacing w:before="0" w:after="0"/>
              <w:jc w:val="center"/>
              <w:rPr>
                <w:rFonts w:ascii="Times New Roman" w:hAnsi="Times New Roman"/>
                <w:sz w:val="22"/>
                <w:szCs w:val="22"/>
                <w:lang w:val="en-US" w:eastAsia="en-US"/>
              </w:rPr>
            </w:pPr>
            <w:r w:rsidRPr="003E0B98">
              <w:rPr>
                <w:rFonts w:ascii="Times New Roman" w:hAnsi="Times New Roman"/>
                <w:sz w:val="22"/>
                <w:szCs w:val="22"/>
                <w:lang w:val="en-US" w:eastAsia="en-US"/>
              </w:rPr>
              <w:t>N/A</w:t>
            </w:r>
          </w:p>
          <w:p w14:paraId="2B486D6B" w14:textId="77777777" w:rsidR="00DE39FE" w:rsidRPr="003E0B98" w:rsidRDefault="00DE39FE" w:rsidP="004361AC">
            <w:pPr>
              <w:pStyle w:val="Table"/>
              <w:keepNext/>
              <w:spacing w:before="0" w:after="0"/>
              <w:jc w:val="center"/>
              <w:rPr>
                <w:rFonts w:ascii="Times New Roman" w:hAnsi="Times New Roman"/>
                <w:sz w:val="22"/>
                <w:szCs w:val="22"/>
                <w:lang w:val="en-US" w:eastAsia="en-US"/>
              </w:rPr>
            </w:pPr>
            <w:r w:rsidRPr="003E0B98">
              <w:rPr>
                <w:rFonts w:ascii="Times New Roman" w:hAnsi="Times New Roman"/>
                <w:sz w:val="22"/>
                <w:szCs w:val="22"/>
                <w:lang w:val="en-US" w:eastAsia="en-US"/>
              </w:rPr>
              <w:t>N/A</w:t>
            </w:r>
          </w:p>
        </w:tc>
      </w:tr>
      <w:tr w:rsidR="00DE39FE" w:rsidRPr="003E0B98" w14:paraId="708A8A64" w14:textId="77777777" w:rsidTr="00E91D8B">
        <w:tc>
          <w:tcPr>
            <w:tcW w:w="4219" w:type="dxa"/>
          </w:tcPr>
          <w:p w14:paraId="021C0E3D" w14:textId="77777777" w:rsidR="00DE39FE" w:rsidRPr="003E0B98" w:rsidRDefault="00DE39FE" w:rsidP="004361AC">
            <w:pPr>
              <w:pStyle w:val="Table"/>
              <w:keepNext/>
              <w:spacing w:before="0" w:after="0"/>
              <w:rPr>
                <w:rFonts w:ascii="Times New Roman" w:hAnsi="Times New Roman"/>
                <w:sz w:val="22"/>
                <w:szCs w:val="22"/>
                <w:lang w:val="es-ES" w:eastAsia="en-US"/>
              </w:rPr>
            </w:pPr>
            <w:r w:rsidRPr="003E0B98">
              <w:rPr>
                <w:rFonts w:ascii="Times New Roman" w:eastAsia="Times New Roman" w:hAnsi="Times New Roman"/>
                <w:color w:val="000000"/>
                <w:sz w:val="22"/>
                <w:szCs w:val="22"/>
                <w:lang w:val="es-ES_tradnl" w:eastAsia="en-US"/>
              </w:rPr>
              <w:t>Cambio promedio de</w:t>
            </w:r>
            <w:r w:rsidR="00124830" w:rsidRPr="003E0B98">
              <w:rPr>
                <w:rFonts w:ascii="Times New Roman" w:eastAsia="Times New Roman" w:hAnsi="Times New Roman"/>
                <w:color w:val="000000"/>
                <w:sz w:val="22"/>
                <w:szCs w:val="22"/>
                <w:lang w:val="es-ES_tradnl" w:eastAsia="en-US"/>
              </w:rPr>
              <w:t xml:space="preserve"> </w:t>
            </w:r>
            <w:r w:rsidRPr="003E0B98">
              <w:rPr>
                <w:rFonts w:ascii="Times New Roman" w:eastAsia="Times New Roman" w:hAnsi="Times New Roman"/>
                <w:color w:val="000000"/>
                <w:sz w:val="22"/>
                <w:szCs w:val="22"/>
                <w:lang w:val="es-ES_tradnl" w:eastAsia="en-US"/>
              </w:rPr>
              <w:t>la AVMC desde el Mes</w:t>
            </w:r>
            <w:r w:rsidRPr="003E0B98">
              <w:rPr>
                <w:rFonts w:ascii="Times New Roman" w:hAnsi="Times New Roman"/>
                <w:color w:val="000000"/>
                <w:sz w:val="22"/>
                <w:szCs w:val="22"/>
                <w:lang w:val="es-ES_tradnl" w:eastAsia="en-US"/>
              </w:rPr>
              <w:t> </w:t>
            </w:r>
            <w:r w:rsidRPr="003E0B98">
              <w:rPr>
                <w:rFonts w:ascii="Times New Roman" w:eastAsia="Times New Roman" w:hAnsi="Times New Roman"/>
                <w:color w:val="000000"/>
                <w:sz w:val="22"/>
                <w:szCs w:val="22"/>
                <w:lang w:val="es-ES_tradnl" w:eastAsia="en-US"/>
              </w:rPr>
              <w:t>1 al Mes</w:t>
            </w:r>
            <w:r w:rsidRPr="003E0B98">
              <w:rPr>
                <w:rFonts w:ascii="Times New Roman" w:hAnsi="Times New Roman"/>
                <w:color w:val="000000"/>
                <w:sz w:val="22"/>
                <w:szCs w:val="22"/>
                <w:lang w:val="es-ES_tradnl" w:eastAsia="en-US"/>
              </w:rPr>
              <w:t> </w:t>
            </w:r>
            <w:r w:rsidRPr="003E0B98">
              <w:rPr>
                <w:rFonts w:ascii="Times New Roman" w:eastAsia="Times New Roman" w:hAnsi="Times New Roman"/>
                <w:color w:val="000000"/>
                <w:sz w:val="22"/>
                <w:szCs w:val="22"/>
                <w:lang w:val="es-ES_tradnl" w:eastAsia="en-US"/>
              </w:rPr>
              <w:t>12 comparado con el inicio (letras)</w:t>
            </w:r>
          </w:p>
        </w:tc>
        <w:tc>
          <w:tcPr>
            <w:tcW w:w="1843" w:type="dxa"/>
          </w:tcPr>
          <w:p w14:paraId="095AE420" w14:textId="77777777" w:rsidR="00DE39FE" w:rsidRPr="003E0B98" w:rsidRDefault="00DE39FE" w:rsidP="004361AC">
            <w:pPr>
              <w:pStyle w:val="Table"/>
              <w:keepNext/>
              <w:spacing w:before="0" w:after="0"/>
              <w:jc w:val="center"/>
              <w:rPr>
                <w:rFonts w:ascii="Times New Roman" w:hAnsi="Times New Roman"/>
                <w:sz w:val="22"/>
                <w:szCs w:val="22"/>
                <w:lang w:val="en-US" w:eastAsia="en-US"/>
              </w:rPr>
            </w:pPr>
            <w:r w:rsidRPr="003E0B98">
              <w:rPr>
                <w:rFonts w:ascii="Times New Roman" w:hAnsi="Times New Roman"/>
                <w:sz w:val="22"/>
                <w:szCs w:val="22"/>
                <w:lang w:val="en-US" w:eastAsia="en-US"/>
              </w:rPr>
              <w:t>+12,8</w:t>
            </w:r>
          </w:p>
        </w:tc>
        <w:tc>
          <w:tcPr>
            <w:tcW w:w="1984" w:type="dxa"/>
          </w:tcPr>
          <w:p w14:paraId="7EEE484F" w14:textId="77777777" w:rsidR="00DE39FE" w:rsidRPr="003E0B98" w:rsidRDefault="00DE39FE" w:rsidP="004361AC">
            <w:pPr>
              <w:pStyle w:val="Table"/>
              <w:keepNext/>
              <w:spacing w:before="0" w:after="0"/>
              <w:jc w:val="center"/>
              <w:rPr>
                <w:rFonts w:ascii="Times New Roman" w:hAnsi="Times New Roman"/>
                <w:sz w:val="22"/>
                <w:szCs w:val="22"/>
                <w:lang w:val="en-US" w:eastAsia="en-US"/>
              </w:rPr>
            </w:pPr>
            <w:r w:rsidRPr="003E0B98">
              <w:rPr>
                <w:rFonts w:ascii="Times New Roman" w:hAnsi="Times New Roman"/>
                <w:sz w:val="22"/>
                <w:szCs w:val="22"/>
                <w:lang w:val="en-US" w:eastAsia="en-US"/>
              </w:rPr>
              <w:t>+12,5</w:t>
            </w:r>
          </w:p>
        </w:tc>
        <w:tc>
          <w:tcPr>
            <w:tcW w:w="1247" w:type="dxa"/>
          </w:tcPr>
          <w:p w14:paraId="165907BD" w14:textId="77777777" w:rsidR="00DE39FE" w:rsidRPr="003E0B98" w:rsidRDefault="00DE39FE" w:rsidP="004361AC">
            <w:pPr>
              <w:pStyle w:val="Table"/>
              <w:keepNext/>
              <w:spacing w:before="0" w:after="0"/>
              <w:jc w:val="center"/>
              <w:rPr>
                <w:rFonts w:ascii="Times New Roman" w:hAnsi="Times New Roman"/>
                <w:sz w:val="22"/>
                <w:szCs w:val="22"/>
                <w:lang w:val="en-US" w:eastAsia="en-US"/>
              </w:rPr>
            </w:pPr>
            <w:r w:rsidRPr="003E0B98">
              <w:rPr>
                <w:rFonts w:ascii="Times New Roman" w:hAnsi="Times New Roman"/>
                <w:sz w:val="22"/>
                <w:szCs w:val="22"/>
                <w:lang w:val="en-US" w:eastAsia="en-US"/>
              </w:rPr>
              <w:t>N/A</w:t>
            </w:r>
          </w:p>
        </w:tc>
      </w:tr>
      <w:tr w:rsidR="00DE39FE" w:rsidRPr="003E0B98" w14:paraId="2E6F17FB" w14:textId="77777777" w:rsidTr="00E91D8B">
        <w:tc>
          <w:tcPr>
            <w:tcW w:w="4219" w:type="dxa"/>
          </w:tcPr>
          <w:p w14:paraId="0DEC0908" w14:textId="77777777" w:rsidR="00DE39FE" w:rsidRPr="003E0B98" w:rsidRDefault="00DE39FE" w:rsidP="004361AC">
            <w:pPr>
              <w:pStyle w:val="Text"/>
              <w:keepNext/>
              <w:spacing w:before="0"/>
              <w:jc w:val="left"/>
              <w:rPr>
                <w:rFonts w:eastAsia="MS Mincho"/>
                <w:sz w:val="22"/>
                <w:szCs w:val="22"/>
              </w:rPr>
            </w:pPr>
            <w:proofErr w:type="spellStart"/>
            <w:r w:rsidRPr="003E0B98">
              <w:rPr>
                <w:rFonts w:eastAsia="MS Mincho"/>
                <w:sz w:val="22"/>
                <w:szCs w:val="22"/>
              </w:rPr>
              <w:t>Propor</w:t>
            </w:r>
            <w:r w:rsidRPr="003E0B98">
              <w:rPr>
                <w:rFonts w:eastAsia="MS Mincho"/>
                <w:sz w:val="22"/>
                <w:szCs w:val="22"/>
                <w:lang w:val="es-ES"/>
              </w:rPr>
              <w:t>c</w:t>
            </w:r>
            <w:r w:rsidRPr="003E0B98">
              <w:rPr>
                <w:rFonts w:eastAsia="MS Mincho"/>
                <w:sz w:val="22"/>
                <w:szCs w:val="22"/>
              </w:rPr>
              <w:t>i</w:t>
            </w:r>
            <w:r w:rsidRPr="003E0B98">
              <w:rPr>
                <w:rFonts w:eastAsia="MS Mincho"/>
                <w:sz w:val="22"/>
                <w:szCs w:val="22"/>
                <w:lang w:val="es-ES"/>
              </w:rPr>
              <w:t>ó</w:t>
            </w:r>
            <w:proofErr w:type="spellEnd"/>
            <w:r w:rsidRPr="003E0B98">
              <w:rPr>
                <w:rFonts w:eastAsia="MS Mincho"/>
                <w:sz w:val="22"/>
                <w:szCs w:val="22"/>
              </w:rPr>
              <w:t xml:space="preserve">n </w:t>
            </w:r>
            <w:r w:rsidRPr="003E0B98">
              <w:rPr>
                <w:rFonts w:eastAsia="MS Mincho"/>
                <w:sz w:val="22"/>
                <w:szCs w:val="22"/>
                <w:lang w:val="es-ES"/>
              </w:rPr>
              <w:t>de pacientes que ganaron</w:t>
            </w:r>
            <w:r w:rsidRPr="003E0B98">
              <w:rPr>
                <w:rFonts w:eastAsia="MS Mincho"/>
                <w:sz w:val="22"/>
                <w:szCs w:val="22"/>
              </w:rPr>
              <w:t>:</w:t>
            </w:r>
          </w:p>
          <w:p w14:paraId="33231E32" w14:textId="77777777" w:rsidR="00DE39FE" w:rsidRPr="003E0B98" w:rsidRDefault="00DE39FE" w:rsidP="004361AC">
            <w:pPr>
              <w:pStyle w:val="Text"/>
              <w:keepNext/>
              <w:spacing w:before="0"/>
              <w:jc w:val="left"/>
              <w:rPr>
                <w:rFonts w:eastAsia="MS Mincho"/>
                <w:sz w:val="22"/>
                <w:szCs w:val="22"/>
              </w:rPr>
            </w:pPr>
            <w:r w:rsidRPr="003E0B98">
              <w:rPr>
                <w:rFonts w:eastAsia="MS Mincho"/>
                <w:sz w:val="22"/>
                <w:szCs w:val="22"/>
              </w:rPr>
              <w:t>≥15 </w:t>
            </w:r>
            <w:proofErr w:type="spellStart"/>
            <w:r w:rsidRPr="003E0B98">
              <w:rPr>
                <w:rFonts w:eastAsia="MS Mincho"/>
                <w:sz w:val="22"/>
                <w:szCs w:val="22"/>
              </w:rPr>
              <w:t>let</w:t>
            </w:r>
            <w:r w:rsidRPr="003E0B98">
              <w:rPr>
                <w:rFonts w:eastAsia="MS Mincho"/>
                <w:sz w:val="22"/>
                <w:szCs w:val="22"/>
                <w:lang w:val="es-ES"/>
              </w:rPr>
              <w:t>ra</w:t>
            </w:r>
            <w:proofErr w:type="spellEnd"/>
            <w:r w:rsidRPr="003E0B98">
              <w:rPr>
                <w:rFonts w:eastAsia="MS Mincho"/>
                <w:sz w:val="22"/>
                <w:szCs w:val="22"/>
              </w:rPr>
              <w:t xml:space="preserve">s, o </w:t>
            </w:r>
            <w:r w:rsidRPr="003E0B98">
              <w:rPr>
                <w:rFonts w:eastAsia="MS Mincho"/>
                <w:sz w:val="22"/>
                <w:szCs w:val="22"/>
                <w:lang w:val="es-ES"/>
              </w:rPr>
              <w:t>alcanzaron</w:t>
            </w:r>
            <w:r w:rsidRPr="003E0B98">
              <w:rPr>
                <w:rFonts w:eastAsia="MS Mincho"/>
                <w:sz w:val="22"/>
                <w:szCs w:val="22"/>
              </w:rPr>
              <w:t xml:space="preserve"> ≥84 </w:t>
            </w:r>
            <w:proofErr w:type="spellStart"/>
            <w:r w:rsidRPr="003E0B98">
              <w:rPr>
                <w:rFonts w:eastAsia="MS Mincho"/>
                <w:sz w:val="22"/>
                <w:szCs w:val="22"/>
              </w:rPr>
              <w:t>let</w:t>
            </w:r>
            <w:r w:rsidRPr="003E0B98">
              <w:rPr>
                <w:rFonts w:eastAsia="MS Mincho"/>
                <w:sz w:val="22"/>
                <w:szCs w:val="22"/>
                <w:lang w:val="es-ES"/>
              </w:rPr>
              <w:t>ra</w:t>
            </w:r>
            <w:proofErr w:type="spellEnd"/>
            <w:r w:rsidRPr="003E0B98">
              <w:rPr>
                <w:rFonts w:eastAsia="MS Mincho"/>
                <w:sz w:val="22"/>
                <w:szCs w:val="22"/>
              </w:rPr>
              <w:t xml:space="preserve">s </w:t>
            </w:r>
            <w:r w:rsidRPr="003E0B98">
              <w:rPr>
                <w:rFonts w:eastAsia="MS Mincho"/>
                <w:sz w:val="22"/>
                <w:szCs w:val="22"/>
                <w:lang w:val="es-ES"/>
              </w:rPr>
              <w:t>en la AVMC</w:t>
            </w:r>
          </w:p>
        </w:tc>
        <w:tc>
          <w:tcPr>
            <w:tcW w:w="1843" w:type="dxa"/>
          </w:tcPr>
          <w:p w14:paraId="654A3708" w14:textId="77777777" w:rsidR="00DE39FE" w:rsidRPr="003E0B98" w:rsidRDefault="00DE39FE" w:rsidP="004361AC">
            <w:pPr>
              <w:pStyle w:val="Table"/>
              <w:keepNext/>
              <w:spacing w:before="0" w:after="0"/>
              <w:jc w:val="center"/>
              <w:rPr>
                <w:rFonts w:ascii="Times New Roman" w:hAnsi="Times New Roman"/>
                <w:sz w:val="22"/>
                <w:szCs w:val="22"/>
                <w:lang w:val="es-ES" w:eastAsia="en-US"/>
              </w:rPr>
            </w:pPr>
          </w:p>
          <w:p w14:paraId="6B2E2A0F" w14:textId="77777777" w:rsidR="00DE39FE" w:rsidRPr="003E0B98" w:rsidRDefault="00DE39FE" w:rsidP="004361AC">
            <w:pPr>
              <w:pStyle w:val="Table"/>
              <w:keepNext/>
              <w:spacing w:before="0" w:after="0"/>
              <w:jc w:val="center"/>
              <w:rPr>
                <w:rFonts w:ascii="Times New Roman" w:hAnsi="Times New Roman"/>
                <w:sz w:val="22"/>
                <w:szCs w:val="22"/>
                <w:lang w:val="en-US" w:eastAsia="en-US"/>
              </w:rPr>
            </w:pPr>
            <w:r w:rsidRPr="003E0B98">
              <w:rPr>
                <w:rFonts w:ascii="Times New Roman" w:hAnsi="Times New Roman"/>
                <w:sz w:val="22"/>
                <w:szCs w:val="22"/>
                <w:lang w:val="en-US" w:eastAsia="en-US"/>
              </w:rPr>
              <w:t>53,3%</w:t>
            </w:r>
          </w:p>
        </w:tc>
        <w:tc>
          <w:tcPr>
            <w:tcW w:w="1984" w:type="dxa"/>
          </w:tcPr>
          <w:p w14:paraId="651080D3" w14:textId="77777777" w:rsidR="00DE39FE" w:rsidRPr="003E0B98" w:rsidRDefault="00DE39FE" w:rsidP="004361AC">
            <w:pPr>
              <w:pStyle w:val="Table"/>
              <w:keepNext/>
              <w:spacing w:before="0" w:after="0"/>
              <w:jc w:val="center"/>
              <w:rPr>
                <w:rFonts w:ascii="Times New Roman" w:hAnsi="Times New Roman"/>
                <w:sz w:val="22"/>
                <w:szCs w:val="22"/>
                <w:lang w:val="en-US" w:eastAsia="en-US"/>
              </w:rPr>
            </w:pPr>
          </w:p>
          <w:p w14:paraId="452B16C3" w14:textId="77777777" w:rsidR="00DE39FE" w:rsidRPr="003E0B98" w:rsidRDefault="00DE39FE" w:rsidP="004361AC">
            <w:pPr>
              <w:pStyle w:val="Table"/>
              <w:keepNext/>
              <w:spacing w:before="0" w:after="0"/>
              <w:jc w:val="center"/>
              <w:rPr>
                <w:rFonts w:ascii="Times New Roman" w:hAnsi="Times New Roman"/>
                <w:sz w:val="22"/>
                <w:szCs w:val="22"/>
                <w:lang w:val="en-US" w:eastAsia="en-US"/>
              </w:rPr>
            </w:pPr>
            <w:r w:rsidRPr="003E0B98">
              <w:rPr>
                <w:rFonts w:ascii="Times New Roman" w:hAnsi="Times New Roman"/>
                <w:sz w:val="22"/>
                <w:szCs w:val="22"/>
                <w:lang w:val="en-US" w:eastAsia="en-US"/>
              </w:rPr>
              <w:t>51,7%</w:t>
            </w:r>
          </w:p>
        </w:tc>
        <w:tc>
          <w:tcPr>
            <w:tcW w:w="1247" w:type="dxa"/>
          </w:tcPr>
          <w:p w14:paraId="21151733" w14:textId="77777777" w:rsidR="00DE39FE" w:rsidRPr="003E0B98" w:rsidRDefault="00DE39FE" w:rsidP="004361AC">
            <w:pPr>
              <w:pStyle w:val="Table"/>
              <w:keepNext/>
              <w:spacing w:before="0" w:after="0"/>
              <w:jc w:val="center"/>
              <w:rPr>
                <w:rFonts w:ascii="Times New Roman" w:hAnsi="Times New Roman"/>
                <w:sz w:val="22"/>
                <w:szCs w:val="22"/>
                <w:lang w:val="en-US" w:eastAsia="en-US"/>
              </w:rPr>
            </w:pPr>
          </w:p>
          <w:p w14:paraId="4127C9A2" w14:textId="77777777" w:rsidR="00DE39FE" w:rsidRPr="003E0B98" w:rsidRDefault="00DE39FE" w:rsidP="004361AC">
            <w:pPr>
              <w:pStyle w:val="Table"/>
              <w:keepNext/>
              <w:spacing w:before="0" w:after="0"/>
              <w:jc w:val="center"/>
              <w:rPr>
                <w:rFonts w:ascii="Times New Roman" w:hAnsi="Times New Roman"/>
                <w:sz w:val="22"/>
                <w:szCs w:val="22"/>
                <w:lang w:val="en-US" w:eastAsia="en-US"/>
              </w:rPr>
            </w:pPr>
            <w:r w:rsidRPr="003E0B98">
              <w:rPr>
                <w:rFonts w:ascii="Times New Roman" w:hAnsi="Times New Roman"/>
                <w:sz w:val="22"/>
                <w:szCs w:val="22"/>
                <w:lang w:val="en-US" w:eastAsia="en-US"/>
              </w:rPr>
              <w:t>N/A</w:t>
            </w:r>
          </w:p>
        </w:tc>
      </w:tr>
    </w:tbl>
    <w:p w14:paraId="76F7C0A3" w14:textId="77777777" w:rsidR="00DE39FE" w:rsidRPr="003E0B98" w:rsidRDefault="00DE39FE" w:rsidP="004361AC">
      <w:pPr>
        <w:pStyle w:val="Text"/>
        <w:keepNext/>
        <w:spacing w:before="0"/>
        <w:jc w:val="left"/>
        <w:rPr>
          <w:sz w:val="22"/>
          <w:szCs w:val="22"/>
          <w:lang w:val="es-ES"/>
        </w:rPr>
      </w:pPr>
      <w:r w:rsidRPr="003E0B98">
        <w:rPr>
          <w:sz w:val="22"/>
          <w:szCs w:val="22"/>
          <w:vertAlign w:val="superscript"/>
        </w:rPr>
        <w:t>a</w:t>
      </w:r>
      <w:r w:rsidRPr="003E0B98">
        <w:rPr>
          <w:sz w:val="22"/>
          <w:szCs w:val="22"/>
          <w:lang w:val="es-ES"/>
        </w:rPr>
        <w:t xml:space="preserve"> </w:t>
      </w:r>
      <w:r w:rsidRPr="003E0B98">
        <w:rPr>
          <w:sz w:val="22"/>
          <w:szCs w:val="22"/>
        </w:rPr>
        <w:t>p&lt;0</w:t>
      </w:r>
      <w:r w:rsidRPr="003E0B98">
        <w:rPr>
          <w:sz w:val="22"/>
          <w:szCs w:val="22"/>
          <w:lang w:val="es-ES"/>
        </w:rPr>
        <w:t>,</w:t>
      </w:r>
      <w:r w:rsidRPr="003E0B98">
        <w:rPr>
          <w:sz w:val="22"/>
          <w:szCs w:val="22"/>
        </w:rPr>
        <w:t xml:space="preserve">00001 </w:t>
      </w:r>
      <w:proofErr w:type="spellStart"/>
      <w:r w:rsidRPr="003E0B98">
        <w:rPr>
          <w:sz w:val="22"/>
          <w:szCs w:val="22"/>
        </w:rPr>
        <w:t>compar</w:t>
      </w:r>
      <w:r w:rsidRPr="003E0B98">
        <w:rPr>
          <w:sz w:val="22"/>
          <w:szCs w:val="22"/>
          <w:lang w:val="es-ES"/>
        </w:rPr>
        <w:t>ación</w:t>
      </w:r>
      <w:proofErr w:type="spellEnd"/>
      <w:r w:rsidRPr="003E0B98">
        <w:rPr>
          <w:sz w:val="22"/>
          <w:szCs w:val="22"/>
          <w:lang w:val="es-ES"/>
        </w:rPr>
        <w:t xml:space="preserve"> con el control de </w:t>
      </w:r>
      <w:proofErr w:type="spellStart"/>
      <w:r w:rsidRPr="003E0B98">
        <w:rPr>
          <w:sz w:val="22"/>
          <w:szCs w:val="22"/>
          <w:lang w:val="es-ES"/>
        </w:rPr>
        <w:t>TFDv</w:t>
      </w:r>
      <w:proofErr w:type="spellEnd"/>
    </w:p>
    <w:p w14:paraId="19A61FDC" w14:textId="77777777" w:rsidR="00DE39FE" w:rsidRPr="003E0B98" w:rsidRDefault="00DE39FE" w:rsidP="004361AC">
      <w:pPr>
        <w:pStyle w:val="Text"/>
        <w:spacing w:before="0"/>
        <w:jc w:val="left"/>
        <w:rPr>
          <w:sz w:val="22"/>
          <w:szCs w:val="22"/>
          <w:lang w:val="es-ES"/>
        </w:rPr>
      </w:pPr>
      <w:r w:rsidRPr="003E0B98">
        <w:rPr>
          <w:sz w:val="22"/>
          <w:szCs w:val="22"/>
          <w:vertAlign w:val="superscript"/>
          <w:lang w:val="es-ES"/>
        </w:rPr>
        <w:t xml:space="preserve">b </w:t>
      </w:r>
      <w:r w:rsidRPr="003E0B98">
        <w:rPr>
          <w:sz w:val="22"/>
          <w:szCs w:val="22"/>
        </w:rPr>
        <w:t>C</w:t>
      </w:r>
      <w:r w:rsidRPr="003E0B98">
        <w:rPr>
          <w:sz w:val="22"/>
          <w:szCs w:val="22"/>
          <w:lang w:val="es-ES"/>
        </w:rPr>
        <w:t>ontrol comparativo hasta el</w:t>
      </w:r>
      <w:r w:rsidRPr="003E0B98">
        <w:rPr>
          <w:sz w:val="22"/>
          <w:szCs w:val="22"/>
        </w:rPr>
        <w:t xml:space="preserve"> M</w:t>
      </w:r>
      <w:r w:rsidRPr="003E0B98">
        <w:rPr>
          <w:sz w:val="22"/>
          <w:szCs w:val="22"/>
          <w:lang w:val="es-ES"/>
        </w:rPr>
        <w:t>es</w:t>
      </w:r>
      <w:r w:rsidRPr="003E0B98">
        <w:rPr>
          <w:sz w:val="22"/>
          <w:szCs w:val="22"/>
        </w:rPr>
        <w:t xml:space="preserve"> 3. </w:t>
      </w:r>
      <w:r w:rsidRPr="003E0B98">
        <w:rPr>
          <w:sz w:val="22"/>
          <w:szCs w:val="22"/>
          <w:lang w:val="es-ES"/>
        </w:rPr>
        <w:t xml:space="preserve">A los pacientes aleatorizados a </w:t>
      </w:r>
      <w:proofErr w:type="spellStart"/>
      <w:r w:rsidRPr="003E0B98">
        <w:rPr>
          <w:sz w:val="22"/>
          <w:szCs w:val="22"/>
          <w:lang w:val="es-ES"/>
        </w:rPr>
        <w:t>TFDv</w:t>
      </w:r>
      <w:proofErr w:type="spellEnd"/>
      <w:r w:rsidRPr="003E0B98">
        <w:rPr>
          <w:sz w:val="22"/>
          <w:szCs w:val="22"/>
          <w:lang w:val="es-ES"/>
        </w:rPr>
        <w:t xml:space="preserve"> se les permitió </w:t>
      </w:r>
      <w:r w:rsidRPr="003E0B98">
        <w:rPr>
          <w:color w:val="000000"/>
          <w:sz w:val="22"/>
          <w:lang w:val="es-ES"/>
        </w:rPr>
        <w:t xml:space="preserve">recibir tratamiento con </w:t>
      </w:r>
      <w:proofErr w:type="spellStart"/>
      <w:r w:rsidRPr="003E0B98">
        <w:rPr>
          <w:color w:val="000000"/>
          <w:sz w:val="22"/>
          <w:lang w:val="es-ES"/>
        </w:rPr>
        <w:t>ranibizumab</w:t>
      </w:r>
      <w:proofErr w:type="spellEnd"/>
      <w:r w:rsidRPr="003E0B98">
        <w:rPr>
          <w:color w:val="000000"/>
          <w:sz w:val="22"/>
          <w:lang w:val="es-ES"/>
        </w:rPr>
        <w:t xml:space="preserve"> a partir del Mes 3</w:t>
      </w:r>
      <w:r w:rsidRPr="003E0B98">
        <w:rPr>
          <w:sz w:val="22"/>
          <w:szCs w:val="22"/>
          <w:lang w:val="es-ES"/>
        </w:rPr>
        <w:t xml:space="preserve"> (en el Grupo III, 38 pacientes recibieron </w:t>
      </w:r>
      <w:proofErr w:type="spellStart"/>
      <w:r w:rsidRPr="003E0B98">
        <w:rPr>
          <w:sz w:val="22"/>
          <w:szCs w:val="22"/>
          <w:lang w:val="es-ES"/>
        </w:rPr>
        <w:t>ranibizumab</w:t>
      </w:r>
      <w:proofErr w:type="spellEnd"/>
      <w:r w:rsidRPr="003E0B98">
        <w:rPr>
          <w:sz w:val="22"/>
          <w:szCs w:val="22"/>
          <w:lang w:val="es-ES"/>
        </w:rPr>
        <w:t xml:space="preserve"> a partir del Mes 3)</w:t>
      </w:r>
    </w:p>
    <w:p w14:paraId="1520EB1B" w14:textId="77777777" w:rsidR="00DE39FE" w:rsidRPr="003E0B98" w:rsidRDefault="00DE39FE" w:rsidP="004361AC">
      <w:pPr>
        <w:pStyle w:val="Text"/>
        <w:spacing w:before="0"/>
        <w:jc w:val="left"/>
        <w:rPr>
          <w:sz w:val="22"/>
          <w:szCs w:val="22"/>
          <w:lang w:val="es-ES"/>
        </w:rPr>
      </w:pPr>
    </w:p>
    <w:p w14:paraId="2AE8166B" w14:textId="77777777" w:rsidR="00DE39FE" w:rsidRPr="003E0B98" w:rsidRDefault="00DE39FE" w:rsidP="004361AC">
      <w:pPr>
        <w:pStyle w:val="Text"/>
        <w:keepNext/>
        <w:spacing w:before="0"/>
        <w:ind w:left="1134" w:hanging="1134"/>
        <w:jc w:val="left"/>
        <w:rPr>
          <w:sz w:val="22"/>
          <w:szCs w:val="22"/>
          <w:lang w:val="es-ES"/>
        </w:rPr>
      </w:pPr>
      <w:proofErr w:type="spellStart"/>
      <w:r w:rsidRPr="003E0B98">
        <w:rPr>
          <w:b/>
          <w:color w:val="000000"/>
          <w:sz w:val="22"/>
          <w:szCs w:val="22"/>
        </w:rPr>
        <w:t>Figur</w:t>
      </w:r>
      <w:r w:rsidRPr="003E0B98">
        <w:rPr>
          <w:b/>
          <w:color w:val="000000"/>
          <w:sz w:val="22"/>
          <w:szCs w:val="22"/>
          <w:lang w:val="es-ES"/>
        </w:rPr>
        <w:t>a</w:t>
      </w:r>
      <w:proofErr w:type="spellEnd"/>
      <w:r w:rsidRPr="003E0B98">
        <w:rPr>
          <w:b/>
          <w:color w:val="000000"/>
          <w:sz w:val="22"/>
          <w:szCs w:val="22"/>
        </w:rPr>
        <w:t> </w:t>
      </w:r>
      <w:r w:rsidRPr="003E0B98">
        <w:rPr>
          <w:b/>
          <w:color w:val="000000"/>
          <w:sz w:val="22"/>
          <w:szCs w:val="22"/>
          <w:lang w:val="es-ES"/>
        </w:rPr>
        <w:t>2</w:t>
      </w:r>
      <w:r w:rsidRPr="003E0B98">
        <w:rPr>
          <w:b/>
          <w:color w:val="000000"/>
          <w:sz w:val="22"/>
          <w:szCs w:val="22"/>
        </w:rPr>
        <w:tab/>
      </w:r>
      <w:r w:rsidRPr="003E0B98">
        <w:rPr>
          <w:b/>
          <w:color w:val="000000"/>
          <w:sz w:val="22"/>
          <w:szCs w:val="22"/>
          <w:lang w:val="es-ES_tradnl"/>
        </w:rPr>
        <w:t>Cambio promedio de la AVMC desde el inicio en el tiempo hasta el Mes 12 (RADIANCE)</w:t>
      </w:r>
    </w:p>
    <w:p w14:paraId="24B0D5C6" w14:textId="77777777" w:rsidR="00DE39FE" w:rsidRPr="003E0B98" w:rsidRDefault="00DE39FE" w:rsidP="004361AC">
      <w:pPr>
        <w:pStyle w:val="Text"/>
        <w:keepNext/>
        <w:spacing w:before="0"/>
        <w:jc w:val="left"/>
        <w:rPr>
          <w:bCs/>
          <w:iCs/>
          <w:color w:val="000000"/>
          <w:sz w:val="22"/>
          <w:szCs w:val="22"/>
          <w:lang w:val="es-ES"/>
        </w:rPr>
      </w:pPr>
    </w:p>
    <w:p w14:paraId="2F05CAAC" w14:textId="1B5C9911" w:rsidR="00524E52" w:rsidRPr="003E0B98" w:rsidRDefault="00B135E5" w:rsidP="004361AC">
      <w:pPr>
        <w:tabs>
          <w:tab w:val="clear" w:pos="567"/>
          <w:tab w:val="left" w:pos="2985"/>
        </w:tabs>
        <w:spacing w:line="240" w:lineRule="auto"/>
        <w:rPr>
          <w:szCs w:val="22"/>
        </w:rPr>
      </w:pPr>
      <w:r w:rsidRPr="003E0B98">
        <w:rPr>
          <w:noProof/>
          <w:lang w:val="es-ES" w:eastAsia="es-ES"/>
        </w:rPr>
        <w:drawing>
          <wp:inline distT="0" distB="0" distL="0" distR="0" wp14:anchorId="4A68D39A" wp14:editId="410D54DF">
            <wp:extent cx="5760085" cy="4815205"/>
            <wp:effectExtent l="0" t="0" r="0" b="444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60085" cy="4815205"/>
                    </a:xfrm>
                    <a:prstGeom prst="rect">
                      <a:avLst/>
                    </a:prstGeom>
                  </pic:spPr>
                </pic:pic>
              </a:graphicData>
            </a:graphic>
          </wp:inline>
        </w:drawing>
      </w:r>
    </w:p>
    <w:p w14:paraId="0C3CF5BD" w14:textId="77777777" w:rsidR="00524E52" w:rsidRPr="003E0B98" w:rsidRDefault="00524E52" w:rsidP="004361AC">
      <w:pPr>
        <w:tabs>
          <w:tab w:val="clear" w:pos="567"/>
          <w:tab w:val="left" w:pos="2985"/>
        </w:tabs>
        <w:spacing w:line="240" w:lineRule="auto"/>
        <w:rPr>
          <w:szCs w:val="22"/>
        </w:rPr>
      </w:pPr>
    </w:p>
    <w:p w14:paraId="19AC118E" w14:textId="77777777" w:rsidR="00DE39FE" w:rsidRPr="003E0B98" w:rsidRDefault="00DE39FE" w:rsidP="004361AC">
      <w:pPr>
        <w:pStyle w:val="Text"/>
        <w:spacing w:before="0"/>
        <w:jc w:val="left"/>
        <w:rPr>
          <w:bCs/>
          <w:iCs/>
          <w:color w:val="000000"/>
          <w:sz w:val="22"/>
          <w:szCs w:val="22"/>
          <w:lang w:val="es-ES"/>
        </w:rPr>
      </w:pPr>
      <w:r w:rsidRPr="003E0B98">
        <w:rPr>
          <w:bCs/>
          <w:iCs/>
          <w:color w:val="000000"/>
          <w:sz w:val="22"/>
          <w:szCs w:val="22"/>
          <w:lang w:val="es-ES"/>
        </w:rPr>
        <w:t>La mejora de la visión se acompañó de una reducción del grosor central de la retina.</w:t>
      </w:r>
    </w:p>
    <w:p w14:paraId="792A2968" w14:textId="77777777" w:rsidR="00DE39FE" w:rsidRPr="003E0B98" w:rsidRDefault="00DE39FE" w:rsidP="004361AC">
      <w:pPr>
        <w:pStyle w:val="Text"/>
        <w:spacing w:before="0"/>
        <w:jc w:val="left"/>
        <w:rPr>
          <w:bCs/>
          <w:iCs/>
          <w:color w:val="000000"/>
          <w:sz w:val="22"/>
          <w:szCs w:val="22"/>
          <w:lang w:val="es-ES"/>
        </w:rPr>
      </w:pPr>
    </w:p>
    <w:p w14:paraId="61837D28" w14:textId="77777777" w:rsidR="00DE39FE" w:rsidRPr="003E0B98" w:rsidRDefault="00DE39FE" w:rsidP="004361AC">
      <w:pPr>
        <w:pStyle w:val="Text"/>
        <w:spacing w:before="0"/>
        <w:jc w:val="left"/>
        <w:rPr>
          <w:bCs/>
          <w:iCs/>
          <w:color w:val="000000"/>
          <w:sz w:val="22"/>
          <w:szCs w:val="22"/>
          <w:lang w:val="es-ES"/>
        </w:rPr>
      </w:pPr>
      <w:r w:rsidRPr="003E0B98">
        <w:rPr>
          <w:bCs/>
          <w:iCs/>
          <w:color w:val="000000"/>
          <w:sz w:val="22"/>
          <w:szCs w:val="22"/>
          <w:lang w:val="es-ES"/>
        </w:rPr>
        <w:t xml:space="preserve">Los beneficios notificados por los pacientes se observaron más en los grupos de tratamiento con </w:t>
      </w:r>
      <w:proofErr w:type="spellStart"/>
      <w:r w:rsidRPr="003E0B98">
        <w:rPr>
          <w:bCs/>
          <w:iCs/>
          <w:color w:val="000000"/>
          <w:sz w:val="22"/>
          <w:szCs w:val="22"/>
          <w:lang w:val="es-ES"/>
        </w:rPr>
        <w:t>ranibizumab</w:t>
      </w:r>
      <w:proofErr w:type="spellEnd"/>
      <w:r w:rsidRPr="003E0B98">
        <w:rPr>
          <w:bCs/>
          <w:iCs/>
          <w:color w:val="000000"/>
          <w:sz w:val="22"/>
          <w:szCs w:val="22"/>
          <w:lang w:val="es-ES"/>
        </w:rPr>
        <w:t xml:space="preserve"> que en la </w:t>
      </w:r>
      <w:proofErr w:type="spellStart"/>
      <w:r w:rsidRPr="003E0B98">
        <w:rPr>
          <w:bCs/>
          <w:iCs/>
          <w:color w:val="000000"/>
          <w:sz w:val="22"/>
          <w:szCs w:val="22"/>
          <w:lang w:val="es-ES"/>
        </w:rPr>
        <w:t>TFDv</w:t>
      </w:r>
      <w:proofErr w:type="spellEnd"/>
      <w:r w:rsidRPr="003E0B98">
        <w:rPr>
          <w:bCs/>
          <w:iCs/>
          <w:color w:val="000000"/>
          <w:sz w:val="22"/>
          <w:szCs w:val="22"/>
          <w:lang w:val="es-ES"/>
        </w:rPr>
        <w:t xml:space="preserve"> (valor p</w:t>
      </w:r>
      <w:r w:rsidRPr="003E0B98">
        <w:rPr>
          <w:bCs/>
          <w:iCs/>
          <w:color w:val="000000"/>
          <w:sz w:val="22"/>
          <w:szCs w:val="22"/>
        </w:rPr>
        <w:t>&lt;0</w:t>
      </w:r>
      <w:r w:rsidRPr="003E0B98">
        <w:rPr>
          <w:bCs/>
          <w:iCs/>
          <w:color w:val="000000"/>
          <w:sz w:val="22"/>
          <w:szCs w:val="22"/>
          <w:lang w:val="es-ES"/>
        </w:rPr>
        <w:t>,</w:t>
      </w:r>
      <w:r w:rsidRPr="003E0B98">
        <w:rPr>
          <w:bCs/>
          <w:iCs/>
          <w:color w:val="000000"/>
          <w:sz w:val="22"/>
          <w:szCs w:val="22"/>
        </w:rPr>
        <w:t>05</w:t>
      </w:r>
      <w:r w:rsidRPr="003E0B98">
        <w:rPr>
          <w:bCs/>
          <w:iCs/>
          <w:color w:val="000000"/>
          <w:sz w:val="22"/>
          <w:szCs w:val="22"/>
          <w:lang w:val="es-ES"/>
        </w:rPr>
        <w:t>) en términos de mejora en la puntuación compuesta y varias subescalas (visión general, actividades de cerca, salud mental y dependencia) del NEI VFQ-25.</w:t>
      </w:r>
    </w:p>
    <w:p w14:paraId="0C654379" w14:textId="77777777" w:rsidR="00DE39FE" w:rsidRPr="003E0B98" w:rsidRDefault="00DE39FE" w:rsidP="004361AC">
      <w:pPr>
        <w:tabs>
          <w:tab w:val="clear" w:pos="567"/>
        </w:tabs>
        <w:spacing w:line="240" w:lineRule="auto"/>
        <w:rPr>
          <w:color w:val="000000"/>
          <w:szCs w:val="22"/>
          <w:lang w:val="es-ES"/>
        </w:rPr>
      </w:pPr>
    </w:p>
    <w:p w14:paraId="23DA2791" w14:textId="77777777" w:rsidR="00DE39FE" w:rsidRPr="003E0B98" w:rsidRDefault="00DE39FE" w:rsidP="004361AC">
      <w:pPr>
        <w:keepNext/>
        <w:tabs>
          <w:tab w:val="clear" w:pos="567"/>
        </w:tabs>
        <w:spacing w:line="240" w:lineRule="auto"/>
        <w:rPr>
          <w:i/>
          <w:color w:val="000000"/>
          <w:szCs w:val="22"/>
          <w:u w:val="single"/>
          <w:lang w:val="es-ES_tradnl"/>
        </w:rPr>
      </w:pPr>
      <w:r w:rsidRPr="003E0B98">
        <w:rPr>
          <w:i/>
          <w:color w:val="000000"/>
          <w:szCs w:val="22"/>
          <w:u w:val="single"/>
          <w:lang w:val="es-ES_tradnl"/>
        </w:rPr>
        <w:t xml:space="preserve">Tratamiento de la </w:t>
      </w:r>
      <w:r w:rsidRPr="003E0B98">
        <w:rPr>
          <w:i/>
          <w:color w:val="000000"/>
          <w:szCs w:val="22"/>
          <w:u w:val="single"/>
          <w:lang w:val="es-ES"/>
        </w:rPr>
        <w:t>alteración</w:t>
      </w:r>
      <w:r w:rsidRPr="003E0B98">
        <w:rPr>
          <w:i/>
          <w:color w:val="000000"/>
          <w:szCs w:val="22"/>
          <w:u w:val="single"/>
          <w:lang w:val="es-ES_tradnl"/>
        </w:rPr>
        <w:t xml:space="preserve"> visual debida a NVC (distinta a la secundaria a MP y a DMAE exudativa)</w:t>
      </w:r>
    </w:p>
    <w:p w14:paraId="032C9868" w14:textId="77777777" w:rsidR="00DE39FE" w:rsidRPr="003E0B98" w:rsidRDefault="00DE39FE" w:rsidP="004361AC">
      <w:pPr>
        <w:keepNext/>
        <w:tabs>
          <w:tab w:val="clear" w:pos="567"/>
        </w:tabs>
        <w:spacing w:line="240" w:lineRule="auto"/>
        <w:rPr>
          <w:color w:val="000000"/>
          <w:szCs w:val="22"/>
          <w:lang w:val="es-ES_tradnl"/>
        </w:rPr>
      </w:pPr>
      <w:r w:rsidRPr="003E0B98">
        <w:rPr>
          <w:color w:val="000000"/>
          <w:szCs w:val="22"/>
          <w:lang w:val="es-ES_tradnl"/>
        </w:rPr>
        <w:t xml:space="preserve">La seguridad y eficacia clínicas de </w:t>
      </w:r>
      <w:proofErr w:type="spellStart"/>
      <w:r w:rsidRPr="003E0B98">
        <w:rPr>
          <w:color w:val="000000"/>
          <w:szCs w:val="22"/>
          <w:lang w:val="es-ES_tradnl"/>
        </w:rPr>
        <w:t>Lucentis</w:t>
      </w:r>
      <w:proofErr w:type="spellEnd"/>
      <w:r w:rsidRPr="003E0B98">
        <w:rPr>
          <w:color w:val="000000"/>
          <w:szCs w:val="22"/>
          <w:lang w:val="es-ES_tradnl"/>
        </w:rPr>
        <w:t xml:space="preserve"> en pacientes con </w:t>
      </w:r>
      <w:r w:rsidRPr="003E0B98">
        <w:rPr>
          <w:color w:val="000000"/>
          <w:szCs w:val="22"/>
          <w:lang w:val="es-ES"/>
        </w:rPr>
        <w:t>alteración</w:t>
      </w:r>
      <w:r w:rsidRPr="003E0B98">
        <w:rPr>
          <w:color w:val="000000"/>
          <w:szCs w:val="22"/>
          <w:lang w:val="es-ES_tradnl"/>
        </w:rPr>
        <w:t xml:space="preserve"> visual debida a NVC se han evaluado </w:t>
      </w:r>
      <w:proofErr w:type="gramStart"/>
      <w:r w:rsidRPr="003E0B98">
        <w:rPr>
          <w:color w:val="000000"/>
          <w:szCs w:val="22"/>
          <w:lang w:val="es-ES_tradnl"/>
        </w:rPr>
        <w:t>de acuerdo a</w:t>
      </w:r>
      <w:proofErr w:type="gramEnd"/>
      <w:r w:rsidRPr="003E0B98">
        <w:rPr>
          <w:color w:val="000000"/>
          <w:szCs w:val="22"/>
          <w:lang w:val="es-ES_tradnl"/>
        </w:rPr>
        <w:t xml:space="preserve"> los datos de 12 meses del ensayo </w:t>
      </w:r>
      <w:proofErr w:type="spellStart"/>
      <w:r w:rsidRPr="003E0B98">
        <w:rPr>
          <w:color w:val="000000"/>
          <w:szCs w:val="22"/>
          <w:lang w:val="es-ES_tradnl"/>
        </w:rPr>
        <w:t>pivotal</w:t>
      </w:r>
      <w:proofErr w:type="spellEnd"/>
      <w:r w:rsidRPr="003E0B98">
        <w:rPr>
          <w:color w:val="000000"/>
          <w:szCs w:val="22"/>
          <w:lang w:val="es-ES_tradnl"/>
        </w:rPr>
        <w:t xml:space="preserve"> G2301 (MINERVA) controlado con tratamiento simulado, doble ciego. En este ensayo 178 pacientes adultos fueron aleatorizados en </w:t>
      </w:r>
      <w:proofErr w:type="gramStart"/>
      <w:r w:rsidRPr="003E0B98">
        <w:rPr>
          <w:color w:val="000000"/>
          <w:szCs w:val="22"/>
          <w:lang w:val="es-ES_tradnl"/>
        </w:rPr>
        <w:t>un ratio</w:t>
      </w:r>
      <w:proofErr w:type="gramEnd"/>
      <w:r w:rsidRPr="003E0B98">
        <w:rPr>
          <w:color w:val="000000"/>
          <w:szCs w:val="22"/>
          <w:lang w:val="es-ES_tradnl"/>
        </w:rPr>
        <w:t> 2:1 para recibir:</w:t>
      </w:r>
    </w:p>
    <w:p w14:paraId="60DF8022" w14:textId="3A7EB57E" w:rsidR="00DE39FE" w:rsidRPr="003E0B98" w:rsidRDefault="00DE39FE" w:rsidP="004361AC">
      <w:pPr>
        <w:spacing w:line="240" w:lineRule="auto"/>
        <w:ind w:left="567" w:hanging="567"/>
        <w:rPr>
          <w:color w:val="000000"/>
          <w:szCs w:val="22"/>
          <w:lang w:val="es-ES"/>
        </w:rPr>
      </w:pPr>
      <w:r w:rsidRPr="003E0B98">
        <w:rPr>
          <w:color w:val="000000"/>
          <w:szCs w:val="22"/>
          <w:lang w:val="es-ES"/>
        </w:rPr>
        <w:t>•</w:t>
      </w:r>
      <w:r w:rsidRPr="003E0B98">
        <w:rPr>
          <w:color w:val="000000"/>
          <w:szCs w:val="22"/>
          <w:lang w:val="es-ES"/>
        </w:rPr>
        <w:tab/>
      </w:r>
      <w:proofErr w:type="spellStart"/>
      <w:r w:rsidRPr="003E0B98">
        <w:rPr>
          <w:color w:val="000000"/>
          <w:szCs w:val="22"/>
          <w:lang w:val="es-ES"/>
        </w:rPr>
        <w:t>ranibizumab</w:t>
      </w:r>
      <w:proofErr w:type="spellEnd"/>
      <w:r w:rsidRPr="003E0B98">
        <w:rPr>
          <w:color w:val="000000"/>
          <w:szCs w:val="22"/>
          <w:lang w:val="es-ES"/>
        </w:rPr>
        <w:t xml:space="preserve"> 0,5 mg al inicio, seguido de una pauta posológica individualizada basada en la actividad de la enfermedad </w:t>
      </w:r>
      <w:r w:rsidRPr="003E0B98">
        <w:rPr>
          <w:color w:val="000000"/>
          <w:szCs w:val="22"/>
          <w:lang w:val="es-ES_tradnl"/>
        </w:rPr>
        <w:t xml:space="preserve">y evaluada mediante agudeza visual y/o parámetros anatómicos (p. ej. </w:t>
      </w:r>
      <w:r w:rsidRPr="003E0B98">
        <w:rPr>
          <w:color w:val="000000"/>
          <w:szCs w:val="22"/>
          <w:lang w:val="es-ES"/>
        </w:rPr>
        <w:t xml:space="preserve">alteración de la </w:t>
      </w:r>
      <w:r w:rsidR="00784C67">
        <w:rPr>
          <w:color w:val="000000"/>
          <w:szCs w:val="22"/>
          <w:lang w:val="es-ES"/>
        </w:rPr>
        <w:t>agudeza visual</w:t>
      </w:r>
      <w:r w:rsidRPr="003E0B98">
        <w:rPr>
          <w:color w:val="000000"/>
          <w:szCs w:val="22"/>
          <w:lang w:val="es-ES"/>
        </w:rPr>
        <w:t xml:space="preserve">, </w:t>
      </w:r>
      <w:r w:rsidR="002310EE" w:rsidRPr="003E0B98">
        <w:rPr>
          <w:color w:val="000000"/>
          <w:szCs w:val="22"/>
          <w:lang w:val="es-ES"/>
        </w:rPr>
        <w:t>lí</w:t>
      </w:r>
      <w:r w:rsidRPr="003E0B98">
        <w:rPr>
          <w:color w:val="000000"/>
          <w:szCs w:val="22"/>
          <w:lang w:val="es-ES"/>
        </w:rPr>
        <w:t>quido intra/</w:t>
      </w:r>
      <w:proofErr w:type="spellStart"/>
      <w:r w:rsidRPr="003E0B98">
        <w:rPr>
          <w:color w:val="000000"/>
          <w:szCs w:val="22"/>
          <w:lang w:val="es-ES"/>
        </w:rPr>
        <w:t>subretiniano</w:t>
      </w:r>
      <w:proofErr w:type="spellEnd"/>
      <w:r w:rsidRPr="003E0B98">
        <w:rPr>
          <w:color w:val="000000"/>
          <w:szCs w:val="22"/>
          <w:lang w:val="es-ES"/>
        </w:rPr>
        <w:t>, hemorragia o exudación);</w:t>
      </w:r>
    </w:p>
    <w:p w14:paraId="79437496" w14:textId="77777777" w:rsidR="00DE39FE" w:rsidRPr="003E0B98" w:rsidRDefault="00DE39FE" w:rsidP="004361AC">
      <w:pPr>
        <w:spacing w:line="240" w:lineRule="auto"/>
        <w:ind w:left="567" w:hanging="567"/>
        <w:rPr>
          <w:color w:val="000000"/>
          <w:szCs w:val="22"/>
          <w:lang w:val="es-ES"/>
        </w:rPr>
      </w:pPr>
      <w:r w:rsidRPr="003E0B98">
        <w:rPr>
          <w:color w:val="000000"/>
          <w:szCs w:val="22"/>
          <w:lang w:val="es-ES"/>
        </w:rPr>
        <w:t>•</w:t>
      </w:r>
      <w:r w:rsidRPr="003E0B98">
        <w:rPr>
          <w:color w:val="000000"/>
          <w:szCs w:val="22"/>
          <w:lang w:val="es-ES"/>
        </w:rPr>
        <w:tab/>
        <w:t>inyección simulada al inicio, seguido de un</w:t>
      </w:r>
      <w:r w:rsidR="00EA4A44" w:rsidRPr="003E0B98">
        <w:rPr>
          <w:color w:val="000000"/>
          <w:szCs w:val="22"/>
          <w:lang w:val="es-ES"/>
        </w:rPr>
        <w:t>a</w:t>
      </w:r>
      <w:r w:rsidRPr="003E0B98">
        <w:rPr>
          <w:color w:val="000000"/>
          <w:szCs w:val="22"/>
          <w:lang w:val="es-ES"/>
        </w:rPr>
        <w:t xml:space="preserve"> pauta posológica individualizada basada en la actividad de la enfermedad.</w:t>
      </w:r>
    </w:p>
    <w:p w14:paraId="2BDCA657" w14:textId="77777777" w:rsidR="00DE39FE" w:rsidRPr="003E0B98" w:rsidRDefault="00DE39FE" w:rsidP="004361AC">
      <w:pPr>
        <w:spacing w:line="240" w:lineRule="auto"/>
        <w:ind w:left="567" w:hanging="567"/>
        <w:rPr>
          <w:color w:val="000000"/>
          <w:szCs w:val="22"/>
          <w:lang w:val="es-ES"/>
        </w:rPr>
      </w:pPr>
      <w:r w:rsidRPr="003E0B98">
        <w:rPr>
          <w:color w:val="000000"/>
          <w:szCs w:val="22"/>
          <w:lang w:val="es-ES"/>
        </w:rPr>
        <w:t xml:space="preserve">En el Mes 2, todos los pacientes recibieron tratamiento abierto con </w:t>
      </w:r>
      <w:proofErr w:type="spellStart"/>
      <w:r w:rsidRPr="003E0B98">
        <w:rPr>
          <w:color w:val="000000"/>
          <w:szCs w:val="22"/>
          <w:lang w:val="es-ES"/>
        </w:rPr>
        <w:t>ranibizumab</w:t>
      </w:r>
      <w:proofErr w:type="spellEnd"/>
      <w:r w:rsidRPr="003E0B98">
        <w:rPr>
          <w:color w:val="000000"/>
          <w:szCs w:val="22"/>
          <w:lang w:val="es-ES"/>
        </w:rPr>
        <w:t xml:space="preserve"> según necesidad.</w:t>
      </w:r>
    </w:p>
    <w:p w14:paraId="4AE61738" w14:textId="77777777" w:rsidR="00DE39FE" w:rsidRPr="003E0B98" w:rsidRDefault="00DE39FE" w:rsidP="004361AC">
      <w:pPr>
        <w:spacing w:line="240" w:lineRule="auto"/>
        <w:ind w:left="567" w:hanging="567"/>
        <w:rPr>
          <w:color w:val="000000"/>
          <w:szCs w:val="22"/>
          <w:lang w:val="es-ES"/>
        </w:rPr>
      </w:pPr>
    </w:p>
    <w:p w14:paraId="7815A159" w14:textId="77777777" w:rsidR="00DE39FE" w:rsidRPr="003E0B98" w:rsidRDefault="00DE39FE" w:rsidP="004361AC">
      <w:pPr>
        <w:tabs>
          <w:tab w:val="clear" w:pos="567"/>
          <w:tab w:val="left" w:pos="0"/>
        </w:tabs>
        <w:spacing w:line="240" w:lineRule="auto"/>
        <w:rPr>
          <w:color w:val="000000"/>
          <w:lang w:val="es-ES"/>
        </w:rPr>
      </w:pPr>
      <w:r w:rsidRPr="003E0B98">
        <w:rPr>
          <w:szCs w:val="22"/>
          <w:lang w:val="es-ES"/>
        </w:rPr>
        <w:t xml:space="preserve">Las variables principales del ensayo MINERVA se resumen en la </w:t>
      </w:r>
      <w:r w:rsidRPr="003E0B98">
        <w:rPr>
          <w:color w:val="000000"/>
          <w:lang w:val="es-ES"/>
        </w:rPr>
        <w:t>Tabla 3 y en la Figura 3. Se observó una mejora de la visión y se acompañó de una reducción del grosor del subcampo central durante el periodo de 12 meses.</w:t>
      </w:r>
    </w:p>
    <w:p w14:paraId="70DBC3A6" w14:textId="77777777" w:rsidR="00DE39FE" w:rsidRPr="003E0B98" w:rsidRDefault="00DE39FE" w:rsidP="004361AC">
      <w:pPr>
        <w:tabs>
          <w:tab w:val="clear" w:pos="567"/>
          <w:tab w:val="left" w:pos="0"/>
        </w:tabs>
        <w:spacing w:line="240" w:lineRule="auto"/>
        <w:rPr>
          <w:color w:val="000000"/>
          <w:lang w:val="es-ES"/>
        </w:rPr>
      </w:pPr>
    </w:p>
    <w:p w14:paraId="39ED9BEF" w14:textId="77777777" w:rsidR="00DE39FE" w:rsidRPr="003E0B98" w:rsidRDefault="00DE39FE" w:rsidP="004361AC">
      <w:pPr>
        <w:tabs>
          <w:tab w:val="clear" w:pos="567"/>
          <w:tab w:val="left" w:pos="0"/>
        </w:tabs>
        <w:spacing w:line="240" w:lineRule="auto"/>
        <w:rPr>
          <w:color w:val="000000"/>
          <w:lang w:val="es-ES"/>
        </w:rPr>
      </w:pPr>
      <w:r w:rsidRPr="003E0B98">
        <w:rPr>
          <w:color w:val="000000"/>
          <w:lang w:val="es-ES"/>
        </w:rPr>
        <w:t xml:space="preserve">El número promedio de inyecciones administradas durante 12 meses fue 5,8 en el grupo </w:t>
      </w:r>
      <w:proofErr w:type="spellStart"/>
      <w:r w:rsidRPr="003E0B98">
        <w:rPr>
          <w:color w:val="000000"/>
          <w:lang w:val="es-ES"/>
        </w:rPr>
        <w:t>ranibizumab</w:t>
      </w:r>
      <w:proofErr w:type="spellEnd"/>
      <w:r w:rsidRPr="003E0B98">
        <w:rPr>
          <w:color w:val="000000"/>
          <w:lang w:val="es-ES"/>
        </w:rPr>
        <w:t xml:space="preserve"> frente a 5,4 en aquellos pacientes del grupo tratamiento simulado que pudieron recibir </w:t>
      </w:r>
      <w:proofErr w:type="spellStart"/>
      <w:r w:rsidRPr="003E0B98">
        <w:rPr>
          <w:color w:val="000000"/>
          <w:lang w:val="es-ES"/>
        </w:rPr>
        <w:t>ranibizumab</w:t>
      </w:r>
      <w:proofErr w:type="spellEnd"/>
      <w:r w:rsidRPr="003E0B98">
        <w:rPr>
          <w:color w:val="000000"/>
          <w:lang w:val="es-ES"/>
        </w:rPr>
        <w:t xml:space="preserve"> desde el Mes 2 en adelante. En el grupo tratamiento simulado 7</w:t>
      </w:r>
      <w:r w:rsidR="00606F06" w:rsidRPr="003E0B98">
        <w:rPr>
          <w:color w:val="000000"/>
          <w:lang w:val="es-ES"/>
        </w:rPr>
        <w:t> </w:t>
      </w:r>
      <w:r w:rsidRPr="003E0B98">
        <w:rPr>
          <w:color w:val="000000"/>
          <w:lang w:val="es-ES"/>
        </w:rPr>
        <w:t xml:space="preserve">pacientes de cada 59 no recibieron ningún tratamiento con </w:t>
      </w:r>
      <w:proofErr w:type="spellStart"/>
      <w:r w:rsidRPr="003E0B98">
        <w:rPr>
          <w:color w:val="000000"/>
          <w:lang w:val="es-ES"/>
        </w:rPr>
        <w:t>ranibizumab</w:t>
      </w:r>
      <w:proofErr w:type="spellEnd"/>
      <w:r w:rsidRPr="003E0B98">
        <w:rPr>
          <w:color w:val="000000"/>
          <w:lang w:val="es-ES"/>
        </w:rPr>
        <w:t xml:space="preserve"> en el ojo en estudio durante el periodo de 12 meses.</w:t>
      </w:r>
    </w:p>
    <w:p w14:paraId="6B83F790" w14:textId="77777777" w:rsidR="00DE39FE" w:rsidRPr="003E0B98" w:rsidRDefault="00DE39FE" w:rsidP="004361AC">
      <w:pPr>
        <w:tabs>
          <w:tab w:val="clear" w:pos="567"/>
          <w:tab w:val="left" w:pos="0"/>
        </w:tabs>
        <w:spacing w:line="240" w:lineRule="auto"/>
        <w:rPr>
          <w:color w:val="000000"/>
          <w:lang w:val="es-ES"/>
        </w:rPr>
      </w:pPr>
    </w:p>
    <w:p w14:paraId="40BD440D" w14:textId="77777777" w:rsidR="00DE39FE" w:rsidRPr="003E0B98" w:rsidRDefault="00DE39FE" w:rsidP="004361AC">
      <w:pPr>
        <w:keepNext/>
        <w:keepLines/>
        <w:tabs>
          <w:tab w:val="clear" w:pos="567"/>
        </w:tabs>
        <w:spacing w:line="240" w:lineRule="auto"/>
        <w:rPr>
          <w:b/>
          <w:color w:val="000000"/>
          <w:lang w:val="es-ES"/>
        </w:rPr>
      </w:pPr>
      <w:r w:rsidRPr="003E0B98">
        <w:rPr>
          <w:b/>
          <w:color w:val="000000"/>
          <w:lang w:val="es-ES"/>
        </w:rPr>
        <w:t>Tabla 3</w:t>
      </w:r>
      <w:r w:rsidRPr="003E0B98">
        <w:rPr>
          <w:b/>
          <w:color w:val="000000"/>
          <w:lang w:val="es-ES"/>
        </w:rPr>
        <w:tab/>
        <w:t>Resultados en el Mes 2 (MINERVA)</w:t>
      </w:r>
    </w:p>
    <w:p w14:paraId="37E88090" w14:textId="77777777" w:rsidR="00DE39FE" w:rsidRPr="003E0B98" w:rsidRDefault="00DE39FE" w:rsidP="004361AC">
      <w:pPr>
        <w:keepNext/>
        <w:keepLines/>
        <w:tabs>
          <w:tab w:val="clear" w:pos="567"/>
        </w:tabs>
        <w:spacing w:line="240" w:lineRule="auto"/>
        <w:rPr>
          <w:color w:val="00000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7"/>
        <w:gridCol w:w="2099"/>
        <w:gridCol w:w="1925"/>
      </w:tblGrid>
      <w:tr w:rsidR="00DE39FE" w:rsidRPr="003E0B98" w14:paraId="2AE21422" w14:textId="77777777" w:rsidTr="00E91D8B">
        <w:tc>
          <w:tcPr>
            <w:tcW w:w="5211" w:type="dxa"/>
          </w:tcPr>
          <w:p w14:paraId="6D98E5FB" w14:textId="77777777" w:rsidR="00DE39FE" w:rsidRPr="003E0B98" w:rsidRDefault="00DE39FE" w:rsidP="004361AC">
            <w:pPr>
              <w:keepNext/>
              <w:keepLines/>
              <w:tabs>
                <w:tab w:val="clear" w:pos="567"/>
              </w:tabs>
              <w:spacing w:line="240" w:lineRule="auto"/>
              <w:rPr>
                <w:b/>
                <w:color w:val="000000"/>
                <w:lang w:val="es-ES"/>
              </w:rPr>
            </w:pPr>
          </w:p>
        </w:tc>
        <w:tc>
          <w:tcPr>
            <w:tcW w:w="2127" w:type="dxa"/>
          </w:tcPr>
          <w:p w14:paraId="1DBBCDF0" w14:textId="77777777" w:rsidR="00DE39FE" w:rsidRPr="003E0B98" w:rsidRDefault="00DE39FE" w:rsidP="004361AC">
            <w:pPr>
              <w:keepNext/>
              <w:keepLines/>
              <w:tabs>
                <w:tab w:val="clear" w:pos="567"/>
              </w:tabs>
              <w:spacing w:line="240" w:lineRule="auto"/>
              <w:rPr>
                <w:b/>
                <w:color w:val="000000"/>
                <w:lang w:val="en-US"/>
              </w:rPr>
            </w:pPr>
            <w:r w:rsidRPr="003E0B98">
              <w:rPr>
                <w:b/>
                <w:color w:val="000000"/>
                <w:lang w:val="en-US"/>
              </w:rPr>
              <w:t>Ranibizumab 0.5 mg (n=119)</w:t>
            </w:r>
          </w:p>
        </w:tc>
        <w:tc>
          <w:tcPr>
            <w:tcW w:w="1949" w:type="dxa"/>
          </w:tcPr>
          <w:p w14:paraId="48D83E7D" w14:textId="77777777" w:rsidR="00DE39FE" w:rsidRPr="003E0B98" w:rsidRDefault="00DE39FE" w:rsidP="004361AC">
            <w:pPr>
              <w:keepNext/>
              <w:keepLines/>
              <w:tabs>
                <w:tab w:val="clear" w:pos="567"/>
              </w:tabs>
              <w:spacing w:line="240" w:lineRule="auto"/>
              <w:rPr>
                <w:b/>
                <w:color w:val="000000"/>
                <w:lang w:val="en-US"/>
              </w:rPr>
            </w:pPr>
            <w:proofErr w:type="spellStart"/>
            <w:r w:rsidRPr="003E0B98">
              <w:rPr>
                <w:b/>
                <w:color w:val="000000"/>
                <w:lang w:val="en-US"/>
              </w:rPr>
              <w:t>Tratamiento</w:t>
            </w:r>
            <w:proofErr w:type="spellEnd"/>
            <w:r w:rsidRPr="003E0B98">
              <w:rPr>
                <w:b/>
                <w:color w:val="000000"/>
                <w:lang w:val="en-US"/>
              </w:rPr>
              <w:t xml:space="preserve"> </w:t>
            </w:r>
            <w:proofErr w:type="spellStart"/>
            <w:r w:rsidRPr="003E0B98">
              <w:rPr>
                <w:b/>
                <w:color w:val="000000"/>
                <w:lang w:val="en-US"/>
              </w:rPr>
              <w:t>simulado</w:t>
            </w:r>
            <w:proofErr w:type="spellEnd"/>
            <w:r w:rsidRPr="003E0B98">
              <w:rPr>
                <w:b/>
                <w:color w:val="000000"/>
                <w:lang w:val="en-US"/>
              </w:rPr>
              <w:t xml:space="preserve"> (n=59)</w:t>
            </w:r>
          </w:p>
        </w:tc>
      </w:tr>
      <w:tr w:rsidR="00DE39FE" w:rsidRPr="003E0B98" w14:paraId="2E3361E5" w14:textId="77777777" w:rsidTr="00E91D8B">
        <w:tc>
          <w:tcPr>
            <w:tcW w:w="5211" w:type="dxa"/>
          </w:tcPr>
          <w:p w14:paraId="3E2B2435" w14:textId="77777777" w:rsidR="00DE39FE" w:rsidRPr="003E0B98" w:rsidRDefault="00DE39FE" w:rsidP="004361AC">
            <w:pPr>
              <w:keepNext/>
              <w:keepLines/>
              <w:tabs>
                <w:tab w:val="clear" w:pos="567"/>
              </w:tabs>
              <w:spacing w:line="240" w:lineRule="auto"/>
              <w:rPr>
                <w:color w:val="000000"/>
                <w:lang w:val="es-ES"/>
              </w:rPr>
            </w:pPr>
            <w:r w:rsidRPr="003E0B98">
              <w:rPr>
                <w:color w:val="000000"/>
                <w:szCs w:val="22"/>
                <w:lang w:val="es-ES_tradnl"/>
              </w:rPr>
              <w:t>Cambio promedio de la AVMC desde el inicio hasta el Mes</w:t>
            </w:r>
            <w:r w:rsidRPr="003E0B98">
              <w:rPr>
                <w:color w:val="000000"/>
                <w:lang w:val="es-ES"/>
              </w:rPr>
              <w:t> 2 </w:t>
            </w:r>
            <w:r w:rsidRPr="003E0B98">
              <w:rPr>
                <w:color w:val="000000"/>
                <w:vertAlign w:val="superscript"/>
                <w:lang w:val="es-ES"/>
              </w:rPr>
              <w:t xml:space="preserve">a </w:t>
            </w:r>
          </w:p>
        </w:tc>
        <w:tc>
          <w:tcPr>
            <w:tcW w:w="2127" w:type="dxa"/>
          </w:tcPr>
          <w:p w14:paraId="1818E683" w14:textId="77777777" w:rsidR="00DE39FE" w:rsidRPr="003E0B98" w:rsidRDefault="00DE39FE" w:rsidP="004361AC">
            <w:pPr>
              <w:keepNext/>
              <w:keepLines/>
              <w:tabs>
                <w:tab w:val="clear" w:pos="567"/>
              </w:tabs>
              <w:spacing w:line="240" w:lineRule="auto"/>
              <w:rPr>
                <w:color w:val="000000"/>
                <w:lang w:val="en-US"/>
              </w:rPr>
            </w:pPr>
            <w:r w:rsidRPr="003E0B98">
              <w:rPr>
                <w:color w:val="000000"/>
                <w:lang w:val="en-US"/>
              </w:rPr>
              <w:t>9,5 </w:t>
            </w:r>
            <w:proofErr w:type="spellStart"/>
            <w:r w:rsidRPr="003E0B98">
              <w:rPr>
                <w:color w:val="000000"/>
                <w:lang w:val="en-US"/>
              </w:rPr>
              <w:t>letras</w:t>
            </w:r>
            <w:proofErr w:type="spellEnd"/>
          </w:p>
        </w:tc>
        <w:tc>
          <w:tcPr>
            <w:tcW w:w="1949" w:type="dxa"/>
          </w:tcPr>
          <w:p w14:paraId="0E500097" w14:textId="77777777" w:rsidR="00DE39FE" w:rsidRPr="003E0B98" w:rsidRDefault="00DE39FE" w:rsidP="004361AC">
            <w:pPr>
              <w:keepNext/>
              <w:keepLines/>
              <w:tabs>
                <w:tab w:val="clear" w:pos="567"/>
              </w:tabs>
              <w:spacing w:line="240" w:lineRule="auto"/>
              <w:rPr>
                <w:color w:val="000000"/>
                <w:lang w:val="en-US"/>
              </w:rPr>
            </w:pPr>
            <w:r w:rsidRPr="003E0B98">
              <w:rPr>
                <w:color w:val="000000"/>
                <w:lang w:val="en-US"/>
              </w:rPr>
              <w:noBreakHyphen/>
              <w:t>0,4 </w:t>
            </w:r>
            <w:proofErr w:type="spellStart"/>
            <w:r w:rsidRPr="003E0B98">
              <w:rPr>
                <w:color w:val="000000"/>
                <w:lang w:val="en-US"/>
              </w:rPr>
              <w:t>letras</w:t>
            </w:r>
            <w:proofErr w:type="spellEnd"/>
          </w:p>
        </w:tc>
      </w:tr>
      <w:tr w:rsidR="00DE39FE" w:rsidRPr="003E0B98" w14:paraId="5C02A0E1" w14:textId="77777777" w:rsidTr="00E91D8B">
        <w:tc>
          <w:tcPr>
            <w:tcW w:w="5211" w:type="dxa"/>
          </w:tcPr>
          <w:p w14:paraId="043F5B26" w14:textId="77777777" w:rsidR="00DE39FE" w:rsidRPr="003E0B98" w:rsidRDefault="00DE39FE" w:rsidP="004361AC">
            <w:pPr>
              <w:keepNext/>
              <w:keepLines/>
              <w:tabs>
                <w:tab w:val="clear" w:pos="567"/>
              </w:tabs>
              <w:spacing w:line="240" w:lineRule="auto"/>
              <w:rPr>
                <w:color w:val="000000"/>
                <w:lang w:val="es-ES"/>
              </w:rPr>
            </w:pPr>
            <w:r w:rsidRPr="003E0B98">
              <w:rPr>
                <w:color w:val="000000"/>
                <w:lang w:val="es-ES"/>
              </w:rPr>
              <w:t xml:space="preserve">Pacientes que ganan </w:t>
            </w:r>
            <w:r w:rsidRPr="003E0B98">
              <w:rPr>
                <w:rFonts w:eastAsia="MS Mincho"/>
                <w:szCs w:val="22"/>
                <w:lang w:val="es-ES"/>
              </w:rPr>
              <w:t>≥</w:t>
            </w:r>
            <w:r w:rsidRPr="003E0B98">
              <w:rPr>
                <w:color w:val="000000"/>
                <w:lang w:val="es-ES"/>
              </w:rPr>
              <w:t>15 letras desde el inicio o que alcanzan 84 letras al Mes 2</w:t>
            </w:r>
          </w:p>
        </w:tc>
        <w:tc>
          <w:tcPr>
            <w:tcW w:w="2127" w:type="dxa"/>
          </w:tcPr>
          <w:p w14:paraId="0D9862D3" w14:textId="77777777" w:rsidR="00DE39FE" w:rsidRPr="003E0B98" w:rsidRDefault="00DE39FE" w:rsidP="004361AC">
            <w:pPr>
              <w:keepNext/>
              <w:keepLines/>
              <w:tabs>
                <w:tab w:val="clear" w:pos="567"/>
              </w:tabs>
              <w:spacing w:line="240" w:lineRule="auto"/>
              <w:rPr>
                <w:color w:val="000000"/>
                <w:lang w:val="en-US"/>
              </w:rPr>
            </w:pPr>
            <w:r w:rsidRPr="003E0B98">
              <w:rPr>
                <w:color w:val="000000"/>
                <w:lang w:val="en-US"/>
              </w:rPr>
              <w:t>31,4%</w:t>
            </w:r>
          </w:p>
        </w:tc>
        <w:tc>
          <w:tcPr>
            <w:tcW w:w="1949" w:type="dxa"/>
          </w:tcPr>
          <w:p w14:paraId="2A13FDF6" w14:textId="77777777" w:rsidR="00DE39FE" w:rsidRPr="003E0B98" w:rsidRDefault="00DE39FE" w:rsidP="004361AC">
            <w:pPr>
              <w:keepNext/>
              <w:keepLines/>
              <w:tabs>
                <w:tab w:val="clear" w:pos="567"/>
              </w:tabs>
              <w:spacing w:line="240" w:lineRule="auto"/>
              <w:rPr>
                <w:color w:val="000000"/>
                <w:lang w:val="en-US"/>
              </w:rPr>
            </w:pPr>
            <w:r w:rsidRPr="003E0B98">
              <w:rPr>
                <w:color w:val="000000"/>
                <w:lang w:val="en-US"/>
              </w:rPr>
              <w:t>12,3%</w:t>
            </w:r>
          </w:p>
        </w:tc>
      </w:tr>
      <w:tr w:rsidR="00DE39FE" w:rsidRPr="003E0B98" w14:paraId="21BBBF1B" w14:textId="77777777" w:rsidTr="00E91D8B">
        <w:tc>
          <w:tcPr>
            <w:tcW w:w="5211" w:type="dxa"/>
          </w:tcPr>
          <w:p w14:paraId="6BE2C1C2" w14:textId="77777777" w:rsidR="00DE39FE" w:rsidRPr="003E0B98" w:rsidRDefault="00DE39FE" w:rsidP="004361AC">
            <w:pPr>
              <w:keepNext/>
              <w:keepLines/>
              <w:tabs>
                <w:tab w:val="clear" w:pos="567"/>
              </w:tabs>
              <w:spacing w:line="240" w:lineRule="auto"/>
              <w:rPr>
                <w:color w:val="000000"/>
                <w:lang w:val="es-ES"/>
              </w:rPr>
            </w:pPr>
            <w:r w:rsidRPr="003E0B98">
              <w:rPr>
                <w:color w:val="000000"/>
                <w:lang w:val="es-ES"/>
              </w:rPr>
              <w:t>Pacientes que no pierden</w:t>
            </w:r>
            <w:r w:rsidRPr="003E0B98" w:rsidDel="007163BE">
              <w:rPr>
                <w:color w:val="000000"/>
                <w:lang w:val="es-ES"/>
              </w:rPr>
              <w:t xml:space="preserve"> </w:t>
            </w:r>
            <w:r w:rsidRPr="003E0B98">
              <w:rPr>
                <w:color w:val="000000"/>
                <w:lang w:val="es-ES"/>
              </w:rPr>
              <w:t>&gt;15 letras desde el inicio al Mes 2</w:t>
            </w:r>
          </w:p>
        </w:tc>
        <w:tc>
          <w:tcPr>
            <w:tcW w:w="2127" w:type="dxa"/>
          </w:tcPr>
          <w:p w14:paraId="75303080" w14:textId="77777777" w:rsidR="00DE39FE" w:rsidRPr="003E0B98" w:rsidRDefault="00DE39FE" w:rsidP="004361AC">
            <w:pPr>
              <w:keepNext/>
              <w:keepLines/>
              <w:tabs>
                <w:tab w:val="clear" w:pos="567"/>
              </w:tabs>
              <w:spacing w:line="240" w:lineRule="auto"/>
              <w:rPr>
                <w:color w:val="000000"/>
                <w:lang w:val="en-US"/>
              </w:rPr>
            </w:pPr>
            <w:r w:rsidRPr="003E0B98">
              <w:rPr>
                <w:color w:val="000000"/>
                <w:lang w:val="en-US"/>
              </w:rPr>
              <w:t>99,2%</w:t>
            </w:r>
          </w:p>
        </w:tc>
        <w:tc>
          <w:tcPr>
            <w:tcW w:w="1949" w:type="dxa"/>
          </w:tcPr>
          <w:p w14:paraId="54C1969C" w14:textId="77777777" w:rsidR="00DE39FE" w:rsidRPr="003E0B98" w:rsidRDefault="00DE39FE" w:rsidP="004361AC">
            <w:pPr>
              <w:keepNext/>
              <w:keepLines/>
              <w:tabs>
                <w:tab w:val="clear" w:pos="567"/>
              </w:tabs>
              <w:spacing w:line="240" w:lineRule="auto"/>
              <w:rPr>
                <w:color w:val="000000"/>
                <w:lang w:val="en-US"/>
              </w:rPr>
            </w:pPr>
            <w:r w:rsidRPr="003E0B98">
              <w:rPr>
                <w:color w:val="000000"/>
                <w:lang w:val="en-US"/>
              </w:rPr>
              <w:t>94,7%</w:t>
            </w:r>
          </w:p>
        </w:tc>
      </w:tr>
      <w:tr w:rsidR="00DE39FE" w:rsidRPr="003E0B98" w14:paraId="12FCAF1F" w14:textId="77777777" w:rsidTr="00E91D8B">
        <w:tc>
          <w:tcPr>
            <w:tcW w:w="5211" w:type="dxa"/>
          </w:tcPr>
          <w:p w14:paraId="3A9F3FE2" w14:textId="77777777" w:rsidR="00DE39FE" w:rsidRPr="003E0B98" w:rsidRDefault="00DE39FE" w:rsidP="004361AC">
            <w:pPr>
              <w:keepNext/>
              <w:keepLines/>
              <w:tabs>
                <w:tab w:val="clear" w:pos="567"/>
              </w:tabs>
              <w:spacing w:line="240" w:lineRule="auto"/>
              <w:rPr>
                <w:color w:val="000000"/>
                <w:lang w:val="es-ES"/>
              </w:rPr>
            </w:pPr>
            <w:r w:rsidRPr="003E0B98">
              <w:rPr>
                <w:color w:val="000000"/>
                <w:lang w:val="es-ES"/>
              </w:rPr>
              <w:t xml:space="preserve">Reducción del </w:t>
            </w:r>
            <w:proofErr w:type="spellStart"/>
            <w:r w:rsidRPr="003E0B98">
              <w:rPr>
                <w:color w:val="000000"/>
                <w:lang w:val="es-ES"/>
              </w:rPr>
              <w:t>GSCR</w:t>
            </w:r>
            <w:r w:rsidRPr="003E0B98">
              <w:rPr>
                <w:color w:val="000000"/>
                <w:vertAlign w:val="superscript"/>
                <w:lang w:val="es-ES"/>
              </w:rPr>
              <w:t>b</w:t>
            </w:r>
            <w:proofErr w:type="spellEnd"/>
            <w:r w:rsidRPr="003E0B98">
              <w:rPr>
                <w:color w:val="000000"/>
                <w:lang w:val="es-ES"/>
              </w:rPr>
              <w:t xml:space="preserve"> </w:t>
            </w:r>
            <w:r w:rsidRPr="003E0B98">
              <w:rPr>
                <w:color w:val="000000"/>
                <w:szCs w:val="22"/>
                <w:lang w:val="es-ES_tradnl"/>
              </w:rPr>
              <w:t>desde el inicio hasta el Mes</w:t>
            </w:r>
            <w:r w:rsidRPr="003E0B98">
              <w:rPr>
                <w:color w:val="000000"/>
                <w:lang w:val="es-ES"/>
              </w:rPr>
              <w:t> 2</w:t>
            </w:r>
            <w:r w:rsidRPr="003E0B98">
              <w:rPr>
                <w:color w:val="000000"/>
                <w:vertAlign w:val="superscript"/>
                <w:lang w:val="es-ES"/>
              </w:rPr>
              <w:t xml:space="preserve"> a</w:t>
            </w:r>
          </w:p>
        </w:tc>
        <w:tc>
          <w:tcPr>
            <w:tcW w:w="2127" w:type="dxa"/>
          </w:tcPr>
          <w:p w14:paraId="0A62891C" w14:textId="77777777" w:rsidR="00DE39FE" w:rsidRPr="003E0B98" w:rsidRDefault="00DE39FE" w:rsidP="004361AC">
            <w:pPr>
              <w:keepNext/>
              <w:keepLines/>
              <w:tabs>
                <w:tab w:val="clear" w:pos="567"/>
              </w:tabs>
              <w:spacing w:line="240" w:lineRule="auto"/>
              <w:rPr>
                <w:color w:val="000000"/>
                <w:lang w:val="en-US"/>
              </w:rPr>
            </w:pPr>
            <w:r w:rsidRPr="003E0B98">
              <w:rPr>
                <w:color w:val="000000"/>
                <w:lang w:val="en-US"/>
              </w:rPr>
              <w:t>77 µm</w:t>
            </w:r>
          </w:p>
        </w:tc>
        <w:tc>
          <w:tcPr>
            <w:tcW w:w="1949" w:type="dxa"/>
          </w:tcPr>
          <w:p w14:paraId="0132C002" w14:textId="77777777" w:rsidR="00DE39FE" w:rsidRPr="003E0B98" w:rsidRDefault="00DE39FE" w:rsidP="004361AC">
            <w:pPr>
              <w:keepNext/>
              <w:keepLines/>
              <w:tabs>
                <w:tab w:val="clear" w:pos="567"/>
              </w:tabs>
              <w:spacing w:line="240" w:lineRule="auto"/>
              <w:rPr>
                <w:color w:val="000000"/>
                <w:lang w:val="en-US"/>
              </w:rPr>
            </w:pPr>
            <w:r w:rsidRPr="003E0B98">
              <w:rPr>
                <w:color w:val="000000"/>
                <w:lang w:val="en-US"/>
              </w:rPr>
              <w:noBreakHyphen/>
              <w:t>9,8 µm</w:t>
            </w:r>
          </w:p>
        </w:tc>
      </w:tr>
    </w:tbl>
    <w:p w14:paraId="02D6FA0E" w14:textId="77777777" w:rsidR="00DE39FE" w:rsidRPr="003E0B98" w:rsidRDefault="00DE39FE" w:rsidP="004361AC">
      <w:pPr>
        <w:keepNext/>
        <w:keepLines/>
        <w:tabs>
          <w:tab w:val="clear" w:pos="567"/>
        </w:tabs>
        <w:spacing w:line="240" w:lineRule="auto"/>
        <w:rPr>
          <w:color w:val="000000"/>
          <w:lang w:val="es-ES"/>
        </w:rPr>
      </w:pPr>
      <w:r w:rsidRPr="003E0B98">
        <w:rPr>
          <w:color w:val="000000"/>
          <w:vertAlign w:val="superscript"/>
          <w:lang w:val="es-ES"/>
        </w:rPr>
        <w:t>a</w:t>
      </w:r>
      <w:r w:rsidRPr="003E0B98">
        <w:rPr>
          <w:color w:val="000000"/>
          <w:lang w:val="es-ES"/>
        </w:rPr>
        <w:t xml:space="preserve"> Comparación con control simulado p&lt;0,001 unilateral</w:t>
      </w:r>
    </w:p>
    <w:p w14:paraId="0C439623" w14:textId="77777777" w:rsidR="00DE39FE" w:rsidRPr="003E0B98" w:rsidRDefault="00DE39FE" w:rsidP="004361AC">
      <w:pPr>
        <w:keepNext/>
        <w:keepLines/>
        <w:tabs>
          <w:tab w:val="clear" w:pos="567"/>
        </w:tabs>
        <w:spacing w:line="240" w:lineRule="auto"/>
        <w:rPr>
          <w:color w:val="000000"/>
          <w:lang w:val="es-ES"/>
        </w:rPr>
      </w:pPr>
      <w:r w:rsidRPr="003E0B98">
        <w:rPr>
          <w:color w:val="000000"/>
          <w:vertAlign w:val="superscript"/>
          <w:lang w:val="es-ES"/>
        </w:rPr>
        <w:t>b</w:t>
      </w:r>
      <w:r w:rsidRPr="003E0B98">
        <w:rPr>
          <w:color w:val="000000"/>
          <w:lang w:val="es-ES"/>
        </w:rPr>
        <w:t xml:space="preserve"> GSCR - grosor del subcampo central de la retina</w:t>
      </w:r>
    </w:p>
    <w:p w14:paraId="17E36A8A" w14:textId="77777777" w:rsidR="00DE39FE" w:rsidRPr="003E0B98" w:rsidRDefault="00DE39FE" w:rsidP="004361AC">
      <w:pPr>
        <w:tabs>
          <w:tab w:val="clear" w:pos="567"/>
        </w:tabs>
        <w:spacing w:line="240" w:lineRule="auto"/>
        <w:rPr>
          <w:color w:val="000000"/>
          <w:lang w:val="es-ES"/>
        </w:rPr>
      </w:pPr>
    </w:p>
    <w:p w14:paraId="0A7AEA3C" w14:textId="77777777" w:rsidR="00DE39FE" w:rsidRPr="003E0B98" w:rsidRDefault="00DE39FE" w:rsidP="004361AC">
      <w:pPr>
        <w:keepNext/>
        <w:keepLines/>
        <w:tabs>
          <w:tab w:val="clear" w:pos="567"/>
        </w:tabs>
        <w:spacing w:line="240" w:lineRule="auto"/>
        <w:ind w:left="1134" w:hanging="1134"/>
        <w:rPr>
          <w:color w:val="000000"/>
          <w:lang w:val="es-ES"/>
        </w:rPr>
      </w:pPr>
      <w:r w:rsidRPr="003E0B98">
        <w:rPr>
          <w:b/>
          <w:color w:val="000000"/>
          <w:lang w:val="es-ES"/>
        </w:rPr>
        <w:t>Figura 3</w:t>
      </w:r>
      <w:r w:rsidRPr="003E0B98">
        <w:rPr>
          <w:b/>
          <w:color w:val="000000"/>
          <w:lang w:val="es-ES"/>
        </w:rPr>
        <w:tab/>
        <w:t xml:space="preserve">Cambio promedio de la AVMC desde el inicio </w:t>
      </w:r>
      <w:r w:rsidRPr="003E0B98">
        <w:rPr>
          <w:b/>
          <w:color w:val="000000"/>
          <w:szCs w:val="22"/>
          <w:lang w:val="es-ES_tradnl"/>
        </w:rPr>
        <w:t>en el tiempo hasta el Mes 12</w:t>
      </w:r>
      <w:r w:rsidRPr="003E0B98">
        <w:rPr>
          <w:b/>
          <w:color w:val="000000"/>
          <w:lang w:val="es-ES"/>
        </w:rPr>
        <w:t xml:space="preserve"> (MINERVA)</w:t>
      </w:r>
    </w:p>
    <w:p w14:paraId="2878B1ED" w14:textId="77777777" w:rsidR="00394A11" w:rsidRPr="003E0B98" w:rsidRDefault="00394A11" w:rsidP="004361AC">
      <w:pPr>
        <w:keepNext/>
        <w:keepLines/>
        <w:tabs>
          <w:tab w:val="clear" w:pos="567"/>
        </w:tabs>
        <w:autoSpaceDE w:val="0"/>
        <w:autoSpaceDN w:val="0"/>
        <w:adjustRightInd w:val="0"/>
        <w:spacing w:line="240" w:lineRule="auto"/>
        <w:rPr>
          <w:bCs/>
          <w:iCs/>
          <w:color w:val="000000"/>
          <w:szCs w:val="22"/>
          <w:lang w:val="es-ES"/>
        </w:rPr>
      </w:pPr>
    </w:p>
    <w:p w14:paraId="394E986E" w14:textId="1CF5B413" w:rsidR="00394A11" w:rsidRPr="003E0B98" w:rsidRDefault="00A8334B" w:rsidP="004361AC">
      <w:pPr>
        <w:tabs>
          <w:tab w:val="clear" w:pos="567"/>
        </w:tabs>
        <w:autoSpaceDE w:val="0"/>
        <w:autoSpaceDN w:val="0"/>
        <w:adjustRightInd w:val="0"/>
        <w:spacing w:line="240" w:lineRule="auto"/>
        <w:rPr>
          <w:bCs/>
          <w:iCs/>
          <w:color w:val="000000"/>
          <w:szCs w:val="22"/>
        </w:rPr>
      </w:pPr>
      <w:r w:rsidRPr="003E0B98">
        <w:rPr>
          <w:noProof/>
          <w:lang w:val="es-ES" w:eastAsia="es-ES"/>
        </w:rPr>
        <w:drawing>
          <wp:inline distT="0" distB="0" distL="0" distR="0" wp14:anchorId="1909FC5F" wp14:editId="0A4F2FEF">
            <wp:extent cx="5760085" cy="348996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60085" cy="3489960"/>
                    </a:xfrm>
                    <a:prstGeom prst="rect">
                      <a:avLst/>
                    </a:prstGeom>
                  </pic:spPr>
                </pic:pic>
              </a:graphicData>
            </a:graphic>
          </wp:inline>
        </w:drawing>
      </w:r>
    </w:p>
    <w:p w14:paraId="173A8ACE" w14:textId="77777777" w:rsidR="00394A11" w:rsidRPr="003E0B98" w:rsidRDefault="00394A11" w:rsidP="004361AC">
      <w:pPr>
        <w:tabs>
          <w:tab w:val="clear" w:pos="567"/>
        </w:tabs>
        <w:autoSpaceDE w:val="0"/>
        <w:autoSpaceDN w:val="0"/>
        <w:adjustRightInd w:val="0"/>
        <w:spacing w:line="240" w:lineRule="auto"/>
        <w:rPr>
          <w:bCs/>
          <w:iCs/>
          <w:color w:val="000000"/>
          <w:szCs w:val="22"/>
          <w:lang w:val="es-ES"/>
        </w:rPr>
      </w:pPr>
    </w:p>
    <w:p w14:paraId="3BEBC851" w14:textId="77777777" w:rsidR="00DE39FE" w:rsidRPr="003E0B98" w:rsidRDefault="00DE39FE" w:rsidP="004361AC">
      <w:pPr>
        <w:keepNext/>
        <w:keepLines/>
        <w:tabs>
          <w:tab w:val="clear" w:pos="567"/>
        </w:tabs>
        <w:autoSpaceDE w:val="0"/>
        <w:autoSpaceDN w:val="0"/>
        <w:adjustRightInd w:val="0"/>
        <w:spacing w:line="240" w:lineRule="auto"/>
        <w:rPr>
          <w:bCs/>
          <w:iCs/>
          <w:color w:val="000000"/>
          <w:szCs w:val="22"/>
          <w:lang w:val="es-ES"/>
        </w:rPr>
      </w:pPr>
      <w:r w:rsidRPr="003E0B98">
        <w:rPr>
          <w:bCs/>
          <w:iCs/>
          <w:color w:val="000000"/>
          <w:szCs w:val="22"/>
          <w:lang w:val="es-ES"/>
        </w:rPr>
        <w:t xml:space="preserve">Cuando se comparó </w:t>
      </w:r>
      <w:proofErr w:type="spellStart"/>
      <w:r w:rsidRPr="003E0B98">
        <w:rPr>
          <w:bCs/>
          <w:iCs/>
          <w:color w:val="000000"/>
          <w:szCs w:val="22"/>
          <w:lang w:val="es-ES"/>
        </w:rPr>
        <w:t>ranibizumab</w:t>
      </w:r>
      <w:proofErr w:type="spellEnd"/>
      <w:r w:rsidRPr="003E0B98">
        <w:rPr>
          <w:bCs/>
          <w:iCs/>
          <w:color w:val="000000"/>
          <w:szCs w:val="22"/>
          <w:lang w:val="es-ES"/>
        </w:rPr>
        <w:t xml:space="preserve"> frente al control con tratamiento simulado en el Mes 2, se observó un consistente efecto del tratamiento tanto a nivel general como en los distintos subgrupos según la etiología de base:</w:t>
      </w:r>
    </w:p>
    <w:p w14:paraId="5F70B034" w14:textId="77777777" w:rsidR="00DE39FE" w:rsidRPr="003E0B98" w:rsidRDefault="00DE39FE" w:rsidP="004361AC">
      <w:pPr>
        <w:keepNext/>
        <w:keepLines/>
        <w:tabs>
          <w:tab w:val="clear" w:pos="567"/>
        </w:tabs>
        <w:autoSpaceDE w:val="0"/>
        <w:autoSpaceDN w:val="0"/>
        <w:adjustRightInd w:val="0"/>
        <w:spacing w:line="240" w:lineRule="auto"/>
        <w:rPr>
          <w:bCs/>
          <w:iCs/>
          <w:color w:val="000000"/>
          <w:szCs w:val="22"/>
          <w:lang w:val="es-ES"/>
        </w:rPr>
      </w:pPr>
    </w:p>
    <w:p w14:paraId="0124A07F" w14:textId="77777777" w:rsidR="00DE39FE" w:rsidRPr="003E0B98" w:rsidRDefault="00DE39FE" w:rsidP="004361AC">
      <w:pPr>
        <w:keepNext/>
        <w:keepLines/>
        <w:tabs>
          <w:tab w:val="clear" w:pos="567"/>
        </w:tabs>
        <w:autoSpaceDE w:val="0"/>
        <w:autoSpaceDN w:val="0"/>
        <w:adjustRightInd w:val="0"/>
        <w:spacing w:line="240" w:lineRule="auto"/>
        <w:rPr>
          <w:bCs/>
          <w:iCs/>
          <w:color w:val="000000"/>
          <w:szCs w:val="22"/>
          <w:lang w:val="es-ES"/>
        </w:rPr>
      </w:pPr>
      <w:r w:rsidRPr="003E0B98">
        <w:rPr>
          <w:b/>
          <w:bCs/>
          <w:iCs/>
          <w:color w:val="000000"/>
          <w:szCs w:val="22"/>
          <w:lang w:val="es-ES"/>
        </w:rPr>
        <w:t>Tabla 4</w:t>
      </w:r>
      <w:r w:rsidRPr="003E0B98">
        <w:rPr>
          <w:b/>
          <w:bCs/>
          <w:iCs/>
          <w:color w:val="000000"/>
          <w:szCs w:val="22"/>
          <w:lang w:val="es-ES"/>
        </w:rPr>
        <w:tab/>
        <w:t>Efecto general del tratamiento y por subgrupos según la etiología de base</w:t>
      </w:r>
    </w:p>
    <w:p w14:paraId="752DE74C" w14:textId="77777777" w:rsidR="00DE39FE" w:rsidRPr="003E0B98" w:rsidRDefault="00DE39FE" w:rsidP="004361AC">
      <w:pPr>
        <w:keepNext/>
        <w:keepLines/>
        <w:tabs>
          <w:tab w:val="clear" w:pos="567"/>
        </w:tabs>
        <w:autoSpaceDE w:val="0"/>
        <w:autoSpaceDN w:val="0"/>
        <w:adjustRightInd w:val="0"/>
        <w:spacing w:line="240" w:lineRule="auto"/>
        <w:rPr>
          <w:bCs/>
          <w:iCs/>
          <w:color w:val="000000"/>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0"/>
        <w:gridCol w:w="2629"/>
        <w:gridCol w:w="2332"/>
      </w:tblGrid>
      <w:tr w:rsidR="00DE39FE" w:rsidRPr="003C169A" w14:paraId="18A29579" w14:textId="77777777" w:rsidTr="00E91D8B">
        <w:tc>
          <w:tcPr>
            <w:tcW w:w="4219" w:type="dxa"/>
          </w:tcPr>
          <w:p w14:paraId="7D0F5388" w14:textId="77777777" w:rsidR="00DE39FE" w:rsidRPr="003E0B98" w:rsidRDefault="00DE39FE" w:rsidP="004361AC">
            <w:pPr>
              <w:keepNext/>
              <w:keepLines/>
              <w:tabs>
                <w:tab w:val="clear" w:pos="567"/>
              </w:tabs>
              <w:spacing w:line="240" w:lineRule="auto"/>
              <w:rPr>
                <w:b/>
                <w:bCs/>
                <w:iCs/>
                <w:color w:val="000000"/>
                <w:szCs w:val="22"/>
                <w:lang w:val="es-ES" w:eastAsia="x-none"/>
              </w:rPr>
            </w:pPr>
            <w:r w:rsidRPr="003E0B98">
              <w:rPr>
                <w:b/>
                <w:bCs/>
                <w:iCs/>
                <w:color w:val="000000"/>
                <w:szCs w:val="22"/>
                <w:lang w:val="es-ES" w:eastAsia="x-none"/>
              </w:rPr>
              <w:t>General y por etiología de base</w:t>
            </w:r>
          </w:p>
        </w:tc>
        <w:tc>
          <w:tcPr>
            <w:tcW w:w="2693" w:type="dxa"/>
          </w:tcPr>
          <w:p w14:paraId="500476A0" w14:textId="77777777" w:rsidR="00DE39FE" w:rsidRPr="003E0B98" w:rsidRDefault="00DE39FE" w:rsidP="004361AC">
            <w:pPr>
              <w:keepNext/>
              <w:keepLines/>
              <w:tabs>
                <w:tab w:val="clear" w:pos="567"/>
              </w:tabs>
              <w:spacing w:line="240" w:lineRule="auto"/>
              <w:rPr>
                <w:b/>
                <w:bCs/>
                <w:iCs/>
                <w:color w:val="000000"/>
                <w:szCs w:val="22"/>
                <w:lang w:val="es-ES" w:eastAsia="x-none"/>
              </w:rPr>
            </w:pPr>
            <w:r w:rsidRPr="003E0B98">
              <w:rPr>
                <w:b/>
                <w:bCs/>
                <w:iCs/>
                <w:color w:val="000000"/>
                <w:szCs w:val="22"/>
                <w:lang w:val="es-ES" w:eastAsia="x-none"/>
              </w:rPr>
              <w:t>Efecto del tratamiento sobre el tratamiento simulado [letras]</w:t>
            </w:r>
          </w:p>
        </w:tc>
        <w:tc>
          <w:tcPr>
            <w:tcW w:w="2375" w:type="dxa"/>
          </w:tcPr>
          <w:p w14:paraId="5647B975" w14:textId="77777777" w:rsidR="00DE39FE" w:rsidRPr="003E0B98" w:rsidRDefault="00DE39FE" w:rsidP="004361AC">
            <w:pPr>
              <w:keepNext/>
              <w:keepLines/>
              <w:tabs>
                <w:tab w:val="clear" w:pos="567"/>
              </w:tabs>
              <w:spacing w:line="240" w:lineRule="auto"/>
              <w:rPr>
                <w:b/>
                <w:bCs/>
                <w:iCs/>
                <w:color w:val="000000"/>
                <w:szCs w:val="22"/>
                <w:lang w:val="es-ES" w:eastAsia="x-none"/>
              </w:rPr>
            </w:pPr>
            <w:r w:rsidRPr="003E0B98">
              <w:rPr>
                <w:b/>
                <w:bCs/>
                <w:iCs/>
                <w:color w:val="000000"/>
                <w:szCs w:val="22"/>
                <w:lang w:val="es-ES" w:eastAsia="x-none"/>
              </w:rPr>
              <w:t>Número de pacientes [n] (tratamiento +tratamiento simulado)</w:t>
            </w:r>
          </w:p>
        </w:tc>
      </w:tr>
      <w:tr w:rsidR="00DE39FE" w:rsidRPr="003E0B98" w14:paraId="59413D51" w14:textId="77777777" w:rsidTr="00E91D8B">
        <w:trPr>
          <w:trHeight w:val="407"/>
        </w:trPr>
        <w:tc>
          <w:tcPr>
            <w:tcW w:w="4219" w:type="dxa"/>
          </w:tcPr>
          <w:p w14:paraId="304CFFE0" w14:textId="77777777" w:rsidR="00DE39FE" w:rsidRPr="003E0B98" w:rsidRDefault="00DE39FE" w:rsidP="004361AC">
            <w:pPr>
              <w:keepNext/>
              <w:keepLines/>
              <w:tabs>
                <w:tab w:val="clear" w:pos="567"/>
              </w:tabs>
              <w:spacing w:line="240" w:lineRule="auto"/>
              <w:rPr>
                <w:bCs/>
                <w:iCs/>
                <w:color w:val="000000"/>
                <w:szCs w:val="22"/>
                <w:lang w:eastAsia="x-none"/>
              </w:rPr>
            </w:pPr>
            <w:r w:rsidRPr="003E0B98">
              <w:rPr>
                <w:bCs/>
                <w:iCs/>
                <w:color w:val="000000"/>
                <w:szCs w:val="22"/>
                <w:lang w:eastAsia="x-none"/>
              </w:rPr>
              <w:t>General</w:t>
            </w:r>
          </w:p>
        </w:tc>
        <w:tc>
          <w:tcPr>
            <w:tcW w:w="2693" w:type="dxa"/>
          </w:tcPr>
          <w:p w14:paraId="150101B4" w14:textId="77777777" w:rsidR="00DE39FE" w:rsidRPr="003E0B98" w:rsidRDefault="00DE39FE" w:rsidP="004361AC">
            <w:pPr>
              <w:keepNext/>
              <w:keepLines/>
              <w:tabs>
                <w:tab w:val="clear" w:pos="567"/>
              </w:tabs>
              <w:spacing w:line="240" w:lineRule="auto"/>
              <w:jc w:val="both"/>
              <w:rPr>
                <w:bCs/>
                <w:iCs/>
                <w:color w:val="000000"/>
                <w:szCs w:val="22"/>
                <w:lang w:eastAsia="x-none"/>
              </w:rPr>
            </w:pPr>
            <w:r w:rsidRPr="003E0B98">
              <w:rPr>
                <w:bCs/>
                <w:iCs/>
                <w:color w:val="000000"/>
                <w:szCs w:val="22"/>
                <w:lang w:eastAsia="x-none"/>
              </w:rPr>
              <w:t>9,9</w:t>
            </w:r>
          </w:p>
        </w:tc>
        <w:tc>
          <w:tcPr>
            <w:tcW w:w="2375" w:type="dxa"/>
          </w:tcPr>
          <w:p w14:paraId="62AB1B3F" w14:textId="77777777" w:rsidR="00DE39FE" w:rsidRPr="003E0B98" w:rsidRDefault="00DE39FE" w:rsidP="004361AC">
            <w:pPr>
              <w:keepNext/>
              <w:keepLines/>
              <w:tabs>
                <w:tab w:val="clear" w:pos="567"/>
              </w:tabs>
              <w:spacing w:line="240" w:lineRule="auto"/>
              <w:jc w:val="both"/>
              <w:rPr>
                <w:bCs/>
                <w:iCs/>
                <w:color w:val="000000"/>
                <w:szCs w:val="22"/>
                <w:lang w:eastAsia="x-none"/>
              </w:rPr>
            </w:pPr>
            <w:r w:rsidRPr="003E0B98">
              <w:rPr>
                <w:bCs/>
                <w:iCs/>
                <w:color w:val="000000"/>
                <w:szCs w:val="22"/>
                <w:lang w:eastAsia="x-none"/>
              </w:rPr>
              <w:t>178</w:t>
            </w:r>
          </w:p>
        </w:tc>
      </w:tr>
      <w:tr w:rsidR="00DE39FE" w:rsidRPr="003E0B98" w14:paraId="0083C1D4" w14:textId="77777777" w:rsidTr="00E91D8B">
        <w:trPr>
          <w:trHeight w:val="263"/>
        </w:trPr>
        <w:tc>
          <w:tcPr>
            <w:tcW w:w="4219" w:type="dxa"/>
          </w:tcPr>
          <w:p w14:paraId="36DA28D0" w14:textId="77777777" w:rsidR="00DE39FE" w:rsidRPr="003E0B98" w:rsidRDefault="00DE39FE" w:rsidP="004361AC">
            <w:pPr>
              <w:keepNext/>
              <w:keepLines/>
              <w:tabs>
                <w:tab w:val="clear" w:pos="567"/>
              </w:tabs>
              <w:spacing w:line="240" w:lineRule="auto"/>
              <w:rPr>
                <w:bCs/>
                <w:iCs/>
                <w:color w:val="000000"/>
                <w:szCs w:val="22"/>
                <w:lang w:eastAsia="x-none"/>
              </w:rPr>
            </w:pPr>
            <w:proofErr w:type="spellStart"/>
            <w:r w:rsidRPr="003E0B98">
              <w:rPr>
                <w:bCs/>
                <w:iCs/>
                <w:color w:val="000000"/>
                <w:szCs w:val="22"/>
                <w:lang w:eastAsia="x-none"/>
              </w:rPr>
              <w:t>Estrías</w:t>
            </w:r>
            <w:proofErr w:type="spellEnd"/>
            <w:r w:rsidRPr="003E0B98">
              <w:rPr>
                <w:bCs/>
                <w:iCs/>
                <w:color w:val="000000"/>
                <w:szCs w:val="22"/>
                <w:lang w:eastAsia="x-none"/>
              </w:rPr>
              <w:t xml:space="preserve"> </w:t>
            </w:r>
            <w:proofErr w:type="spellStart"/>
            <w:r w:rsidRPr="003E0B98">
              <w:rPr>
                <w:bCs/>
                <w:iCs/>
                <w:color w:val="000000"/>
                <w:szCs w:val="22"/>
                <w:lang w:eastAsia="x-none"/>
              </w:rPr>
              <w:t>angioides</w:t>
            </w:r>
            <w:proofErr w:type="spellEnd"/>
          </w:p>
        </w:tc>
        <w:tc>
          <w:tcPr>
            <w:tcW w:w="2693" w:type="dxa"/>
          </w:tcPr>
          <w:p w14:paraId="6A5C8BFA" w14:textId="77777777" w:rsidR="00DE39FE" w:rsidRPr="003E0B98" w:rsidRDefault="00DE39FE" w:rsidP="004361AC">
            <w:pPr>
              <w:keepNext/>
              <w:keepLines/>
              <w:tabs>
                <w:tab w:val="clear" w:pos="567"/>
              </w:tabs>
              <w:spacing w:line="240" w:lineRule="auto"/>
              <w:jc w:val="both"/>
              <w:rPr>
                <w:bCs/>
                <w:iCs/>
                <w:color w:val="000000"/>
                <w:szCs w:val="22"/>
                <w:lang w:eastAsia="x-none"/>
              </w:rPr>
            </w:pPr>
            <w:r w:rsidRPr="003E0B98">
              <w:rPr>
                <w:bCs/>
                <w:iCs/>
                <w:color w:val="000000"/>
                <w:szCs w:val="22"/>
                <w:lang w:eastAsia="x-none"/>
              </w:rPr>
              <w:t>14,6</w:t>
            </w:r>
          </w:p>
        </w:tc>
        <w:tc>
          <w:tcPr>
            <w:tcW w:w="2375" w:type="dxa"/>
          </w:tcPr>
          <w:p w14:paraId="7B72DC8B" w14:textId="77777777" w:rsidR="00DE39FE" w:rsidRPr="003E0B98" w:rsidRDefault="00DE39FE" w:rsidP="004361AC">
            <w:pPr>
              <w:keepNext/>
              <w:keepLines/>
              <w:tabs>
                <w:tab w:val="clear" w:pos="567"/>
              </w:tabs>
              <w:spacing w:line="240" w:lineRule="auto"/>
              <w:jc w:val="both"/>
              <w:rPr>
                <w:bCs/>
                <w:iCs/>
                <w:color w:val="000000"/>
                <w:szCs w:val="22"/>
                <w:lang w:eastAsia="x-none"/>
              </w:rPr>
            </w:pPr>
            <w:r w:rsidRPr="003E0B98">
              <w:rPr>
                <w:bCs/>
                <w:iCs/>
                <w:color w:val="000000"/>
                <w:szCs w:val="22"/>
                <w:lang w:eastAsia="x-none"/>
              </w:rPr>
              <w:t>27</w:t>
            </w:r>
          </w:p>
        </w:tc>
      </w:tr>
      <w:tr w:rsidR="00DE39FE" w:rsidRPr="003E0B98" w14:paraId="3209B0FD" w14:textId="77777777" w:rsidTr="00E91D8B">
        <w:trPr>
          <w:trHeight w:val="286"/>
        </w:trPr>
        <w:tc>
          <w:tcPr>
            <w:tcW w:w="4219" w:type="dxa"/>
          </w:tcPr>
          <w:p w14:paraId="59AF82E8" w14:textId="77777777" w:rsidR="00DE39FE" w:rsidRPr="003E0B98" w:rsidRDefault="00DE39FE" w:rsidP="004361AC">
            <w:pPr>
              <w:keepNext/>
              <w:keepLines/>
              <w:tabs>
                <w:tab w:val="clear" w:pos="567"/>
              </w:tabs>
              <w:spacing w:line="240" w:lineRule="auto"/>
              <w:rPr>
                <w:bCs/>
                <w:iCs/>
                <w:color w:val="000000"/>
                <w:szCs w:val="22"/>
                <w:lang w:eastAsia="x-none"/>
              </w:rPr>
            </w:pPr>
            <w:proofErr w:type="spellStart"/>
            <w:r w:rsidRPr="003E0B98">
              <w:rPr>
                <w:bCs/>
                <w:iCs/>
                <w:color w:val="000000"/>
                <w:szCs w:val="22"/>
                <w:lang w:eastAsia="x-none"/>
              </w:rPr>
              <w:t>Corioretinopatía</w:t>
            </w:r>
            <w:proofErr w:type="spellEnd"/>
            <w:r w:rsidRPr="003E0B98">
              <w:rPr>
                <w:bCs/>
                <w:iCs/>
                <w:color w:val="000000"/>
                <w:szCs w:val="22"/>
                <w:lang w:eastAsia="x-none"/>
              </w:rPr>
              <w:t xml:space="preserve"> </w:t>
            </w:r>
            <w:proofErr w:type="spellStart"/>
            <w:r w:rsidRPr="003E0B98">
              <w:rPr>
                <w:bCs/>
                <w:iCs/>
                <w:color w:val="000000"/>
                <w:szCs w:val="22"/>
                <w:lang w:eastAsia="x-none"/>
              </w:rPr>
              <w:t>posinflamatoria</w:t>
            </w:r>
            <w:proofErr w:type="spellEnd"/>
          </w:p>
        </w:tc>
        <w:tc>
          <w:tcPr>
            <w:tcW w:w="2693" w:type="dxa"/>
          </w:tcPr>
          <w:p w14:paraId="3D3DF485" w14:textId="77777777" w:rsidR="00DE39FE" w:rsidRPr="003E0B98" w:rsidRDefault="00DE39FE" w:rsidP="004361AC">
            <w:pPr>
              <w:keepNext/>
              <w:keepLines/>
              <w:tabs>
                <w:tab w:val="clear" w:pos="567"/>
              </w:tabs>
              <w:spacing w:line="240" w:lineRule="auto"/>
              <w:jc w:val="both"/>
              <w:rPr>
                <w:bCs/>
                <w:iCs/>
                <w:color w:val="000000"/>
                <w:szCs w:val="22"/>
                <w:lang w:eastAsia="x-none"/>
              </w:rPr>
            </w:pPr>
            <w:r w:rsidRPr="003E0B98">
              <w:rPr>
                <w:bCs/>
                <w:iCs/>
                <w:color w:val="000000"/>
                <w:szCs w:val="22"/>
                <w:lang w:eastAsia="x-none"/>
              </w:rPr>
              <w:t>6,5</w:t>
            </w:r>
          </w:p>
        </w:tc>
        <w:tc>
          <w:tcPr>
            <w:tcW w:w="2375" w:type="dxa"/>
          </w:tcPr>
          <w:p w14:paraId="0CDA6963" w14:textId="77777777" w:rsidR="00DE39FE" w:rsidRPr="003E0B98" w:rsidRDefault="00DE39FE" w:rsidP="004361AC">
            <w:pPr>
              <w:keepNext/>
              <w:keepLines/>
              <w:tabs>
                <w:tab w:val="clear" w:pos="567"/>
              </w:tabs>
              <w:spacing w:line="240" w:lineRule="auto"/>
              <w:jc w:val="both"/>
              <w:rPr>
                <w:bCs/>
                <w:iCs/>
                <w:color w:val="000000"/>
                <w:szCs w:val="22"/>
                <w:lang w:eastAsia="x-none"/>
              </w:rPr>
            </w:pPr>
            <w:r w:rsidRPr="003E0B98">
              <w:rPr>
                <w:bCs/>
                <w:iCs/>
                <w:color w:val="000000"/>
                <w:szCs w:val="22"/>
                <w:lang w:eastAsia="x-none"/>
              </w:rPr>
              <w:t>28</w:t>
            </w:r>
          </w:p>
        </w:tc>
      </w:tr>
      <w:tr w:rsidR="00DE39FE" w:rsidRPr="003E0B98" w14:paraId="5F67CA7F" w14:textId="77777777" w:rsidTr="00E91D8B">
        <w:trPr>
          <w:trHeight w:val="257"/>
        </w:trPr>
        <w:tc>
          <w:tcPr>
            <w:tcW w:w="4219" w:type="dxa"/>
          </w:tcPr>
          <w:p w14:paraId="38D7B254" w14:textId="77777777" w:rsidR="00DE39FE" w:rsidRPr="003E0B98" w:rsidRDefault="00DE39FE" w:rsidP="004361AC">
            <w:pPr>
              <w:keepNext/>
              <w:keepLines/>
              <w:tabs>
                <w:tab w:val="clear" w:pos="567"/>
              </w:tabs>
              <w:spacing w:line="240" w:lineRule="auto"/>
              <w:rPr>
                <w:bCs/>
                <w:iCs/>
                <w:color w:val="000000"/>
                <w:szCs w:val="22"/>
                <w:lang w:eastAsia="x-none"/>
              </w:rPr>
            </w:pPr>
            <w:proofErr w:type="spellStart"/>
            <w:r w:rsidRPr="003E0B98">
              <w:rPr>
                <w:bCs/>
                <w:iCs/>
                <w:color w:val="000000"/>
                <w:szCs w:val="22"/>
                <w:lang w:eastAsia="x-none"/>
              </w:rPr>
              <w:t>Corioretinopatía</w:t>
            </w:r>
            <w:proofErr w:type="spellEnd"/>
            <w:r w:rsidRPr="003E0B98">
              <w:rPr>
                <w:bCs/>
                <w:iCs/>
                <w:color w:val="000000"/>
                <w:szCs w:val="22"/>
                <w:lang w:eastAsia="x-none"/>
              </w:rPr>
              <w:t xml:space="preserve"> serosa central</w:t>
            </w:r>
          </w:p>
        </w:tc>
        <w:tc>
          <w:tcPr>
            <w:tcW w:w="2693" w:type="dxa"/>
          </w:tcPr>
          <w:p w14:paraId="45E100E1" w14:textId="77777777" w:rsidR="00DE39FE" w:rsidRPr="003E0B98" w:rsidRDefault="00DE39FE" w:rsidP="004361AC">
            <w:pPr>
              <w:keepNext/>
              <w:keepLines/>
              <w:tabs>
                <w:tab w:val="clear" w:pos="567"/>
              </w:tabs>
              <w:spacing w:line="240" w:lineRule="auto"/>
              <w:jc w:val="both"/>
              <w:rPr>
                <w:bCs/>
                <w:iCs/>
                <w:color w:val="000000"/>
                <w:szCs w:val="22"/>
                <w:lang w:eastAsia="x-none"/>
              </w:rPr>
            </w:pPr>
            <w:r w:rsidRPr="003E0B98">
              <w:rPr>
                <w:bCs/>
                <w:iCs/>
                <w:color w:val="000000"/>
                <w:szCs w:val="22"/>
                <w:lang w:eastAsia="x-none"/>
              </w:rPr>
              <w:t>5,0</w:t>
            </w:r>
          </w:p>
        </w:tc>
        <w:tc>
          <w:tcPr>
            <w:tcW w:w="2375" w:type="dxa"/>
          </w:tcPr>
          <w:p w14:paraId="63EB92B3" w14:textId="77777777" w:rsidR="00DE39FE" w:rsidRPr="003E0B98" w:rsidRDefault="00DE39FE" w:rsidP="004361AC">
            <w:pPr>
              <w:keepNext/>
              <w:keepLines/>
              <w:tabs>
                <w:tab w:val="clear" w:pos="567"/>
              </w:tabs>
              <w:spacing w:line="240" w:lineRule="auto"/>
              <w:jc w:val="both"/>
              <w:rPr>
                <w:bCs/>
                <w:iCs/>
                <w:color w:val="000000"/>
                <w:szCs w:val="22"/>
                <w:lang w:eastAsia="x-none"/>
              </w:rPr>
            </w:pPr>
            <w:r w:rsidRPr="003E0B98">
              <w:rPr>
                <w:bCs/>
                <w:iCs/>
                <w:color w:val="000000"/>
                <w:szCs w:val="22"/>
                <w:lang w:eastAsia="x-none"/>
              </w:rPr>
              <w:t>23</w:t>
            </w:r>
          </w:p>
        </w:tc>
      </w:tr>
      <w:tr w:rsidR="00DE39FE" w:rsidRPr="003E0B98" w14:paraId="21F056C5" w14:textId="77777777" w:rsidTr="00E91D8B">
        <w:trPr>
          <w:trHeight w:val="240"/>
        </w:trPr>
        <w:tc>
          <w:tcPr>
            <w:tcW w:w="4219" w:type="dxa"/>
          </w:tcPr>
          <w:p w14:paraId="2BD05270" w14:textId="77777777" w:rsidR="00DE39FE" w:rsidRPr="003E0B98" w:rsidRDefault="00DE39FE" w:rsidP="004361AC">
            <w:pPr>
              <w:keepNext/>
              <w:keepLines/>
              <w:tabs>
                <w:tab w:val="clear" w:pos="567"/>
              </w:tabs>
              <w:spacing w:line="240" w:lineRule="auto"/>
              <w:rPr>
                <w:bCs/>
                <w:iCs/>
                <w:color w:val="000000"/>
                <w:szCs w:val="22"/>
                <w:lang w:eastAsia="x-none"/>
              </w:rPr>
            </w:pPr>
            <w:proofErr w:type="spellStart"/>
            <w:r w:rsidRPr="003E0B98">
              <w:rPr>
                <w:bCs/>
                <w:iCs/>
                <w:color w:val="000000"/>
                <w:szCs w:val="22"/>
                <w:lang w:eastAsia="x-none"/>
              </w:rPr>
              <w:t>Corioretinopatía</w:t>
            </w:r>
            <w:proofErr w:type="spellEnd"/>
            <w:r w:rsidRPr="003E0B98">
              <w:rPr>
                <w:bCs/>
                <w:iCs/>
                <w:color w:val="000000"/>
                <w:szCs w:val="22"/>
                <w:lang w:eastAsia="x-none"/>
              </w:rPr>
              <w:t xml:space="preserve"> </w:t>
            </w:r>
            <w:proofErr w:type="spellStart"/>
            <w:r w:rsidRPr="003E0B98">
              <w:rPr>
                <w:bCs/>
                <w:iCs/>
                <w:color w:val="000000"/>
                <w:szCs w:val="22"/>
                <w:lang w:eastAsia="x-none"/>
              </w:rPr>
              <w:t>idiopática</w:t>
            </w:r>
            <w:proofErr w:type="spellEnd"/>
          </w:p>
        </w:tc>
        <w:tc>
          <w:tcPr>
            <w:tcW w:w="2693" w:type="dxa"/>
          </w:tcPr>
          <w:p w14:paraId="71F76688" w14:textId="77777777" w:rsidR="00DE39FE" w:rsidRPr="003E0B98" w:rsidRDefault="00DE39FE" w:rsidP="004361AC">
            <w:pPr>
              <w:keepNext/>
              <w:keepLines/>
              <w:tabs>
                <w:tab w:val="clear" w:pos="567"/>
              </w:tabs>
              <w:spacing w:line="240" w:lineRule="auto"/>
              <w:jc w:val="both"/>
              <w:rPr>
                <w:bCs/>
                <w:iCs/>
                <w:color w:val="000000"/>
                <w:szCs w:val="22"/>
                <w:lang w:eastAsia="x-none"/>
              </w:rPr>
            </w:pPr>
            <w:r w:rsidRPr="003E0B98">
              <w:rPr>
                <w:bCs/>
                <w:iCs/>
                <w:color w:val="000000"/>
                <w:szCs w:val="22"/>
                <w:lang w:eastAsia="x-none"/>
              </w:rPr>
              <w:t>11,4</w:t>
            </w:r>
          </w:p>
        </w:tc>
        <w:tc>
          <w:tcPr>
            <w:tcW w:w="2375" w:type="dxa"/>
          </w:tcPr>
          <w:p w14:paraId="3B255310" w14:textId="77777777" w:rsidR="00DE39FE" w:rsidRPr="003E0B98" w:rsidRDefault="00DE39FE" w:rsidP="004361AC">
            <w:pPr>
              <w:keepNext/>
              <w:keepLines/>
              <w:tabs>
                <w:tab w:val="clear" w:pos="567"/>
              </w:tabs>
              <w:spacing w:line="240" w:lineRule="auto"/>
              <w:jc w:val="both"/>
              <w:rPr>
                <w:bCs/>
                <w:iCs/>
                <w:color w:val="000000"/>
                <w:szCs w:val="22"/>
                <w:lang w:eastAsia="x-none"/>
              </w:rPr>
            </w:pPr>
            <w:r w:rsidRPr="003E0B98">
              <w:rPr>
                <w:bCs/>
                <w:iCs/>
                <w:color w:val="000000"/>
                <w:szCs w:val="22"/>
                <w:lang w:eastAsia="x-none"/>
              </w:rPr>
              <w:t>63</w:t>
            </w:r>
          </w:p>
        </w:tc>
      </w:tr>
      <w:tr w:rsidR="00DE39FE" w:rsidRPr="003E0B98" w14:paraId="6212F3CF" w14:textId="77777777" w:rsidTr="00E91D8B">
        <w:trPr>
          <w:trHeight w:val="271"/>
        </w:trPr>
        <w:tc>
          <w:tcPr>
            <w:tcW w:w="4219" w:type="dxa"/>
          </w:tcPr>
          <w:p w14:paraId="1C3D81C2" w14:textId="77777777" w:rsidR="00DE39FE" w:rsidRPr="003E0B98" w:rsidRDefault="00DE39FE" w:rsidP="004361AC">
            <w:pPr>
              <w:keepNext/>
              <w:keepLines/>
              <w:tabs>
                <w:tab w:val="clear" w:pos="567"/>
              </w:tabs>
              <w:spacing w:line="240" w:lineRule="auto"/>
              <w:rPr>
                <w:bCs/>
                <w:iCs/>
                <w:color w:val="000000"/>
                <w:szCs w:val="22"/>
                <w:lang w:eastAsia="x-none"/>
              </w:rPr>
            </w:pPr>
            <w:proofErr w:type="spellStart"/>
            <w:r w:rsidRPr="003E0B98">
              <w:rPr>
                <w:bCs/>
                <w:iCs/>
                <w:color w:val="000000"/>
                <w:szCs w:val="22"/>
                <w:lang w:eastAsia="x-none"/>
              </w:rPr>
              <w:t>Etiologías</w:t>
            </w:r>
            <w:proofErr w:type="spellEnd"/>
            <w:r w:rsidRPr="003E0B98">
              <w:rPr>
                <w:bCs/>
                <w:iCs/>
                <w:color w:val="000000"/>
                <w:szCs w:val="22"/>
                <w:lang w:eastAsia="x-none"/>
              </w:rPr>
              <w:t xml:space="preserve"> </w:t>
            </w:r>
            <w:proofErr w:type="spellStart"/>
            <w:r w:rsidRPr="003E0B98">
              <w:rPr>
                <w:bCs/>
                <w:iCs/>
                <w:color w:val="000000"/>
                <w:szCs w:val="22"/>
                <w:lang w:eastAsia="x-none"/>
              </w:rPr>
              <w:t>varias</w:t>
            </w:r>
            <w:r w:rsidRPr="003E0B98">
              <w:rPr>
                <w:bCs/>
                <w:iCs/>
                <w:color w:val="000000"/>
                <w:szCs w:val="22"/>
                <w:vertAlign w:val="superscript"/>
                <w:lang w:eastAsia="x-none"/>
              </w:rPr>
              <w:t>a</w:t>
            </w:r>
            <w:proofErr w:type="spellEnd"/>
          </w:p>
        </w:tc>
        <w:tc>
          <w:tcPr>
            <w:tcW w:w="2693" w:type="dxa"/>
          </w:tcPr>
          <w:p w14:paraId="7EA7C02C" w14:textId="77777777" w:rsidR="00DE39FE" w:rsidRPr="003E0B98" w:rsidRDefault="00DE39FE" w:rsidP="004361AC">
            <w:pPr>
              <w:keepNext/>
              <w:keepLines/>
              <w:tabs>
                <w:tab w:val="clear" w:pos="567"/>
              </w:tabs>
              <w:spacing w:line="240" w:lineRule="auto"/>
              <w:jc w:val="both"/>
              <w:rPr>
                <w:bCs/>
                <w:iCs/>
                <w:color w:val="000000"/>
                <w:szCs w:val="22"/>
                <w:lang w:eastAsia="x-none"/>
              </w:rPr>
            </w:pPr>
            <w:r w:rsidRPr="003E0B98">
              <w:rPr>
                <w:bCs/>
                <w:iCs/>
                <w:color w:val="000000"/>
                <w:szCs w:val="22"/>
                <w:lang w:eastAsia="x-none"/>
              </w:rPr>
              <w:t>10,6</w:t>
            </w:r>
          </w:p>
        </w:tc>
        <w:tc>
          <w:tcPr>
            <w:tcW w:w="2375" w:type="dxa"/>
          </w:tcPr>
          <w:p w14:paraId="048449E1" w14:textId="77777777" w:rsidR="00DE39FE" w:rsidRPr="003E0B98" w:rsidRDefault="00DE39FE" w:rsidP="004361AC">
            <w:pPr>
              <w:keepNext/>
              <w:keepLines/>
              <w:tabs>
                <w:tab w:val="clear" w:pos="567"/>
              </w:tabs>
              <w:spacing w:line="240" w:lineRule="auto"/>
              <w:jc w:val="both"/>
              <w:rPr>
                <w:bCs/>
                <w:iCs/>
                <w:color w:val="000000"/>
                <w:szCs w:val="22"/>
                <w:lang w:eastAsia="x-none"/>
              </w:rPr>
            </w:pPr>
            <w:r w:rsidRPr="003E0B98">
              <w:rPr>
                <w:bCs/>
                <w:iCs/>
                <w:color w:val="000000"/>
                <w:szCs w:val="22"/>
                <w:lang w:eastAsia="x-none"/>
              </w:rPr>
              <w:t>37</w:t>
            </w:r>
          </w:p>
        </w:tc>
      </w:tr>
    </w:tbl>
    <w:p w14:paraId="0C203973" w14:textId="77777777" w:rsidR="00DE39FE" w:rsidRPr="003E0B98" w:rsidRDefault="00DE39FE" w:rsidP="004361AC">
      <w:pPr>
        <w:keepNext/>
        <w:keepLines/>
        <w:tabs>
          <w:tab w:val="clear" w:pos="567"/>
        </w:tabs>
        <w:spacing w:line="240" w:lineRule="auto"/>
        <w:rPr>
          <w:rFonts w:eastAsia="MS Mincho"/>
          <w:szCs w:val="22"/>
          <w:lang w:val="es-ES" w:eastAsia="zh-CN"/>
        </w:rPr>
      </w:pPr>
      <w:r w:rsidRPr="003E0B98">
        <w:rPr>
          <w:rFonts w:eastAsia="MS Mincho"/>
          <w:szCs w:val="22"/>
          <w:vertAlign w:val="superscript"/>
          <w:lang w:val="es-ES" w:eastAsia="zh-CN"/>
        </w:rPr>
        <w:t>a</w:t>
      </w:r>
      <w:r w:rsidRPr="003E0B98">
        <w:rPr>
          <w:rFonts w:eastAsia="MS Mincho"/>
          <w:szCs w:val="22"/>
          <w:lang w:val="es-ES" w:eastAsia="zh-CN"/>
        </w:rPr>
        <w:t xml:space="preserve"> incluye diferentes etiologías con una frecuencia baja de aparición no incluidas en los otros subgrupos</w:t>
      </w:r>
    </w:p>
    <w:p w14:paraId="4B489DCF" w14:textId="77777777" w:rsidR="00DE39FE" w:rsidRPr="003E0B98" w:rsidRDefault="00DE39FE" w:rsidP="004361AC">
      <w:pPr>
        <w:tabs>
          <w:tab w:val="clear" w:pos="567"/>
          <w:tab w:val="left" w:pos="0"/>
        </w:tabs>
        <w:spacing w:line="240" w:lineRule="auto"/>
        <w:rPr>
          <w:color w:val="000000"/>
          <w:szCs w:val="22"/>
          <w:lang w:val="es-ES"/>
        </w:rPr>
      </w:pPr>
    </w:p>
    <w:p w14:paraId="3BDAEE68" w14:textId="77777777" w:rsidR="009C7FF4" w:rsidRPr="003E0B98" w:rsidRDefault="00DE39FE" w:rsidP="004361AC">
      <w:pPr>
        <w:tabs>
          <w:tab w:val="clear" w:pos="567"/>
        </w:tabs>
        <w:spacing w:line="240" w:lineRule="auto"/>
        <w:rPr>
          <w:color w:val="000000"/>
          <w:lang w:val="es-ES"/>
        </w:rPr>
      </w:pPr>
      <w:r w:rsidRPr="003E0B98">
        <w:rPr>
          <w:color w:val="000000"/>
          <w:szCs w:val="22"/>
          <w:lang w:val="es-ES"/>
        </w:rPr>
        <w:t xml:space="preserve">En el </w:t>
      </w:r>
      <w:r w:rsidRPr="003E0B98">
        <w:rPr>
          <w:color w:val="000000"/>
          <w:szCs w:val="22"/>
          <w:lang w:val="es-ES_tradnl"/>
        </w:rPr>
        <w:t xml:space="preserve">ensayo </w:t>
      </w:r>
      <w:proofErr w:type="spellStart"/>
      <w:r w:rsidRPr="003E0B98">
        <w:rPr>
          <w:color w:val="000000"/>
          <w:szCs w:val="22"/>
          <w:lang w:val="es-ES_tradnl"/>
        </w:rPr>
        <w:t>pivotal</w:t>
      </w:r>
      <w:proofErr w:type="spellEnd"/>
      <w:r w:rsidRPr="003E0B98">
        <w:rPr>
          <w:color w:val="000000"/>
          <w:szCs w:val="22"/>
          <w:lang w:val="es-ES_tradnl"/>
        </w:rPr>
        <w:t xml:space="preserve"> G2301 (MINERVA), cinco</w:t>
      </w:r>
      <w:r w:rsidRPr="003E0B98">
        <w:rPr>
          <w:color w:val="000000"/>
          <w:szCs w:val="22"/>
          <w:lang w:val="es-ES"/>
        </w:rPr>
        <w:t xml:space="preserve"> pacientes adolescentes de 12 a 17 años con alteración visual secundaria a NVC recibieron tratamiento abierto con </w:t>
      </w:r>
      <w:proofErr w:type="spellStart"/>
      <w:r w:rsidRPr="003E0B98">
        <w:rPr>
          <w:color w:val="000000"/>
          <w:szCs w:val="22"/>
          <w:lang w:val="es-ES"/>
        </w:rPr>
        <w:t>ranibizumab</w:t>
      </w:r>
      <w:proofErr w:type="spellEnd"/>
      <w:r w:rsidRPr="003E0B98">
        <w:rPr>
          <w:color w:val="000000"/>
          <w:szCs w:val="22"/>
          <w:lang w:val="es-ES"/>
        </w:rPr>
        <w:t xml:space="preserve"> 0,5 mg al inicio seguido de una pauta posológica individualizada, igual que en la población adulta. En los cinco pacientes la AVMC mejoró desde el inicio hasta el Mes 12, en un rango de 5 a 38 letras (16,6 letras de media). La mejora de la visión se acompañó de una estabilización o reducción del grosor del subcampo central durante el periodo de 12 meses. </w:t>
      </w:r>
      <w:r w:rsidRPr="003E0B98">
        <w:rPr>
          <w:color w:val="000000"/>
          <w:lang w:val="es-ES"/>
        </w:rPr>
        <w:t xml:space="preserve">El número promedio de inyecciones de </w:t>
      </w:r>
      <w:proofErr w:type="spellStart"/>
      <w:r w:rsidRPr="003E0B98">
        <w:rPr>
          <w:color w:val="000000"/>
          <w:lang w:val="es-ES"/>
        </w:rPr>
        <w:t>ranibizumab</w:t>
      </w:r>
      <w:proofErr w:type="spellEnd"/>
      <w:r w:rsidRPr="003E0B98">
        <w:rPr>
          <w:color w:val="000000"/>
          <w:lang w:val="es-ES"/>
        </w:rPr>
        <w:t xml:space="preserve"> administradas en el ojo en estudio durante 12 meses fue 3 (en un rango de 2 a 5). En general, el tratamiento con </w:t>
      </w:r>
      <w:proofErr w:type="spellStart"/>
      <w:r w:rsidRPr="003E0B98">
        <w:rPr>
          <w:color w:val="000000"/>
          <w:lang w:val="es-ES"/>
        </w:rPr>
        <w:t>ranibizumab</w:t>
      </w:r>
      <w:proofErr w:type="spellEnd"/>
      <w:r w:rsidRPr="003E0B98">
        <w:rPr>
          <w:color w:val="000000"/>
          <w:lang w:val="es-ES"/>
        </w:rPr>
        <w:t xml:space="preserve"> fue bien tolerado.</w:t>
      </w:r>
    </w:p>
    <w:p w14:paraId="58F8EE50" w14:textId="77777777" w:rsidR="00DE39FE" w:rsidRPr="003E0B98" w:rsidRDefault="00DE39FE" w:rsidP="004361AC">
      <w:pPr>
        <w:tabs>
          <w:tab w:val="clear" w:pos="567"/>
        </w:tabs>
        <w:spacing w:line="240" w:lineRule="auto"/>
        <w:rPr>
          <w:color w:val="000000"/>
          <w:szCs w:val="22"/>
          <w:lang w:val="es-ES_tradnl"/>
        </w:rPr>
      </w:pPr>
    </w:p>
    <w:p w14:paraId="60DB476E" w14:textId="77777777" w:rsidR="009C7FF4" w:rsidRPr="003E0B98" w:rsidRDefault="009C7FF4" w:rsidP="004361AC">
      <w:pPr>
        <w:keepNext/>
        <w:tabs>
          <w:tab w:val="clear" w:pos="567"/>
        </w:tabs>
        <w:spacing w:line="240" w:lineRule="auto"/>
        <w:rPr>
          <w:i/>
          <w:color w:val="000000"/>
          <w:szCs w:val="22"/>
          <w:u w:val="single"/>
          <w:lang w:val="es-ES_tradnl"/>
        </w:rPr>
      </w:pPr>
      <w:r w:rsidRPr="003E0B98">
        <w:rPr>
          <w:i/>
          <w:color w:val="000000"/>
          <w:szCs w:val="22"/>
          <w:u w:val="single"/>
          <w:lang w:val="es-ES_tradnl"/>
        </w:rPr>
        <w:t xml:space="preserve">Tratamiento de la </w:t>
      </w:r>
      <w:r w:rsidRPr="003E0B98">
        <w:rPr>
          <w:i/>
          <w:color w:val="000000"/>
          <w:szCs w:val="22"/>
          <w:u w:val="single"/>
          <w:lang w:val="es-ES"/>
        </w:rPr>
        <w:t>alteración</w:t>
      </w:r>
      <w:r w:rsidRPr="003E0B98">
        <w:rPr>
          <w:i/>
          <w:color w:val="000000"/>
          <w:szCs w:val="22"/>
          <w:u w:val="single"/>
          <w:lang w:val="es-ES_tradnl"/>
        </w:rPr>
        <w:t xml:space="preserve"> visual debida a EMD</w:t>
      </w:r>
    </w:p>
    <w:p w14:paraId="57503508" w14:textId="77777777" w:rsidR="009C7FF4" w:rsidRPr="003E0B98" w:rsidRDefault="002F6577" w:rsidP="004361AC">
      <w:pPr>
        <w:tabs>
          <w:tab w:val="clear" w:pos="567"/>
        </w:tabs>
        <w:spacing w:line="240" w:lineRule="auto"/>
        <w:rPr>
          <w:color w:val="000000"/>
          <w:szCs w:val="22"/>
          <w:lang w:val="es-ES_tradnl"/>
        </w:rPr>
      </w:pPr>
      <w:r w:rsidRPr="003E0B98">
        <w:rPr>
          <w:color w:val="000000"/>
          <w:szCs w:val="22"/>
          <w:lang w:val="es-ES_tradnl"/>
        </w:rPr>
        <w:t xml:space="preserve">La eficacia y seguridad de </w:t>
      </w:r>
      <w:proofErr w:type="spellStart"/>
      <w:r w:rsidRPr="003E0B98">
        <w:rPr>
          <w:color w:val="000000"/>
          <w:szCs w:val="22"/>
          <w:lang w:val="es-ES_tradnl"/>
        </w:rPr>
        <w:t>Lucentis</w:t>
      </w:r>
      <w:proofErr w:type="spellEnd"/>
      <w:r w:rsidRPr="003E0B98">
        <w:rPr>
          <w:color w:val="000000"/>
          <w:szCs w:val="22"/>
          <w:lang w:val="es-ES_tradnl"/>
        </w:rPr>
        <w:t xml:space="preserve"> se han evaluado en tres ensayos aleatorizados, controlados de al menos 12 meses de duración. En estos ensayos fueron reclutados un total de 868 pacientes (708 con tratamiento activo y 160 con control).</w:t>
      </w:r>
    </w:p>
    <w:p w14:paraId="3B0F473A" w14:textId="77777777" w:rsidR="009C7FF4" w:rsidRPr="003E0B98" w:rsidRDefault="009C7FF4" w:rsidP="004361AC">
      <w:pPr>
        <w:tabs>
          <w:tab w:val="clear" w:pos="567"/>
        </w:tabs>
        <w:spacing w:line="240" w:lineRule="auto"/>
        <w:rPr>
          <w:color w:val="000000"/>
          <w:szCs w:val="22"/>
          <w:u w:val="single"/>
          <w:lang w:val="es-ES_tradnl"/>
        </w:rPr>
      </w:pPr>
    </w:p>
    <w:p w14:paraId="542C554F" w14:textId="77777777" w:rsidR="009C7FF4" w:rsidRPr="003E0B98" w:rsidRDefault="002F6577" w:rsidP="004361AC">
      <w:pPr>
        <w:tabs>
          <w:tab w:val="clear" w:pos="567"/>
        </w:tabs>
        <w:spacing w:line="240" w:lineRule="auto"/>
        <w:rPr>
          <w:bCs/>
          <w:color w:val="000000"/>
          <w:lang w:val="es-ES"/>
        </w:rPr>
      </w:pPr>
      <w:r w:rsidRPr="003E0B98">
        <w:rPr>
          <w:color w:val="000000"/>
          <w:szCs w:val="22"/>
          <w:lang w:val="es-ES_tradnl"/>
        </w:rPr>
        <w:t xml:space="preserve">En el ensayo de fase II D2201 (RESOLVE), 151 pacientes fueron tratados con </w:t>
      </w:r>
      <w:proofErr w:type="spellStart"/>
      <w:r w:rsidRPr="003E0B98">
        <w:rPr>
          <w:color w:val="000000"/>
          <w:szCs w:val="22"/>
          <w:lang w:val="es-ES_tradnl"/>
        </w:rPr>
        <w:t>ranibizumab</w:t>
      </w:r>
      <w:proofErr w:type="spellEnd"/>
      <w:r w:rsidRPr="003E0B98">
        <w:rPr>
          <w:color w:val="000000"/>
          <w:szCs w:val="22"/>
          <w:lang w:val="es-ES_tradnl"/>
        </w:rPr>
        <w:t xml:space="preserve"> </w:t>
      </w:r>
      <w:r w:rsidRPr="003E0B98">
        <w:rPr>
          <w:bCs/>
          <w:color w:val="000000"/>
          <w:szCs w:val="22"/>
          <w:lang w:val="es-ES_tradnl"/>
        </w:rPr>
        <w:t>(6 mg/ml, n=51, 10 mg/ml, n=51) o con tratamiento simulado (n=49) mediante inyecciones intravítreas mensuales</w:t>
      </w:r>
      <w:r w:rsidRPr="003E0B98">
        <w:rPr>
          <w:color w:val="000000"/>
          <w:szCs w:val="22"/>
          <w:lang w:val="es-ES_tradnl"/>
        </w:rPr>
        <w:t xml:space="preserve">. El cambio </w:t>
      </w:r>
      <w:r w:rsidR="006006F4" w:rsidRPr="003E0B98">
        <w:rPr>
          <w:color w:val="000000"/>
          <w:szCs w:val="22"/>
          <w:lang w:val="es-ES_tradnl"/>
        </w:rPr>
        <w:t>pro</w:t>
      </w:r>
      <w:r w:rsidRPr="003E0B98">
        <w:rPr>
          <w:color w:val="000000"/>
          <w:szCs w:val="22"/>
          <w:lang w:val="es-ES_tradnl"/>
        </w:rPr>
        <w:t xml:space="preserve">medio </w:t>
      </w:r>
      <w:r w:rsidR="008222CB" w:rsidRPr="003E0B98">
        <w:rPr>
          <w:color w:val="000000"/>
          <w:szCs w:val="22"/>
          <w:lang w:val="es-ES_tradnl"/>
        </w:rPr>
        <w:t>de</w:t>
      </w:r>
      <w:r w:rsidRPr="003E0B98">
        <w:rPr>
          <w:color w:val="000000"/>
          <w:szCs w:val="22"/>
          <w:lang w:val="es-ES_tradnl"/>
        </w:rPr>
        <w:t xml:space="preserve"> la AVMC desde el Mes 1 al Mes 12 comparado con el inicio fue de +7,8 (±7,72) letras en los pacientes tratados con </w:t>
      </w:r>
      <w:proofErr w:type="spellStart"/>
      <w:r w:rsidRPr="003E0B98">
        <w:rPr>
          <w:color w:val="000000"/>
          <w:szCs w:val="22"/>
          <w:lang w:val="es-ES_tradnl"/>
        </w:rPr>
        <w:t>ranibizumab</w:t>
      </w:r>
      <w:proofErr w:type="spellEnd"/>
      <w:r w:rsidRPr="003E0B98">
        <w:rPr>
          <w:color w:val="000000"/>
          <w:szCs w:val="22"/>
          <w:lang w:val="es-ES_tradnl"/>
        </w:rPr>
        <w:t xml:space="preserve"> combinados (n=102), comparado con </w:t>
      </w:r>
      <w:r w:rsidRPr="003E0B98">
        <w:rPr>
          <w:bCs/>
          <w:color w:val="000000"/>
          <w:lang w:val="es-ES"/>
        </w:rPr>
        <w:noBreakHyphen/>
        <w:t xml:space="preserve">0,1 (±9,77) letras para pacientes </w:t>
      </w:r>
      <w:r w:rsidRPr="003E0B98">
        <w:rPr>
          <w:bCs/>
          <w:color w:val="000000"/>
          <w:szCs w:val="22"/>
          <w:lang w:val="es-ES_tradnl"/>
        </w:rPr>
        <w:t xml:space="preserve">con tratamiento simulado; y el cambio </w:t>
      </w:r>
      <w:r w:rsidR="006006F4" w:rsidRPr="003E0B98">
        <w:rPr>
          <w:bCs/>
          <w:color w:val="000000"/>
          <w:szCs w:val="22"/>
          <w:lang w:val="es-ES_tradnl"/>
        </w:rPr>
        <w:t>pro</w:t>
      </w:r>
      <w:r w:rsidRPr="003E0B98">
        <w:rPr>
          <w:bCs/>
          <w:color w:val="000000"/>
          <w:szCs w:val="22"/>
          <w:lang w:val="es-ES_tradnl"/>
        </w:rPr>
        <w:t xml:space="preserve">medio </w:t>
      </w:r>
      <w:r w:rsidR="008222CB" w:rsidRPr="003E0B98">
        <w:rPr>
          <w:bCs/>
          <w:color w:val="000000"/>
          <w:szCs w:val="22"/>
          <w:lang w:val="es-ES_tradnl"/>
        </w:rPr>
        <w:t>de</w:t>
      </w:r>
      <w:r w:rsidRPr="003E0B98">
        <w:rPr>
          <w:bCs/>
          <w:color w:val="000000"/>
          <w:szCs w:val="22"/>
          <w:lang w:val="es-ES_tradnl"/>
        </w:rPr>
        <w:t xml:space="preserve"> la AVMC en el Mes 12 desde el valor inicial fue de 10,3 (±9,1) letras comparado con </w:t>
      </w:r>
      <w:r w:rsidRPr="003E0B98">
        <w:rPr>
          <w:bCs/>
          <w:color w:val="000000"/>
          <w:lang w:val="es-ES"/>
        </w:rPr>
        <w:noBreakHyphen/>
        <w:t>1,4 (±14,2) letras respectivamente (p&lt;0,0001 para la diferencia de tratamiento).</w:t>
      </w:r>
    </w:p>
    <w:p w14:paraId="43D19E5A" w14:textId="77777777" w:rsidR="009C7FF4" w:rsidRPr="003E0B98" w:rsidRDefault="009C7FF4" w:rsidP="004361AC">
      <w:pPr>
        <w:tabs>
          <w:tab w:val="clear" w:pos="567"/>
        </w:tabs>
        <w:spacing w:line="240" w:lineRule="auto"/>
        <w:rPr>
          <w:bCs/>
          <w:color w:val="000000"/>
          <w:lang w:val="es-ES"/>
        </w:rPr>
      </w:pPr>
    </w:p>
    <w:p w14:paraId="5BB4B6B0" w14:textId="2A058023" w:rsidR="00DC7C7F" w:rsidRPr="003E0B98" w:rsidRDefault="002F6577" w:rsidP="004361AC">
      <w:pPr>
        <w:tabs>
          <w:tab w:val="clear" w:pos="567"/>
        </w:tabs>
        <w:spacing w:line="240" w:lineRule="auto"/>
        <w:rPr>
          <w:bCs/>
          <w:color w:val="000000"/>
          <w:lang w:val="es-ES"/>
        </w:rPr>
      </w:pPr>
      <w:r w:rsidRPr="003E0B98">
        <w:rPr>
          <w:color w:val="000000"/>
          <w:szCs w:val="22"/>
          <w:lang w:val="es-ES_tradnl"/>
        </w:rPr>
        <w:t xml:space="preserve">En el ensayo de fase III D2301 (RESTORE), se aleatorizaron 345 pacientes en </w:t>
      </w:r>
      <w:proofErr w:type="gramStart"/>
      <w:r w:rsidRPr="003E0B98">
        <w:rPr>
          <w:color w:val="000000"/>
          <w:szCs w:val="22"/>
          <w:lang w:val="es-ES_tradnl"/>
        </w:rPr>
        <w:t>un ratio</w:t>
      </w:r>
      <w:proofErr w:type="gramEnd"/>
      <w:r w:rsidRPr="003E0B98">
        <w:rPr>
          <w:color w:val="000000"/>
          <w:szCs w:val="22"/>
          <w:lang w:val="es-ES_tradnl"/>
        </w:rPr>
        <w:t xml:space="preserve"> 1:1:1 para recibir </w:t>
      </w:r>
      <w:proofErr w:type="spellStart"/>
      <w:r w:rsidRPr="003E0B98">
        <w:rPr>
          <w:color w:val="000000"/>
          <w:szCs w:val="22"/>
          <w:lang w:val="es-ES_tradnl"/>
        </w:rPr>
        <w:t>ranibizumab</w:t>
      </w:r>
      <w:proofErr w:type="spellEnd"/>
      <w:r w:rsidRPr="003E0B98">
        <w:rPr>
          <w:color w:val="000000"/>
          <w:szCs w:val="22"/>
          <w:lang w:val="es-ES_tradnl"/>
        </w:rPr>
        <w:t xml:space="preserve"> 0,5 mg en monoterapia y fotocoagulación con láser simulada, o </w:t>
      </w:r>
      <w:proofErr w:type="spellStart"/>
      <w:r w:rsidRPr="003E0B98">
        <w:rPr>
          <w:color w:val="000000"/>
          <w:szCs w:val="22"/>
          <w:lang w:val="es-ES_tradnl"/>
        </w:rPr>
        <w:t>ranibizumab</w:t>
      </w:r>
      <w:proofErr w:type="spellEnd"/>
      <w:r w:rsidRPr="003E0B98">
        <w:rPr>
          <w:color w:val="000000"/>
          <w:szCs w:val="22"/>
          <w:lang w:val="es-ES_tradnl"/>
        </w:rPr>
        <w:t xml:space="preserve"> 0,5 mg y fotocoagulación con láser combinados, o inyección simulada y fotocoagulación con láser.</w:t>
      </w:r>
      <w:r w:rsidR="0015274E" w:rsidRPr="003E0B98">
        <w:rPr>
          <w:color w:val="000000"/>
          <w:szCs w:val="22"/>
          <w:lang w:val="es-ES_tradnl"/>
        </w:rPr>
        <w:t xml:space="preserve"> </w:t>
      </w:r>
      <w:r w:rsidR="009C7FF4" w:rsidRPr="003E0B98">
        <w:rPr>
          <w:bCs/>
          <w:color w:val="000000"/>
          <w:lang w:val="es-ES"/>
        </w:rPr>
        <w:t>En un ensayo de extensión de 24 meses multicéntrico y abierto (</w:t>
      </w:r>
      <w:proofErr w:type="spellStart"/>
      <w:r w:rsidR="009C7FF4" w:rsidRPr="003E0B98">
        <w:rPr>
          <w:bCs/>
          <w:color w:val="000000"/>
          <w:lang w:val="es-ES"/>
        </w:rPr>
        <w:t>Extension</w:t>
      </w:r>
      <w:proofErr w:type="spellEnd"/>
      <w:r w:rsidR="009C7FF4" w:rsidRPr="003E0B98">
        <w:rPr>
          <w:bCs/>
          <w:color w:val="000000"/>
          <w:lang w:val="es-ES"/>
        </w:rPr>
        <w:t xml:space="preserve"> del ensayo RESTORE) fueron reclutados 240 pacientes, que previamente habían completado el ensayo RESTORE de 12 meses. Los pacientes fueron tratados con </w:t>
      </w:r>
      <w:proofErr w:type="spellStart"/>
      <w:r w:rsidR="009C7FF4" w:rsidRPr="003E0B98">
        <w:rPr>
          <w:bCs/>
          <w:color w:val="000000"/>
          <w:lang w:val="es-ES"/>
        </w:rPr>
        <w:t>ranibizumab</w:t>
      </w:r>
      <w:proofErr w:type="spellEnd"/>
      <w:r w:rsidR="009C7FF4" w:rsidRPr="003E0B98">
        <w:rPr>
          <w:bCs/>
          <w:color w:val="000000"/>
          <w:lang w:val="es-ES"/>
        </w:rPr>
        <w:t xml:space="preserve"> 0,5 mg </w:t>
      </w:r>
      <w:proofErr w:type="gramStart"/>
      <w:r w:rsidR="009C7FF4" w:rsidRPr="003E0B98">
        <w:rPr>
          <w:bCs/>
          <w:i/>
          <w:color w:val="000000"/>
          <w:lang w:val="es-ES"/>
        </w:rPr>
        <w:t>pro re</w:t>
      </w:r>
      <w:proofErr w:type="gramEnd"/>
      <w:r w:rsidR="009C7FF4" w:rsidRPr="003E0B98">
        <w:rPr>
          <w:bCs/>
          <w:i/>
          <w:color w:val="000000"/>
          <w:lang w:val="es-ES"/>
        </w:rPr>
        <w:t xml:space="preserve"> nata</w:t>
      </w:r>
      <w:r w:rsidR="009C7FF4" w:rsidRPr="003E0B98">
        <w:rPr>
          <w:bCs/>
          <w:color w:val="000000"/>
          <w:lang w:val="es-ES"/>
        </w:rPr>
        <w:t xml:space="preserve"> (PRN) en el mismo ojo </w:t>
      </w:r>
      <w:r w:rsidRPr="003E0B98">
        <w:rPr>
          <w:bCs/>
          <w:color w:val="000000"/>
          <w:lang w:val="es-ES"/>
        </w:rPr>
        <w:t>que</w:t>
      </w:r>
      <w:r w:rsidR="009C7FF4" w:rsidRPr="003E0B98">
        <w:rPr>
          <w:bCs/>
          <w:color w:val="000000"/>
          <w:lang w:val="es-ES"/>
        </w:rPr>
        <w:t xml:space="preserve"> en el ensayo </w:t>
      </w:r>
      <w:proofErr w:type="spellStart"/>
      <w:r w:rsidR="00174177">
        <w:rPr>
          <w:bCs/>
          <w:color w:val="000000"/>
          <w:lang w:val="es-ES"/>
        </w:rPr>
        <w:t>pivotal</w:t>
      </w:r>
      <w:proofErr w:type="spellEnd"/>
      <w:r w:rsidR="00174177" w:rsidRPr="003E0B98">
        <w:rPr>
          <w:bCs/>
          <w:color w:val="000000"/>
          <w:lang w:val="es-ES"/>
        </w:rPr>
        <w:t xml:space="preserve"> </w:t>
      </w:r>
      <w:r w:rsidRPr="003E0B98">
        <w:rPr>
          <w:bCs/>
          <w:color w:val="000000"/>
          <w:lang w:val="es-ES"/>
        </w:rPr>
        <w:t>(</w:t>
      </w:r>
      <w:r w:rsidR="009C7FF4" w:rsidRPr="003E0B98">
        <w:rPr>
          <w:bCs/>
          <w:color w:val="000000"/>
          <w:lang w:val="es-ES"/>
        </w:rPr>
        <w:t>D2301 RESTORE).</w:t>
      </w:r>
    </w:p>
    <w:p w14:paraId="3ED16F87" w14:textId="77777777" w:rsidR="009C7FF4" w:rsidRPr="003E0B98" w:rsidRDefault="009C7FF4" w:rsidP="004361AC">
      <w:pPr>
        <w:tabs>
          <w:tab w:val="clear" w:pos="567"/>
        </w:tabs>
        <w:spacing w:line="240" w:lineRule="auto"/>
        <w:rPr>
          <w:color w:val="000000"/>
          <w:szCs w:val="22"/>
          <w:lang w:val="es-ES"/>
        </w:rPr>
      </w:pPr>
    </w:p>
    <w:p w14:paraId="03B075F9" w14:textId="77777777" w:rsidR="009C7FF4" w:rsidRPr="003E0B98" w:rsidRDefault="009C7FF4" w:rsidP="004361AC">
      <w:pPr>
        <w:tabs>
          <w:tab w:val="clear" w:pos="567"/>
        </w:tabs>
        <w:spacing w:line="240" w:lineRule="auto"/>
        <w:rPr>
          <w:color w:val="000000"/>
          <w:szCs w:val="22"/>
          <w:lang w:val="es-ES"/>
        </w:rPr>
      </w:pPr>
      <w:r w:rsidRPr="003E0B98">
        <w:rPr>
          <w:color w:val="000000"/>
          <w:szCs w:val="22"/>
          <w:lang w:val="es-ES_tradnl"/>
        </w:rPr>
        <w:t xml:space="preserve">Los resultados </w:t>
      </w:r>
      <w:r w:rsidR="007E105C" w:rsidRPr="003E0B98">
        <w:rPr>
          <w:color w:val="000000"/>
          <w:szCs w:val="22"/>
          <w:lang w:val="es-ES_tradnl"/>
        </w:rPr>
        <w:t>principales</w:t>
      </w:r>
      <w:r w:rsidRPr="003E0B98">
        <w:rPr>
          <w:color w:val="000000"/>
          <w:szCs w:val="22"/>
          <w:lang w:val="es-ES_tradnl"/>
        </w:rPr>
        <w:t xml:space="preserve"> se resumen en la Tabla </w:t>
      </w:r>
      <w:r w:rsidR="007E105C" w:rsidRPr="003E0B98">
        <w:rPr>
          <w:color w:val="000000"/>
          <w:szCs w:val="22"/>
          <w:lang w:val="es-ES_tradnl"/>
        </w:rPr>
        <w:t>5</w:t>
      </w:r>
      <w:r w:rsidRPr="003E0B98">
        <w:rPr>
          <w:color w:val="000000"/>
          <w:szCs w:val="22"/>
          <w:lang w:val="es-ES_tradnl"/>
        </w:rPr>
        <w:t xml:space="preserve"> (RESTORE y Extensión) y en la Figura </w:t>
      </w:r>
      <w:r w:rsidR="007E105C" w:rsidRPr="003E0B98">
        <w:rPr>
          <w:color w:val="000000"/>
          <w:szCs w:val="22"/>
          <w:lang w:val="es-ES_tradnl"/>
        </w:rPr>
        <w:t>4</w:t>
      </w:r>
      <w:r w:rsidRPr="003E0B98">
        <w:rPr>
          <w:color w:val="000000"/>
          <w:szCs w:val="22"/>
          <w:lang w:val="es-ES_tradnl"/>
        </w:rPr>
        <w:t xml:space="preserve"> (RESTORE).</w:t>
      </w:r>
    </w:p>
    <w:p w14:paraId="23AA8276" w14:textId="77777777" w:rsidR="009C7FF4" w:rsidRPr="003E0B98" w:rsidRDefault="009C7FF4" w:rsidP="004361AC">
      <w:pPr>
        <w:tabs>
          <w:tab w:val="clear" w:pos="567"/>
        </w:tabs>
        <w:spacing w:line="240" w:lineRule="auto"/>
        <w:rPr>
          <w:bCs/>
          <w:lang w:val="es-ES_tradnl"/>
        </w:rPr>
      </w:pPr>
    </w:p>
    <w:p w14:paraId="5F5BBAC3" w14:textId="77777777" w:rsidR="009C7FF4" w:rsidRPr="003E0B98" w:rsidRDefault="009C7FF4" w:rsidP="004361AC">
      <w:pPr>
        <w:keepNext/>
        <w:keepLines/>
        <w:tabs>
          <w:tab w:val="clear" w:pos="567"/>
        </w:tabs>
        <w:spacing w:line="240" w:lineRule="auto"/>
        <w:ind w:left="1134" w:hanging="1134"/>
        <w:rPr>
          <w:b/>
          <w:color w:val="000000"/>
          <w:szCs w:val="22"/>
          <w:lang w:val="es-ES_tradnl"/>
        </w:rPr>
      </w:pPr>
      <w:r w:rsidRPr="003E0B98">
        <w:rPr>
          <w:b/>
          <w:bCs/>
          <w:iCs/>
          <w:color w:val="000000"/>
          <w:szCs w:val="22"/>
          <w:lang w:val="es-ES_tradnl"/>
        </w:rPr>
        <w:t>Figura </w:t>
      </w:r>
      <w:r w:rsidR="007E105C" w:rsidRPr="003E0B98">
        <w:rPr>
          <w:b/>
          <w:bCs/>
          <w:iCs/>
          <w:color w:val="000000"/>
          <w:szCs w:val="22"/>
          <w:lang w:val="es-ES_tradnl"/>
        </w:rPr>
        <w:t>4</w:t>
      </w:r>
      <w:r w:rsidRPr="003E0B98">
        <w:rPr>
          <w:b/>
          <w:bCs/>
          <w:iCs/>
          <w:color w:val="000000"/>
          <w:szCs w:val="22"/>
          <w:lang w:val="es-ES_tradnl"/>
        </w:rPr>
        <w:tab/>
      </w:r>
      <w:r w:rsidRPr="003E0B98">
        <w:rPr>
          <w:b/>
          <w:color w:val="000000"/>
          <w:szCs w:val="22"/>
          <w:lang w:val="es-ES_tradnl"/>
        </w:rPr>
        <w:t xml:space="preserve">Cambio </w:t>
      </w:r>
      <w:r w:rsidR="006006F4" w:rsidRPr="003E0B98">
        <w:rPr>
          <w:b/>
          <w:color w:val="000000"/>
          <w:szCs w:val="22"/>
          <w:lang w:val="es-ES_tradnl"/>
        </w:rPr>
        <w:t>pro</w:t>
      </w:r>
      <w:r w:rsidRPr="003E0B98">
        <w:rPr>
          <w:b/>
          <w:color w:val="000000"/>
          <w:szCs w:val="22"/>
          <w:lang w:val="es-ES_tradnl"/>
        </w:rPr>
        <w:t xml:space="preserve">medio </w:t>
      </w:r>
      <w:r w:rsidR="008222CB" w:rsidRPr="003E0B98">
        <w:rPr>
          <w:b/>
          <w:color w:val="000000"/>
          <w:szCs w:val="22"/>
          <w:lang w:val="es-ES_tradnl"/>
        </w:rPr>
        <w:t>de</w:t>
      </w:r>
      <w:r w:rsidRPr="003E0B98">
        <w:rPr>
          <w:b/>
          <w:color w:val="000000"/>
          <w:szCs w:val="22"/>
          <w:lang w:val="es-ES_tradnl"/>
        </w:rPr>
        <w:t xml:space="preserve"> la agudeza visual en el tiempo desde el inicio, en el estudio D2301 (RESTORE)</w:t>
      </w:r>
    </w:p>
    <w:p w14:paraId="5D18B922" w14:textId="77777777" w:rsidR="009C7FF4" w:rsidRPr="003E0B98" w:rsidRDefault="009C7FF4" w:rsidP="004361AC">
      <w:pPr>
        <w:keepNext/>
        <w:keepLines/>
        <w:tabs>
          <w:tab w:val="clear" w:pos="567"/>
        </w:tabs>
        <w:spacing w:line="240" w:lineRule="auto"/>
        <w:rPr>
          <w:color w:val="000000"/>
          <w:szCs w:val="22"/>
          <w:lang w:val="es-ES_tradnl"/>
        </w:rPr>
      </w:pPr>
    </w:p>
    <w:p w14:paraId="18833594" w14:textId="5039EF40" w:rsidR="001B4FEA" w:rsidRPr="003E0B98" w:rsidRDefault="00567F61" w:rsidP="004361AC">
      <w:pPr>
        <w:tabs>
          <w:tab w:val="clear" w:pos="567"/>
        </w:tabs>
        <w:spacing w:line="240" w:lineRule="auto"/>
        <w:rPr>
          <w:color w:val="000000"/>
          <w:szCs w:val="22"/>
          <w:lang w:val="es-ES_tradnl"/>
        </w:rPr>
      </w:pPr>
      <w:r w:rsidRPr="003E0B98">
        <w:rPr>
          <w:noProof/>
          <w:lang w:val="es-ES" w:eastAsia="es-ES"/>
        </w:rPr>
        <w:drawing>
          <wp:inline distT="0" distB="0" distL="0" distR="0" wp14:anchorId="599C5CF7" wp14:editId="774474FB">
            <wp:extent cx="5760085" cy="3752215"/>
            <wp:effectExtent l="0" t="0" r="0" b="63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60085" cy="3752215"/>
                    </a:xfrm>
                    <a:prstGeom prst="rect">
                      <a:avLst/>
                    </a:prstGeom>
                  </pic:spPr>
                </pic:pic>
              </a:graphicData>
            </a:graphic>
          </wp:inline>
        </w:drawing>
      </w:r>
    </w:p>
    <w:p w14:paraId="7CAB3BA4" w14:textId="77777777" w:rsidR="001B4FEA" w:rsidRPr="003E0B98" w:rsidRDefault="001B4FEA" w:rsidP="004361AC">
      <w:pPr>
        <w:tabs>
          <w:tab w:val="clear" w:pos="567"/>
        </w:tabs>
        <w:spacing w:line="240" w:lineRule="auto"/>
        <w:rPr>
          <w:color w:val="000000"/>
          <w:szCs w:val="22"/>
          <w:lang w:val="es-ES_tradnl"/>
        </w:rPr>
      </w:pPr>
    </w:p>
    <w:p w14:paraId="271A70D7" w14:textId="77777777" w:rsidR="00D1338D" w:rsidRPr="00EA2C69" w:rsidRDefault="00D1338D" w:rsidP="004361AC">
      <w:pPr>
        <w:pStyle w:val="NoSpacing"/>
        <w:rPr>
          <w:lang w:val="es-ES_tradnl"/>
        </w:rPr>
      </w:pPr>
      <w:r w:rsidRPr="00EA2C69">
        <w:rPr>
          <w:lang w:val="es-ES_tradnl"/>
        </w:rPr>
        <w:t>BL=valor inicial; ES= error estándar de la media</w:t>
      </w:r>
    </w:p>
    <w:p w14:paraId="3C67AF37" w14:textId="624195D7" w:rsidR="00D1338D" w:rsidRPr="00EA2C69" w:rsidRDefault="00D1338D" w:rsidP="004361AC">
      <w:pPr>
        <w:pStyle w:val="NoSpacing"/>
        <w:rPr>
          <w:lang w:val="es-ES_tradnl"/>
        </w:rPr>
      </w:pPr>
      <w:r w:rsidRPr="00EA2C69">
        <w:rPr>
          <w:lang w:val="es-ES_tradnl"/>
        </w:rPr>
        <w:t>* Diferencia de medias de mínimos cuadrados, p</w:t>
      </w:r>
      <w:r w:rsidRPr="00EA2C69">
        <w:rPr>
          <w:lang w:val="en-GB"/>
        </w:rPr>
        <w:sym w:font="Symbol" w:char="F03C"/>
      </w:r>
      <w:r w:rsidRPr="00EA2C69">
        <w:rPr>
          <w:lang w:val="es-ES_tradnl"/>
        </w:rPr>
        <w:t xml:space="preserve">0,0001/0,0004 basado en </w:t>
      </w:r>
      <w:r w:rsidR="007E4718">
        <w:rPr>
          <w:lang w:val="es-ES_tradnl"/>
        </w:rPr>
        <w:t xml:space="preserve">la prueba de datos estratificados emparejados </w:t>
      </w:r>
      <w:r w:rsidRPr="00EA2C69">
        <w:rPr>
          <w:lang w:val="es-ES_tradnl"/>
        </w:rPr>
        <w:t>de Cochran-Mantel-</w:t>
      </w:r>
      <w:proofErr w:type="spellStart"/>
      <w:r w:rsidRPr="00EA2C69">
        <w:rPr>
          <w:lang w:val="es-ES_tradnl"/>
        </w:rPr>
        <w:t>Haenszel</w:t>
      </w:r>
      <w:proofErr w:type="spellEnd"/>
    </w:p>
    <w:p w14:paraId="70B992EA" w14:textId="77777777" w:rsidR="00D1338D" w:rsidRDefault="00D1338D" w:rsidP="004361AC">
      <w:pPr>
        <w:tabs>
          <w:tab w:val="clear" w:pos="567"/>
        </w:tabs>
        <w:spacing w:line="240" w:lineRule="auto"/>
        <w:rPr>
          <w:color w:val="000000"/>
          <w:szCs w:val="22"/>
          <w:lang w:val="es-ES_tradnl"/>
        </w:rPr>
      </w:pPr>
    </w:p>
    <w:p w14:paraId="501BEA5A" w14:textId="77777777" w:rsidR="009C7FF4" w:rsidRPr="003E0B98" w:rsidRDefault="009C7FF4" w:rsidP="004361AC">
      <w:pPr>
        <w:tabs>
          <w:tab w:val="clear" w:pos="567"/>
        </w:tabs>
        <w:spacing w:line="240" w:lineRule="auto"/>
        <w:rPr>
          <w:bCs/>
          <w:iCs/>
          <w:color w:val="000000"/>
          <w:szCs w:val="22"/>
          <w:lang w:val="es-ES_tradnl"/>
        </w:rPr>
      </w:pPr>
      <w:r w:rsidRPr="003E0B98">
        <w:rPr>
          <w:color w:val="000000"/>
          <w:szCs w:val="22"/>
          <w:lang w:val="es-ES_tradnl"/>
        </w:rPr>
        <w:t xml:space="preserve">El efecto a los 12 meses fue consistente en la mayoría de </w:t>
      </w:r>
      <w:proofErr w:type="gramStart"/>
      <w:r w:rsidRPr="003E0B98">
        <w:rPr>
          <w:color w:val="000000"/>
          <w:szCs w:val="22"/>
          <w:lang w:val="es-ES_tradnl"/>
        </w:rPr>
        <w:t>subgrupos</w:t>
      </w:r>
      <w:proofErr w:type="gramEnd"/>
      <w:r w:rsidRPr="003E0B98">
        <w:rPr>
          <w:color w:val="000000"/>
          <w:szCs w:val="22"/>
          <w:lang w:val="es-ES_tradnl"/>
        </w:rPr>
        <w:t xml:space="preserve">. Sin embargo, sujetos con una AVMC al inicio &gt;73 letras y con un edema macular con un grosor de la retina central </w:t>
      </w:r>
      <w:r w:rsidRPr="003E0B98">
        <w:rPr>
          <w:bCs/>
          <w:iCs/>
          <w:color w:val="000000"/>
          <w:szCs w:val="22"/>
          <w:lang w:val="es-ES_tradnl"/>
        </w:rPr>
        <w:t>&lt;300 </w:t>
      </w:r>
      <w:r w:rsidRPr="003E0B98">
        <w:rPr>
          <w:bCs/>
          <w:iCs/>
          <w:color w:val="000000"/>
          <w:szCs w:val="22"/>
        </w:rPr>
        <w:sym w:font="Symbol" w:char="F06D"/>
      </w:r>
      <w:r w:rsidRPr="003E0B98">
        <w:rPr>
          <w:bCs/>
          <w:iCs/>
          <w:color w:val="000000"/>
          <w:szCs w:val="22"/>
          <w:lang w:val="es-ES_tradnl"/>
        </w:rPr>
        <w:t xml:space="preserve">m, no parecían beneficiarse del tratamiento con </w:t>
      </w:r>
      <w:proofErr w:type="spellStart"/>
      <w:r w:rsidRPr="003E0B98">
        <w:rPr>
          <w:bCs/>
          <w:iCs/>
          <w:color w:val="000000"/>
          <w:szCs w:val="22"/>
          <w:lang w:val="es-ES_tradnl"/>
        </w:rPr>
        <w:t>ranibizumab</w:t>
      </w:r>
      <w:proofErr w:type="spellEnd"/>
      <w:r w:rsidRPr="003E0B98">
        <w:rPr>
          <w:bCs/>
          <w:iCs/>
          <w:color w:val="000000"/>
          <w:szCs w:val="22"/>
          <w:lang w:val="es-ES_tradnl"/>
        </w:rPr>
        <w:t xml:space="preserve"> comparado con la fotocoagulación con láser.</w:t>
      </w:r>
    </w:p>
    <w:p w14:paraId="59FA6E90" w14:textId="77777777" w:rsidR="009C7FF4" w:rsidRPr="003E0B98" w:rsidRDefault="009C7FF4" w:rsidP="004361AC">
      <w:pPr>
        <w:tabs>
          <w:tab w:val="clear" w:pos="567"/>
        </w:tabs>
        <w:spacing w:line="240" w:lineRule="auto"/>
        <w:rPr>
          <w:color w:val="000000"/>
          <w:szCs w:val="22"/>
          <w:lang w:val="es-ES_tradnl"/>
        </w:rPr>
      </w:pPr>
    </w:p>
    <w:p w14:paraId="77706B6B" w14:textId="77777777" w:rsidR="009C7FF4" w:rsidRPr="003E0B98" w:rsidRDefault="009C7FF4" w:rsidP="004361AC">
      <w:pPr>
        <w:keepNext/>
        <w:keepLines/>
        <w:ind w:left="1134" w:hanging="1134"/>
        <w:rPr>
          <w:b/>
          <w:bCs/>
          <w:iCs/>
          <w:color w:val="000000"/>
          <w:szCs w:val="22"/>
          <w:lang w:val="es-ES"/>
        </w:rPr>
      </w:pPr>
      <w:r w:rsidRPr="003E0B98">
        <w:rPr>
          <w:b/>
          <w:bCs/>
          <w:iCs/>
          <w:color w:val="000000"/>
          <w:szCs w:val="22"/>
          <w:lang w:val="es-ES"/>
        </w:rPr>
        <w:t>Tabla </w:t>
      </w:r>
      <w:r w:rsidR="007E105C" w:rsidRPr="003E0B98">
        <w:rPr>
          <w:b/>
          <w:bCs/>
          <w:iCs/>
          <w:color w:val="000000"/>
          <w:szCs w:val="22"/>
          <w:lang w:val="es-ES"/>
        </w:rPr>
        <w:t>5</w:t>
      </w:r>
      <w:r w:rsidRPr="003E0B98">
        <w:rPr>
          <w:b/>
          <w:bCs/>
          <w:iCs/>
          <w:color w:val="000000"/>
          <w:szCs w:val="22"/>
          <w:lang w:val="es-ES"/>
        </w:rPr>
        <w:tab/>
      </w:r>
      <w:r w:rsidRPr="003E0B98">
        <w:rPr>
          <w:b/>
          <w:color w:val="000000"/>
          <w:szCs w:val="22"/>
          <w:lang w:val="es-ES_tradnl"/>
        </w:rPr>
        <w:t>Resultados al Mes 12 en el estudio D2301 (RESTORE) y al Mes</w:t>
      </w:r>
      <w:r w:rsidRPr="003E0B98">
        <w:rPr>
          <w:b/>
          <w:bCs/>
          <w:iCs/>
          <w:color w:val="000000"/>
          <w:szCs w:val="22"/>
          <w:lang w:val="es-ES"/>
        </w:rPr>
        <w:t xml:space="preserve"> 36 </w:t>
      </w:r>
      <w:r w:rsidRPr="003E0B98">
        <w:rPr>
          <w:b/>
          <w:color w:val="000000"/>
          <w:szCs w:val="22"/>
          <w:lang w:val="es-ES_tradnl"/>
        </w:rPr>
        <w:t xml:space="preserve">en el estudio </w:t>
      </w:r>
      <w:r w:rsidRPr="003E0B98">
        <w:rPr>
          <w:b/>
          <w:bCs/>
          <w:iCs/>
          <w:color w:val="000000"/>
          <w:szCs w:val="22"/>
          <w:lang w:val="es-ES"/>
        </w:rPr>
        <w:t>D2301-E1 (Extensión del estudio RESTORE)</w:t>
      </w:r>
    </w:p>
    <w:p w14:paraId="2ED5D14C" w14:textId="77777777" w:rsidR="009C7FF4" w:rsidRPr="003E0B98" w:rsidRDefault="009C7FF4" w:rsidP="004361AC">
      <w:pPr>
        <w:keepNext/>
        <w:keepLines/>
        <w:rPr>
          <w:bCs/>
          <w:iCs/>
          <w:color w:val="000000"/>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3971"/>
        <w:gridCol w:w="1834"/>
        <w:gridCol w:w="1964"/>
        <w:gridCol w:w="1292"/>
      </w:tblGrid>
      <w:tr w:rsidR="009C7FF4" w:rsidRPr="003E0B98" w14:paraId="1B6C3EA5" w14:textId="77777777" w:rsidTr="00FF2CF4">
        <w:trPr>
          <w:trHeight w:val="932"/>
        </w:trPr>
        <w:tc>
          <w:tcPr>
            <w:tcW w:w="4069" w:type="dxa"/>
            <w:tcBorders>
              <w:top w:val="single" w:sz="4" w:space="0" w:color="auto"/>
              <w:left w:val="single" w:sz="4" w:space="0" w:color="auto"/>
              <w:bottom w:val="single" w:sz="4" w:space="0" w:color="auto"/>
              <w:right w:val="single" w:sz="4" w:space="0" w:color="auto"/>
            </w:tcBorders>
            <w:shd w:val="clear" w:color="auto" w:fill="FFFFFF"/>
          </w:tcPr>
          <w:p w14:paraId="5BCB19F6" w14:textId="77777777" w:rsidR="009C7FF4" w:rsidRPr="003E0B98" w:rsidRDefault="009C7FF4" w:rsidP="004361AC">
            <w:pPr>
              <w:keepNext/>
              <w:rPr>
                <w:bCs/>
                <w:iCs/>
                <w:color w:val="000000"/>
                <w:szCs w:val="22"/>
                <w:lang w:val="es-ES"/>
              </w:rPr>
            </w:pPr>
            <w:r w:rsidRPr="003E0B98">
              <w:rPr>
                <w:color w:val="000000"/>
                <w:lang w:val="es-ES_tradnl"/>
              </w:rPr>
              <w:t>Medidas del resultado al Mes 12</w:t>
            </w:r>
            <w:r w:rsidRPr="003E0B98">
              <w:rPr>
                <w:bCs/>
                <w:iCs/>
                <w:color w:val="000000"/>
                <w:szCs w:val="22"/>
                <w:lang w:val="es-ES_tradnl"/>
              </w:rPr>
              <w:t xml:space="preserve"> comparado con el valor inicial</w:t>
            </w:r>
            <w:r w:rsidRPr="003E0B98">
              <w:rPr>
                <w:bCs/>
                <w:iCs/>
                <w:color w:val="000000"/>
                <w:szCs w:val="22"/>
                <w:lang w:val="es-ES"/>
              </w:rPr>
              <w:t xml:space="preserve"> en el estudio D2301 (RESTORE)</w:t>
            </w:r>
          </w:p>
        </w:tc>
        <w:tc>
          <w:tcPr>
            <w:tcW w:w="1851" w:type="dxa"/>
            <w:tcBorders>
              <w:top w:val="single" w:sz="4" w:space="0" w:color="auto"/>
              <w:left w:val="single" w:sz="4" w:space="0" w:color="auto"/>
              <w:bottom w:val="single" w:sz="4" w:space="0" w:color="auto"/>
              <w:right w:val="single" w:sz="4" w:space="0" w:color="auto"/>
            </w:tcBorders>
            <w:shd w:val="clear" w:color="auto" w:fill="FFFFFF"/>
          </w:tcPr>
          <w:p w14:paraId="19AFEBE7" w14:textId="77777777" w:rsidR="009C7FF4" w:rsidRPr="003E0B98" w:rsidRDefault="009C7FF4" w:rsidP="004361AC">
            <w:pPr>
              <w:keepNext/>
              <w:jc w:val="center"/>
              <w:rPr>
                <w:bCs/>
                <w:iCs/>
                <w:color w:val="000000"/>
                <w:szCs w:val="22"/>
                <w:lang w:val="sv-SE"/>
              </w:rPr>
            </w:pPr>
            <w:r w:rsidRPr="003E0B98">
              <w:rPr>
                <w:bCs/>
                <w:iCs/>
                <w:color w:val="000000"/>
                <w:szCs w:val="22"/>
                <w:lang w:val="sv-SE"/>
              </w:rPr>
              <w:t>Ranibizumab</w:t>
            </w:r>
          </w:p>
          <w:p w14:paraId="0CF9C839" w14:textId="77777777" w:rsidR="009C7FF4" w:rsidRPr="003E0B98" w:rsidRDefault="009C7FF4" w:rsidP="004361AC">
            <w:pPr>
              <w:keepNext/>
              <w:jc w:val="center"/>
              <w:rPr>
                <w:bCs/>
                <w:iCs/>
                <w:color w:val="000000"/>
                <w:szCs w:val="22"/>
                <w:lang w:val="sv-SE"/>
              </w:rPr>
            </w:pPr>
            <w:r w:rsidRPr="003E0B98">
              <w:rPr>
                <w:bCs/>
                <w:iCs/>
                <w:color w:val="000000"/>
                <w:szCs w:val="22"/>
                <w:lang w:val="sv-SE"/>
              </w:rPr>
              <w:t>0,5 mg</w:t>
            </w:r>
          </w:p>
          <w:p w14:paraId="6582FB3C" w14:textId="77777777" w:rsidR="009C7FF4" w:rsidRPr="003E0B98" w:rsidRDefault="009C7FF4" w:rsidP="004361AC">
            <w:pPr>
              <w:keepNext/>
              <w:jc w:val="center"/>
              <w:rPr>
                <w:bCs/>
                <w:iCs/>
                <w:color w:val="000000"/>
                <w:szCs w:val="22"/>
                <w:lang w:val="sv-SE"/>
              </w:rPr>
            </w:pPr>
            <w:r w:rsidRPr="003E0B98">
              <w:rPr>
                <w:bCs/>
                <w:iCs/>
                <w:color w:val="000000"/>
                <w:szCs w:val="22"/>
                <w:lang w:val="sv-SE"/>
              </w:rPr>
              <w:t>n=115</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6CED2667" w14:textId="77777777" w:rsidR="009C7FF4" w:rsidRPr="003E0B98" w:rsidRDefault="009C7FF4" w:rsidP="004361AC">
            <w:pPr>
              <w:keepNext/>
              <w:jc w:val="center"/>
              <w:rPr>
                <w:bCs/>
                <w:iCs/>
                <w:color w:val="000000"/>
                <w:szCs w:val="22"/>
                <w:lang w:val="sv-SE"/>
              </w:rPr>
            </w:pPr>
            <w:r w:rsidRPr="003E0B98">
              <w:rPr>
                <w:bCs/>
                <w:iCs/>
                <w:color w:val="000000"/>
                <w:szCs w:val="22"/>
                <w:lang w:val="sv-SE"/>
              </w:rPr>
              <w:t>Ranibizumab</w:t>
            </w:r>
          </w:p>
          <w:p w14:paraId="60E7360D" w14:textId="77777777" w:rsidR="009C7FF4" w:rsidRPr="003E0B98" w:rsidRDefault="009C7FF4" w:rsidP="004361AC">
            <w:pPr>
              <w:keepNext/>
              <w:jc w:val="center"/>
              <w:rPr>
                <w:bCs/>
                <w:iCs/>
                <w:color w:val="000000"/>
                <w:szCs w:val="22"/>
                <w:lang w:val="en-US"/>
              </w:rPr>
            </w:pPr>
            <w:r w:rsidRPr="003E0B98">
              <w:rPr>
                <w:bCs/>
                <w:iCs/>
                <w:color w:val="000000"/>
                <w:szCs w:val="22"/>
                <w:lang w:val="sv-SE"/>
              </w:rPr>
              <w:t>0,5 mg + Láser</w:t>
            </w:r>
            <w:r w:rsidRPr="003E0B98">
              <w:rPr>
                <w:bCs/>
                <w:iCs/>
                <w:color w:val="000000"/>
                <w:szCs w:val="22"/>
                <w:lang w:val="en-US"/>
              </w:rPr>
              <w:t xml:space="preserve"> n=118</w:t>
            </w:r>
          </w:p>
        </w:tc>
        <w:tc>
          <w:tcPr>
            <w:tcW w:w="1292" w:type="dxa"/>
            <w:tcBorders>
              <w:top w:val="single" w:sz="4" w:space="0" w:color="auto"/>
              <w:left w:val="single" w:sz="4" w:space="0" w:color="auto"/>
              <w:bottom w:val="single" w:sz="4" w:space="0" w:color="auto"/>
              <w:right w:val="single" w:sz="4" w:space="0" w:color="auto"/>
            </w:tcBorders>
            <w:shd w:val="clear" w:color="auto" w:fill="FFFFFF"/>
          </w:tcPr>
          <w:p w14:paraId="21117BA6" w14:textId="77777777" w:rsidR="009C7FF4" w:rsidRPr="003E0B98" w:rsidRDefault="009C7FF4" w:rsidP="004361AC">
            <w:pPr>
              <w:keepNext/>
              <w:jc w:val="center"/>
              <w:rPr>
                <w:bCs/>
                <w:iCs/>
                <w:color w:val="000000"/>
                <w:szCs w:val="22"/>
                <w:lang w:val="en-US"/>
              </w:rPr>
            </w:pPr>
            <w:r w:rsidRPr="003E0B98">
              <w:rPr>
                <w:bCs/>
                <w:iCs/>
                <w:color w:val="000000"/>
                <w:szCs w:val="22"/>
                <w:lang w:val="sv-SE"/>
              </w:rPr>
              <w:t>Láser</w:t>
            </w:r>
          </w:p>
          <w:p w14:paraId="36C14A80" w14:textId="77777777" w:rsidR="009C7FF4" w:rsidRPr="003E0B98" w:rsidRDefault="009C7FF4" w:rsidP="004361AC">
            <w:pPr>
              <w:keepNext/>
              <w:jc w:val="center"/>
              <w:rPr>
                <w:bCs/>
                <w:iCs/>
                <w:color w:val="000000"/>
                <w:szCs w:val="22"/>
                <w:lang w:val="en-US"/>
              </w:rPr>
            </w:pPr>
          </w:p>
          <w:p w14:paraId="3053D702" w14:textId="77777777" w:rsidR="009C7FF4" w:rsidRPr="003E0B98" w:rsidRDefault="009C7FF4" w:rsidP="004361AC">
            <w:pPr>
              <w:keepNext/>
              <w:jc w:val="center"/>
              <w:rPr>
                <w:bCs/>
                <w:iCs/>
                <w:color w:val="000000"/>
                <w:szCs w:val="22"/>
                <w:lang w:val="sv-SE"/>
              </w:rPr>
            </w:pPr>
            <w:r w:rsidRPr="003E0B98">
              <w:rPr>
                <w:bCs/>
                <w:iCs/>
                <w:color w:val="000000"/>
                <w:szCs w:val="22"/>
                <w:lang w:val="en-US"/>
              </w:rPr>
              <w:t>n=110</w:t>
            </w:r>
          </w:p>
        </w:tc>
      </w:tr>
      <w:tr w:rsidR="009C7FF4" w:rsidRPr="003E0B98" w14:paraId="1AB4F2E5" w14:textId="77777777" w:rsidTr="00FF2CF4">
        <w:trPr>
          <w:trHeight w:val="270"/>
        </w:trPr>
        <w:tc>
          <w:tcPr>
            <w:tcW w:w="4069" w:type="dxa"/>
            <w:tcBorders>
              <w:top w:val="single" w:sz="4" w:space="0" w:color="auto"/>
              <w:left w:val="single" w:sz="4" w:space="0" w:color="auto"/>
              <w:bottom w:val="single" w:sz="4" w:space="0" w:color="auto"/>
              <w:right w:val="single" w:sz="4" w:space="0" w:color="auto"/>
            </w:tcBorders>
            <w:shd w:val="clear" w:color="auto" w:fill="FFFFFF"/>
          </w:tcPr>
          <w:p w14:paraId="22AC0E65" w14:textId="77777777" w:rsidR="009C7FF4" w:rsidRPr="003E0B98" w:rsidRDefault="009C7FF4" w:rsidP="004361AC">
            <w:pPr>
              <w:keepNext/>
              <w:rPr>
                <w:bCs/>
                <w:iCs/>
                <w:color w:val="000000"/>
                <w:szCs w:val="22"/>
                <w:lang w:val="es-ES"/>
              </w:rPr>
            </w:pPr>
            <w:r w:rsidRPr="003E0B98">
              <w:rPr>
                <w:color w:val="000000"/>
                <w:szCs w:val="22"/>
                <w:lang w:val="es-ES_tradnl"/>
              </w:rPr>
              <w:t xml:space="preserve">Cambio </w:t>
            </w:r>
            <w:r w:rsidR="006006F4" w:rsidRPr="003E0B98">
              <w:rPr>
                <w:color w:val="000000"/>
                <w:szCs w:val="22"/>
                <w:lang w:val="es-ES_tradnl"/>
              </w:rPr>
              <w:t>pro</w:t>
            </w:r>
            <w:r w:rsidRPr="003E0B98">
              <w:rPr>
                <w:color w:val="000000"/>
                <w:szCs w:val="22"/>
                <w:lang w:val="es-ES_tradnl"/>
              </w:rPr>
              <w:t xml:space="preserve">medio </w:t>
            </w:r>
            <w:r w:rsidR="008222CB" w:rsidRPr="003E0B98">
              <w:rPr>
                <w:color w:val="000000"/>
                <w:szCs w:val="22"/>
                <w:lang w:val="es-ES_tradnl"/>
              </w:rPr>
              <w:t>de</w:t>
            </w:r>
            <w:r w:rsidRPr="003E0B98">
              <w:rPr>
                <w:color w:val="000000"/>
                <w:szCs w:val="22"/>
                <w:lang w:val="es-ES_tradnl"/>
              </w:rPr>
              <w:t xml:space="preserve"> la AVMC desde el Mes 1 al Mes 12</w:t>
            </w:r>
            <w:r w:rsidRPr="003E0B98">
              <w:rPr>
                <w:color w:val="000000"/>
                <w:szCs w:val="22"/>
                <w:vertAlign w:val="superscript"/>
                <w:lang w:val="es-ES_tradnl"/>
              </w:rPr>
              <w:t>a</w:t>
            </w:r>
            <w:r w:rsidRPr="003E0B98">
              <w:rPr>
                <w:bCs/>
                <w:iCs/>
                <w:color w:val="000000"/>
                <w:szCs w:val="22"/>
                <w:lang w:val="es-ES_tradnl"/>
              </w:rPr>
              <w:t xml:space="preserve"> (</w:t>
            </w:r>
            <w:r w:rsidRPr="003E0B98">
              <w:rPr>
                <w:bCs/>
                <w:iCs/>
                <w:color w:val="000000"/>
                <w:szCs w:val="22"/>
                <w:lang w:val="en-US"/>
              </w:rPr>
              <w:sym w:font="Symbol" w:char="F0B1"/>
            </w:r>
            <w:r w:rsidRPr="003E0B98">
              <w:rPr>
                <w:bCs/>
                <w:iCs/>
                <w:color w:val="000000"/>
                <w:szCs w:val="22"/>
                <w:lang w:val="es-ES_tradnl"/>
              </w:rPr>
              <w:t>desviación estándar)</w:t>
            </w:r>
          </w:p>
        </w:tc>
        <w:tc>
          <w:tcPr>
            <w:tcW w:w="1851" w:type="dxa"/>
            <w:tcBorders>
              <w:top w:val="single" w:sz="4" w:space="0" w:color="auto"/>
              <w:left w:val="single" w:sz="4" w:space="0" w:color="auto"/>
              <w:bottom w:val="single" w:sz="4" w:space="0" w:color="auto"/>
              <w:right w:val="single" w:sz="4" w:space="0" w:color="auto"/>
            </w:tcBorders>
            <w:shd w:val="clear" w:color="auto" w:fill="FFFFFF"/>
          </w:tcPr>
          <w:p w14:paraId="3DB0F2FC" w14:textId="77777777" w:rsidR="009C7FF4" w:rsidRPr="003E0B98" w:rsidRDefault="009C7FF4" w:rsidP="004361AC">
            <w:pPr>
              <w:keepNext/>
              <w:jc w:val="center"/>
              <w:rPr>
                <w:bCs/>
                <w:iCs/>
                <w:color w:val="000000"/>
                <w:szCs w:val="22"/>
                <w:lang w:val="en-US"/>
              </w:rPr>
            </w:pPr>
            <w:r w:rsidRPr="003E0B98">
              <w:rPr>
                <w:bCs/>
                <w:iCs/>
                <w:color w:val="000000"/>
                <w:szCs w:val="22"/>
                <w:lang w:val="sv-SE"/>
              </w:rPr>
              <w:t>6,1 (6,4)</w:t>
            </w:r>
            <w:r w:rsidRPr="003E0B98">
              <w:rPr>
                <w:bCs/>
                <w:iCs/>
                <w:color w:val="000000"/>
                <w:szCs w:val="22"/>
                <w:vertAlign w:val="superscript"/>
                <w:lang w:val="sv-SE"/>
              </w:rPr>
              <w:t>a</w:t>
            </w:r>
          </w:p>
        </w:tc>
        <w:tc>
          <w:tcPr>
            <w:tcW w:w="1985" w:type="dxa"/>
            <w:tcBorders>
              <w:top w:val="single" w:sz="4" w:space="0" w:color="auto"/>
              <w:left w:val="single" w:sz="4" w:space="0" w:color="auto"/>
              <w:bottom w:val="single" w:sz="4" w:space="0" w:color="auto"/>
              <w:right w:val="single" w:sz="2" w:space="0" w:color="auto"/>
            </w:tcBorders>
            <w:shd w:val="clear" w:color="auto" w:fill="FFFFFF"/>
          </w:tcPr>
          <w:p w14:paraId="48669386" w14:textId="77777777" w:rsidR="009C7FF4" w:rsidRPr="003E0B98" w:rsidRDefault="009C7FF4" w:rsidP="004361AC">
            <w:pPr>
              <w:keepNext/>
              <w:jc w:val="center"/>
              <w:rPr>
                <w:bCs/>
                <w:iCs/>
                <w:color w:val="000000"/>
                <w:szCs w:val="22"/>
                <w:lang w:val="en-US"/>
              </w:rPr>
            </w:pPr>
            <w:r w:rsidRPr="003E0B98">
              <w:rPr>
                <w:bCs/>
                <w:iCs/>
                <w:color w:val="000000"/>
                <w:szCs w:val="22"/>
                <w:lang w:val="sv-SE"/>
              </w:rPr>
              <w:t>5,9 (7,9)</w:t>
            </w:r>
            <w:r w:rsidRPr="003E0B98">
              <w:rPr>
                <w:bCs/>
                <w:iCs/>
                <w:color w:val="000000"/>
                <w:szCs w:val="22"/>
                <w:vertAlign w:val="superscript"/>
                <w:lang w:val="sv-SE"/>
              </w:rPr>
              <w:t>a</w:t>
            </w:r>
          </w:p>
        </w:tc>
        <w:tc>
          <w:tcPr>
            <w:tcW w:w="1292" w:type="dxa"/>
            <w:tcBorders>
              <w:top w:val="single" w:sz="4" w:space="0" w:color="auto"/>
              <w:left w:val="single" w:sz="2" w:space="0" w:color="auto"/>
              <w:bottom w:val="single" w:sz="4" w:space="0" w:color="auto"/>
              <w:right w:val="single" w:sz="4" w:space="0" w:color="auto"/>
            </w:tcBorders>
            <w:shd w:val="clear" w:color="auto" w:fill="FFFFFF"/>
          </w:tcPr>
          <w:p w14:paraId="22365DB0" w14:textId="77777777" w:rsidR="009C7FF4" w:rsidRPr="003E0B98" w:rsidRDefault="009C7FF4" w:rsidP="004361AC">
            <w:pPr>
              <w:keepNext/>
              <w:jc w:val="center"/>
              <w:rPr>
                <w:bCs/>
                <w:iCs/>
                <w:color w:val="000000"/>
                <w:szCs w:val="22"/>
                <w:lang w:val="en-US"/>
              </w:rPr>
            </w:pPr>
            <w:r w:rsidRPr="003E0B98">
              <w:rPr>
                <w:bCs/>
                <w:iCs/>
                <w:color w:val="000000"/>
                <w:szCs w:val="22"/>
                <w:lang w:val="sv-SE"/>
              </w:rPr>
              <w:t>0,8 (8,6)</w:t>
            </w:r>
          </w:p>
        </w:tc>
      </w:tr>
      <w:tr w:rsidR="009C7FF4" w:rsidRPr="003E0B98" w14:paraId="7A8C4311" w14:textId="77777777" w:rsidTr="00FF2CF4">
        <w:trPr>
          <w:trHeight w:val="270"/>
        </w:trPr>
        <w:tc>
          <w:tcPr>
            <w:tcW w:w="4069" w:type="dxa"/>
            <w:tcBorders>
              <w:top w:val="single" w:sz="4" w:space="0" w:color="auto"/>
              <w:left w:val="single" w:sz="4" w:space="0" w:color="auto"/>
              <w:bottom w:val="single" w:sz="4" w:space="0" w:color="auto"/>
              <w:right w:val="single" w:sz="4" w:space="0" w:color="auto"/>
            </w:tcBorders>
            <w:shd w:val="clear" w:color="auto" w:fill="FFFFFF"/>
          </w:tcPr>
          <w:p w14:paraId="2AD6F962" w14:textId="77777777" w:rsidR="009C7FF4" w:rsidRPr="003E0B98" w:rsidRDefault="009C7FF4" w:rsidP="004361AC">
            <w:pPr>
              <w:keepNext/>
              <w:rPr>
                <w:bCs/>
                <w:iCs/>
                <w:color w:val="000000"/>
                <w:szCs w:val="22"/>
                <w:lang w:val="es-ES"/>
              </w:rPr>
            </w:pPr>
            <w:r w:rsidRPr="003E0B98">
              <w:rPr>
                <w:color w:val="000000"/>
                <w:szCs w:val="22"/>
                <w:lang w:val="es-ES_tradnl"/>
              </w:rPr>
              <w:t xml:space="preserve">Cambio </w:t>
            </w:r>
            <w:r w:rsidR="006006F4" w:rsidRPr="003E0B98">
              <w:rPr>
                <w:color w:val="000000"/>
                <w:szCs w:val="22"/>
                <w:lang w:val="es-ES_tradnl"/>
              </w:rPr>
              <w:t>pro</w:t>
            </w:r>
            <w:r w:rsidRPr="003E0B98">
              <w:rPr>
                <w:color w:val="000000"/>
                <w:szCs w:val="22"/>
                <w:lang w:val="es-ES_tradnl"/>
              </w:rPr>
              <w:t xml:space="preserve">medio </w:t>
            </w:r>
            <w:r w:rsidR="008222CB" w:rsidRPr="003E0B98">
              <w:rPr>
                <w:color w:val="000000"/>
                <w:szCs w:val="22"/>
                <w:lang w:val="es-ES_tradnl"/>
              </w:rPr>
              <w:t>de</w:t>
            </w:r>
            <w:r w:rsidRPr="003E0B98">
              <w:rPr>
                <w:color w:val="000000"/>
                <w:szCs w:val="22"/>
                <w:lang w:val="es-ES_tradnl"/>
              </w:rPr>
              <w:t xml:space="preserve"> la AVMC al Mes 12</w:t>
            </w:r>
            <w:r w:rsidRPr="003E0B98">
              <w:rPr>
                <w:bCs/>
                <w:iCs/>
                <w:color w:val="000000"/>
                <w:szCs w:val="22"/>
                <w:lang w:val="es-ES_tradnl"/>
              </w:rPr>
              <w:t xml:space="preserve"> (</w:t>
            </w:r>
            <w:r w:rsidRPr="003E0B98">
              <w:rPr>
                <w:bCs/>
                <w:iCs/>
                <w:color w:val="000000"/>
                <w:szCs w:val="22"/>
                <w:lang w:val="en-US"/>
              </w:rPr>
              <w:sym w:font="Symbol" w:char="F0B1"/>
            </w:r>
            <w:r w:rsidRPr="003E0B98">
              <w:rPr>
                <w:bCs/>
                <w:iCs/>
                <w:color w:val="000000"/>
                <w:szCs w:val="22"/>
                <w:lang w:val="es-ES_tradnl"/>
              </w:rPr>
              <w:t>desviación estándar)</w:t>
            </w:r>
          </w:p>
        </w:tc>
        <w:tc>
          <w:tcPr>
            <w:tcW w:w="1851" w:type="dxa"/>
            <w:tcBorders>
              <w:top w:val="single" w:sz="4" w:space="0" w:color="auto"/>
              <w:left w:val="single" w:sz="4" w:space="0" w:color="auto"/>
              <w:bottom w:val="single" w:sz="4" w:space="0" w:color="auto"/>
              <w:right w:val="single" w:sz="4" w:space="0" w:color="auto"/>
            </w:tcBorders>
            <w:shd w:val="clear" w:color="auto" w:fill="FFFFFF"/>
          </w:tcPr>
          <w:p w14:paraId="1429F54D" w14:textId="77777777" w:rsidR="009C7FF4" w:rsidRPr="003E0B98" w:rsidRDefault="009C7FF4" w:rsidP="004361AC">
            <w:pPr>
              <w:keepNext/>
              <w:jc w:val="center"/>
              <w:rPr>
                <w:bCs/>
                <w:iCs/>
                <w:color w:val="000000"/>
                <w:szCs w:val="22"/>
                <w:lang w:val="sv-SE"/>
              </w:rPr>
            </w:pPr>
            <w:r w:rsidRPr="003E0B98">
              <w:rPr>
                <w:bCs/>
                <w:iCs/>
                <w:color w:val="000000"/>
                <w:szCs w:val="22"/>
                <w:lang w:val="sv-SE"/>
              </w:rPr>
              <w:t>6,8 (8,3)</w:t>
            </w:r>
            <w:r w:rsidRPr="003E0B98">
              <w:rPr>
                <w:bCs/>
                <w:iCs/>
                <w:color w:val="000000"/>
                <w:szCs w:val="22"/>
                <w:vertAlign w:val="superscript"/>
                <w:lang w:val="sv-SE"/>
              </w:rPr>
              <w:t>a</w:t>
            </w:r>
          </w:p>
        </w:tc>
        <w:tc>
          <w:tcPr>
            <w:tcW w:w="1985" w:type="dxa"/>
            <w:tcBorders>
              <w:top w:val="single" w:sz="4" w:space="0" w:color="auto"/>
              <w:left w:val="single" w:sz="4" w:space="0" w:color="auto"/>
              <w:bottom w:val="single" w:sz="4" w:space="0" w:color="auto"/>
              <w:right w:val="single" w:sz="2" w:space="0" w:color="auto"/>
            </w:tcBorders>
            <w:shd w:val="clear" w:color="auto" w:fill="FFFFFF"/>
          </w:tcPr>
          <w:p w14:paraId="28B45681" w14:textId="77777777" w:rsidR="009C7FF4" w:rsidRPr="003E0B98" w:rsidRDefault="009C7FF4" w:rsidP="004361AC">
            <w:pPr>
              <w:keepNext/>
              <w:jc w:val="center"/>
              <w:rPr>
                <w:bCs/>
                <w:iCs/>
                <w:color w:val="000000"/>
                <w:szCs w:val="22"/>
                <w:lang w:val="sv-SE"/>
              </w:rPr>
            </w:pPr>
            <w:r w:rsidRPr="003E0B98">
              <w:rPr>
                <w:bCs/>
                <w:iCs/>
                <w:color w:val="000000"/>
                <w:szCs w:val="22"/>
                <w:lang w:val="sv-SE"/>
              </w:rPr>
              <w:t>6,4 (11,8)</w:t>
            </w:r>
            <w:r w:rsidRPr="003E0B98">
              <w:rPr>
                <w:bCs/>
                <w:iCs/>
                <w:color w:val="000000"/>
                <w:szCs w:val="22"/>
                <w:vertAlign w:val="superscript"/>
                <w:lang w:val="sv-SE"/>
              </w:rPr>
              <w:t>a</w:t>
            </w:r>
          </w:p>
        </w:tc>
        <w:tc>
          <w:tcPr>
            <w:tcW w:w="1292" w:type="dxa"/>
            <w:tcBorders>
              <w:top w:val="single" w:sz="4" w:space="0" w:color="auto"/>
              <w:left w:val="single" w:sz="2" w:space="0" w:color="auto"/>
              <w:bottom w:val="single" w:sz="4" w:space="0" w:color="auto"/>
              <w:right w:val="single" w:sz="4" w:space="0" w:color="auto"/>
            </w:tcBorders>
            <w:shd w:val="clear" w:color="auto" w:fill="FFFFFF"/>
          </w:tcPr>
          <w:p w14:paraId="296749F0" w14:textId="77777777" w:rsidR="009C7FF4" w:rsidRPr="003E0B98" w:rsidRDefault="009C7FF4" w:rsidP="004361AC">
            <w:pPr>
              <w:keepNext/>
              <w:jc w:val="center"/>
              <w:rPr>
                <w:bCs/>
                <w:iCs/>
                <w:color w:val="000000"/>
                <w:szCs w:val="22"/>
                <w:lang w:val="sv-SE"/>
              </w:rPr>
            </w:pPr>
            <w:r w:rsidRPr="003E0B98">
              <w:rPr>
                <w:bCs/>
                <w:iCs/>
                <w:color w:val="000000"/>
                <w:szCs w:val="22"/>
                <w:lang w:val="sv-SE"/>
              </w:rPr>
              <w:t>0,9 (11,4)</w:t>
            </w:r>
          </w:p>
        </w:tc>
      </w:tr>
      <w:tr w:rsidR="009C7FF4" w:rsidRPr="003E0B98" w14:paraId="04B966A4" w14:textId="77777777" w:rsidTr="00FF2CF4">
        <w:trPr>
          <w:trHeight w:val="270"/>
        </w:trPr>
        <w:tc>
          <w:tcPr>
            <w:tcW w:w="4069" w:type="dxa"/>
            <w:tcBorders>
              <w:top w:val="single" w:sz="4" w:space="0" w:color="auto"/>
              <w:left w:val="single" w:sz="4" w:space="0" w:color="auto"/>
              <w:bottom w:val="single" w:sz="4" w:space="0" w:color="auto"/>
              <w:right w:val="single" w:sz="4" w:space="0" w:color="auto"/>
            </w:tcBorders>
            <w:shd w:val="clear" w:color="auto" w:fill="FFFFFF"/>
          </w:tcPr>
          <w:p w14:paraId="71F5DCEE" w14:textId="77777777" w:rsidR="009C7FF4" w:rsidRPr="003E0B98" w:rsidRDefault="009C7FF4" w:rsidP="004361AC">
            <w:pPr>
              <w:keepNext/>
              <w:rPr>
                <w:bCs/>
                <w:iCs/>
                <w:color w:val="000000"/>
                <w:szCs w:val="22"/>
                <w:lang w:val="es-ES"/>
              </w:rPr>
            </w:pPr>
            <w:r w:rsidRPr="003E0B98">
              <w:rPr>
                <w:color w:val="000000"/>
                <w:szCs w:val="22"/>
                <w:lang w:val="es-ES"/>
              </w:rPr>
              <w:t>Ganancia de ≥15 letras o</w:t>
            </w:r>
            <w:r w:rsidRPr="003E0B98">
              <w:rPr>
                <w:bCs/>
                <w:iCs/>
                <w:color w:val="000000"/>
                <w:szCs w:val="22"/>
                <w:lang w:val="es-ES"/>
              </w:rPr>
              <w:t xml:space="preserve"> AVMC </w:t>
            </w:r>
            <w:r w:rsidRPr="003E0B98">
              <w:rPr>
                <w:color w:val="000000"/>
                <w:szCs w:val="22"/>
                <w:lang w:val="es-ES"/>
              </w:rPr>
              <w:t>≥</w:t>
            </w:r>
            <w:r w:rsidRPr="003E0B98">
              <w:rPr>
                <w:bCs/>
                <w:iCs/>
                <w:color w:val="000000"/>
                <w:szCs w:val="22"/>
                <w:lang w:val="es-ES"/>
              </w:rPr>
              <w:t>84 letras al Mes 12 (%)</w:t>
            </w:r>
          </w:p>
        </w:tc>
        <w:tc>
          <w:tcPr>
            <w:tcW w:w="1851" w:type="dxa"/>
            <w:tcBorders>
              <w:top w:val="single" w:sz="4" w:space="0" w:color="auto"/>
              <w:left w:val="single" w:sz="4" w:space="0" w:color="auto"/>
              <w:bottom w:val="single" w:sz="4" w:space="0" w:color="auto"/>
              <w:right w:val="single" w:sz="4" w:space="0" w:color="auto"/>
            </w:tcBorders>
            <w:shd w:val="clear" w:color="auto" w:fill="FFFFFF"/>
          </w:tcPr>
          <w:p w14:paraId="00299D1C" w14:textId="77777777" w:rsidR="009C7FF4" w:rsidRPr="003E0B98" w:rsidRDefault="009C7FF4" w:rsidP="004361AC">
            <w:pPr>
              <w:keepNext/>
              <w:jc w:val="center"/>
              <w:rPr>
                <w:bCs/>
                <w:iCs/>
                <w:color w:val="000000"/>
                <w:szCs w:val="22"/>
                <w:lang w:val="en-US"/>
              </w:rPr>
            </w:pPr>
            <w:r w:rsidRPr="003E0B98">
              <w:rPr>
                <w:bCs/>
                <w:iCs/>
                <w:color w:val="000000"/>
                <w:szCs w:val="22"/>
                <w:lang w:val="sv-SE"/>
              </w:rPr>
              <w:t>22,6</w:t>
            </w:r>
          </w:p>
        </w:tc>
        <w:tc>
          <w:tcPr>
            <w:tcW w:w="1985" w:type="dxa"/>
            <w:tcBorders>
              <w:top w:val="single" w:sz="4" w:space="0" w:color="auto"/>
              <w:left w:val="single" w:sz="4" w:space="0" w:color="auto"/>
              <w:bottom w:val="single" w:sz="4" w:space="0" w:color="auto"/>
              <w:right w:val="single" w:sz="2" w:space="0" w:color="auto"/>
            </w:tcBorders>
            <w:shd w:val="clear" w:color="auto" w:fill="FFFFFF"/>
          </w:tcPr>
          <w:p w14:paraId="577CFE62" w14:textId="77777777" w:rsidR="009C7FF4" w:rsidRPr="003E0B98" w:rsidRDefault="009C7FF4" w:rsidP="004361AC">
            <w:pPr>
              <w:keepNext/>
              <w:jc w:val="center"/>
              <w:rPr>
                <w:bCs/>
                <w:iCs/>
                <w:color w:val="000000"/>
                <w:szCs w:val="22"/>
                <w:lang w:val="en-US"/>
              </w:rPr>
            </w:pPr>
            <w:r w:rsidRPr="003E0B98">
              <w:rPr>
                <w:bCs/>
                <w:iCs/>
                <w:color w:val="000000"/>
                <w:szCs w:val="22"/>
                <w:lang w:val="sv-SE"/>
              </w:rPr>
              <w:t>22,9</w:t>
            </w:r>
          </w:p>
        </w:tc>
        <w:tc>
          <w:tcPr>
            <w:tcW w:w="1292" w:type="dxa"/>
            <w:tcBorders>
              <w:top w:val="single" w:sz="4" w:space="0" w:color="auto"/>
              <w:left w:val="single" w:sz="2" w:space="0" w:color="auto"/>
              <w:bottom w:val="single" w:sz="4" w:space="0" w:color="auto"/>
              <w:right w:val="single" w:sz="4" w:space="0" w:color="auto"/>
            </w:tcBorders>
            <w:shd w:val="clear" w:color="auto" w:fill="FFFFFF"/>
          </w:tcPr>
          <w:p w14:paraId="7137CCD1" w14:textId="77777777" w:rsidR="009C7FF4" w:rsidRPr="003E0B98" w:rsidRDefault="009C7FF4" w:rsidP="004361AC">
            <w:pPr>
              <w:keepNext/>
              <w:jc w:val="center"/>
              <w:rPr>
                <w:bCs/>
                <w:iCs/>
                <w:color w:val="000000"/>
                <w:szCs w:val="22"/>
                <w:lang w:val="en-US"/>
              </w:rPr>
            </w:pPr>
            <w:r w:rsidRPr="003E0B98">
              <w:rPr>
                <w:bCs/>
                <w:iCs/>
                <w:color w:val="000000"/>
                <w:szCs w:val="22"/>
                <w:lang w:val="sv-SE"/>
              </w:rPr>
              <w:t>8,2</w:t>
            </w:r>
          </w:p>
        </w:tc>
      </w:tr>
      <w:tr w:rsidR="00667720" w:rsidRPr="003E0B98" w14:paraId="6403DA47" w14:textId="77777777" w:rsidTr="00FF2CF4">
        <w:trPr>
          <w:trHeight w:val="270"/>
        </w:trPr>
        <w:tc>
          <w:tcPr>
            <w:tcW w:w="4069" w:type="dxa"/>
            <w:tcBorders>
              <w:top w:val="single" w:sz="4" w:space="0" w:color="auto"/>
              <w:left w:val="single" w:sz="4" w:space="0" w:color="auto"/>
              <w:bottom w:val="single" w:sz="4" w:space="0" w:color="auto"/>
              <w:right w:val="single" w:sz="4" w:space="0" w:color="auto"/>
            </w:tcBorders>
            <w:shd w:val="clear" w:color="auto" w:fill="FFFFFF"/>
          </w:tcPr>
          <w:p w14:paraId="57A346AB" w14:textId="77777777" w:rsidR="00667720" w:rsidRPr="003E0B98" w:rsidRDefault="00667720" w:rsidP="004361AC">
            <w:pPr>
              <w:keepNext/>
              <w:rPr>
                <w:color w:val="000000"/>
                <w:szCs w:val="22"/>
                <w:lang w:val="es-ES"/>
              </w:rPr>
            </w:pPr>
            <w:r w:rsidRPr="003E0B98">
              <w:rPr>
                <w:color w:val="000000"/>
                <w:szCs w:val="22"/>
                <w:lang w:val="es-ES"/>
              </w:rPr>
              <w:t xml:space="preserve">Número </w:t>
            </w:r>
            <w:r w:rsidR="00A72E17" w:rsidRPr="003E0B98">
              <w:rPr>
                <w:color w:val="000000"/>
                <w:szCs w:val="22"/>
                <w:lang w:val="es-ES"/>
              </w:rPr>
              <w:t>pro</w:t>
            </w:r>
            <w:r w:rsidRPr="003E0B98">
              <w:rPr>
                <w:color w:val="000000"/>
                <w:szCs w:val="22"/>
                <w:lang w:val="es-ES"/>
              </w:rPr>
              <w:t>medio de inyecciones (Meses 0-11)</w:t>
            </w:r>
          </w:p>
        </w:tc>
        <w:tc>
          <w:tcPr>
            <w:tcW w:w="1851" w:type="dxa"/>
            <w:tcBorders>
              <w:top w:val="single" w:sz="4" w:space="0" w:color="auto"/>
              <w:left w:val="single" w:sz="4" w:space="0" w:color="auto"/>
              <w:bottom w:val="single" w:sz="4" w:space="0" w:color="auto"/>
              <w:right w:val="single" w:sz="4" w:space="0" w:color="auto"/>
            </w:tcBorders>
            <w:shd w:val="clear" w:color="auto" w:fill="FFFFFF"/>
          </w:tcPr>
          <w:p w14:paraId="2DDAE497" w14:textId="77777777" w:rsidR="00667720" w:rsidRPr="003E0B98" w:rsidRDefault="00667720" w:rsidP="004361AC">
            <w:pPr>
              <w:keepNext/>
              <w:jc w:val="center"/>
              <w:rPr>
                <w:bCs/>
                <w:iCs/>
                <w:color w:val="000000"/>
                <w:szCs w:val="22"/>
                <w:lang w:val="sv-SE"/>
              </w:rPr>
            </w:pPr>
            <w:r w:rsidRPr="003E0B98">
              <w:rPr>
                <w:bCs/>
                <w:iCs/>
                <w:color w:val="000000"/>
                <w:szCs w:val="22"/>
                <w:lang w:val="sv-SE"/>
              </w:rPr>
              <w:t>7,0</w:t>
            </w:r>
          </w:p>
        </w:tc>
        <w:tc>
          <w:tcPr>
            <w:tcW w:w="1985" w:type="dxa"/>
            <w:tcBorders>
              <w:top w:val="single" w:sz="4" w:space="0" w:color="auto"/>
              <w:left w:val="single" w:sz="4" w:space="0" w:color="auto"/>
              <w:bottom w:val="single" w:sz="4" w:space="0" w:color="auto"/>
              <w:right w:val="single" w:sz="2" w:space="0" w:color="auto"/>
            </w:tcBorders>
            <w:shd w:val="clear" w:color="auto" w:fill="FFFFFF"/>
          </w:tcPr>
          <w:p w14:paraId="41803FDC" w14:textId="77777777" w:rsidR="00667720" w:rsidRPr="003E0B98" w:rsidRDefault="00667720" w:rsidP="004361AC">
            <w:pPr>
              <w:keepNext/>
              <w:jc w:val="center"/>
              <w:rPr>
                <w:bCs/>
                <w:iCs/>
                <w:color w:val="000000"/>
                <w:szCs w:val="22"/>
                <w:lang w:val="sv-SE"/>
              </w:rPr>
            </w:pPr>
            <w:r w:rsidRPr="003E0B98">
              <w:rPr>
                <w:bCs/>
                <w:iCs/>
                <w:color w:val="000000"/>
                <w:szCs w:val="22"/>
                <w:lang w:val="sv-SE"/>
              </w:rPr>
              <w:t>6,8</w:t>
            </w:r>
          </w:p>
        </w:tc>
        <w:tc>
          <w:tcPr>
            <w:tcW w:w="1292" w:type="dxa"/>
            <w:tcBorders>
              <w:top w:val="single" w:sz="4" w:space="0" w:color="auto"/>
              <w:left w:val="single" w:sz="2" w:space="0" w:color="auto"/>
              <w:bottom w:val="single" w:sz="4" w:space="0" w:color="auto"/>
              <w:right w:val="single" w:sz="4" w:space="0" w:color="auto"/>
            </w:tcBorders>
            <w:shd w:val="clear" w:color="auto" w:fill="FFFFFF"/>
          </w:tcPr>
          <w:p w14:paraId="701EADF1" w14:textId="77777777" w:rsidR="00667720" w:rsidRPr="003E0B98" w:rsidRDefault="00667720" w:rsidP="004361AC">
            <w:pPr>
              <w:keepNext/>
              <w:jc w:val="center"/>
              <w:rPr>
                <w:bCs/>
                <w:iCs/>
                <w:color w:val="000000"/>
                <w:szCs w:val="22"/>
                <w:lang w:val="sv-SE"/>
              </w:rPr>
            </w:pPr>
            <w:r w:rsidRPr="003E0B98">
              <w:rPr>
                <w:bCs/>
                <w:iCs/>
                <w:color w:val="000000"/>
                <w:szCs w:val="22"/>
                <w:lang w:val="sv-SE"/>
              </w:rPr>
              <w:t>7,3 (tratamiento simulado)</w:t>
            </w:r>
          </w:p>
        </w:tc>
      </w:tr>
      <w:tr w:rsidR="009C7FF4" w:rsidRPr="003E0B98" w14:paraId="789A78D3" w14:textId="77777777" w:rsidTr="00FF2CF4">
        <w:trPr>
          <w:trHeight w:val="200"/>
        </w:trPr>
        <w:tc>
          <w:tcPr>
            <w:tcW w:w="9197" w:type="dxa"/>
            <w:gridSpan w:val="4"/>
            <w:tcBorders>
              <w:top w:val="single" w:sz="4" w:space="0" w:color="auto"/>
              <w:left w:val="single" w:sz="4" w:space="0" w:color="auto"/>
              <w:bottom w:val="single" w:sz="4" w:space="0" w:color="auto"/>
              <w:right w:val="single" w:sz="4" w:space="0" w:color="auto"/>
            </w:tcBorders>
            <w:shd w:val="clear" w:color="auto" w:fill="FFFFFF"/>
          </w:tcPr>
          <w:p w14:paraId="02D9CD02" w14:textId="77777777" w:rsidR="009C7FF4" w:rsidRPr="003E0B98" w:rsidRDefault="009C7FF4" w:rsidP="004361AC">
            <w:pPr>
              <w:keepNext/>
              <w:rPr>
                <w:bCs/>
                <w:iCs/>
                <w:color w:val="000000"/>
                <w:szCs w:val="22"/>
                <w:lang w:val="sv-SE"/>
              </w:rPr>
            </w:pPr>
          </w:p>
        </w:tc>
      </w:tr>
      <w:tr w:rsidR="009C7FF4" w:rsidRPr="003E0B98" w14:paraId="1A19DD38" w14:textId="77777777" w:rsidTr="00FF2CF4">
        <w:trPr>
          <w:trHeight w:val="903"/>
        </w:trPr>
        <w:tc>
          <w:tcPr>
            <w:tcW w:w="4069" w:type="dxa"/>
            <w:tcBorders>
              <w:top w:val="single" w:sz="4" w:space="0" w:color="auto"/>
              <w:left w:val="single" w:sz="4" w:space="0" w:color="auto"/>
              <w:bottom w:val="single" w:sz="4" w:space="0" w:color="auto"/>
              <w:right w:val="single" w:sz="4" w:space="0" w:color="auto"/>
            </w:tcBorders>
            <w:shd w:val="clear" w:color="auto" w:fill="FFFFFF"/>
          </w:tcPr>
          <w:p w14:paraId="591A3236" w14:textId="77777777" w:rsidR="009C7FF4" w:rsidRPr="003E0B98" w:rsidRDefault="009C7FF4" w:rsidP="004361AC">
            <w:pPr>
              <w:keepNext/>
              <w:rPr>
                <w:rFonts w:cs="Calibri"/>
                <w:bCs/>
                <w:lang w:val="es-ES"/>
              </w:rPr>
            </w:pPr>
            <w:r w:rsidRPr="003E0B98">
              <w:rPr>
                <w:color w:val="000000"/>
                <w:lang w:val="es-ES_tradnl"/>
              </w:rPr>
              <w:t>Medida del resultado al Mes 36</w:t>
            </w:r>
            <w:r w:rsidRPr="003E0B98">
              <w:rPr>
                <w:bCs/>
                <w:iCs/>
                <w:color w:val="000000"/>
                <w:szCs w:val="22"/>
                <w:lang w:val="es-ES_tradnl"/>
              </w:rPr>
              <w:t xml:space="preserve"> comparado con el valor inicial</w:t>
            </w:r>
            <w:r w:rsidRPr="003E0B98">
              <w:rPr>
                <w:bCs/>
                <w:iCs/>
                <w:color w:val="000000"/>
                <w:szCs w:val="22"/>
                <w:lang w:val="es-ES"/>
              </w:rPr>
              <w:t xml:space="preserve"> del estudio D2301 (RESTORE) en el estudio</w:t>
            </w:r>
            <w:r w:rsidRPr="003E0B98">
              <w:rPr>
                <w:rFonts w:cs="Calibri"/>
                <w:bCs/>
                <w:lang w:val="es-ES"/>
              </w:rPr>
              <w:t xml:space="preserve"> D2301-E1 (</w:t>
            </w:r>
            <w:proofErr w:type="spellStart"/>
            <w:r w:rsidRPr="003E0B98">
              <w:rPr>
                <w:rFonts w:cs="Calibri"/>
                <w:bCs/>
                <w:lang w:val="es-ES"/>
              </w:rPr>
              <w:t>Extension</w:t>
            </w:r>
            <w:proofErr w:type="spellEnd"/>
            <w:r w:rsidRPr="003E0B98">
              <w:rPr>
                <w:rFonts w:cs="Calibri"/>
                <w:bCs/>
                <w:lang w:val="es-ES"/>
              </w:rPr>
              <w:t xml:space="preserve"> del estudio RESTORE)</w:t>
            </w:r>
          </w:p>
        </w:tc>
        <w:tc>
          <w:tcPr>
            <w:tcW w:w="1851" w:type="dxa"/>
            <w:tcBorders>
              <w:top w:val="single" w:sz="4" w:space="0" w:color="auto"/>
              <w:left w:val="single" w:sz="4" w:space="0" w:color="auto"/>
              <w:bottom w:val="single" w:sz="4" w:space="0" w:color="auto"/>
              <w:right w:val="single" w:sz="4" w:space="0" w:color="auto"/>
            </w:tcBorders>
            <w:shd w:val="clear" w:color="auto" w:fill="FFFFFF"/>
          </w:tcPr>
          <w:p w14:paraId="5D052040" w14:textId="77777777" w:rsidR="009C7FF4" w:rsidRPr="003E0B98" w:rsidRDefault="009C7FF4" w:rsidP="004361AC">
            <w:pPr>
              <w:keepNext/>
              <w:jc w:val="center"/>
              <w:rPr>
                <w:rFonts w:cs="Calibri"/>
                <w:bCs/>
                <w:iCs/>
                <w:lang w:val="sv-SE"/>
              </w:rPr>
            </w:pPr>
            <w:r w:rsidRPr="003E0B98">
              <w:rPr>
                <w:rFonts w:cs="Calibri"/>
                <w:bCs/>
                <w:iCs/>
                <w:lang w:val="sv-SE"/>
              </w:rPr>
              <w:t>Ranibizumab</w:t>
            </w:r>
          </w:p>
          <w:p w14:paraId="28B320E7" w14:textId="77777777" w:rsidR="009C7FF4" w:rsidRPr="003E0B98" w:rsidRDefault="009C7FF4" w:rsidP="004361AC">
            <w:pPr>
              <w:keepNext/>
              <w:jc w:val="center"/>
              <w:rPr>
                <w:rFonts w:cs="Calibri"/>
                <w:bCs/>
                <w:iCs/>
                <w:lang w:val="sv-SE"/>
              </w:rPr>
            </w:pPr>
            <w:r w:rsidRPr="003E0B98">
              <w:rPr>
                <w:rFonts w:cs="Calibri"/>
                <w:bCs/>
                <w:iCs/>
                <w:lang w:val="sv-SE"/>
              </w:rPr>
              <w:t>0,5 mg previo</w:t>
            </w:r>
          </w:p>
          <w:p w14:paraId="7B01F5BC" w14:textId="77777777" w:rsidR="009C7FF4" w:rsidRPr="003E0B98" w:rsidRDefault="009C7FF4" w:rsidP="004361AC">
            <w:pPr>
              <w:keepNext/>
              <w:jc w:val="center"/>
              <w:rPr>
                <w:rFonts w:cs="Calibri"/>
                <w:bCs/>
                <w:iCs/>
                <w:lang w:val="sv-SE"/>
              </w:rPr>
            </w:pPr>
          </w:p>
          <w:p w14:paraId="153D39DE" w14:textId="77777777" w:rsidR="009C7FF4" w:rsidRPr="003E0B98" w:rsidRDefault="009C7FF4" w:rsidP="004361AC">
            <w:pPr>
              <w:keepNext/>
              <w:jc w:val="center"/>
              <w:rPr>
                <w:rFonts w:cs="Calibri"/>
                <w:bCs/>
                <w:iCs/>
                <w:lang w:val="sv-SE"/>
              </w:rPr>
            </w:pPr>
            <w:r w:rsidRPr="003E0B98">
              <w:rPr>
                <w:rFonts w:cs="Calibri"/>
                <w:bCs/>
                <w:iCs/>
                <w:lang w:val="sv-SE"/>
              </w:rPr>
              <w:t>n=83</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68E1A3D5" w14:textId="77777777" w:rsidR="009C7FF4" w:rsidRPr="003E0B98" w:rsidRDefault="009C7FF4" w:rsidP="004361AC">
            <w:pPr>
              <w:keepNext/>
              <w:jc w:val="center"/>
              <w:rPr>
                <w:rFonts w:cs="Calibri"/>
                <w:bCs/>
                <w:iCs/>
                <w:lang w:val="es-ES"/>
              </w:rPr>
            </w:pPr>
            <w:proofErr w:type="spellStart"/>
            <w:r w:rsidRPr="003E0B98">
              <w:rPr>
                <w:rFonts w:cs="Calibri"/>
                <w:bCs/>
                <w:iCs/>
                <w:lang w:val="es-ES"/>
              </w:rPr>
              <w:t>Ranibizumab</w:t>
            </w:r>
            <w:proofErr w:type="spellEnd"/>
          </w:p>
          <w:p w14:paraId="33570656" w14:textId="77777777" w:rsidR="009C7FF4" w:rsidRPr="003E0B98" w:rsidRDefault="009C7FF4" w:rsidP="004361AC">
            <w:pPr>
              <w:keepNext/>
              <w:jc w:val="center"/>
              <w:rPr>
                <w:rFonts w:cs="Calibri"/>
                <w:bCs/>
                <w:iCs/>
                <w:lang w:val="es-ES"/>
              </w:rPr>
            </w:pPr>
            <w:r w:rsidRPr="003E0B98">
              <w:rPr>
                <w:rFonts w:cs="Calibri"/>
                <w:bCs/>
                <w:iCs/>
                <w:lang w:val="es-ES"/>
              </w:rPr>
              <w:t xml:space="preserve">0,5 mg + </w:t>
            </w:r>
            <w:proofErr w:type="gramStart"/>
            <w:r w:rsidRPr="003E0B98">
              <w:rPr>
                <w:rFonts w:cs="Calibri"/>
                <w:bCs/>
                <w:iCs/>
                <w:lang w:val="es-ES"/>
              </w:rPr>
              <w:t>láser previos</w:t>
            </w:r>
            <w:proofErr w:type="gramEnd"/>
          </w:p>
          <w:p w14:paraId="2C9AD08F" w14:textId="77777777" w:rsidR="009C7FF4" w:rsidRPr="003E0B98" w:rsidRDefault="009C7FF4" w:rsidP="004361AC">
            <w:pPr>
              <w:keepNext/>
              <w:jc w:val="center"/>
              <w:rPr>
                <w:rFonts w:cs="Calibri"/>
                <w:bCs/>
                <w:iCs/>
                <w:lang w:val="es-ES"/>
              </w:rPr>
            </w:pPr>
            <w:r w:rsidRPr="003E0B98">
              <w:rPr>
                <w:rFonts w:cs="Calibri"/>
                <w:bCs/>
                <w:iCs/>
                <w:lang w:val="es-ES"/>
              </w:rPr>
              <w:t>n=83</w:t>
            </w:r>
          </w:p>
        </w:tc>
        <w:tc>
          <w:tcPr>
            <w:tcW w:w="1292" w:type="dxa"/>
            <w:tcBorders>
              <w:top w:val="single" w:sz="4" w:space="0" w:color="auto"/>
              <w:left w:val="single" w:sz="4" w:space="0" w:color="auto"/>
              <w:bottom w:val="single" w:sz="4" w:space="0" w:color="auto"/>
              <w:right w:val="single" w:sz="4" w:space="0" w:color="auto"/>
            </w:tcBorders>
            <w:shd w:val="clear" w:color="auto" w:fill="FFFFFF"/>
          </w:tcPr>
          <w:p w14:paraId="4A3FC415" w14:textId="77777777" w:rsidR="009C7FF4" w:rsidRPr="003E0B98" w:rsidRDefault="009C7FF4" w:rsidP="004361AC">
            <w:pPr>
              <w:keepNext/>
              <w:jc w:val="center"/>
              <w:rPr>
                <w:rFonts w:cs="Calibri"/>
                <w:bCs/>
                <w:iCs/>
              </w:rPr>
            </w:pPr>
            <w:r w:rsidRPr="003E0B98">
              <w:rPr>
                <w:rFonts w:cs="Calibri"/>
                <w:bCs/>
                <w:iCs/>
                <w:lang w:val="sv-SE"/>
              </w:rPr>
              <w:t>Láser previo</w:t>
            </w:r>
          </w:p>
          <w:p w14:paraId="0B523412" w14:textId="77777777" w:rsidR="009C7FF4" w:rsidRPr="003E0B98" w:rsidRDefault="009C7FF4" w:rsidP="004361AC">
            <w:pPr>
              <w:keepNext/>
              <w:jc w:val="center"/>
              <w:rPr>
                <w:rFonts w:cs="Calibri"/>
                <w:bCs/>
                <w:iCs/>
              </w:rPr>
            </w:pPr>
          </w:p>
          <w:p w14:paraId="6BA4533B" w14:textId="77777777" w:rsidR="009C7FF4" w:rsidRPr="003E0B98" w:rsidRDefault="009C7FF4" w:rsidP="004361AC">
            <w:pPr>
              <w:keepNext/>
              <w:jc w:val="center"/>
              <w:rPr>
                <w:rFonts w:cs="Calibri"/>
                <w:bCs/>
                <w:iCs/>
                <w:lang w:val="sv-SE"/>
              </w:rPr>
            </w:pPr>
            <w:r w:rsidRPr="003E0B98">
              <w:rPr>
                <w:rFonts w:cs="Calibri"/>
                <w:bCs/>
                <w:iCs/>
              </w:rPr>
              <w:t>n=74</w:t>
            </w:r>
          </w:p>
        </w:tc>
      </w:tr>
      <w:tr w:rsidR="009C7FF4" w:rsidRPr="003E0B98" w14:paraId="78AEAD00" w14:textId="77777777" w:rsidTr="00FF2CF4">
        <w:trPr>
          <w:trHeight w:val="200"/>
        </w:trPr>
        <w:tc>
          <w:tcPr>
            <w:tcW w:w="4069" w:type="dxa"/>
            <w:tcBorders>
              <w:top w:val="single" w:sz="4" w:space="0" w:color="auto"/>
              <w:left w:val="single" w:sz="4" w:space="0" w:color="auto"/>
              <w:bottom w:val="single" w:sz="4" w:space="0" w:color="auto"/>
              <w:right w:val="single" w:sz="4" w:space="0" w:color="auto"/>
            </w:tcBorders>
            <w:shd w:val="clear" w:color="auto" w:fill="FFFFFF"/>
          </w:tcPr>
          <w:p w14:paraId="6D487EA3" w14:textId="77777777" w:rsidR="009C7FF4" w:rsidRPr="003E0B98" w:rsidRDefault="009C7FF4" w:rsidP="004361AC">
            <w:pPr>
              <w:keepNext/>
              <w:rPr>
                <w:rFonts w:cs="Calibri"/>
                <w:bCs/>
                <w:iCs/>
                <w:lang w:val="es-ES"/>
              </w:rPr>
            </w:pPr>
            <w:r w:rsidRPr="003E0B98">
              <w:rPr>
                <w:color w:val="000000"/>
                <w:szCs w:val="22"/>
                <w:lang w:val="es-ES_tradnl"/>
              </w:rPr>
              <w:t xml:space="preserve">Cambio </w:t>
            </w:r>
            <w:r w:rsidR="006006F4" w:rsidRPr="003E0B98">
              <w:rPr>
                <w:color w:val="000000"/>
                <w:szCs w:val="22"/>
                <w:lang w:val="es-ES_tradnl"/>
              </w:rPr>
              <w:t>pro</w:t>
            </w:r>
            <w:r w:rsidRPr="003E0B98">
              <w:rPr>
                <w:color w:val="000000"/>
                <w:szCs w:val="22"/>
                <w:lang w:val="es-ES_tradnl"/>
              </w:rPr>
              <w:t xml:space="preserve">medio </w:t>
            </w:r>
            <w:r w:rsidR="008222CB" w:rsidRPr="003E0B98">
              <w:rPr>
                <w:color w:val="000000"/>
                <w:szCs w:val="22"/>
                <w:lang w:val="es-ES_tradnl"/>
              </w:rPr>
              <w:t>de</w:t>
            </w:r>
            <w:r w:rsidRPr="003E0B98">
              <w:rPr>
                <w:color w:val="000000"/>
                <w:szCs w:val="22"/>
                <w:lang w:val="es-ES_tradnl"/>
              </w:rPr>
              <w:t xml:space="preserve"> la AVMC al Mes 24</w:t>
            </w:r>
            <w:r w:rsidRPr="003E0B98">
              <w:rPr>
                <w:bCs/>
                <w:iCs/>
                <w:color w:val="000000"/>
                <w:szCs w:val="22"/>
                <w:lang w:val="es-ES_tradnl"/>
              </w:rPr>
              <w:t xml:space="preserve"> (desviación estándar)</w:t>
            </w:r>
          </w:p>
        </w:tc>
        <w:tc>
          <w:tcPr>
            <w:tcW w:w="1851" w:type="dxa"/>
            <w:tcBorders>
              <w:top w:val="single" w:sz="4" w:space="0" w:color="auto"/>
              <w:left w:val="single" w:sz="4" w:space="0" w:color="auto"/>
              <w:bottom w:val="single" w:sz="4" w:space="0" w:color="auto"/>
              <w:right w:val="single" w:sz="4" w:space="0" w:color="auto"/>
            </w:tcBorders>
            <w:shd w:val="clear" w:color="auto" w:fill="FFFFFF"/>
            <w:vAlign w:val="center"/>
          </w:tcPr>
          <w:p w14:paraId="112F367E" w14:textId="77777777" w:rsidR="009C7FF4" w:rsidRPr="003E0B98" w:rsidRDefault="009C7FF4" w:rsidP="004361AC">
            <w:pPr>
              <w:keepNext/>
              <w:adjustRightInd w:val="0"/>
              <w:spacing w:before="60" w:after="60"/>
              <w:jc w:val="center"/>
              <w:rPr>
                <w:rFonts w:cs="Calibri"/>
              </w:rPr>
            </w:pPr>
            <w:r w:rsidRPr="003E0B98">
              <w:rPr>
                <w:rFonts w:cs="Calibri"/>
              </w:rPr>
              <w:t>7,9 (9,0)</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5B4A3C3D" w14:textId="77777777" w:rsidR="009C7FF4" w:rsidRPr="003E0B98" w:rsidRDefault="009C7FF4" w:rsidP="004361AC">
            <w:pPr>
              <w:keepNext/>
              <w:adjustRightInd w:val="0"/>
              <w:spacing w:before="60" w:after="60"/>
              <w:jc w:val="center"/>
              <w:rPr>
                <w:rFonts w:cs="Calibri"/>
              </w:rPr>
            </w:pPr>
            <w:r w:rsidRPr="003E0B98">
              <w:rPr>
                <w:rFonts w:cs="Calibri"/>
              </w:rPr>
              <w:t>6,7 (7,9)</w:t>
            </w:r>
          </w:p>
        </w:tc>
        <w:tc>
          <w:tcPr>
            <w:tcW w:w="1292" w:type="dxa"/>
            <w:tcBorders>
              <w:top w:val="single" w:sz="4" w:space="0" w:color="auto"/>
              <w:left w:val="single" w:sz="4" w:space="0" w:color="auto"/>
              <w:bottom w:val="single" w:sz="4" w:space="0" w:color="auto"/>
              <w:right w:val="single" w:sz="4" w:space="0" w:color="auto"/>
            </w:tcBorders>
            <w:shd w:val="clear" w:color="auto" w:fill="FFFFFF"/>
            <w:vAlign w:val="center"/>
          </w:tcPr>
          <w:p w14:paraId="49F5E067" w14:textId="77777777" w:rsidR="009C7FF4" w:rsidRPr="003E0B98" w:rsidRDefault="009C7FF4" w:rsidP="004361AC">
            <w:pPr>
              <w:keepNext/>
              <w:jc w:val="center"/>
              <w:rPr>
                <w:rFonts w:cs="Calibri"/>
              </w:rPr>
            </w:pPr>
            <w:r w:rsidRPr="003E0B98">
              <w:rPr>
                <w:rFonts w:cs="Calibri"/>
              </w:rPr>
              <w:t>5,4 (9,0)</w:t>
            </w:r>
          </w:p>
        </w:tc>
      </w:tr>
      <w:tr w:rsidR="009C7FF4" w:rsidRPr="003E0B98" w14:paraId="4C30306E" w14:textId="77777777" w:rsidTr="00FF2CF4">
        <w:trPr>
          <w:trHeight w:val="200"/>
        </w:trPr>
        <w:tc>
          <w:tcPr>
            <w:tcW w:w="4069" w:type="dxa"/>
            <w:tcBorders>
              <w:top w:val="single" w:sz="4" w:space="0" w:color="auto"/>
              <w:left w:val="single" w:sz="4" w:space="0" w:color="auto"/>
              <w:bottom w:val="single" w:sz="4" w:space="0" w:color="auto"/>
              <w:right w:val="single" w:sz="4" w:space="0" w:color="auto"/>
            </w:tcBorders>
            <w:shd w:val="clear" w:color="auto" w:fill="FFFFFF"/>
          </w:tcPr>
          <w:p w14:paraId="602FD42E" w14:textId="77777777" w:rsidR="009C7FF4" w:rsidRPr="003E0B98" w:rsidRDefault="009C7FF4" w:rsidP="004361AC">
            <w:pPr>
              <w:keepNext/>
              <w:rPr>
                <w:rFonts w:cs="Calibri"/>
                <w:bCs/>
                <w:iCs/>
                <w:lang w:val="es-ES"/>
              </w:rPr>
            </w:pPr>
            <w:r w:rsidRPr="003E0B98">
              <w:rPr>
                <w:color w:val="000000"/>
                <w:szCs w:val="22"/>
                <w:lang w:val="es-ES_tradnl"/>
              </w:rPr>
              <w:t xml:space="preserve">Cambio </w:t>
            </w:r>
            <w:r w:rsidR="006006F4" w:rsidRPr="003E0B98">
              <w:rPr>
                <w:color w:val="000000"/>
                <w:szCs w:val="22"/>
                <w:lang w:val="es-ES_tradnl"/>
              </w:rPr>
              <w:t>pro</w:t>
            </w:r>
            <w:r w:rsidRPr="003E0B98">
              <w:rPr>
                <w:color w:val="000000"/>
                <w:szCs w:val="22"/>
                <w:lang w:val="es-ES_tradnl"/>
              </w:rPr>
              <w:t xml:space="preserve">medio </w:t>
            </w:r>
            <w:r w:rsidR="008222CB" w:rsidRPr="003E0B98">
              <w:rPr>
                <w:color w:val="000000"/>
                <w:szCs w:val="22"/>
                <w:lang w:val="es-ES_tradnl"/>
              </w:rPr>
              <w:t>de</w:t>
            </w:r>
            <w:r w:rsidRPr="003E0B98">
              <w:rPr>
                <w:color w:val="000000"/>
                <w:szCs w:val="22"/>
                <w:lang w:val="es-ES_tradnl"/>
              </w:rPr>
              <w:t xml:space="preserve"> la AVMC al Mes 36</w:t>
            </w:r>
            <w:r w:rsidRPr="003E0B98">
              <w:rPr>
                <w:bCs/>
                <w:iCs/>
                <w:color w:val="000000"/>
                <w:szCs w:val="22"/>
                <w:lang w:val="es-ES_tradnl"/>
              </w:rPr>
              <w:t xml:space="preserve"> (desviación estándar)</w:t>
            </w:r>
          </w:p>
        </w:tc>
        <w:tc>
          <w:tcPr>
            <w:tcW w:w="1851" w:type="dxa"/>
            <w:tcBorders>
              <w:top w:val="single" w:sz="4" w:space="0" w:color="auto"/>
              <w:left w:val="single" w:sz="4" w:space="0" w:color="auto"/>
              <w:bottom w:val="single" w:sz="4" w:space="0" w:color="auto"/>
              <w:right w:val="single" w:sz="4" w:space="0" w:color="auto"/>
            </w:tcBorders>
            <w:shd w:val="clear" w:color="auto" w:fill="FFFFFF"/>
            <w:vAlign w:val="center"/>
          </w:tcPr>
          <w:p w14:paraId="25EBDA3B" w14:textId="77777777" w:rsidR="009C7FF4" w:rsidRPr="003E0B98" w:rsidRDefault="009C7FF4" w:rsidP="004361AC">
            <w:pPr>
              <w:keepNext/>
              <w:adjustRightInd w:val="0"/>
              <w:spacing w:before="60" w:after="60"/>
              <w:jc w:val="center"/>
              <w:rPr>
                <w:rFonts w:cs="Calibri"/>
              </w:rPr>
            </w:pPr>
            <w:r w:rsidRPr="003E0B98">
              <w:rPr>
                <w:rFonts w:cs="Calibri"/>
              </w:rPr>
              <w:t>8,0 (10,1)</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641FC407" w14:textId="77777777" w:rsidR="009C7FF4" w:rsidRPr="003E0B98" w:rsidRDefault="009C7FF4" w:rsidP="004361AC">
            <w:pPr>
              <w:keepNext/>
              <w:adjustRightInd w:val="0"/>
              <w:spacing w:before="60" w:after="60"/>
              <w:jc w:val="center"/>
              <w:rPr>
                <w:rFonts w:cs="Calibri"/>
              </w:rPr>
            </w:pPr>
            <w:r w:rsidRPr="003E0B98">
              <w:rPr>
                <w:rFonts w:cs="Calibri"/>
              </w:rPr>
              <w:t>6,7 (9,6)</w:t>
            </w:r>
          </w:p>
        </w:tc>
        <w:tc>
          <w:tcPr>
            <w:tcW w:w="1292" w:type="dxa"/>
            <w:tcBorders>
              <w:top w:val="single" w:sz="4" w:space="0" w:color="auto"/>
              <w:left w:val="single" w:sz="4" w:space="0" w:color="auto"/>
              <w:bottom w:val="single" w:sz="4" w:space="0" w:color="auto"/>
              <w:right w:val="single" w:sz="4" w:space="0" w:color="auto"/>
            </w:tcBorders>
            <w:shd w:val="clear" w:color="auto" w:fill="FFFFFF"/>
            <w:vAlign w:val="center"/>
          </w:tcPr>
          <w:p w14:paraId="31B01C08" w14:textId="77777777" w:rsidR="009C7FF4" w:rsidRPr="003E0B98" w:rsidRDefault="009C7FF4" w:rsidP="004361AC">
            <w:pPr>
              <w:keepNext/>
              <w:jc w:val="center"/>
              <w:rPr>
                <w:rFonts w:cs="Calibri"/>
              </w:rPr>
            </w:pPr>
            <w:r w:rsidRPr="003E0B98">
              <w:rPr>
                <w:rFonts w:cs="Calibri"/>
              </w:rPr>
              <w:t>6,0 (9,4)</w:t>
            </w:r>
          </w:p>
        </w:tc>
      </w:tr>
      <w:tr w:rsidR="009C7FF4" w:rsidRPr="003E0B98" w14:paraId="58B4A9FF" w14:textId="77777777" w:rsidTr="00FF2CF4">
        <w:trPr>
          <w:trHeight w:val="200"/>
        </w:trPr>
        <w:tc>
          <w:tcPr>
            <w:tcW w:w="4069" w:type="dxa"/>
            <w:tcBorders>
              <w:top w:val="single" w:sz="4" w:space="0" w:color="auto"/>
              <w:left w:val="single" w:sz="4" w:space="0" w:color="auto"/>
              <w:bottom w:val="single" w:sz="4" w:space="0" w:color="auto"/>
              <w:right w:val="single" w:sz="4" w:space="0" w:color="auto"/>
            </w:tcBorders>
            <w:shd w:val="clear" w:color="auto" w:fill="FFFFFF"/>
          </w:tcPr>
          <w:p w14:paraId="6FBEB769" w14:textId="77777777" w:rsidR="009C7FF4" w:rsidRPr="003E0B98" w:rsidRDefault="009C7FF4" w:rsidP="004361AC">
            <w:pPr>
              <w:keepNext/>
              <w:rPr>
                <w:rFonts w:cs="Calibri"/>
                <w:bCs/>
                <w:iCs/>
                <w:lang w:val="es-ES"/>
              </w:rPr>
            </w:pPr>
            <w:r w:rsidRPr="003E0B98">
              <w:rPr>
                <w:color w:val="000000"/>
                <w:szCs w:val="22"/>
                <w:lang w:val="es-ES"/>
              </w:rPr>
              <w:t>Ganancia de ≥15 letras o</w:t>
            </w:r>
            <w:r w:rsidRPr="003E0B98">
              <w:rPr>
                <w:bCs/>
                <w:iCs/>
                <w:color w:val="000000"/>
                <w:szCs w:val="22"/>
                <w:lang w:val="es-ES"/>
              </w:rPr>
              <w:t xml:space="preserve"> AVMC </w:t>
            </w:r>
            <w:r w:rsidRPr="003E0B98">
              <w:rPr>
                <w:color w:val="000000"/>
                <w:szCs w:val="22"/>
                <w:lang w:val="es-ES"/>
              </w:rPr>
              <w:t>≥</w:t>
            </w:r>
            <w:r w:rsidRPr="003E0B98">
              <w:rPr>
                <w:bCs/>
                <w:iCs/>
                <w:color w:val="000000"/>
                <w:szCs w:val="22"/>
                <w:lang w:val="es-ES"/>
              </w:rPr>
              <w:t>84 letras al Mes 36 (%)</w:t>
            </w:r>
          </w:p>
        </w:tc>
        <w:tc>
          <w:tcPr>
            <w:tcW w:w="1851" w:type="dxa"/>
            <w:tcBorders>
              <w:top w:val="single" w:sz="4" w:space="0" w:color="auto"/>
              <w:left w:val="single" w:sz="4" w:space="0" w:color="auto"/>
              <w:bottom w:val="single" w:sz="4" w:space="0" w:color="auto"/>
              <w:right w:val="single" w:sz="4" w:space="0" w:color="auto"/>
            </w:tcBorders>
            <w:shd w:val="clear" w:color="auto" w:fill="FFFFFF"/>
            <w:vAlign w:val="center"/>
          </w:tcPr>
          <w:p w14:paraId="028F33FB" w14:textId="77777777" w:rsidR="009C7FF4" w:rsidRPr="003E0B98" w:rsidRDefault="009C7FF4" w:rsidP="004361AC">
            <w:pPr>
              <w:keepNext/>
              <w:adjustRightInd w:val="0"/>
              <w:spacing w:before="60" w:after="60"/>
              <w:jc w:val="center"/>
              <w:rPr>
                <w:rFonts w:cs="Calibri"/>
              </w:rPr>
            </w:pPr>
            <w:r w:rsidRPr="003E0B98">
              <w:rPr>
                <w:rFonts w:cs="Calibri"/>
              </w:rPr>
              <w:t>27,7</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AC9C8F9" w14:textId="77777777" w:rsidR="009C7FF4" w:rsidRPr="003E0B98" w:rsidRDefault="009C7FF4" w:rsidP="004361AC">
            <w:pPr>
              <w:keepNext/>
              <w:adjustRightInd w:val="0"/>
              <w:spacing w:before="60" w:after="60"/>
              <w:jc w:val="center"/>
              <w:rPr>
                <w:rFonts w:cs="Calibri"/>
              </w:rPr>
            </w:pPr>
            <w:r w:rsidRPr="003E0B98">
              <w:rPr>
                <w:rFonts w:cs="Calibri"/>
              </w:rPr>
              <w:t>30,1</w:t>
            </w:r>
          </w:p>
        </w:tc>
        <w:tc>
          <w:tcPr>
            <w:tcW w:w="1292" w:type="dxa"/>
            <w:tcBorders>
              <w:top w:val="single" w:sz="4" w:space="0" w:color="auto"/>
              <w:left w:val="single" w:sz="4" w:space="0" w:color="auto"/>
              <w:bottom w:val="single" w:sz="4" w:space="0" w:color="auto"/>
              <w:right w:val="single" w:sz="4" w:space="0" w:color="auto"/>
            </w:tcBorders>
            <w:shd w:val="clear" w:color="auto" w:fill="FFFFFF"/>
            <w:vAlign w:val="center"/>
          </w:tcPr>
          <w:p w14:paraId="3A2FD96B" w14:textId="77777777" w:rsidR="009C7FF4" w:rsidRPr="003E0B98" w:rsidRDefault="009C7FF4" w:rsidP="004361AC">
            <w:pPr>
              <w:keepNext/>
              <w:jc w:val="center"/>
              <w:rPr>
                <w:rFonts w:cs="Calibri"/>
              </w:rPr>
            </w:pPr>
            <w:r w:rsidRPr="003E0B98">
              <w:rPr>
                <w:rFonts w:cs="Calibri"/>
              </w:rPr>
              <w:t>21,6</w:t>
            </w:r>
          </w:p>
        </w:tc>
      </w:tr>
      <w:tr w:rsidR="00667720" w:rsidRPr="003E0B98" w14:paraId="062DDC9F" w14:textId="77777777" w:rsidTr="00667720">
        <w:trPr>
          <w:trHeight w:val="200"/>
        </w:trPr>
        <w:tc>
          <w:tcPr>
            <w:tcW w:w="4069" w:type="dxa"/>
            <w:tcBorders>
              <w:top w:val="single" w:sz="4" w:space="0" w:color="auto"/>
              <w:left w:val="single" w:sz="4" w:space="0" w:color="auto"/>
              <w:bottom w:val="single" w:sz="4" w:space="0" w:color="auto"/>
              <w:right w:val="single" w:sz="4" w:space="0" w:color="auto"/>
            </w:tcBorders>
            <w:shd w:val="clear" w:color="auto" w:fill="FFFFFF"/>
          </w:tcPr>
          <w:p w14:paraId="25EA8A75" w14:textId="77777777" w:rsidR="00667720" w:rsidRPr="003E0B98" w:rsidRDefault="00667720" w:rsidP="004361AC">
            <w:pPr>
              <w:keepNext/>
              <w:rPr>
                <w:color w:val="000000"/>
                <w:szCs w:val="22"/>
                <w:lang w:val="es-ES"/>
              </w:rPr>
            </w:pPr>
            <w:r w:rsidRPr="003E0B98">
              <w:rPr>
                <w:color w:val="000000"/>
                <w:szCs w:val="22"/>
                <w:lang w:val="es-ES"/>
              </w:rPr>
              <w:t xml:space="preserve">Número </w:t>
            </w:r>
            <w:r w:rsidR="00A72E17" w:rsidRPr="003E0B98">
              <w:rPr>
                <w:color w:val="000000"/>
                <w:szCs w:val="22"/>
                <w:lang w:val="es-ES"/>
              </w:rPr>
              <w:t>pro</w:t>
            </w:r>
            <w:r w:rsidRPr="003E0B98">
              <w:rPr>
                <w:color w:val="000000"/>
                <w:szCs w:val="22"/>
                <w:lang w:val="es-ES"/>
              </w:rPr>
              <w:t>medio de inyecciones (Meses 12-</w:t>
            </w:r>
            <w:proofErr w:type="gramStart"/>
            <w:r w:rsidRPr="003E0B98">
              <w:rPr>
                <w:color w:val="000000"/>
                <w:szCs w:val="22"/>
                <w:lang w:val="es-ES"/>
              </w:rPr>
              <w:t>35)*</w:t>
            </w:r>
            <w:proofErr w:type="gramEnd"/>
          </w:p>
        </w:tc>
        <w:tc>
          <w:tcPr>
            <w:tcW w:w="1851" w:type="dxa"/>
            <w:tcBorders>
              <w:top w:val="single" w:sz="4" w:space="0" w:color="auto"/>
              <w:left w:val="single" w:sz="4" w:space="0" w:color="auto"/>
              <w:bottom w:val="single" w:sz="4" w:space="0" w:color="auto"/>
              <w:right w:val="single" w:sz="4" w:space="0" w:color="auto"/>
            </w:tcBorders>
            <w:shd w:val="clear" w:color="auto" w:fill="FFFFFF"/>
            <w:vAlign w:val="center"/>
          </w:tcPr>
          <w:p w14:paraId="31CE76C8" w14:textId="77777777" w:rsidR="00667720" w:rsidRPr="003E0B98" w:rsidRDefault="00667720" w:rsidP="004361AC">
            <w:pPr>
              <w:keepNext/>
              <w:adjustRightInd w:val="0"/>
              <w:spacing w:before="60" w:after="60"/>
              <w:jc w:val="center"/>
              <w:rPr>
                <w:rFonts w:cs="Calibri"/>
              </w:rPr>
            </w:pPr>
            <w:r w:rsidRPr="003E0B98">
              <w:rPr>
                <w:rFonts w:cs="Calibri"/>
              </w:rPr>
              <w:t>6,8</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58AFAD0C" w14:textId="77777777" w:rsidR="00667720" w:rsidRPr="003E0B98" w:rsidRDefault="00667720" w:rsidP="004361AC">
            <w:pPr>
              <w:keepNext/>
              <w:adjustRightInd w:val="0"/>
              <w:spacing w:before="60" w:after="60"/>
              <w:jc w:val="center"/>
              <w:rPr>
                <w:rFonts w:cs="Calibri"/>
              </w:rPr>
            </w:pPr>
            <w:r w:rsidRPr="003E0B98">
              <w:rPr>
                <w:rFonts w:cs="Calibri"/>
              </w:rPr>
              <w:t>6,0</w:t>
            </w:r>
          </w:p>
        </w:tc>
        <w:tc>
          <w:tcPr>
            <w:tcW w:w="1292" w:type="dxa"/>
            <w:tcBorders>
              <w:top w:val="single" w:sz="4" w:space="0" w:color="auto"/>
              <w:left w:val="single" w:sz="4" w:space="0" w:color="auto"/>
              <w:bottom w:val="single" w:sz="4" w:space="0" w:color="auto"/>
              <w:right w:val="single" w:sz="4" w:space="0" w:color="auto"/>
            </w:tcBorders>
            <w:shd w:val="clear" w:color="auto" w:fill="FFFFFF"/>
            <w:vAlign w:val="center"/>
          </w:tcPr>
          <w:p w14:paraId="668E8FC1" w14:textId="77777777" w:rsidR="00667720" w:rsidRPr="003E0B98" w:rsidRDefault="00667720" w:rsidP="004361AC">
            <w:pPr>
              <w:keepNext/>
              <w:jc w:val="center"/>
              <w:rPr>
                <w:rFonts w:cs="Calibri"/>
              </w:rPr>
            </w:pPr>
            <w:r w:rsidRPr="003E0B98">
              <w:rPr>
                <w:rFonts w:cs="Calibri"/>
              </w:rPr>
              <w:t>6,5</w:t>
            </w:r>
          </w:p>
        </w:tc>
      </w:tr>
    </w:tbl>
    <w:p w14:paraId="28757CC1" w14:textId="77777777" w:rsidR="009C7FF4" w:rsidRPr="003E0B98" w:rsidRDefault="009C7FF4" w:rsidP="004361AC">
      <w:pPr>
        <w:keepNext/>
        <w:rPr>
          <w:bCs/>
          <w:iCs/>
          <w:color w:val="000000"/>
          <w:szCs w:val="22"/>
          <w:lang w:val="es-ES"/>
        </w:rPr>
      </w:pPr>
      <w:proofErr w:type="spellStart"/>
      <w:r w:rsidRPr="003E0B98">
        <w:rPr>
          <w:bCs/>
          <w:iCs/>
          <w:color w:val="000000"/>
          <w:szCs w:val="22"/>
          <w:vertAlign w:val="superscript"/>
          <w:lang w:val="es-ES"/>
        </w:rPr>
        <w:t>a</w:t>
      </w:r>
      <w:r w:rsidRPr="003E0B98">
        <w:rPr>
          <w:bCs/>
          <w:color w:val="000000"/>
          <w:szCs w:val="22"/>
          <w:lang w:val="es-ES"/>
        </w:rPr>
        <w:t>p</w:t>
      </w:r>
      <w:proofErr w:type="spellEnd"/>
      <w:r w:rsidRPr="003E0B98">
        <w:rPr>
          <w:bCs/>
          <w:color w:val="000000"/>
          <w:szCs w:val="22"/>
          <w:lang w:val="es-ES"/>
        </w:rPr>
        <w:t>&lt;</w:t>
      </w:r>
      <w:r w:rsidRPr="003E0B98">
        <w:rPr>
          <w:bCs/>
          <w:iCs/>
          <w:color w:val="000000"/>
          <w:szCs w:val="22"/>
          <w:lang w:val="es-ES"/>
        </w:rPr>
        <w:t xml:space="preserve">0,0001 para comparaciones de los grupos de </w:t>
      </w:r>
      <w:proofErr w:type="spellStart"/>
      <w:r w:rsidRPr="003E0B98">
        <w:rPr>
          <w:bCs/>
          <w:iCs/>
          <w:color w:val="000000"/>
          <w:szCs w:val="22"/>
          <w:lang w:val="es-ES"/>
        </w:rPr>
        <w:t>ranibizumab</w:t>
      </w:r>
      <w:proofErr w:type="spellEnd"/>
      <w:r w:rsidRPr="003E0B98">
        <w:rPr>
          <w:bCs/>
          <w:iCs/>
          <w:color w:val="000000"/>
          <w:szCs w:val="22"/>
          <w:lang w:val="es-ES"/>
        </w:rPr>
        <w:t xml:space="preserve"> frente al grupo de láser.</w:t>
      </w:r>
    </w:p>
    <w:p w14:paraId="3E3FCC68" w14:textId="77777777" w:rsidR="009C7FF4" w:rsidRPr="003E0B98" w:rsidRDefault="009C7FF4" w:rsidP="004361AC">
      <w:pPr>
        <w:keepNext/>
        <w:rPr>
          <w:bCs/>
          <w:iCs/>
          <w:color w:val="000000"/>
          <w:szCs w:val="22"/>
          <w:lang w:val="es-ES"/>
        </w:rPr>
      </w:pPr>
      <w:r w:rsidRPr="003E0B98">
        <w:rPr>
          <w:bCs/>
          <w:iCs/>
          <w:color w:val="000000"/>
          <w:szCs w:val="22"/>
          <w:lang w:val="es-ES"/>
        </w:rPr>
        <w:t>n en D2301-E1 (</w:t>
      </w:r>
      <w:proofErr w:type="spellStart"/>
      <w:r w:rsidRPr="003E0B98">
        <w:rPr>
          <w:bCs/>
          <w:iCs/>
          <w:color w:val="000000"/>
          <w:szCs w:val="22"/>
          <w:lang w:val="es-ES"/>
        </w:rPr>
        <w:t>Extension</w:t>
      </w:r>
      <w:proofErr w:type="spellEnd"/>
      <w:r w:rsidRPr="003E0B98">
        <w:rPr>
          <w:bCs/>
          <w:iCs/>
          <w:color w:val="000000"/>
          <w:szCs w:val="22"/>
          <w:lang w:val="es-ES"/>
        </w:rPr>
        <w:t xml:space="preserve"> del estudio RESTORE) es el número de pacientes con un valor tanto en el valor inicial del estudio D2301 (RESTORE) (Mes 0) como en la visita del Mes 36.</w:t>
      </w:r>
    </w:p>
    <w:p w14:paraId="309198E2" w14:textId="77777777" w:rsidR="009C7FF4" w:rsidRPr="003E0B98" w:rsidRDefault="00743CFB" w:rsidP="004361AC">
      <w:pPr>
        <w:tabs>
          <w:tab w:val="clear" w:pos="567"/>
        </w:tabs>
        <w:spacing w:line="240" w:lineRule="auto"/>
        <w:rPr>
          <w:bCs/>
          <w:iCs/>
          <w:color w:val="000000"/>
          <w:szCs w:val="22"/>
          <w:lang w:val="es-ES"/>
        </w:rPr>
      </w:pPr>
      <w:r w:rsidRPr="003E0B98">
        <w:rPr>
          <w:bCs/>
          <w:iCs/>
          <w:color w:val="000000"/>
          <w:szCs w:val="22"/>
          <w:lang w:val="es-ES"/>
        </w:rPr>
        <w:t>*</w:t>
      </w:r>
      <w:r w:rsidRPr="003E0B98">
        <w:rPr>
          <w:lang w:val="es-ES"/>
        </w:rPr>
        <w:t xml:space="preserve"> </w:t>
      </w:r>
      <w:r w:rsidRPr="003E0B98">
        <w:rPr>
          <w:bCs/>
          <w:iCs/>
          <w:color w:val="000000"/>
          <w:szCs w:val="22"/>
          <w:lang w:val="es-ES"/>
        </w:rPr>
        <w:t xml:space="preserve">Las proporciones de pacientes que no necesitaron ningún tratamiento con </w:t>
      </w:r>
      <w:proofErr w:type="spellStart"/>
      <w:r w:rsidRPr="003E0B98">
        <w:rPr>
          <w:bCs/>
          <w:iCs/>
          <w:color w:val="000000"/>
          <w:szCs w:val="22"/>
          <w:lang w:val="es-ES"/>
        </w:rPr>
        <w:t>ranibizumab</w:t>
      </w:r>
      <w:proofErr w:type="spellEnd"/>
      <w:r w:rsidRPr="003E0B98">
        <w:rPr>
          <w:bCs/>
          <w:iCs/>
          <w:color w:val="000000"/>
          <w:szCs w:val="22"/>
          <w:lang w:val="es-ES"/>
        </w:rPr>
        <w:t xml:space="preserve"> durante la fase de extensión fueron del 19%, 25% y 20% en los grupos </w:t>
      </w:r>
      <w:proofErr w:type="spellStart"/>
      <w:r w:rsidRPr="003E0B98">
        <w:rPr>
          <w:bCs/>
          <w:iCs/>
          <w:color w:val="000000"/>
          <w:szCs w:val="22"/>
          <w:lang w:val="es-ES"/>
        </w:rPr>
        <w:t>ranibizumab</w:t>
      </w:r>
      <w:proofErr w:type="spellEnd"/>
      <w:r w:rsidRPr="003E0B98">
        <w:rPr>
          <w:bCs/>
          <w:iCs/>
          <w:color w:val="000000"/>
          <w:szCs w:val="22"/>
          <w:lang w:val="es-ES"/>
        </w:rPr>
        <w:t xml:space="preserve"> previo, </w:t>
      </w:r>
      <w:proofErr w:type="spellStart"/>
      <w:r w:rsidRPr="003E0B98">
        <w:rPr>
          <w:bCs/>
          <w:iCs/>
          <w:color w:val="000000"/>
          <w:szCs w:val="22"/>
          <w:lang w:val="es-ES"/>
        </w:rPr>
        <w:t>ranibizumab</w:t>
      </w:r>
      <w:proofErr w:type="spellEnd"/>
      <w:r w:rsidRPr="003E0B98">
        <w:rPr>
          <w:bCs/>
          <w:iCs/>
          <w:color w:val="000000"/>
          <w:szCs w:val="22"/>
          <w:lang w:val="es-ES"/>
        </w:rPr>
        <w:t xml:space="preserve"> + láser previos y láser previo, respectivamente.</w:t>
      </w:r>
    </w:p>
    <w:p w14:paraId="5CA2ED8B" w14:textId="77777777" w:rsidR="00743CFB" w:rsidRPr="003E0B98" w:rsidRDefault="00743CFB" w:rsidP="004361AC">
      <w:pPr>
        <w:tabs>
          <w:tab w:val="clear" w:pos="567"/>
        </w:tabs>
        <w:spacing w:line="240" w:lineRule="auto"/>
        <w:rPr>
          <w:bCs/>
          <w:iCs/>
          <w:color w:val="000000"/>
          <w:szCs w:val="22"/>
          <w:lang w:val="es-ES"/>
        </w:rPr>
      </w:pPr>
    </w:p>
    <w:p w14:paraId="717FC65C" w14:textId="77777777" w:rsidR="00743CFB" w:rsidRPr="003E0B98" w:rsidRDefault="00743CFB" w:rsidP="004361AC">
      <w:pPr>
        <w:tabs>
          <w:tab w:val="clear" w:pos="567"/>
        </w:tabs>
        <w:spacing w:line="240" w:lineRule="auto"/>
        <w:rPr>
          <w:bCs/>
          <w:iCs/>
          <w:color w:val="000000"/>
          <w:szCs w:val="22"/>
          <w:lang w:val="es-ES"/>
        </w:rPr>
      </w:pPr>
      <w:r w:rsidRPr="003E0B98">
        <w:rPr>
          <w:rFonts w:cs="Calibri"/>
          <w:lang w:val="es-ES"/>
        </w:rPr>
        <w:t xml:space="preserve">En el tratamiento con </w:t>
      </w:r>
      <w:proofErr w:type="spellStart"/>
      <w:r w:rsidRPr="003E0B98">
        <w:rPr>
          <w:rFonts w:cs="Calibri"/>
          <w:lang w:val="es-ES"/>
        </w:rPr>
        <w:t>ranibizumab</w:t>
      </w:r>
      <w:proofErr w:type="spellEnd"/>
      <w:r w:rsidRPr="003E0B98">
        <w:rPr>
          <w:rFonts w:cs="Calibri"/>
          <w:lang w:val="es-ES"/>
        </w:rPr>
        <w:t xml:space="preserve"> (con o sin láser) se observaron beneficios </w:t>
      </w:r>
      <w:r w:rsidRPr="003E0B98">
        <w:rPr>
          <w:szCs w:val="22"/>
          <w:lang w:val="es-ES"/>
        </w:rPr>
        <w:t xml:space="preserve">notificados por el mismo paciente estadísticamente significativos para la mayoría de </w:t>
      </w:r>
      <w:proofErr w:type="gramStart"/>
      <w:r w:rsidRPr="003E0B98">
        <w:rPr>
          <w:szCs w:val="22"/>
          <w:lang w:val="es-ES"/>
        </w:rPr>
        <w:t>funciones</w:t>
      </w:r>
      <w:proofErr w:type="gramEnd"/>
      <w:r w:rsidRPr="003E0B98">
        <w:rPr>
          <w:szCs w:val="22"/>
          <w:lang w:val="es-ES"/>
        </w:rPr>
        <w:t xml:space="preserve"> relacionadas con la visión respecto al grupo control, medidos según el </w:t>
      </w:r>
      <w:r w:rsidRPr="003E0B98">
        <w:rPr>
          <w:szCs w:val="22"/>
          <w:lang w:val="es-ES_tradnl"/>
        </w:rPr>
        <w:t>NEI VFQ-25. Para las otras subescalas de este cuestionario no pudieron establecerse diferencias ligadas al tratamiento.</w:t>
      </w:r>
    </w:p>
    <w:p w14:paraId="4DE9A198" w14:textId="77777777" w:rsidR="009C7FF4" w:rsidRPr="003E0B98" w:rsidRDefault="009C7FF4" w:rsidP="004361AC">
      <w:pPr>
        <w:tabs>
          <w:tab w:val="clear" w:pos="567"/>
        </w:tabs>
        <w:spacing w:line="240" w:lineRule="auto"/>
        <w:rPr>
          <w:szCs w:val="22"/>
          <w:lang w:val="es-ES_tradnl"/>
        </w:rPr>
      </w:pPr>
    </w:p>
    <w:p w14:paraId="16E92CE5" w14:textId="77777777" w:rsidR="009C7FF4" w:rsidRPr="003E0B98" w:rsidRDefault="009C7FF4" w:rsidP="004361AC">
      <w:pPr>
        <w:tabs>
          <w:tab w:val="clear" w:pos="567"/>
        </w:tabs>
        <w:spacing w:line="240" w:lineRule="auto"/>
        <w:rPr>
          <w:szCs w:val="22"/>
          <w:lang w:val="es-ES_tradnl"/>
        </w:rPr>
      </w:pPr>
      <w:r w:rsidRPr="003E0B98">
        <w:rPr>
          <w:szCs w:val="22"/>
          <w:lang w:val="es-ES_tradnl"/>
        </w:rPr>
        <w:t xml:space="preserve">El perfil de seguridad a largo plazo de </w:t>
      </w:r>
      <w:proofErr w:type="spellStart"/>
      <w:r w:rsidRPr="003E0B98">
        <w:rPr>
          <w:szCs w:val="22"/>
          <w:lang w:val="es-ES_tradnl"/>
        </w:rPr>
        <w:t>ranibizumab</w:t>
      </w:r>
      <w:proofErr w:type="spellEnd"/>
      <w:r w:rsidRPr="003E0B98">
        <w:rPr>
          <w:szCs w:val="22"/>
          <w:lang w:val="es-ES_tradnl"/>
        </w:rPr>
        <w:t xml:space="preserve"> observado en el ensayo de extensión de 24 meses es consistente con el perfil de seguridad de </w:t>
      </w:r>
      <w:proofErr w:type="spellStart"/>
      <w:r w:rsidRPr="003E0B98">
        <w:rPr>
          <w:szCs w:val="22"/>
          <w:lang w:val="es-ES_tradnl"/>
        </w:rPr>
        <w:t>Lucentis</w:t>
      </w:r>
      <w:proofErr w:type="spellEnd"/>
      <w:r w:rsidRPr="003E0B98">
        <w:rPr>
          <w:szCs w:val="22"/>
          <w:lang w:val="es-ES_tradnl"/>
        </w:rPr>
        <w:t xml:space="preserve"> conocido.</w:t>
      </w:r>
    </w:p>
    <w:p w14:paraId="0A6C1D85" w14:textId="77777777" w:rsidR="009C7FF4" w:rsidRPr="003E0B98" w:rsidRDefault="009C7FF4" w:rsidP="004361AC">
      <w:pPr>
        <w:tabs>
          <w:tab w:val="clear" w:pos="567"/>
        </w:tabs>
        <w:spacing w:line="240" w:lineRule="auto"/>
        <w:rPr>
          <w:szCs w:val="22"/>
          <w:lang w:val="es-ES_tradnl"/>
        </w:rPr>
      </w:pPr>
    </w:p>
    <w:p w14:paraId="70B52000" w14:textId="77777777" w:rsidR="009C7FF4" w:rsidRPr="003E0B98" w:rsidRDefault="009C7FF4" w:rsidP="004361AC">
      <w:pPr>
        <w:keepNext/>
        <w:tabs>
          <w:tab w:val="clear" w:pos="567"/>
        </w:tabs>
        <w:spacing w:line="240" w:lineRule="auto"/>
        <w:rPr>
          <w:color w:val="000000"/>
          <w:szCs w:val="22"/>
          <w:lang w:val="es-ES_tradnl"/>
        </w:rPr>
      </w:pPr>
      <w:r w:rsidRPr="003E0B98">
        <w:rPr>
          <w:color w:val="000000"/>
          <w:szCs w:val="22"/>
          <w:lang w:val="es-ES_tradnl"/>
        </w:rPr>
        <w:t xml:space="preserve">En el ensayo de fase </w:t>
      </w:r>
      <w:proofErr w:type="spellStart"/>
      <w:r w:rsidRPr="003E0B98">
        <w:rPr>
          <w:color w:val="000000"/>
          <w:szCs w:val="22"/>
          <w:lang w:val="es-ES_tradnl"/>
        </w:rPr>
        <w:t>IIIb</w:t>
      </w:r>
      <w:proofErr w:type="spellEnd"/>
      <w:r w:rsidRPr="003E0B98">
        <w:rPr>
          <w:color w:val="000000"/>
          <w:szCs w:val="22"/>
          <w:lang w:val="es-ES_tradnl"/>
        </w:rPr>
        <w:t xml:space="preserve"> D2304 (RETAIN), se aleatorizaron 372 pacientes </w:t>
      </w:r>
      <w:r w:rsidR="00D237E1" w:rsidRPr="003E0B98">
        <w:rPr>
          <w:color w:val="000000"/>
          <w:szCs w:val="22"/>
          <w:lang w:val="es-ES_tradnl"/>
        </w:rPr>
        <w:t xml:space="preserve">en </w:t>
      </w:r>
      <w:proofErr w:type="gramStart"/>
      <w:r w:rsidR="00D237E1" w:rsidRPr="003E0B98">
        <w:rPr>
          <w:color w:val="000000"/>
          <w:szCs w:val="22"/>
          <w:lang w:val="es-ES_tradnl"/>
        </w:rPr>
        <w:t>un ratio</w:t>
      </w:r>
      <w:proofErr w:type="gramEnd"/>
      <w:r w:rsidR="00D237E1" w:rsidRPr="003E0B98">
        <w:rPr>
          <w:color w:val="000000"/>
          <w:szCs w:val="22"/>
          <w:lang w:val="es-ES_tradnl"/>
        </w:rPr>
        <w:t> 1:1:1</w:t>
      </w:r>
      <w:r w:rsidRPr="003E0B98">
        <w:rPr>
          <w:color w:val="000000"/>
          <w:szCs w:val="22"/>
          <w:lang w:val="es-ES_tradnl"/>
        </w:rPr>
        <w:t xml:space="preserve"> para recibir:</w:t>
      </w:r>
    </w:p>
    <w:p w14:paraId="6F99920A" w14:textId="77777777" w:rsidR="009C7FF4" w:rsidRPr="003E0B98" w:rsidRDefault="009C7FF4" w:rsidP="004361AC">
      <w:pPr>
        <w:numPr>
          <w:ilvl w:val="0"/>
          <w:numId w:val="13"/>
        </w:numPr>
        <w:tabs>
          <w:tab w:val="clear" w:pos="567"/>
        </w:tabs>
        <w:spacing w:line="240" w:lineRule="auto"/>
        <w:ind w:left="567" w:hanging="567"/>
        <w:rPr>
          <w:szCs w:val="22"/>
          <w:lang w:val="es-ES_tradnl"/>
        </w:rPr>
      </w:pPr>
      <w:proofErr w:type="spellStart"/>
      <w:r w:rsidRPr="003E0B98">
        <w:rPr>
          <w:szCs w:val="22"/>
          <w:lang w:val="es-ES_tradnl"/>
        </w:rPr>
        <w:t>ranibizumab</w:t>
      </w:r>
      <w:proofErr w:type="spellEnd"/>
      <w:r w:rsidRPr="003E0B98">
        <w:rPr>
          <w:szCs w:val="22"/>
          <w:lang w:val="es-ES_tradnl"/>
        </w:rPr>
        <w:t xml:space="preserve"> 0,5 mg con fotocoagulación con láser concomitante en un régimen de tratar y extender (TE), o bien</w:t>
      </w:r>
    </w:p>
    <w:p w14:paraId="71847527" w14:textId="77777777" w:rsidR="009C7FF4" w:rsidRPr="003E0B98" w:rsidRDefault="009C7FF4" w:rsidP="004361AC">
      <w:pPr>
        <w:numPr>
          <w:ilvl w:val="0"/>
          <w:numId w:val="13"/>
        </w:numPr>
        <w:tabs>
          <w:tab w:val="clear" w:pos="567"/>
        </w:tabs>
        <w:spacing w:line="240" w:lineRule="auto"/>
        <w:ind w:left="567" w:hanging="567"/>
        <w:rPr>
          <w:szCs w:val="22"/>
          <w:lang w:val="es-ES_tradnl"/>
        </w:rPr>
      </w:pPr>
      <w:proofErr w:type="spellStart"/>
      <w:r w:rsidRPr="003E0B98">
        <w:rPr>
          <w:szCs w:val="22"/>
          <w:lang w:val="es-ES_tradnl"/>
        </w:rPr>
        <w:t>ranibizumab</w:t>
      </w:r>
      <w:proofErr w:type="spellEnd"/>
      <w:r w:rsidRPr="003E0B98">
        <w:rPr>
          <w:szCs w:val="22"/>
          <w:lang w:val="es-ES_tradnl"/>
        </w:rPr>
        <w:t xml:space="preserve"> 0,5 mg en monoterapia en un régimen TE, o bien</w:t>
      </w:r>
    </w:p>
    <w:p w14:paraId="018F4C30" w14:textId="77777777" w:rsidR="009C7FF4" w:rsidRPr="003E0B98" w:rsidRDefault="009C7FF4" w:rsidP="004361AC">
      <w:pPr>
        <w:numPr>
          <w:ilvl w:val="0"/>
          <w:numId w:val="13"/>
        </w:numPr>
        <w:tabs>
          <w:tab w:val="clear" w:pos="567"/>
        </w:tabs>
        <w:spacing w:line="240" w:lineRule="auto"/>
        <w:ind w:left="567" w:hanging="567"/>
        <w:rPr>
          <w:szCs w:val="22"/>
          <w:lang w:val="es-ES_tradnl"/>
        </w:rPr>
      </w:pPr>
      <w:proofErr w:type="spellStart"/>
      <w:r w:rsidRPr="003E0B98">
        <w:rPr>
          <w:szCs w:val="22"/>
          <w:lang w:val="es-ES_tradnl"/>
        </w:rPr>
        <w:t>ranibizumab</w:t>
      </w:r>
      <w:proofErr w:type="spellEnd"/>
      <w:r w:rsidRPr="003E0B98">
        <w:rPr>
          <w:szCs w:val="22"/>
          <w:lang w:val="es-ES_tradnl"/>
        </w:rPr>
        <w:t xml:space="preserve"> 0,5 mg en monoterapia en un régimen PRN.</w:t>
      </w:r>
    </w:p>
    <w:p w14:paraId="716A7A04" w14:textId="77777777" w:rsidR="009C7FF4" w:rsidRPr="003E0B98" w:rsidRDefault="009C7FF4" w:rsidP="004361AC">
      <w:pPr>
        <w:tabs>
          <w:tab w:val="clear" w:pos="567"/>
        </w:tabs>
        <w:spacing w:line="240" w:lineRule="auto"/>
        <w:rPr>
          <w:szCs w:val="22"/>
          <w:lang w:val="es-ES_tradnl"/>
        </w:rPr>
      </w:pPr>
    </w:p>
    <w:p w14:paraId="1CD7EE95" w14:textId="77777777" w:rsidR="009C7FF4" w:rsidRPr="003E0B98" w:rsidRDefault="00336F91" w:rsidP="004361AC">
      <w:pPr>
        <w:tabs>
          <w:tab w:val="clear" w:pos="567"/>
        </w:tabs>
        <w:spacing w:line="240" w:lineRule="auto"/>
        <w:rPr>
          <w:bCs/>
          <w:color w:val="000000"/>
          <w:lang w:val="es-ES"/>
        </w:rPr>
      </w:pPr>
      <w:r w:rsidRPr="003E0B98">
        <w:rPr>
          <w:szCs w:val="22"/>
          <w:lang w:val="es-ES_tradnl"/>
        </w:rPr>
        <w:t xml:space="preserve">En todos los grupos, </w:t>
      </w:r>
      <w:proofErr w:type="spellStart"/>
      <w:r w:rsidRPr="003E0B98">
        <w:rPr>
          <w:szCs w:val="22"/>
          <w:lang w:val="es-ES_tradnl"/>
        </w:rPr>
        <w:t>ranibizumab</w:t>
      </w:r>
      <w:proofErr w:type="spellEnd"/>
      <w:r w:rsidRPr="003E0B98">
        <w:rPr>
          <w:szCs w:val="22"/>
          <w:lang w:val="es-ES_tradnl"/>
        </w:rPr>
        <w:t xml:space="preserve"> se administró mensualmente hasta que la AVMC era estable durante al menos tres controles mensuales consecutivos. En el régimen TE </w:t>
      </w:r>
      <w:proofErr w:type="spellStart"/>
      <w:r w:rsidRPr="003E0B98">
        <w:rPr>
          <w:szCs w:val="22"/>
          <w:lang w:val="es-ES_tradnl"/>
        </w:rPr>
        <w:t>ranibizumab</w:t>
      </w:r>
      <w:proofErr w:type="spellEnd"/>
      <w:r w:rsidRPr="003E0B98">
        <w:rPr>
          <w:szCs w:val="22"/>
          <w:lang w:val="es-ES_tradnl"/>
        </w:rPr>
        <w:t xml:space="preserve"> se administró a intervalos de tratamiento de 2</w:t>
      </w:r>
      <w:r w:rsidRPr="003E0B98">
        <w:rPr>
          <w:szCs w:val="22"/>
          <w:lang w:val="es-ES_tradnl"/>
        </w:rPr>
        <w:noBreakHyphen/>
        <w:t>3 meses. En todos los grupos, e</w:t>
      </w:r>
      <w:r w:rsidRPr="003E0B98">
        <w:rPr>
          <w:bCs/>
          <w:color w:val="000000"/>
          <w:lang w:val="es-ES"/>
        </w:rPr>
        <w:t>l tratamiento mensual se reiniciaba en cuanto había una disminución de la AVMC debida a la progresión del EMD y continuaba hasta que se alcanzaba nuevamente una AVMC estable.</w:t>
      </w:r>
    </w:p>
    <w:p w14:paraId="22E88433" w14:textId="77777777" w:rsidR="009C7FF4" w:rsidRPr="003E0B98" w:rsidRDefault="009C7FF4" w:rsidP="004361AC">
      <w:pPr>
        <w:tabs>
          <w:tab w:val="clear" w:pos="567"/>
        </w:tabs>
        <w:spacing w:line="240" w:lineRule="auto"/>
        <w:rPr>
          <w:szCs w:val="22"/>
          <w:lang w:val="es-ES"/>
        </w:rPr>
      </w:pPr>
    </w:p>
    <w:p w14:paraId="4D246999" w14:textId="77777777" w:rsidR="009C7FF4" w:rsidRPr="003E0B98" w:rsidRDefault="00336F91" w:rsidP="004361AC">
      <w:pPr>
        <w:tabs>
          <w:tab w:val="clear" w:pos="567"/>
        </w:tabs>
        <w:spacing w:line="240" w:lineRule="auto"/>
        <w:rPr>
          <w:rFonts w:cs="Calibri"/>
          <w:bCs/>
          <w:lang w:val="es-ES"/>
        </w:rPr>
      </w:pPr>
      <w:r w:rsidRPr="003E0B98">
        <w:rPr>
          <w:bCs/>
          <w:lang w:val="es-ES"/>
        </w:rPr>
        <w:t xml:space="preserve">Después de las 3 inyecciones iniciales, </w:t>
      </w:r>
      <w:r w:rsidRPr="003E0B98">
        <w:rPr>
          <w:szCs w:val="22"/>
          <w:lang w:val="es-ES_tradnl"/>
        </w:rPr>
        <w:t xml:space="preserve">el número de visitas de tratamiento programadas fueron de 13 y 20 para los regímenes TE y PRN respectivamente. Con ambos regímenes TE, más del 70% de los pacientes mantuvieron su AVMC con una frecuencia media de visitas de </w:t>
      </w:r>
      <w:r w:rsidRPr="003E0B98">
        <w:rPr>
          <w:bCs/>
          <w:lang w:val="es-ES"/>
        </w:rPr>
        <w:t>≥2 meses.</w:t>
      </w:r>
    </w:p>
    <w:p w14:paraId="08F400F5" w14:textId="77777777" w:rsidR="009C7FF4" w:rsidRPr="003E0B98" w:rsidRDefault="009C7FF4" w:rsidP="004361AC">
      <w:pPr>
        <w:tabs>
          <w:tab w:val="clear" w:pos="567"/>
        </w:tabs>
        <w:spacing w:line="240" w:lineRule="auto"/>
        <w:rPr>
          <w:rFonts w:cs="Calibri"/>
          <w:bCs/>
          <w:lang w:val="es-ES"/>
        </w:rPr>
      </w:pPr>
    </w:p>
    <w:p w14:paraId="13D55979" w14:textId="77777777" w:rsidR="009C7FF4" w:rsidRPr="003E0B98" w:rsidRDefault="009C7FF4" w:rsidP="004361AC">
      <w:pPr>
        <w:tabs>
          <w:tab w:val="clear" w:pos="567"/>
        </w:tabs>
        <w:spacing w:line="240" w:lineRule="auto"/>
        <w:rPr>
          <w:szCs w:val="22"/>
          <w:lang w:val="es-ES"/>
        </w:rPr>
      </w:pPr>
      <w:r w:rsidRPr="003E0B98">
        <w:rPr>
          <w:szCs w:val="22"/>
          <w:lang w:val="es-ES"/>
        </w:rPr>
        <w:t>Los resultados clave se resumen en la Tabla</w:t>
      </w:r>
      <w:r w:rsidRPr="003E0B98">
        <w:rPr>
          <w:bCs/>
          <w:lang w:val="es-ES"/>
        </w:rPr>
        <w:t> </w:t>
      </w:r>
      <w:r w:rsidR="007E105C" w:rsidRPr="003E0B98">
        <w:rPr>
          <w:bCs/>
          <w:lang w:val="es-ES"/>
        </w:rPr>
        <w:t>6</w:t>
      </w:r>
      <w:r w:rsidRPr="003E0B98">
        <w:rPr>
          <w:bCs/>
          <w:lang w:val="es-ES"/>
        </w:rPr>
        <w:t>.</w:t>
      </w:r>
    </w:p>
    <w:p w14:paraId="7AD63FB6" w14:textId="77777777" w:rsidR="009C7FF4" w:rsidRPr="003E0B98" w:rsidRDefault="009C7FF4" w:rsidP="004361AC">
      <w:pPr>
        <w:autoSpaceDE w:val="0"/>
        <w:autoSpaceDN w:val="0"/>
        <w:adjustRightInd w:val="0"/>
        <w:rPr>
          <w:rFonts w:cs="Calibri"/>
          <w:lang w:val="es-ES"/>
        </w:rPr>
      </w:pPr>
    </w:p>
    <w:p w14:paraId="08571145" w14:textId="77777777" w:rsidR="009C7FF4" w:rsidRPr="003E0B98" w:rsidRDefault="009C7FF4" w:rsidP="004361AC">
      <w:pPr>
        <w:keepNext/>
        <w:autoSpaceDE w:val="0"/>
        <w:autoSpaceDN w:val="0"/>
        <w:adjustRightInd w:val="0"/>
        <w:rPr>
          <w:rFonts w:cs="Calibri"/>
          <w:b/>
          <w:lang w:val="es-ES"/>
        </w:rPr>
      </w:pPr>
      <w:r w:rsidRPr="003E0B98">
        <w:rPr>
          <w:rFonts w:cs="Calibri"/>
          <w:b/>
          <w:bCs/>
          <w:lang w:val="es-ES"/>
        </w:rPr>
        <w:t>Tabla </w:t>
      </w:r>
      <w:r w:rsidR="007E105C" w:rsidRPr="003E0B98">
        <w:rPr>
          <w:rFonts w:cs="Calibri"/>
          <w:b/>
          <w:bCs/>
          <w:lang w:val="es-ES"/>
        </w:rPr>
        <w:t>6</w:t>
      </w:r>
      <w:r w:rsidRPr="003E0B98">
        <w:rPr>
          <w:rFonts w:cs="Calibri"/>
          <w:b/>
          <w:bCs/>
          <w:lang w:val="es-ES"/>
        </w:rPr>
        <w:tab/>
        <w:t xml:space="preserve">Resultados en el estudio </w:t>
      </w:r>
      <w:r w:rsidRPr="003E0B98">
        <w:rPr>
          <w:rFonts w:cs="Calibri"/>
          <w:b/>
          <w:lang w:val="es-ES"/>
        </w:rPr>
        <w:t>D2304 (RETAIN)</w:t>
      </w:r>
    </w:p>
    <w:p w14:paraId="0F3E4A21" w14:textId="77777777" w:rsidR="009C7FF4" w:rsidRPr="003E0B98" w:rsidRDefault="009C7FF4" w:rsidP="004361AC">
      <w:pPr>
        <w:keepNext/>
        <w:autoSpaceDE w:val="0"/>
        <w:autoSpaceDN w:val="0"/>
        <w:adjustRightInd w:val="0"/>
        <w:rPr>
          <w:rFonts w:cs="Calibri"/>
          <w:lang w:val="es-ES"/>
        </w:rPr>
      </w:pPr>
    </w:p>
    <w:tbl>
      <w:tblPr>
        <w:tblW w:w="9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304"/>
        <w:gridCol w:w="2304"/>
        <w:gridCol w:w="2304"/>
        <w:gridCol w:w="2304"/>
      </w:tblGrid>
      <w:tr w:rsidR="009C7FF4" w:rsidRPr="003C169A" w14:paraId="656A421F" w14:textId="77777777" w:rsidTr="00942F06">
        <w:trPr>
          <w:trHeight w:val="259"/>
        </w:trPr>
        <w:tc>
          <w:tcPr>
            <w:tcW w:w="2304" w:type="dxa"/>
            <w:tcBorders>
              <w:top w:val="single" w:sz="4" w:space="0" w:color="auto"/>
              <w:left w:val="single" w:sz="4" w:space="0" w:color="auto"/>
              <w:bottom w:val="single" w:sz="4" w:space="0" w:color="auto"/>
              <w:right w:val="single" w:sz="4" w:space="0" w:color="auto"/>
            </w:tcBorders>
            <w:shd w:val="clear" w:color="auto" w:fill="FFFFFF"/>
            <w:hideMark/>
          </w:tcPr>
          <w:p w14:paraId="63AE8118" w14:textId="77777777" w:rsidR="009C7FF4" w:rsidRPr="003E0B98" w:rsidRDefault="009C7FF4" w:rsidP="004361AC">
            <w:pPr>
              <w:keepNext/>
              <w:rPr>
                <w:rFonts w:cs="Calibri"/>
                <w:bCs/>
                <w:iCs/>
                <w:lang w:val="es-ES"/>
              </w:rPr>
            </w:pPr>
            <w:r w:rsidRPr="003E0B98">
              <w:rPr>
                <w:color w:val="000000"/>
                <w:lang w:val="es-ES_tradnl"/>
              </w:rPr>
              <w:t>Medida del resultado comp</w:t>
            </w:r>
            <w:r w:rsidRPr="003E0B98">
              <w:rPr>
                <w:bCs/>
                <w:iCs/>
                <w:color w:val="000000"/>
                <w:szCs w:val="22"/>
                <w:lang w:val="es-ES_tradnl"/>
              </w:rPr>
              <w:t>arado con el valor inicial</w:t>
            </w:r>
          </w:p>
        </w:tc>
        <w:tc>
          <w:tcPr>
            <w:tcW w:w="2304" w:type="dxa"/>
            <w:tcBorders>
              <w:top w:val="single" w:sz="4" w:space="0" w:color="auto"/>
              <w:left w:val="single" w:sz="4" w:space="0" w:color="auto"/>
              <w:bottom w:val="single" w:sz="4" w:space="0" w:color="auto"/>
              <w:right w:val="single" w:sz="4" w:space="0" w:color="auto"/>
            </w:tcBorders>
            <w:shd w:val="clear" w:color="auto" w:fill="FFFFFF"/>
            <w:hideMark/>
          </w:tcPr>
          <w:p w14:paraId="389B5CE5" w14:textId="77777777" w:rsidR="009C7FF4" w:rsidRPr="003E0B98" w:rsidRDefault="009C7FF4" w:rsidP="004361AC">
            <w:pPr>
              <w:keepNext/>
              <w:jc w:val="center"/>
              <w:rPr>
                <w:rFonts w:cs="Calibri"/>
                <w:bCs/>
                <w:iCs/>
                <w:lang w:val="de-CH"/>
              </w:rPr>
            </w:pPr>
            <w:r w:rsidRPr="003E0B98">
              <w:rPr>
                <w:rFonts w:cs="Calibri"/>
                <w:bCs/>
                <w:iCs/>
                <w:lang w:val="de-CH"/>
              </w:rPr>
              <w:t>Ranibizumab</w:t>
            </w:r>
          </w:p>
          <w:p w14:paraId="3B479B9A" w14:textId="77777777" w:rsidR="009C7FF4" w:rsidRPr="003E0B98" w:rsidRDefault="009C7FF4" w:rsidP="004361AC">
            <w:pPr>
              <w:keepNext/>
              <w:jc w:val="center"/>
              <w:rPr>
                <w:rFonts w:cs="Calibri"/>
                <w:bCs/>
                <w:iCs/>
                <w:lang w:val="de-CH"/>
              </w:rPr>
            </w:pPr>
            <w:r w:rsidRPr="003E0B98">
              <w:rPr>
                <w:rFonts w:cs="Calibri"/>
                <w:bCs/>
                <w:iCs/>
                <w:lang w:val="de-CH"/>
              </w:rPr>
              <w:t>0,5 mg + láser en TE</w:t>
            </w:r>
          </w:p>
          <w:p w14:paraId="452937B0" w14:textId="77777777" w:rsidR="009C7FF4" w:rsidRPr="003E0B98" w:rsidRDefault="009C7FF4" w:rsidP="004361AC">
            <w:pPr>
              <w:keepNext/>
              <w:jc w:val="center"/>
              <w:rPr>
                <w:rFonts w:cs="Calibri"/>
                <w:bCs/>
                <w:iCs/>
                <w:lang w:val="de-CH"/>
              </w:rPr>
            </w:pPr>
            <w:r w:rsidRPr="003E0B98">
              <w:rPr>
                <w:rFonts w:cs="Calibri"/>
                <w:bCs/>
                <w:iCs/>
                <w:lang w:val="de-CH"/>
              </w:rPr>
              <w:t>n=117</w:t>
            </w:r>
          </w:p>
        </w:tc>
        <w:tc>
          <w:tcPr>
            <w:tcW w:w="2304" w:type="dxa"/>
            <w:tcBorders>
              <w:top w:val="single" w:sz="4" w:space="0" w:color="auto"/>
              <w:left w:val="single" w:sz="4" w:space="0" w:color="auto"/>
              <w:bottom w:val="single" w:sz="4" w:space="0" w:color="auto"/>
              <w:right w:val="single" w:sz="4" w:space="0" w:color="auto"/>
            </w:tcBorders>
            <w:shd w:val="clear" w:color="auto" w:fill="FFFFFF"/>
            <w:hideMark/>
          </w:tcPr>
          <w:p w14:paraId="594A457C" w14:textId="77777777" w:rsidR="009C7FF4" w:rsidRPr="003E0B98" w:rsidRDefault="009C7FF4" w:rsidP="004361AC">
            <w:pPr>
              <w:keepNext/>
              <w:jc w:val="center"/>
              <w:rPr>
                <w:rFonts w:cs="Calibri"/>
                <w:bCs/>
                <w:iCs/>
                <w:lang w:val="sv-SE"/>
              </w:rPr>
            </w:pPr>
            <w:r w:rsidRPr="003E0B98">
              <w:rPr>
                <w:rFonts w:cs="Calibri"/>
                <w:bCs/>
                <w:iCs/>
                <w:lang w:val="sv-SE"/>
              </w:rPr>
              <w:t>Ranibizumab</w:t>
            </w:r>
          </w:p>
          <w:p w14:paraId="11588B21" w14:textId="77777777" w:rsidR="009C7FF4" w:rsidRPr="003E0B98" w:rsidRDefault="009C7FF4" w:rsidP="004361AC">
            <w:pPr>
              <w:keepNext/>
              <w:jc w:val="center"/>
              <w:rPr>
                <w:rFonts w:cs="Calibri"/>
                <w:bCs/>
                <w:iCs/>
                <w:lang w:val="sv-SE"/>
              </w:rPr>
            </w:pPr>
            <w:r w:rsidRPr="003E0B98">
              <w:rPr>
                <w:rFonts w:cs="Calibri"/>
                <w:bCs/>
                <w:iCs/>
                <w:lang w:val="sv-SE"/>
              </w:rPr>
              <w:t>0,5 mg solo en TE</w:t>
            </w:r>
          </w:p>
          <w:p w14:paraId="0CDE25BE" w14:textId="77777777" w:rsidR="009C7FF4" w:rsidRPr="003E0B98" w:rsidRDefault="009C7FF4" w:rsidP="004361AC">
            <w:pPr>
              <w:keepNext/>
              <w:jc w:val="center"/>
              <w:rPr>
                <w:rFonts w:cs="Calibri"/>
                <w:bCs/>
                <w:iCs/>
                <w:lang w:val="es-ES"/>
              </w:rPr>
            </w:pPr>
            <w:r w:rsidRPr="003E0B98">
              <w:rPr>
                <w:rFonts w:cs="Calibri"/>
                <w:bCs/>
                <w:iCs/>
                <w:lang w:val="es-ES"/>
              </w:rPr>
              <w:t>n=125</w:t>
            </w:r>
          </w:p>
        </w:tc>
        <w:tc>
          <w:tcPr>
            <w:tcW w:w="2304" w:type="dxa"/>
            <w:tcBorders>
              <w:top w:val="single" w:sz="4" w:space="0" w:color="auto"/>
              <w:left w:val="single" w:sz="4" w:space="0" w:color="auto"/>
              <w:bottom w:val="single" w:sz="4" w:space="0" w:color="auto"/>
              <w:right w:val="single" w:sz="4" w:space="0" w:color="auto"/>
            </w:tcBorders>
            <w:shd w:val="clear" w:color="auto" w:fill="FFFFFF"/>
            <w:hideMark/>
          </w:tcPr>
          <w:p w14:paraId="415A98B4" w14:textId="77777777" w:rsidR="009C7FF4" w:rsidRPr="003E0B98" w:rsidRDefault="009C7FF4" w:rsidP="004361AC">
            <w:pPr>
              <w:keepNext/>
              <w:jc w:val="center"/>
              <w:rPr>
                <w:rFonts w:cs="Calibri"/>
                <w:bCs/>
                <w:iCs/>
                <w:lang w:val="de-CH"/>
              </w:rPr>
            </w:pPr>
            <w:r w:rsidRPr="003E0B98">
              <w:rPr>
                <w:rFonts w:cs="Calibri"/>
                <w:bCs/>
                <w:iCs/>
                <w:lang w:val="de-CH"/>
              </w:rPr>
              <w:t>Ranibizumab</w:t>
            </w:r>
          </w:p>
          <w:p w14:paraId="4BA11173" w14:textId="77777777" w:rsidR="009C7FF4" w:rsidRPr="003E0B98" w:rsidRDefault="009C7FF4" w:rsidP="004361AC">
            <w:pPr>
              <w:keepNext/>
              <w:jc w:val="center"/>
              <w:rPr>
                <w:rFonts w:cs="Calibri"/>
                <w:bCs/>
                <w:iCs/>
                <w:lang w:val="de-CH"/>
              </w:rPr>
            </w:pPr>
            <w:r w:rsidRPr="003E0B98">
              <w:rPr>
                <w:rFonts w:cs="Calibri"/>
                <w:bCs/>
                <w:iCs/>
                <w:lang w:val="de-CH"/>
              </w:rPr>
              <w:t>0,5 mg en PRN</w:t>
            </w:r>
          </w:p>
          <w:p w14:paraId="7D273D5E" w14:textId="77777777" w:rsidR="009C7FF4" w:rsidRPr="003E0B98" w:rsidRDefault="009C7FF4" w:rsidP="004361AC">
            <w:pPr>
              <w:keepNext/>
              <w:jc w:val="center"/>
              <w:rPr>
                <w:rFonts w:cs="Calibri"/>
                <w:bCs/>
                <w:iCs/>
                <w:lang w:val="de-CH"/>
              </w:rPr>
            </w:pPr>
            <w:r w:rsidRPr="003E0B98">
              <w:rPr>
                <w:rFonts w:cs="Calibri"/>
                <w:bCs/>
                <w:iCs/>
                <w:lang w:val="de-CH"/>
              </w:rPr>
              <w:t>n=117</w:t>
            </w:r>
          </w:p>
        </w:tc>
      </w:tr>
      <w:tr w:rsidR="009C7FF4" w:rsidRPr="003E0B98" w14:paraId="27325EDD" w14:textId="77777777" w:rsidTr="00942F06">
        <w:trPr>
          <w:trHeight w:val="270"/>
        </w:trPr>
        <w:tc>
          <w:tcPr>
            <w:tcW w:w="2304" w:type="dxa"/>
            <w:tcBorders>
              <w:top w:val="single" w:sz="4" w:space="0" w:color="auto"/>
              <w:left w:val="single" w:sz="4" w:space="0" w:color="auto"/>
              <w:bottom w:val="single" w:sz="4" w:space="0" w:color="auto"/>
              <w:right w:val="single" w:sz="4" w:space="0" w:color="auto"/>
            </w:tcBorders>
            <w:shd w:val="clear" w:color="auto" w:fill="FFFFFF"/>
            <w:hideMark/>
          </w:tcPr>
          <w:p w14:paraId="38778C95" w14:textId="77777777" w:rsidR="009C7FF4" w:rsidRPr="003E0B98" w:rsidRDefault="009C7FF4" w:rsidP="004361AC">
            <w:pPr>
              <w:keepNext/>
              <w:rPr>
                <w:rFonts w:cs="Calibri"/>
                <w:bCs/>
                <w:iCs/>
                <w:lang w:val="es-ES"/>
              </w:rPr>
            </w:pPr>
            <w:r w:rsidRPr="003E0B98">
              <w:rPr>
                <w:color w:val="000000"/>
                <w:szCs w:val="22"/>
                <w:lang w:val="es-ES_tradnl"/>
              </w:rPr>
              <w:t xml:space="preserve">Cambio </w:t>
            </w:r>
            <w:r w:rsidR="006006F4" w:rsidRPr="003E0B98">
              <w:rPr>
                <w:color w:val="000000"/>
                <w:szCs w:val="22"/>
                <w:lang w:val="es-ES_tradnl"/>
              </w:rPr>
              <w:t>pro</w:t>
            </w:r>
            <w:r w:rsidRPr="003E0B98">
              <w:rPr>
                <w:color w:val="000000"/>
                <w:szCs w:val="22"/>
                <w:lang w:val="es-ES_tradnl"/>
              </w:rPr>
              <w:t xml:space="preserve">medio </w:t>
            </w:r>
            <w:r w:rsidR="008222CB" w:rsidRPr="003E0B98">
              <w:rPr>
                <w:color w:val="000000"/>
                <w:szCs w:val="22"/>
                <w:lang w:val="es-ES_tradnl"/>
              </w:rPr>
              <w:t>de</w:t>
            </w:r>
            <w:r w:rsidRPr="003E0B98">
              <w:rPr>
                <w:color w:val="000000"/>
                <w:szCs w:val="22"/>
                <w:lang w:val="es-ES_tradnl"/>
              </w:rPr>
              <w:t xml:space="preserve"> la AVMC desde el Mes 1 al Mes 12</w:t>
            </w:r>
            <w:r w:rsidRPr="003E0B98">
              <w:rPr>
                <w:bCs/>
                <w:iCs/>
                <w:color w:val="000000"/>
                <w:szCs w:val="22"/>
                <w:lang w:val="es-ES_tradnl"/>
              </w:rPr>
              <w:t xml:space="preserve"> (desviación estándar)</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D590A7E" w14:textId="77777777" w:rsidR="009C7FF4" w:rsidRPr="003E0B98" w:rsidRDefault="009C7FF4" w:rsidP="004361AC">
            <w:pPr>
              <w:keepNext/>
              <w:jc w:val="center"/>
              <w:rPr>
                <w:rFonts w:cs="Calibri"/>
                <w:bCs/>
                <w:iCs/>
              </w:rPr>
            </w:pPr>
            <w:r w:rsidRPr="003E0B98">
              <w:rPr>
                <w:rFonts w:cs="Calibri"/>
                <w:bCs/>
                <w:iCs/>
                <w:lang w:val="sv-SE"/>
              </w:rPr>
              <w:t>5,9 (5,5)</w:t>
            </w:r>
            <w:r w:rsidRPr="003E0B98">
              <w:rPr>
                <w:rFonts w:cs="Calibri"/>
                <w:bCs/>
                <w:iCs/>
                <w:vertAlign w:val="superscript"/>
                <w:lang w:val="sv-SE"/>
              </w:rPr>
              <w:t xml:space="preserve"> </w:t>
            </w:r>
            <w:r w:rsidRPr="003E0B98">
              <w:rPr>
                <w:rFonts w:cs="Calibri"/>
                <w:bCs/>
                <w:iCs/>
                <w:vertAlign w:val="superscript"/>
              </w:rPr>
              <w:t>a</w:t>
            </w:r>
          </w:p>
        </w:tc>
        <w:tc>
          <w:tcPr>
            <w:tcW w:w="2304" w:type="dxa"/>
            <w:tcBorders>
              <w:top w:val="single" w:sz="4" w:space="0" w:color="auto"/>
              <w:left w:val="single" w:sz="4" w:space="0" w:color="auto"/>
              <w:bottom w:val="single" w:sz="4" w:space="0" w:color="auto"/>
              <w:right w:val="single" w:sz="2" w:space="0" w:color="auto"/>
            </w:tcBorders>
            <w:shd w:val="clear" w:color="auto" w:fill="FFFFFF"/>
            <w:vAlign w:val="center"/>
            <w:hideMark/>
          </w:tcPr>
          <w:p w14:paraId="3BF45FDC" w14:textId="77777777" w:rsidR="009C7FF4" w:rsidRPr="003E0B98" w:rsidRDefault="009C7FF4" w:rsidP="004361AC">
            <w:pPr>
              <w:keepNext/>
              <w:jc w:val="center"/>
              <w:rPr>
                <w:rFonts w:cs="Calibri"/>
                <w:bCs/>
                <w:iCs/>
              </w:rPr>
            </w:pPr>
            <w:r w:rsidRPr="003E0B98">
              <w:rPr>
                <w:rFonts w:cs="Calibri"/>
                <w:bCs/>
                <w:iCs/>
                <w:lang w:val="sv-SE"/>
              </w:rPr>
              <w:t>6,1 (5,7)</w:t>
            </w:r>
            <w:r w:rsidRPr="003E0B98">
              <w:rPr>
                <w:rFonts w:cs="Calibri"/>
                <w:bCs/>
                <w:iCs/>
                <w:vertAlign w:val="superscript"/>
                <w:lang w:val="sv-SE"/>
              </w:rPr>
              <w:t xml:space="preserve"> </w:t>
            </w:r>
            <w:r w:rsidRPr="003E0B98">
              <w:rPr>
                <w:rFonts w:cs="Calibri"/>
                <w:bCs/>
                <w:iCs/>
                <w:vertAlign w:val="superscript"/>
              </w:rPr>
              <w:t>a</w:t>
            </w:r>
          </w:p>
        </w:tc>
        <w:tc>
          <w:tcPr>
            <w:tcW w:w="2304" w:type="dxa"/>
            <w:tcBorders>
              <w:top w:val="single" w:sz="4" w:space="0" w:color="auto"/>
              <w:left w:val="single" w:sz="2" w:space="0" w:color="auto"/>
              <w:bottom w:val="single" w:sz="4" w:space="0" w:color="auto"/>
              <w:right w:val="single" w:sz="4" w:space="0" w:color="auto"/>
            </w:tcBorders>
            <w:shd w:val="clear" w:color="auto" w:fill="FFFFFF"/>
            <w:vAlign w:val="center"/>
            <w:hideMark/>
          </w:tcPr>
          <w:p w14:paraId="290E5DD4" w14:textId="77777777" w:rsidR="009C7FF4" w:rsidRPr="003E0B98" w:rsidRDefault="009C7FF4" w:rsidP="004361AC">
            <w:pPr>
              <w:keepNext/>
              <w:jc w:val="center"/>
              <w:rPr>
                <w:rFonts w:cs="Calibri"/>
                <w:bCs/>
                <w:iCs/>
              </w:rPr>
            </w:pPr>
            <w:r w:rsidRPr="003E0B98">
              <w:rPr>
                <w:rFonts w:cs="Calibri"/>
                <w:bCs/>
                <w:iCs/>
                <w:lang w:val="sv-SE"/>
              </w:rPr>
              <w:t>6,2 (6,0)</w:t>
            </w:r>
          </w:p>
        </w:tc>
      </w:tr>
      <w:tr w:rsidR="009C7FF4" w:rsidRPr="003E0B98" w14:paraId="6D3591FA" w14:textId="77777777" w:rsidTr="00942F06">
        <w:trPr>
          <w:trHeight w:val="270"/>
        </w:trPr>
        <w:tc>
          <w:tcPr>
            <w:tcW w:w="2304" w:type="dxa"/>
            <w:tcBorders>
              <w:top w:val="single" w:sz="4" w:space="0" w:color="auto"/>
              <w:left w:val="single" w:sz="4" w:space="0" w:color="auto"/>
              <w:bottom w:val="single" w:sz="4" w:space="0" w:color="auto"/>
              <w:right w:val="single" w:sz="4" w:space="0" w:color="auto"/>
            </w:tcBorders>
            <w:shd w:val="clear" w:color="auto" w:fill="FFFFFF"/>
            <w:hideMark/>
          </w:tcPr>
          <w:p w14:paraId="526E1DC0" w14:textId="77777777" w:rsidR="009C7FF4" w:rsidRPr="003E0B98" w:rsidRDefault="009C7FF4" w:rsidP="004361AC">
            <w:pPr>
              <w:keepNext/>
              <w:rPr>
                <w:rFonts w:cs="Calibri"/>
                <w:bCs/>
                <w:iCs/>
                <w:lang w:val="es-ES"/>
              </w:rPr>
            </w:pPr>
            <w:r w:rsidRPr="003E0B98">
              <w:rPr>
                <w:color w:val="000000"/>
                <w:szCs w:val="22"/>
                <w:lang w:val="es-ES_tradnl"/>
              </w:rPr>
              <w:t xml:space="preserve">Cambio </w:t>
            </w:r>
            <w:r w:rsidR="006006F4" w:rsidRPr="003E0B98">
              <w:rPr>
                <w:color w:val="000000"/>
                <w:szCs w:val="22"/>
                <w:lang w:val="es-ES_tradnl"/>
              </w:rPr>
              <w:t>pro</w:t>
            </w:r>
            <w:r w:rsidRPr="003E0B98">
              <w:rPr>
                <w:color w:val="000000"/>
                <w:szCs w:val="22"/>
                <w:lang w:val="es-ES_tradnl"/>
              </w:rPr>
              <w:t xml:space="preserve">medio </w:t>
            </w:r>
            <w:r w:rsidR="008222CB" w:rsidRPr="003E0B98">
              <w:rPr>
                <w:color w:val="000000"/>
                <w:szCs w:val="22"/>
                <w:lang w:val="es-ES_tradnl"/>
              </w:rPr>
              <w:t>de</w:t>
            </w:r>
            <w:r w:rsidRPr="003E0B98">
              <w:rPr>
                <w:color w:val="000000"/>
                <w:szCs w:val="22"/>
                <w:lang w:val="es-ES_tradnl"/>
              </w:rPr>
              <w:t xml:space="preserve"> la AVMC desde el Mes 1 al Mes 24</w:t>
            </w:r>
            <w:r w:rsidRPr="003E0B98">
              <w:rPr>
                <w:bCs/>
                <w:iCs/>
                <w:color w:val="000000"/>
                <w:szCs w:val="22"/>
                <w:lang w:val="es-ES_tradnl"/>
              </w:rPr>
              <w:t xml:space="preserve"> (desviación estándar)</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57823F1" w14:textId="77777777" w:rsidR="009C7FF4" w:rsidRPr="003E0B98" w:rsidRDefault="009C7FF4" w:rsidP="004361AC">
            <w:pPr>
              <w:keepNext/>
              <w:jc w:val="center"/>
              <w:rPr>
                <w:rFonts w:cs="Calibri"/>
                <w:bCs/>
                <w:iCs/>
                <w:lang w:val="sv-SE"/>
              </w:rPr>
            </w:pPr>
            <w:r w:rsidRPr="003E0B98">
              <w:rPr>
                <w:rFonts w:cs="Calibri"/>
                <w:bCs/>
                <w:iCs/>
              </w:rPr>
              <w:t>6,8 (6,0)</w:t>
            </w:r>
          </w:p>
        </w:tc>
        <w:tc>
          <w:tcPr>
            <w:tcW w:w="2304" w:type="dxa"/>
            <w:tcBorders>
              <w:top w:val="single" w:sz="4" w:space="0" w:color="auto"/>
              <w:left w:val="single" w:sz="4" w:space="0" w:color="auto"/>
              <w:bottom w:val="single" w:sz="4" w:space="0" w:color="auto"/>
              <w:right w:val="single" w:sz="2" w:space="0" w:color="auto"/>
            </w:tcBorders>
            <w:shd w:val="clear" w:color="auto" w:fill="FFFFFF"/>
            <w:vAlign w:val="center"/>
            <w:hideMark/>
          </w:tcPr>
          <w:p w14:paraId="4D07C28C" w14:textId="77777777" w:rsidR="009C7FF4" w:rsidRPr="003E0B98" w:rsidRDefault="009C7FF4" w:rsidP="004361AC">
            <w:pPr>
              <w:keepNext/>
              <w:jc w:val="center"/>
              <w:rPr>
                <w:rFonts w:cs="Calibri"/>
                <w:bCs/>
                <w:iCs/>
                <w:lang w:val="sv-SE"/>
              </w:rPr>
            </w:pPr>
            <w:r w:rsidRPr="003E0B98">
              <w:rPr>
                <w:rFonts w:cs="Calibri"/>
                <w:bCs/>
                <w:iCs/>
                <w:lang w:val="sv-SE"/>
              </w:rPr>
              <w:t>6,6 (7,1)</w:t>
            </w:r>
          </w:p>
        </w:tc>
        <w:tc>
          <w:tcPr>
            <w:tcW w:w="2304" w:type="dxa"/>
            <w:tcBorders>
              <w:top w:val="single" w:sz="4" w:space="0" w:color="auto"/>
              <w:left w:val="single" w:sz="2" w:space="0" w:color="auto"/>
              <w:bottom w:val="single" w:sz="4" w:space="0" w:color="auto"/>
              <w:right w:val="single" w:sz="4" w:space="0" w:color="auto"/>
            </w:tcBorders>
            <w:shd w:val="clear" w:color="auto" w:fill="FFFFFF"/>
            <w:vAlign w:val="center"/>
            <w:hideMark/>
          </w:tcPr>
          <w:p w14:paraId="3DBF4136" w14:textId="77777777" w:rsidR="009C7FF4" w:rsidRPr="003E0B98" w:rsidRDefault="009C7FF4" w:rsidP="004361AC">
            <w:pPr>
              <w:keepNext/>
              <w:jc w:val="center"/>
              <w:rPr>
                <w:rFonts w:cs="Calibri"/>
                <w:bCs/>
                <w:iCs/>
                <w:lang w:val="sv-SE"/>
              </w:rPr>
            </w:pPr>
            <w:r w:rsidRPr="003E0B98">
              <w:rPr>
                <w:rFonts w:cs="Calibri"/>
                <w:bCs/>
                <w:iCs/>
              </w:rPr>
              <w:t>7,0 (6,4)</w:t>
            </w:r>
          </w:p>
        </w:tc>
      </w:tr>
      <w:tr w:rsidR="009C7FF4" w:rsidRPr="003E0B98" w14:paraId="23275C21" w14:textId="77777777" w:rsidTr="00942F06">
        <w:trPr>
          <w:trHeight w:val="270"/>
        </w:trPr>
        <w:tc>
          <w:tcPr>
            <w:tcW w:w="2304" w:type="dxa"/>
            <w:tcBorders>
              <w:top w:val="single" w:sz="4" w:space="0" w:color="auto"/>
              <w:left w:val="single" w:sz="4" w:space="0" w:color="auto"/>
              <w:bottom w:val="single" w:sz="4" w:space="0" w:color="auto"/>
              <w:right w:val="single" w:sz="4" w:space="0" w:color="auto"/>
            </w:tcBorders>
            <w:shd w:val="clear" w:color="auto" w:fill="FFFFFF"/>
            <w:hideMark/>
          </w:tcPr>
          <w:p w14:paraId="3B2E0A19" w14:textId="77777777" w:rsidR="009C7FF4" w:rsidRPr="003E0B98" w:rsidRDefault="009C7FF4" w:rsidP="004361AC">
            <w:pPr>
              <w:keepNext/>
              <w:rPr>
                <w:rFonts w:cs="Calibri"/>
                <w:bCs/>
                <w:iCs/>
                <w:lang w:val="es-ES"/>
              </w:rPr>
            </w:pPr>
            <w:r w:rsidRPr="003E0B98">
              <w:rPr>
                <w:color w:val="000000"/>
                <w:szCs w:val="22"/>
                <w:lang w:val="es-ES_tradnl"/>
              </w:rPr>
              <w:t xml:space="preserve">Cambio </w:t>
            </w:r>
            <w:r w:rsidR="006006F4" w:rsidRPr="003E0B98">
              <w:rPr>
                <w:color w:val="000000"/>
                <w:szCs w:val="22"/>
                <w:lang w:val="es-ES_tradnl"/>
              </w:rPr>
              <w:t>pro</w:t>
            </w:r>
            <w:r w:rsidRPr="003E0B98">
              <w:rPr>
                <w:color w:val="000000"/>
                <w:szCs w:val="22"/>
                <w:lang w:val="es-ES_tradnl"/>
              </w:rPr>
              <w:t xml:space="preserve">medio </w:t>
            </w:r>
            <w:r w:rsidR="008222CB" w:rsidRPr="003E0B98">
              <w:rPr>
                <w:color w:val="000000"/>
                <w:szCs w:val="22"/>
                <w:lang w:val="es-ES_tradnl"/>
              </w:rPr>
              <w:t>de</w:t>
            </w:r>
            <w:r w:rsidRPr="003E0B98">
              <w:rPr>
                <w:color w:val="000000"/>
                <w:szCs w:val="22"/>
                <w:lang w:val="es-ES_tradnl"/>
              </w:rPr>
              <w:t xml:space="preserve"> la AVMC</w:t>
            </w:r>
            <w:r w:rsidRPr="003E0B98">
              <w:rPr>
                <w:rFonts w:cs="Calibri"/>
                <w:bCs/>
                <w:iCs/>
                <w:lang w:val="es-ES"/>
              </w:rPr>
              <w:t xml:space="preserve"> al Mes 24 (</w:t>
            </w:r>
            <w:r w:rsidRPr="003E0B98">
              <w:rPr>
                <w:bCs/>
                <w:iCs/>
                <w:color w:val="000000"/>
                <w:szCs w:val="22"/>
                <w:lang w:val="es-ES_tradnl"/>
              </w:rPr>
              <w:t>desviación estándar</w:t>
            </w:r>
            <w:r w:rsidRPr="003E0B98">
              <w:rPr>
                <w:rFonts w:cs="Calibri"/>
                <w:bCs/>
                <w:iCs/>
                <w:lang w:val="es-ES"/>
              </w:rPr>
              <w:t>)</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04638AC" w14:textId="77777777" w:rsidR="009C7FF4" w:rsidRPr="003E0B98" w:rsidRDefault="009C7FF4" w:rsidP="004361AC">
            <w:pPr>
              <w:keepNext/>
              <w:jc w:val="center"/>
              <w:rPr>
                <w:rFonts w:cs="Calibri"/>
                <w:bCs/>
                <w:iCs/>
              </w:rPr>
            </w:pPr>
            <w:r w:rsidRPr="003E0B98">
              <w:rPr>
                <w:rFonts w:cs="Calibri"/>
                <w:bCs/>
                <w:iCs/>
              </w:rPr>
              <w:t>8,3 (8,1)</w:t>
            </w:r>
          </w:p>
        </w:tc>
        <w:tc>
          <w:tcPr>
            <w:tcW w:w="2304" w:type="dxa"/>
            <w:tcBorders>
              <w:top w:val="single" w:sz="4" w:space="0" w:color="auto"/>
              <w:left w:val="single" w:sz="4" w:space="0" w:color="auto"/>
              <w:bottom w:val="single" w:sz="4" w:space="0" w:color="auto"/>
              <w:right w:val="single" w:sz="2" w:space="0" w:color="auto"/>
            </w:tcBorders>
            <w:shd w:val="clear" w:color="auto" w:fill="FFFFFF"/>
            <w:vAlign w:val="center"/>
            <w:hideMark/>
          </w:tcPr>
          <w:p w14:paraId="50F90549" w14:textId="77777777" w:rsidR="009C7FF4" w:rsidRPr="003E0B98" w:rsidRDefault="009C7FF4" w:rsidP="004361AC">
            <w:pPr>
              <w:keepNext/>
              <w:jc w:val="center"/>
              <w:rPr>
                <w:rFonts w:cs="Calibri"/>
                <w:bCs/>
                <w:iCs/>
                <w:lang w:val="sv-SE"/>
              </w:rPr>
            </w:pPr>
            <w:r w:rsidRPr="003E0B98">
              <w:rPr>
                <w:rFonts w:cs="Calibri"/>
                <w:bCs/>
                <w:iCs/>
                <w:lang w:val="sv-SE"/>
              </w:rPr>
              <w:t>6,5 (10,9)</w:t>
            </w:r>
          </w:p>
        </w:tc>
        <w:tc>
          <w:tcPr>
            <w:tcW w:w="2304" w:type="dxa"/>
            <w:tcBorders>
              <w:top w:val="single" w:sz="4" w:space="0" w:color="auto"/>
              <w:left w:val="single" w:sz="2" w:space="0" w:color="auto"/>
              <w:bottom w:val="single" w:sz="4" w:space="0" w:color="auto"/>
              <w:right w:val="single" w:sz="4" w:space="0" w:color="auto"/>
            </w:tcBorders>
            <w:shd w:val="clear" w:color="auto" w:fill="FFFFFF"/>
            <w:vAlign w:val="center"/>
            <w:hideMark/>
          </w:tcPr>
          <w:p w14:paraId="7C4CA373" w14:textId="77777777" w:rsidR="009C7FF4" w:rsidRPr="003E0B98" w:rsidRDefault="009C7FF4" w:rsidP="004361AC">
            <w:pPr>
              <w:keepNext/>
              <w:jc w:val="center"/>
              <w:rPr>
                <w:rFonts w:cs="Calibri"/>
                <w:bCs/>
                <w:iCs/>
                <w:lang w:val="sv-SE"/>
              </w:rPr>
            </w:pPr>
            <w:r w:rsidRPr="003E0B98">
              <w:rPr>
                <w:rFonts w:cs="Calibri"/>
                <w:bCs/>
                <w:iCs/>
                <w:lang w:val="sv-SE"/>
              </w:rPr>
              <w:t>8,1 (8,5)</w:t>
            </w:r>
          </w:p>
        </w:tc>
      </w:tr>
      <w:tr w:rsidR="009C7FF4" w:rsidRPr="003E0B98" w14:paraId="0E57B3A7" w14:textId="77777777" w:rsidTr="00942F06">
        <w:trPr>
          <w:trHeight w:val="200"/>
        </w:trPr>
        <w:tc>
          <w:tcPr>
            <w:tcW w:w="2304" w:type="dxa"/>
            <w:tcBorders>
              <w:top w:val="single" w:sz="4" w:space="0" w:color="auto"/>
              <w:left w:val="single" w:sz="4" w:space="0" w:color="auto"/>
              <w:bottom w:val="single" w:sz="4" w:space="0" w:color="auto"/>
              <w:right w:val="single" w:sz="4" w:space="0" w:color="auto"/>
            </w:tcBorders>
            <w:shd w:val="clear" w:color="auto" w:fill="FFFFFF"/>
            <w:hideMark/>
          </w:tcPr>
          <w:p w14:paraId="38062073" w14:textId="77777777" w:rsidR="009C7FF4" w:rsidRPr="003E0B98" w:rsidRDefault="009C7FF4" w:rsidP="004361AC">
            <w:pPr>
              <w:keepNext/>
              <w:rPr>
                <w:rFonts w:cs="Calibri"/>
                <w:bCs/>
                <w:iCs/>
                <w:lang w:val="es-ES"/>
              </w:rPr>
            </w:pPr>
            <w:r w:rsidRPr="003E0B98">
              <w:rPr>
                <w:rFonts w:cs="Calibri"/>
                <w:bCs/>
                <w:iCs/>
                <w:lang w:val="es-ES"/>
              </w:rPr>
              <w:t>Ganancia de ≥15 letras o AVMC ≥84 letras al Mes 24(%)</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E17BA09" w14:textId="77777777" w:rsidR="009C7FF4" w:rsidRPr="003E0B98" w:rsidRDefault="009C7FF4" w:rsidP="004361AC">
            <w:pPr>
              <w:keepNext/>
              <w:jc w:val="center"/>
              <w:rPr>
                <w:rFonts w:cs="Calibri"/>
                <w:bCs/>
                <w:iCs/>
              </w:rPr>
            </w:pPr>
            <w:r w:rsidRPr="003E0B98">
              <w:rPr>
                <w:rFonts w:cs="Calibri"/>
                <w:bCs/>
                <w:iCs/>
                <w:lang w:val="sv-SE"/>
              </w:rPr>
              <w:t>25,6</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F48D870" w14:textId="77777777" w:rsidR="009C7FF4" w:rsidRPr="003E0B98" w:rsidRDefault="009C7FF4" w:rsidP="004361AC">
            <w:pPr>
              <w:keepNext/>
              <w:jc w:val="center"/>
              <w:rPr>
                <w:rFonts w:cs="Calibri"/>
                <w:bCs/>
                <w:iCs/>
              </w:rPr>
            </w:pPr>
            <w:r w:rsidRPr="003E0B98">
              <w:rPr>
                <w:rFonts w:cs="Calibri"/>
                <w:bCs/>
                <w:iCs/>
                <w:lang w:val="sv-SE"/>
              </w:rPr>
              <w:t>28,0</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8A4337A" w14:textId="77777777" w:rsidR="009C7FF4" w:rsidRPr="003E0B98" w:rsidRDefault="009C7FF4" w:rsidP="004361AC">
            <w:pPr>
              <w:keepNext/>
              <w:jc w:val="center"/>
              <w:rPr>
                <w:rFonts w:cs="Calibri"/>
                <w:bCs/>
                <w:iCs/>
              </w:rPr>
            </w:pPr>
            <w:r w:rsidRPr="003E0B98">
              <w:rPr>
                <w:rFonts w:cs="Calibri"/>
                <w:bCs/>
                <w:iCs/>
                <w:lang w:val="sv-SE"/>
              </w:rPr>
              <w:t>30,8</w:t>
            </w:r>
          </w:p>
        </w:tc>
      </w:tr>
      <w:tr w:rsidR="00865448" w:rsidRPr="003E0B98" w14:paraId="7F8842DC" w14:textId="77777777" w:rsidTr="00942F06">
        <w:trPr>
          <w:trHeight w:val="200"/>
        </w:trPr>
        <w:tc>
          <w:tcPr>
            <w:tcW w:w="2304" w:type="dxa"/>
            <w:tcBorders>
              <w:top w:val="single" w:sz="4" w:space="0" w:color="auto"/>
              <w:left w:val="single" w:sz="4" w:space="0" w:color="auto"/>
              <w:bottom w:val="single" w:sz="4" w:space="0" w:color="auto"/>
              <w:right w:val="single" w:sz="4" w:space="0" w:color="auto"/>
            </w:tcBorders>
            <w:shd w:val="clear" w:color="auto" w:fill="FFFFFF"/>
          </w:tcPr>
          <w:p w14:paraId="5593C976" w14:textId="77777777" w:rsidR="00865448" w:rsidRPr="003E0B98" w:rsidRDefault="00865448" w:rsidP="004361AC">
            <w:pPr>
              <w:keepNext/>
              <w:rPr>
                <w:rFonts w:cs="Calibri"/>
                <w:bCs/>
                <w:iCs/>
                <w:lang w:val="es-ES"/>
              </w:rPr>
            </w:pPr>
            <w:r w:rsidRPr="003E0B98">
              <w:rPr>
                <w:rFonts w:cs="Calibri"/>
                <w:bCs/>
                <w:iCs/>
                <w:lang w:val="es-ES"/>
              </w:rPr>
              <w:t xml:space="preserve">Número </w:t>
            </w:r>
            <w:r w:rsidR="00A72E17" w:rsidRPr="003E0B98">
              <w:rPr>
                <w:rFonts w:cs="Calibri"/>
                <w:bCs/>
                <w:iCs/>
                <w:lang w:val="es-ES"/>
              </w:rPr>
              <w:t>pro</w:t>
            </w:r>
            <w:r w:rsidRPr="003E0B98">
              <w:rPr>
                <w:rFonts w:cs="Calibri"/>
                <w:bCs/>
                <w:iCs/>
                <w:lang w:val="es-ES"/>
              </w:rPr>
              <w:t>medio de inyecciones (meses 0-23)</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tcPr>
          <w:p w14:paraId="21A48BC3" w14:textId="77777777" w:rsidR="00865448" w:rsidRPr="003E0B98" w:rsidRDefault="00865448" w:rsidP="004361AC">
            <w:pPr>
              <w:keepNext/>
              <w:jc w:val="center"/>
              <w:rPr>
                <w:rFonts w:cs="Calibri"/>
                <w:bCs/>
                <w:iCs/>
                <w:lang w:val="sv-SE"/>
              </w:rPr>
            </w:pPr>
            <w:r w:rsidRPr="003E0B98">
              <w:rPr>
                <w:rFonts w:cs="Calibri"/>
                <w:bCs/>
                <w:iCs/>
                <w:lang w:val="sv-SE"/>
              </w:rPr>
              <w:t>12,4</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tcPr>
          <w:p w14:paraId="40926DCA" w14:textId="77777777" w:rsidR="00865448" w:rsidRPr="003E0B98" w:rsidRDefault="00865448" w:rsidP="004361AC">
            <w:pPr>
              <w:keepNext/>
              <w:jc w:val="center"/>
              <w:rPr>
                <w:rFonts w:cs="Calibri"/>
                <w:bCs/>
                <w:iCs/>
                <w:lang w:val="sv-SE"/>
              </w:rPr>
            </w:pPr>
            <w:r w:rsidRPr="003E0B98">
              <w:rPr>
                <w:rFonts w:cs="Calibri"/>
                <w:bCs/>
                <w:iCs/>
                <w:lang w:val="sv-SE"/>
              </w:rPr>
              <w:t>12,8</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tcPr>
          <w:p w14:paraId="4C8AAFD4" w14:textId="77777777" w:rsidR="00865448" w:rsidRPr="003E0B98" w:rsidRDefault="00865448" w:rsidP="004361AC">
            <w:pPr>
              <w:keepNext/>
              <w:jc w:val="center"/>
              <w:rPr>
                <w:rFonts w:cs="Calibri"/>
                <w:bCs/>
                <w:iCs/>
                <w:lang w:val="sv-SE"/>
              </w:rPr>
            </w:pPr>
            <w:r w:rsidRPr="003E0B98">
              <w:rPr>
                <w:rFonts w:cs="Calibri"/>
                <w:bCs/>
                <w:iCs/>
                <w:lang w:val="sv-SE"/>
              </w:rPr>
              <w:t>10,7</w:t>
            </w:r>
          </w:p>
        </w:tc>
      </w:tr>
    </w:tbl>
    <w:p w14:paraId="2979F2E0" w14:textId="77777777" w:rsidR="009C7FF4" w:rsidRPr="003E0B98" w:rsidRDefault="009C7FF4" w:rsidP="004361AC">
      <w:pPr>
        <w:rPr>
          <w:rFonts w:cs="Calibri"/>
          <w:bCs/>
          <w:iCs/>
          <w:lang w:val="es-ES"/>
        </w:rPr>
      </w:pPr>
      <w:proofErr w:type="spellStart"/>
      <w:r w:rsidRPr="003E0B98">
        <w:rPr>
          <w:rFonts w:cs="Calibri"/>
          <w:bCs/>
          <w:iCs/>
          <w:vertAlign w:val="superscript"/>
          <w:lang w:val="es-ES"/>
        </w:rPr>
        <w:t>a</w:t>
      </w:r>
      <w:r w:rsidRPr="003E0B98">
        <w:rPr>
          <w:rFonts w:cs="Calibri"/>
          <w:bCs/>
          <w:lang w:val="es-ES"/>
        </w:rPr>
        <w:t>p</w:t>
      </w:r>
      <w:proofErr w:type="spellEnd"/>
      <w:r w:rsidRPr="003E0B98">
        <w:rPr>
          <w:rFonts w:cs="Calibri"/>
          <w:bCs/>
          <w:lang w:val="es-ES"/>
        </w:rPr>
        <w:t>&lt;</w:t>
      </w:r>
      <w:r w:rsidRPr="003E0B98">
        <w:rPr>
          <w:rFonts w:cs="Calibri"/>
          <w:bCs/>
          <w:iCs/>
          <w:lang w:val="es-ES"/>
        </w:rPr>
        <w:t>0,0001 para la valoración de no inferioridad a PRN</w:t>
      </w:r>
    </w:p>
    <w:p w14:paraId="46674614" w14:textId="77777777" w:rsidR="009C7FF4" w:rsidRPr="003E0B98" w:rsidRDefault="009C7FF4" w:rsidP="004361AC">
      <w:pPr>
        <w:rPr>
          <w:rFonts w:cs="Calibri"/>
          <w:bCs/>
          <w:iCs/>
          <w:lang w:val="es-ES"/>
        </w:rPr>
      </w:pPr>
    </w:p>
    <w:p w14:paraId="02F84AC8" w14:textId="77777777" w:rsidR="009C7FF4" w:rsidRPr="003E0B98" w:rsidRDefault="009C7FF4" w:rsidP="004361AC">
      <w:pPr>
        <w:autoSpaceDE w:val="0"/>
        <w:autoSpaceDN w:val="0"/>
        <w:adjustRightInd w:val="0"/>
        <w:rPr>
          <w:rFonts w:cs="Calibri"/>
          <w:bCs/>
          <w:iCs/>
          <w:lang w:val="es-ES"/>
        </w:rPr>
      </w:pPr>
      <w:r w:rsidRPr="003E0B98">
        <w:rPr>
          <w:rFonts w:cs="Calibri"/>
          <w:bCs/>
          <w:iCs/>
          <w:lang w:val="es-ES"/>
        </w:rPr>
        <w:t xml:space="preserve">En los ensayos en EMD, la mejora en la AVMC se acompañó de una reducción en el tiempo del </w:t>
      </w:r>
      <w:r w:rsidRPr="003E0B98">
        <w:rPr>
          <w:color w:val="000000"/>
          <w:szCs w:val="22"/>
          <w:lang w:val="es-ES_tradnl"/>
        </w:rPr>
        <w:t>GSCR</w:t>
      </w:r>
      <w:r w:rsidRPr="003E0B98">
        <w:rPr>
          <w:rFonts w:cs="Calibri"/>
          <w:bCs/>
          <w:iCs/>
          <w:lang w:val="es-ES"/>
        </w:rPr>
        <w:t xml:space="preserve"> medio en todos los grupos de tratamiento.</w:t>
      </w:r>
    </w:p>
    <w:p w14:paraId="6B9DC308" w14:textId="77777777" w:rsidR="002F08F3" w:rsidRPr="003E0B98" w:rsidRDefault="002F08F3" w:rsidP="004361AC">
      <w:pPr>
        <w:tabs>
          <w:tab w:val="clear" w:pos="567"/>
        </w:tabs>
        <w:spacing w:line="240" w:lineRule="auto"/>
        <w:rPr>
          <w:color w:val="000000"/>
          <w:szCs w:val="22"/>
          <w:lang w:val="es-ES"/>
        </w:rPr>
      </w:pPr>
    </w:p>
    <w:p w14:paraId="5E15D2C3" w14:textId="77777777" w:rsidR="00EA766B" w:rsidRPr="003E0B98" w:rsidRDefault="00EA766B" w:rsidP="004361AC">
      <w:pPr>
        <w:keepNext/>
        <w:tabs>
          <w:tab w:val="clear" w:pos="567"/>
        </w:tabs>
        <w:spacing w:line="240" w:lineRule="auto"/>
        <w:rPr>
          <w:i/>
          <w:color w:val="000000"/>
          <w:szCs w:val="22"/>
          <w:u w:val="single"/>
          <w:lang w:val="es-ES"/>
        </w:rPr>
      </w:pPr>
      <w:r w:rsidRPr="003E0B98">
        <w:rPr>
          <w:i/>
          <w:color w:val="000000"/>
          <w:szCs w:val="22"/>
          <w:u w:val="single"/>
          <w:lang w:val="es-ES"/>
        </w:rPr>
        <w:t>Tratamiento de la RDP</w:t>
      </w:r>
    </w:p>
    <w:p w14:paraId="06437183" w14:textId="77777777" w:rsidR="00EA766B" w:rsidRPr="003E0B98" w:rsidRDefault="00EA766B" w:rsidP="004361AC">
      <w:pPr>
        <w:tabs>
          <w:tab w:val="clear" w:pos="567"/>
        </w:tabs>
        <w:spacing w:line="240" w:lineRule="auto"/>
        <w:rPr>
          <w:color w:val="000000"/>
          <w:szCs w:val="22"/>
          <w:lang w:val="es-ES"/>
        </w:rPr>
      </w:pPr>
      <w:r w:rsidRPr="003E0B98">
        <w:rPr>
          <w:color w:val="000000"/>
          <w:szCs w:val="22"/>
          <w:lang w:val="es-ES"/>
        </w:rPr>
        <w:t xml:space="preserve">La seguridad y eficacia clínicas de </w:t>
      </w:r>
      <w:proofErr w:type="spellStart"/>
      <w:r w:rsidRPr="003E0B98">
        <w:rPr>
          <w:color w:val="000000"/>
          <w:szCs w:val="22"/>
          <w:lang w:val="es-ES"/>
        </w:rPr>
        <w:t>Lucentis</w:t>
      </w:r>
      <w:proofErr w:type="spellEnd"/>
      <w:r w:rsidRPr="003E0B98">
        <w:rPr>
          <w:color w:val="000000"/>
          <w:szCs w:val="22"/>
          <w:lang w:val="es-ES"/>
        </w:rPr>
        <w:t xml:space="preserve"> en pacientes con RDP se han evaluado en el Protocolo S, que analizó el tratamiento con inyecciones intravítreas de 0,5 mg de </w:t>
      </w:r>
      <w:proofErr w:type="spellStart"/>
      <w:r w:rsidRPr="003E0B98">
        <w:rPr>
          <w:color w:val="000000"/>
          <w:szCs w:val="22"/>
          <w:lang w:val="es-ES"/>
        </w:rPr>
        <w:t>ranibizumab</w:t>
      </w:r>
      <w:proofErr w:type="spellEnd"/>
      <w:r w:rsidRPr="003E0B98">
        <w:rPr>
          <w:color w:val="000000"/>
          <w:szCs w:val="22"/>
          <w:lang w:val="es-ES"/>
        </w:rPr>
        <w:t xml:space="preserve"> en comparación con la fotocoagulación </w:t>
      </w:r>
      <w:proofErr w:type="spellStart"/>
      <w:r w:rsidRPr="003E0B98">
        <w:rPr>
          <w:color w:val="000000"/>
          <w:szCs w:val="22"/>
          <w:lang w:val="es-ES"/>
        </w:rPr>
        <w:t>panretiniana</w:t>
      </w:r>
      <w:proofErr w:type="spellEnd"/>
      <w:r w:rsidRPr="003E0B98">
        <w:rPr>
          <w:color w:val="000000"/>
          <w:szCs w:val="22"/>
          <w:lang w:val="es-ES"/>
        </w:rPr>
        <w:t xml:space="preserve"> (FPR). El objetivo primario fue el cambio medio de agudeza visual en el año 2. Además, el cambio en la gravedad de la retinopatía diabética (RD) se evaluó en base a fotografías de fondo de ojo utilizando el grado de severidad de la RD (DRSS).</w:t>
      </w:r>
    </w:p>
    <w:p w14:paraId="64666CEE" w14:textId="77777777" w:rsidR="00EA766B" w:rsidRPr="003E0B98" w:rsidRDefault="00EA766B" w:rsidP="004361AC">
      <w:pPr>
        <w:tabs>
          <w:tab w:val="clear" w:pos="567"/>
        </w:tabs>
        <w:spacing w:line="240" w:lineRule="auto"/>
        <w:rPr>
          <w:color w:val="000000"/>
          <w:szCs w:val="22"/>
          <w:lang w:val="es-ES"/>
        </w:rPr>
      </w:pPr>
    </w:p>
    <w:p w14:paraId="486DC518" w14:textId="7F9A5373" w:rsidR="00EA766B" w:rsidRPr="003E0B98" w:rsidRDefault="00EA766B" w:rsidP="004361AC">
      <w:pPr>
        <w:tabs>
          <w:tab w:val="clear" w:pos="567"/>
        </w:tabs>
        <w:spacing w:line="240" w:lineRule="auto"/>
        <w:rPr>
          <w:color w:val="000000"/>
          <w:szCs w:val="22"/>
          <w:lang w:val="es-ES"/>
        </w:rPr>
      </w:pPr>
      <w:r w:rsidRPr="003E0B98">
        <w:rPr>
          <w:color w:val="000000"/>
          <w:szCs w:val="22"/>
          <w:lang w:val="es-ES"/>
        </w:rPr>
        <w:t xml:space="preserve">El Protocolo S fue un estudio multicéntrico, aleatorizado, </w:t>
      </w:r>
      <w:r w:rsidRPr="003E0B98">
        <w:rPr>
          <w:color w:val="000000"/>
          <w:szCs w:val="22"/>
          <w:lang w:val="es-ES_tradnl"/>
        </w:rPr>
        <w:t>controlado con tratamiento activo</w:t>
      </w:r>
      <w:r w:rsidRPr="003E0B98">
        <w:rPr>
          <w:color w:val="000000"/>
          <w:szCs w:val="22"/>
          <w:lang w:val="es-ES"/>
        </w:rPr>
        <w:t xml:space="preserve">, de asignación paralela, de fase III de no inferioridad en el que se incluyeron 305 pacientes (394 ojos en estudio) con RD proliferativa con o sin EMD al inicio del estudio. El estudio comparó las inyecciones intravítreas de 0,5 mg de </w:t>
      </w:r>
      <w:proofErr w:type="spellStart"/>
      <w:r w:rsidRPr="003E0B98">
        <w:rPr>
          <w:color w:val="000000"/>
          <w:szCs w:val="22"/>
          <w:lang w:val="es-ES"/>
        </w:rPr>
        <w:t>ranibizumab</w:t>
      </w:r>
      <w:proofErr w:type="spellEnd"/>
      <w:r w:rsidRPr="003E0B98">
        <w:rPr>
          <w:color w:val="000000"/>
          <w:szCs w:val="22"/>
          <w:lang w:val="es-ES"/>
        </w:rPr>
        <w:t xml:space="preserve"> con el tratamiento estándar con FPR. Un total de 191 ojos (48,5%) fueron asignados al azar a </w:t>
      </w:r>
      <w:proofErr w:type="spellStart"/>
      <w:r w:rsidRPr="003E0B98">
        <w:rPr>
          <w:color w:val="000000"/>
          <w:szCs w:val="22"/>
          <w:lang w:val="es-ES"/>
        </w:rPr>
        <w:t>ranibizumab</w:t>
      </w:r>
      <w:proofErr w:type="spellEnd"/>
      <w:r w:rsidRPr="003E0B98">
        <w:rPr>
          <w:color w:val="000000"/>
          <w:szCs w:val="22"/>
          <w:lang w:val="es-ES"/>
        </w:rPr>
        <w:t xml:space="preserve"> 0,5 mg y 203 ojos (51,5%) fueron asignados al azar a FPR. Un total de 88 ojos (22,3%) tenían EMD basal: 42 (22,0%) y 46 (22,7%) ojos en los grupos </w:t>
      </w:r>
      <w:proofErr w:type="spellStart"/>
      <w:r w:rsidRPr="003E0B98">
        <w:rPr>
          <w:color w:val="000000"/>
          <w:szCs w:val="22"/>
          <w:lang w:val="es-ES"/>
        </w:rPr>
        <w:t>ranibizumab</w:t>
      </w:r>
      <w:proofErr w:type="spellEnd"/>
      <w:r w:rsidRPr="003E0B98">
        <w:rPr>
          <w:color w:val="000000"/>
          <w:szCs w:val="22"/>
          <w:lang w:val="es-ES"/>
        </w:rPr>
        <w:t xml:space="preserve"> y FPR, respectivamente.</w:t>
      </w:r>
    </w:p>
    <w:p w14:paraId="362F135E" w14:textId="77777777" w:rsidR="00EA766B" w:rsidRPr="003E0B98" w:rsidRDefault="00EA766B" w:rsidP="004361AC">
      <w:pPr>
        <w:tabs>
          <w:tab w:val="clear" w:pos="567"/>
        </w:tabs>
        <w:spacing w:line="240" w:lineRule="auto"/>
        <w:rPr>
          <w:color w:val="000000"/>
          <w:szCs w:val="22"/>
          <w:lang w:val="es-ES"/>
        </w:rPr>
      </w:pPr>
    </w:p>
    <w:p w14:paraId="4706DB55" w14:textId="442D86F6" w:rsidR="00EA766B" w:rsidRPr="003E0B98" w:rsidRDefault="00EA766B" w:rsidP="004361AC">
      <w:pPr>
        <w:tabs>
          <w:tab w:val="clear" w:pos="567"/>
        </w:tabs>
        <w:spacing w:line="240" w:lineRule="auto"/>
        <w:rPr>
          <w:color w:val="000000"/>
          <w:szCs w:val="22"/>
          <w:lang w:val="es-ES"/>
        </w:rPr>
      </w:pPr>
      <w:r w:rsidRPr="003E0B98">
        <w:rPr>
          <w:color w:val="000000"/>
          <w:szCs w:val="22"/>
          <w:lang w:val="es-ES"/>
        </w:rPr>
        <w:t>En este estudio, el cambio medio de agudeza visual en el año 2 fue de +2,7</w:t>
      </w:r>
      <w:r w:rsidR="006D4E55" w:rsidRPr="003E0B98">
        <w:rPr>
          <w:color w:val="000000"/>
          <w:szCs w:val="22"/>
          <w:lang w:val="es-ES"/>
        </w:rPr>
        <w:t> </w:t>
      </w:r>
      <w:r w:rsidRPr="003E0B98">
        <w:rPr>
          <w:color w:val="000000"/>
          <w:szCs w:val="22"/>
          <w:lang w:val="es-ES"/>
        </w:rPr>
        <w:t xml:space="preserve">letras en el grupo de </w:t>
      </w:r>
      <w:proofErr w:type="spellStart"/>
      <w:r w:rsidRPr="003E0B98">
        <w:rPr>
          <w:color w:val="000000"/>
          <w:szCs w:val="22"/>
          <w:lang w:val="es-ES"/>
        </w:rPr>
        <w:t>ranibizumab</w:t>
      </w:r>
      <w:proofErr w:type="spellEnd"/>
      <w:r w:rsidRPr="003E0B98">
        <w:rPr>
          <w:color w:val="000000"/>
          <w:szCs w:val="22"/>
          <w:lang w:val="es-ES"/>
        </w:rPr>
        <w:t xml:space="preserve"> en comparación con -0,7 letras en el grupo de FPR. La diferencia en las medias de mínimos cuadrados fue de 3,5 letras (IC 95%: [0,2 a 6,7]).</w:t>
      </w:r>
    </w:p>
    <w:p w14:paraId="6D193214" w14:textId="77777777" w:rsidR="00EA766B" w:rsidRPr="003E0B98" w:rsidRDefault="00EA766B" w:rsidP="004361AC">
      <w:pPr>
        <w:tabs>
          <w:tab w:val="clear" w:pos="567"/>
        </w:tabs>
        <w:spacing w:line="240" w:lineRule="auto"/>
        <w:rPr>
          <w:color w:val="000000"/>
          <w:szCs w:val="22"/>
          <w:lang w:val="es-ES"/>
        </w:rPr>
      </w:pPr>
    </w:p>
    <w:p w14:paraId="7AA3202C" w14:textId="285ADC62" w:rsidR="00EA766B" w:rsidRPr="003E0B98" w:rsidRDefault="00EA766B" w:rsidP="004361AC">
      <w:pPr>
        <w:tabs>
          <w:tab w:val="clear" w:pos="567"/>
        </w:tabs>
        <w:spacing w:line="240" w:lineRule="auto"/>
        <w:rPr>
          <w:color w:val="000000"/>
          <w:szCs w:val="22"/>
          <w:lang w:val="es-ES"/>
        </w:rPr>
      </w:pPr>
      <w:r w:rsidRPr="003E0B98">
        <w:rPr>
          <w:color w:val="000000"/>
          <w:szCs w:val="22"/>
          <w:lang w:val="es-ES"/>
        </w:rPr>
        <w:t>Al año</w:t>
      </w:r>
      <w:r w:rsidR="006D4E55" w:rsidRPr="003E0B98">
        <w:rPr>
          <w:color w:val="000000"/>
          <w:szCs w:val="22"/>
          <w:lang w:val="es-ES"/>
        </w:rPr>
        <w:t> </w:t>
      </w:r>
      <w:r w:rsidRPr="003E0B98">
        <w:rPr>
          <w:color w:val="000000"/>
          <w:szCs w:val="22"/>
          <w:lang w:val="es-ES"/>
        </w:rPr>
        <w:t xml:space="preserve">1, el 41,8% de los ojos tuvo una mejora de ≥2 niveles en el DRSS cuando se trató con </w:t>
      </w:r>
      <w:proofErr w:type="spellStart"/>
      <w:r w:rsidRPr="003E0B98">
        <w:rPr>
          <w:color w:val="000000"/>
          <w:szCs w:val="22"/>
          <w:lang w:val="es-ES"/>
        </w:rPr>
        <w:t>ranibizumab</w:t>
      </w:r>
      <w:proofErr w:type="spellEnd"/>
      <w:r w:rsidRPr="003E0B98">
        <w:rPr>
          <w:color w:val="000000"/>
          <w:szCs w:val="22"/>
          <w:lang w:val="es-ES"/>
        </w:rPr>
        <w:t xml:space="preserve"> (n = 189) en comparación con el 14,6% de los ojos tratados con FPR (n = 199). La diferencia estimada entre </w:t>
      </w:r>
      <w:proofErr w:type="spellStart"/>
      <w:r w:rsidRPr="003E0B98">
        <w:rPr>
          <w:color w:val="000000"/>
          <w:szCs w:val="22"/>
          <w:lang w:val="es-ES"/>
        </w:rPr>
        <w:t>ranibizumab</w:t>
      </w:r>
      <w:proofErr w:type="spellEnd"/>
      <w:r w:rsidRPr="003E0B98">
        <w:rPr>
          <w:color w:val="000000"/>
          <w:szCs w:val="22"/>
          <w:lang w:val="es-ES"/>
        </w:rPr>
        <w:t xml:space="preserve"> y láser fue del 27,4% (IC del 95%: [18,9, 35,9]).</w:t>
      </w:r>
    </w:p>
    <w:p w14:paraId="4FEC15F9" w14:textId="11AE494A" w:rsidR="002F08F3" w:rsidRPr="003E0B98" w:rsidRDefault="002F08F3" w:rsidP="004361AC">
      <w:pPr>
        <w:tabs>
          <w:tab w:val="clear" w:pos="567"/>
        </w:tabs>
        <w:spacing w:line="240" w:lineRule="auto"/>
        <w:rPr>
          <w:color w:val="000000"/>
          <w:szCs w:val="22"/>
          <w:lang w:val="es-ES"/>
        </w:rPr>
      </w:pPr>
    </w:p>
    <w:p w14:paraId="2F13BFD5" w14:textId="3E6D7550" w:rsidR="002F08F3" w:rsidRPr="003E0B98" w:rsidRDefault="002F08F3" w:rsidP="004361AC">
      <w:pPr>
        <w:keepNext/>
        <w:keepLines/>
        <w:tabs>
          <w:tab w:val="clear" w:pos="567"/>
          <w:tab w:val="left" w:pos="720"/>
        </w:tabs>
        <w:spacing w:line="240" w:lineRule="auto"/>
        <w:ind w:left="1134" w:hanging="1134"/>
        <w:rPr>
          <w:b/>
          <w:color w:val="000000"/>
          <w:lang w:val="es-ES"/>
        </w:rPr>
      </w:pPr>
      <w:r w:rsidRPr="003E0B98">
        <w:rPr>
          <w:b/>
          <w:color w:val="000000"/>
          <w:lang w:val="es-ES"/>
        </w:rPr>
        <w:t>Tabla 7</w:t>
      </w:r>
      <w:r w:rsidRPr="003E0B98">
        <w:rPr>
          <w:b/>
          <w:color w:val="000000"/>
          <w:lang w:val="es-ES"/>
        </w:rPr>
        <w:tab/>
      </w:r>
      <w:r w:rsidRPr="003E0B98">
        <w:rPr>
          <w:b/>
          <w:color w:val="000000"/>
          <w:lang w:val="es-ES"/>
        </w:rPr>
        <w:tab/>
        <w:t>Mejora o empeoramiento del DRSS de ≥2 o ≥3</w:t>
      </w:r>
      <w:r w:rsidR="003A34AB" w:rsidRPr="003E0B98">
        <w:rPr>
          <w:b/>
          <w:color w:val="000000"/>
          <w:lang w:val="es-ES"/>
        </w:rPr>
        <w:t> </w:t>
      </w:r>
      <w:r w:rsidRPr="003E0B98">
        <w:rPr>
          <w:b/>
          <w:color w:val="000000"/>
          <w:lang w:val="es-ES"/>
        </w:rPr>
        <w:t>niveles en el año</w:t>
      </w:r>
      <w:r w:rsidR="003A34AB" w:rsidRPr="003E0B98">
        <w:rPr>
          <w:b/>
          <w:color w:val="000000"/>
          <w:lang w:val="es-ES"/>
        </w:rPr>
        <w:t> </w:t>
      </w:r>
      <w:r w:rsidRPr="003E0B98">
        <w:rPr>
          <w:b/>
          <w:color w:val="000000"/>
          <w:lang w:val="es-ES"/>
        </w:rPr>
        <w:t>1 en el Protocolo S (Método LOCF)</w:t>
      </w:r>
    </w:p>
    <w:p w14:paraId="23B32812" w14:textId="77777777" w:rsidR="002F08F3" w:rsidRPr="003E0B98" w:rsidRDefault="002F08F3" w:rsidP="004361AC">
      <w:pPr>
        <w:keepNext/>
        <w:keepLines/>
        <w:rPr>
          <w:lang w:val="es-ES"/>
        </w:rPr>
      </w:pPr>
    </w:p>
    <w:tbl>
      <w:tblPr>
        <w:tblW w:w="935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7"/>
        <w:gridCol w:w="2337"/>
        <w:gridCol w:w="2338"/>
        <w:gridCol w:w="2338"/>
      </w:tblGrid>
      <w:tr w:rsidR="002F08F3" w:rsidRPr="003E0B98" w14:paraId="3FA8244A" w14:textId="77777777" w:rsidTr="00D55E43">
        <w:tc>
          <w:tcPr>
            <w:tcW w:w="2337" w:type="dxa"/>
            <w:vMerge w:val="restart"/>
            <w:tcBorders>
              <w:top w:val="single" w:sz="4" w:space="0" w:color="auto"/>
              <w:left w:val="single" w:sz="4" w:space="0" w:color="auto"/>
              <w:bottom w:val="single" w:sz="4" w:space="0" w:color="auto"/>
              <w:right w:val="single" w:sz="4" w:space="0" w:color="auto"/>
            </w:tcBorders>
            <w:hideMark/>
          </w:tcPr>
          <w:p w14:paraId="2B14FE47" w14:textId="77777777" w:rsidR="002F08F3" w:rsidRPr="003E0B98" w:rsidRDefault="002F08F3" w:rsidP="004361AC">
            <w:pPr>
              <w:keepNext/>
              <w:keepLines/>
              <w:rPr>
                <w:lang w:val="es-ES"/>
              </w:rPr>
            </w:pPr>
            <w:r w:rsidRPr="003E0B98">
              <w:rPr>
                <w:b/>
                <w:bCs/>
                <w:szCs w:val="22"/>
                <w:lang w:val="es-ES"/>
              </w:rPr>
              <w:t>Cambio categorizado desde el inicio</w:t>
            </w:r>
          </w:p>
        </w:tc>
        <w:tc>
          <w:tcPr>
            <w:tcW w:w="7013" w:type="dxa"/>
            <w:gridSpan w:val="3"/>
            <w:tcBorders>
              <w:top w:val="single" w:sz="4" w:space="0" w:color="auto"/>
              <w:left w:val="single" w:sz="4" w:space="0" w:color="auto"/>
              <w:bottom w:val="single" w:sz="4" w:space="0" w:color="auto"/>
              <w:right w:val="single" w:sz="4" w:space="0" w:color="auto"/>
            </w:tcBorders>
            <w:hideMark/>
          </w:tcPr>
          <w:p w14:paraId="5F6BA50F" w14:textId="77777777" w:rsidR="002F08F3" w:rsidRPr="003E0B98" w:rsidRDefault="002F08F3" w:rsidP="004361AC">
            <w:pPr>
              <w:keepNext/>
              <w:keepLines/>
              <w:jc w:val="center"/>
            </w:pPr>
            <w:r w:rsidRPr="003E0B98">
              <w:rPr>
                <w:b/>
                <w:bCs/>
                <w:szCs w:val="22"/>
                <w:lang w:val="de-CH"/>
              </w:rPr>
              <w:t>Protocolo S</w:t>
            </w:r>
          </w:p>
        </w:tc>
      </w:tr>
      <w:tr w:rsidR="002F08F3" w:rsidRPr="003E0B98" w14:paraId="55AE002E" w14:textId="77777777" w:rsidTr="00D55E43">
        <w:tc>
          <w:tcPr>
            <w:tcW w:w="0" w:type="auto"/>
            <w:vMerge/>
            <w:tcBorders>
              <w:top w:val="single" w:sz="4" w:space="0" w:color="auto"/>
              <w:left w:val="single" w:sz="4" w:space="0" w:color="auto"/>
              <w:bottom w:val="single" w:sz="4" w:space="0" w:color="auto"/>
              <w:right w:val="single" w:sz="4" w:space="0" w:color="auto"/>
            </w:tcBorders>
            <w:vAlign w:val="center"/>
            <w:hideMark/>
          </w:tcPr>
          <w:p w14:paraId="3084FDAE" w14:textId="77777777" w:rsidR="002F08F3" w:rsidRPr="003E0B98" w:rsidRDefault="002F08F3" w:rsidP="004361AC">
            <w:pPr>
              <w:tabs>
                <w:tab w:val="clear" w:pos="567"/>
              </w:tabs>
              <w:spacing w:line="240" w:lineRule="auto"/>
            </w:pPr>
          </w:p>
        </w:tc>
        <w:tc>
          <w:tcPr>
            <w:tcW w:w="2337" w:type="dxa"/>
            <w:tcBorders>
              <w:top w:val="single" w:sz="4" w:space="0" w:color="auto"/>
              <w:left w:val="single" w:sz="4" w:space="0" w:color="auto"/>
              <w:bottom w:val="single" w:sz="4" w:space="0" w:color="auto"/>
              <w:right w:val="single" w:sz="4" w:space="0" w:color="auto"/>
            </w:tcBorders>
            <w:hideMark/>
          </w:tcPr>
          <w:p w14:paraId="7904CB08" w14:textId="77777777" w:rsidR="002F08F3" w:rsidRPr="003E0B98" w:rsidRDefault="002F08F3" w:rsidP="004361AC">
            <w:pPr>
              <w:pStyle w:val="Table"/>
              <w:keepNext/>
              <w:spacing w:before="0" w:after="0"/>
              <w:jc w:val="center"/>
              <w:rPr>
                <w:rFonts w:ascii="Times New Roman" w:hAnsi="Times New Roman"/>
                <w:b/>
                <w:bCs/>
                <w:sz w:val="22"/>
                <w:szCs w:val="22"/>
                <w:lang w:val="de-CH"/>
              </w:rPr>
            </w:pPr>
            <w:r w:rsidRPr="003E0B98">
              <w:rPr>
                <w:rFonts w:ascii="Times New Roman" w:hAnsi="Times New Roman"/>
                <w:b/>
                <w:bCs/>
                <w:sz w:val="22"/>
                <w:szCs w:val="22"/>
                <w:lang w:val="de-CH"/>
              </w:rPr>
              <w:t>Ranibizumab</w:t>
            </w:r>
          </w:p>
          <w:p w14:paraId="47EDF568" w14:textId="77777777" w:rsidR="002F08F3" w:rsidRPr="003E0B98" w:rsidRDefault="002F08F3" w:rsidP="004361AC">
            <w:pPr>
              <w:pStyle w:val="Table"/>
              <w:keepNext/>
              <w:spacing w:before="0" w:after="0"/>
              <w:jc w:val="center"/>
              <w:rPr>
                <w:rFonts w:ascii="Times New Roman" w:hAnsi="Times New Roman"/>
                <w:b/>
                <w:bCs/>
                <w:sz w:val="22"/>
                <w:szCs w:val="22"/>
                <w:lang w:val="de-CH"/>
              </w:rPr>
            </w:pPr>
            <w:r w:rsidRPr="003E0B98">
              <w:rPr>
                <w:rFonts w:ascii="Times New Roman" w:hAnsi="Times New Roman"/>
                <w:b/>
                <w:bCs/>
                <w:sz w:val="22"/>
                <w:szCs w:val="22"/>
                <w:lang w:val="de-CH"/>
              </w:rPr>
              <w:t>0,5 mg</w:t>
            </w:r>
          </w:p>
          <w:p w14:paraId="0EEC683B" w14:textId="77777777" w:rsidR="002F08F3" w:rsidRPr="003E0B98" w:rsidRDefault="002F08F3" w:rsidP="004361AC">
            <w:pPr>
              <w:pStyle w:val="Table"/>
              <w:keepNext/>
              <w:spacing w:before="0" w:after="0"/>
              <w:jc w:val="center"/>
              <w:rPr>
                <w:rFonts w:ascii="Times New Roman" w:hAnsi="Times New Roman"/>
                <w:b/>
                <w:bCs/>
                <w:sz w:val="22"/>
                <w:szCs w:val="22"/>
                <w:lang w:val="de-CH"/>
              </w:rPr>
            </w:pPr>
            <w:r w:rsidRPr="003E0B98">
              <w:rPr>
                <w:rFonts w:ascii="Times New Roman" w:hAnsi="Times New Roman"/>
                <w:b/>
                <w:bCs/>
                <w:sz w:val="22"/>
                <w:szCs w:val="22"/>
                <w:lang w:val="de-CH"/>
              </w:rPr>
              <w:t>(N=189)</w:t>
            </w:r>
          </w:p>
        </w:tc>
        <w:tc>
          <w:tcPr>
            <w:tcW w:w="2338" w:type="dxa"/>
            <w:tcBorders>
              <w:top w:val="single" w:sz="4" w:space="0" w:color="auto"/>
              <w:left w:val="single" w:sz="4" w:space="0" w:color="auto"/>
              <w:bottom w:val="single" w:sz="4" w:space="0" w:color="auto"/>
              <w:right w:val="single" w:sz="4" w:space="0" w:color="auto"/>
            </w:tcBorders>
            <w:hideMark/>
          </w:tcPr>
          <w:p w14:paraId="1E6763EC" w14:textId="77777777" w:rsidR="002F08F3" w:rsidRPr="003E0B98" w:rsidRDefault="002F08F3" w:rsidP="004361AC">
            <w:pPr>
              <w:pStyle w:val="Table"/>
              <w:keepNext/>
              <w:spacing w:before="0" w:after="0"/>
              <w:jc w:val="center"/>
              <w:rPr>
                <w:rFonts w:ascii="Times New Roman" w:hAnsi="Times New Roman"/>
                <w:b/>
                <w:bCs/>
                <w:sz w:val="22"/>
                <w:szCs w:val="22"/>
                <w:lang w:val="de-CH"/>
              </w:rPr>
            </w:pPr>
            <w:r w:rsidRPr="003E0B98">
              <w:rPr>
                <w:rFonts w:ascii="Times New Roman" w:hAnsi="Times New Roman"/>
                <w:b/>
                <w:bCs/>
                <w:sz w:val="22"/>
                <w:szCs w:val="22"/>
                <w:lang w:val="de-CH"/>
              </w:rPr>
              <w:t>FPR</w:t>
            </w:r>
          </w:p>
          <w:p w14:paraId="7F7108F5" w14:textId="77777777" w:rsidR="002F08F3" w:rsidRPr="003E0B98" w:rsidRDefault="002F08F3" w:rsidP="004361AC">
            <w:pPr>
              <w:pStyle w:val="Table"/>
              <w:keepNext/>
              <w:spacing w:before="0" w:after="0"/>
              <w:jc w:val="center"/>
              <w:rPr>
                <w:rFonts w:ascii="Times New Roman" w:hAnsi="Times New Roman"/>
                <w:b/>
                <w:bCs/>
                <w:sz w:val="22"/>
                <w:szCs w:val="22"/>
                <w:lang w:val="de-CH"/>
              </w:rPr>
            </w:pPr>
            <w:r w:rsidRPr="003E0B98">
              <w:rPr>
                <w:rFonts w:ascii="Times New Roman" w:hAnsi="Times New Roman"/>
                <w:b/>
                <w:bCs/>
                <w:sz w:val="22"/>
                <w:szCs w:val="22"/>
                <w:lang w:val="de-CH"/>
              </w:rPr>
              <w:t>(N=199)</w:t>
            </w:r>
          </w:p>
        </w:tc>
        <w:tc>
          <w:tcPr>
            <w:tcW w:w="2338" w:type="dxa"/>
            <w:tcBorders>
              <w:top w:val="single" w:sz="4" w:space="0" w:color="auto"/>
              <w:left w:val="single" w:sz="4" w:space="0" w:color="auto"/>
              <w:bottom w:val="single" w:sz="4" w:space="0" w:color="auto"/>
              <w:right w:val="single" w:sz="4" w:space="0" w:color="auto"/>
            </w:tcBorders>
            <w:hideMark/>
          </w:tcPr>
          <w:p w14:paraId="2E718FFF" w14:textId="77777777" w:rsidR="002F08F3" w:rsidRPr="003E0B98" w:rsidRDefault="002F08F3" w:rsidP="004361AC">
            <w:pPr>
              <w:pStyle w:val="Table"/>
              <w:keepNext/>
              <w:spacing w:before="0" w:after="0"/>
              <w:jc w:val="center"/>
              <w:rPr>
                <w:rFonts w:ascii="Times New Roman" w:hAnsi="Times New Roman"/>
                <w:b/>
                <w:bCs/>
                <w:sz w:val="22"/>
                <w:szCs w:val="22"/>
                <w:lang w:val="de-CH"/>
              </w:rPr>
            </w:pPr>
            <w:r w:rsidRPr="003E0B98">
              <w:rPr>
                <w:rFonts w:ascii="Times New Roman" w:hAnsi="Times New Roman"/>
                <w:b/>
                <w:bCs/>
                <w:sz w:val="22"/>
                <w:szCs w:val="22"/>
                <w:lang w:val="es-ES"/>
              </w:rPr>
              <w:t>Diferencia en proporción</w:t>
            </w:r>
            <w:r w:rsidRPr="003E0B98">
              <w:rPr>
                <w:rFonts w:ascii="Times New Roman" w:hAnsi="Times New Roman"/>
                <w:b/>
                <w:bCs/>
                <w:sz w:val="22"/>
                <w:szCs w:val="22"/>
              </w:rPr>
              <w:t xml:space="preserve"> (%), </w:t>
            </w:r>
            <w:r w:rsidRPr="003E0B98">
              <w:rPr>
                <w:rFonts w:ascii="Times New Roman" w:hAnsi="Times New Roman"/>
                <w:b/>
                <w:bCs/>
                <w:sz w:val="22"/>
                <w:szCs w:val="22"/>
                <w:lang w:val="es-ES"/>
              </w:rPr>
              <w:t>I</w:t>
            </w:r>
            <w:r w:rsidRPr="003E0B98">
              <w:rPr>
                <w:rFonts w:ascii="Times New Roman" w:hAnsi="Times New Roman"/>
                <w:b/>
                <w:bCs/>
                <w:sz w:val="22"/>
                <w:szCs w:val="22"/>
              </w:rPr>
              <w:t>C</w:t>
            </w:r>
          </w:p>
        </w:tc>
      </w:tr>
      <w:tr w:rsidR="002F08F3" w:rsidRPr="003E0B98" w14:paraId="19F2267A" w14:textId="77777777" w:rsidTr="00D55E43">
        <w:tc>
          <w:tcPr>
            <w:tcW w:w="9350" w:type="dxa"/>
            <w:gridSpan w:val="4"/>
            <w:tcBorders>
              <w:top w:val="single" w:sz="4" w:space="0" w:color="auto"/>
              <w:left w:val="single" w:sz="4" w:space="0" w:color="auto"/>
              <w:bottom w:val="single" w:sz="4" w:space="0" w:color="auto"/>
              <w:right w:val="single" w:sz="4" w:space="0" w:color="auto"/>
            </w:tcBorders>
            <w:hideMark/>
          </w:tcPr>
          <w:p w14:paraId="0F49B6B0" w14:textId="6173D935" w:rsidR="002F08F3" w:rsidRPr="003E0B98" w:rsidRDefault="002F08F3" w:rsidP="004361AC">
            <w:pPr>
              <w:keepNext/>
              <w:keepLines/>
            </w:pPr>
            <w:proofErr w:type="spellStart"/>
            <w:r w:rsidRPr="003E0B98">
              <w:rPr>
                <w:szCs w:val="22"/>
              </w:rPr>
              <w:t>Mejora</w:t>
            </w:r>
            <w:proofErr w:type="spellEnd"/>
            <w:r w:rsidRPr="003E0B98">
              <w:rPr>
                <w:szCs w:val="22"/>
              </w:rPr>
              <w:t xml:space="preserve"> de ≥2</w:t>
            </w:r>
            <w:r w:rsidR="003A34AB" w:rsidRPr="003E0B98">
              <w:rPr>
                <w:szCs w:val="22"/>
              </w:rPr>
              <w:t> </w:t>
            </w:r>
            <w:proofErr w:type="spellStart"/>
            <w:r w:rsidRPr="003E0B98">
              <w:rPr>
                <w:szCs w:val="22"/>
              </w:rPr>
              <w:t>niveles</w:t>
            </w:r>
            <w:proofErr w:type="spellEnd"/>
          </w:p>
        </w:tc>
      </w:tr>
      <w:tr w:rsidR="002F08F3" w:rsidRPr="003E0B98" w14:paraId="00527C97" w14:textId="77777777" w:rsidTr="00D55E43">
        <w:tc>
          <w:tcPr>
            <w:tcW w:w="2337" w:type="dxa"/>
            <w:tcBorders>
              <w:top w:val="single" w:sz="4" w:space="0" w:color="auto"/>
              <w:left w:val="single" w:sz="4" w:space="0" w:color="auto"/>
              <w:bottom w:val="single" w:sz="4" w:space="0" w:color="auto"/>
              <w:right w:val="single" w:sz="4" w:space="0" w:color="auto"/>
            </w:tcBorders>
            <w:hideMark/>
          </w:tcPr>
          <w:p w14:paraId="79BAD40F" w14:textId="77777777" w:rsidR="002F08F3" w:rsidRPr="003E0B98" w:rsidRDefault="002F08F3" w:rsidP="004361AC">
            <w:pPr>
              <w:pStyle w:val="Table"/>
              <w:keepNext/>
              <w:spacing w:before="0" w:after="0"/>
              <w:ind w:left="284"/>
              <w:rPr>
                <w:rFonts w:ascii="Times New Roman" w:hAnsi="Times New Roman"/>
                <w:sz w:val="22"/>
                <w:szCs w:val="22"/>
              </w:rPr>
            </w:pPr>
            <w:r w:rsidRPr="003E0B98">
              <w:rPr>
                <w:rFonts w:ascii="Times New Roman" w:hAnsi="Times New Roman"/>
                <w:sz w:val="22"/>
                <w:szCs w:val="22"/>
              </w:rPr>
              <w:t>n (%)</w:t>
            </w:r>
          </w:p>
        </w:tc>
        <w:tc>
          <w:tcPr>
            <w:tcW w:w="2337" w:type="dxa"/>
            <w:tcBorders>
              <w:top w:val="single" w:sz="4" w:space="0" w:color="auto"/>
              <w:left w:val="single" w:sz="4" w:space="0" w:color="auto"/>
              <w:bottom w:val="single" w:sz="4" w:space="0" w:color="auto"/>
              <w:right w:val="single" w:sz="4" w:space="0" w:color="auto"/>
            </w:tcBorders>
            <w:hideMark/>
          </w:tcPr>
          <w:p w14:paraId="0F663711" w14:textId="77777777" w:rsidR="002F08F3" w:rsidRPr="003E0B98" w:rsidRDefault="002F08F3" w:rsidP="004361AC">
            <w:pPr>
              <w:pStyle w:val="Table"/>
              <w:keepNext/>
              <w:spacing w:before="0" w:after="0"/>
              <w:jc w:val="center"/>
              <w:rPr>
                <w:rFonts w:ascii="Times New Roman" w:hAnsi="Times New Roman"/>
                <w:sz w:val="22"/>
                <w:szCs w:val="22"/>
              </w:rPr>
            </w:pPr>
            <w:r w:rsidRPr="003E0B98">
              <w:rPr>
                <w:rFonts w:ascii="Times New Roman" w:hAnsi="Times New Roman"/>
                <w:sz w:val="22"/>
                <w:szCs w:val="22"/>
              </w:rPr>
              <w:t>79</w:t>
            </w:r>
          </w:p>
          <w:p w14:paraId="5F5B4524" w14:textId="77777777" w:rsidR="002F08F3" w:rsidRPr="003E0B98" w:rsidRDefault="002F08F3" w:rsidP="004361AC">
            <w:pPr>
              <w:pStyle w:val="Table"/>
              <w:keepNext/>
              <w:spacing w:before="0" w:after="0"/>
              <w:jc w:val="center"/>
              <w:rPr>
                <w:rFonts w:ascii="Times New Roman" w:hAnsi="Times New Roman"/>
                <w:sz w:val="22"/>
                <w:szCs w:val="22"/>
              </w:rPr>
            </w:pPr>
            <w:r w:rsidRPr="003E0B98">
              <w:rPr>
                <w:rFonts w:ascii="Times New Roman" w:hAnsi="Times New Roman"/>
                <w:sz w:val="22"/>
                <w:szCs w:val="22"/>
              </w:rPr>
              <w:t>(41,8%)</w:t>
            </w:r>
          </w:p>
        </w:tc>
        <w:tc>
          <w:tcPr>
            <w:tcW w:w="2338" w:type="dxa"/>
            <w:tcBorders>
              <w:top w:val="single" w:sz="4" w:space="0" w:color="auto"/>
              <w:left w:val="single" w:sz="4" w:space="0" w:color="auto"/>
              <w:bottom w:val="single" w:sz="4" w:space="0" w:color="auto"/>
              <w:right w:val="single" w:sz="4" w:space="0" w:color="auto"/>
            </w:tcBorders>
            <w:hideMark/>
          </w:tcPr>
          <w:p w14:paraId="4B78583C" w14:textId="77777777" w:rsidR="002F08F3" w:rsidRPr="003E0B98" w:rsidRDefault="002F08F3" w:rsidP="004361AC">
            <w:pPr>
              <w:pStyle w:val="Table"/>
              <w:keepNext/>
              <w:spacing w:before="0" w:after="0"/>
              <w:jc w:val="center"/>
              <w:rPr>
                <w:rFonts w:ascii="Times New Roman" w:hAnsi="Times New Roman"/>
                <w:sz w:val="22"/>
                <w:szCs w:val="22"/>
              </w:rPr>
            </w:pPr>
            <w:r w:rsidRPr="003E0B98">
              <w:rPr>
                <w:rFonts w:ascii="Times New Roman" w:hAnsi="Times New Roman"/>
                <w:sz w:val="22"/>
                <w:szCs w:val="22"/>
              </w:rPr>
              <w:t>29</w:t>
            </w:r>
          </w:p>
          <w:p w14:paraId="62DDCDB0" w14:textId="77777777" w:rsidR="002F08F3" w:rsidRPr="003E0B98" w:rsidRDefault="002F08F3" w:rsidP="004361AC">
            <w:pPr>
              <w:pStyle w:val="Table"/>
              <w:keepNext/>
              <w:spacing w:before="0" w:after="0"/>
              <w:jc w:val="center"/>
              <w:rPr>
                <w:rFonts w:ascii="Times New Roman" w:hAnsi="Times New Roman"/>
                <w:sz w:val="22"/>
                <w:szCs w:val="22"/>
              </w:rPr>
            </w:pPr>
            <w:r w:rsidRPr="003E0B98">
              <w:rPr>
                <w:rFonts w:ascii="Times New Roman" w:hAnsi="Times New Roman"/>
                <w:sz w:val="22"/>
                <w:szCs w:val="22"/>
              </w:rPr>
              <w:t>(14,6%)</w:t>
            </w:r>
          </w:p>
        </w:tc>
        <w:tc>
          <w:tcPr>
            <w:tcW w:w="2338" w:type="dxa"/>
            <w:tcBorders>
              <w:top w:val="single" w:sz="4" w:space="0" w:color="auto"/>
              <w:left w:val="single" w:sz="4" w:space="0" w:color="auto"/>
              <w:bottom w:val="single" w:sz="4" w:space="0" w:color="auto"/>
              <w:right w:val="single" w:sz="4" w:space="0" w:color="auto"/>
            </w:tcBorders>
            <w:hideMark/>
          </w:tcPr>
          <w:p w14:paraId="7228B53F" w14:textId="77777777" w:rsidR="002F08F3" w:rsidRPr="003E0B98" w:rsidRDefault="002F08F3" w:rsidP="004361AC">
            <w:pPr>
              <w:pStyle w:val="Table"/>
              <w:keepNext/>
              <w:spacing w:before="0" w:after="0"/>
              <w:jc w:val="center"/>
              <w:rPr>
                <w:rFonts w:ascii="Times New Roman" w:hAnsi="Times New Roman"/>
                <w:sz w:val="22"/>
                <w:szCs w:val="22"/>
              </w:rPr>
            </w:pPr>
            <w:r w:rsidRPr="003E0B98">
              <w:rPr>
                <w:rFonts w:ascii="Times New Roman" w:hAnsi="Times New Roman"/>
                <w:sz w:val="22"/>
                <w:szCs w:val="22"/>
              </w:rPr>
              <w:t>27,4</w:t>
            </w:r>
          </w:p>
          <w:p w14:paraId="1EBE29B3" w14:textId="77777777" w:rsidR="002F08F3" w:rsidRPr="003E0B98" w:rsidRDefault="002F08F3" w:rsidP="004361AC">
            <w:pPr>
              <w:pStyle w:val="Table"/>
              <w:keepNext/>
              <w:spacing w:before="0" w:after="0"/>
              <w:jc w:val="center"/>
              <w:rPr>
                <w:rFonts w:ascii="Times New Roman" w:hAnsi="Times New Roman"/>
                <w:sz w:val="22"/>
                <w:szCs w:val="22"/>
              </w:rPr>
            </w:pPr>
            <w:r w:rsidRPr="003E0B98">
              <w:rPr>
                <w:rFonts w:ascii="Times New Roman" w:hAnsi="Times New Roman"/>
                <w:sz w:val="22"/>
                <w:szCs w:val="22"/>
              </w:rPr>
              <w:t>(18,9, 35</w:t>
            </w:r>
            <w:r w:rsidRPr="003E0B98">
              <w:rPr>
                <w:rFonts w:ascii="Times New Roman" w:hAnsi="Times New Roman"/>
                <w:sz w:val="22"/>
                <w:szCs w:val="22"/>
                <w:lang w:val="es-ES"/>
              </w:rPr>
              <w:t>,</w:t>
            </w:r>
            <w:r w:rsidRPr="003E0B98">
              <w:rPr>
                <w:rFonts w:ascii="Times New Roman" w:hAnsi="Times New Roman"/>
                <w:sz w:val="22"/>
                <w:szCs w:val="22"/>
              </w:rPr>
              <w:t>9)</w:t>
            </w:r>
          </w:p>
        </w:tc>
      </w:tr>
      <w:tr w:rsidR="002F08F3" w:rsidRPr="003E0B98" w14:paraId="60DE813B" w14:textId="77777777" w:rsidTr="00D55E43">
        <w:tc>
          <w:tcPr>
            <w:tcW w:w="9350" w:type="dxa"/>
            <w:gridSpan w:val="4"/>
            <w:tcBorders>
              <w:top w:val="single" w:sz="4" w:space="0" w:color="auto"/>
              <w:left w:val="single" w:sz="4" w:space="0" w:color="auto"/>
              <w:bottom w:val="single" w:sz="4" w:space="0" w:color="auto"/>
              <w:right w:val="single" w:sz="4" w:space="0" w:color="auto"/>
            </w:tcBorders>
            <w:hideMark/>
          </w:tcPr>
          <w:p w14:paraId="7782680C" w14:textId="0DB137A0" w:rsidR="002F08F3" w:rsidRPr="003E0B98" w:rsidRDefault="002F08F3" w:rsidP="004361AC">
            <w:pPr>
              <w:keepNext/>
              <w:keepLines/>
            </w:pPr>
            <w:proofErr w:type="spellStart"/>
            <w:r w:rsidRPr="003E0B98">
              <w:rPr>
                <w:szCs w:val="22"/>
              </w:rPr>
              <w:t>Mejora</w:t>
            </w:r>
            <w:proofErr w:type="spellEnd"/>
            <w:r w:rsidRPr="003E0B98">
              <w:rPr>
                <w:szCs w:val="22"/>
              </w:rPr>
              <w:t xml:space="preserve"> de ≥3</w:t>
            </w:r>
            <w:r w:rsidR="003A34AB" w:rsidRPr="003E0B98">
              <w:rPr>
                <w:szCs w:val="22"/>
              </w:rPr>
              <w:t> </w:t>
            </w:r>
            <w:proofErr w:type="spellStart"/>
            <w:r w:rsidRPr="003E0B98">
              <w:rPr>
                <w:szCs w:val="22"/>
              </w:rPr>
              <w:t>niveles</w:t>
            </w:r>
            <w:proofErr w:type="spellEnd"/>
          </w:p>
        </w:tc>
      </w:tr>
      <w:tr w:rsidR="002F08F3" w:rsidRPr="003E0B98" w14:paraId="34E7E333" w14:textId="77777777" w:rsidTr="00D55E43">
        <w:tc>
          <w:tcPr>
            <w:tcW w:w="2337" w:type="dxa"/>
            <w:tcBorders>
              <w:top w:val="single" w:sz="4" w:space="0" w:color="auto"/>
              <w:left w:val="single" w:sz="4" w:space="0" w:color="auto"/>
              <w:bottom w:val="single" w:sz="4" w:space="0" w:color="auto"/>
              <w:right w:val="single" w:sz="4" w:space="0" w:color="auto"/>
            </w:tcBorders>
            <w:hideMark/>
          </w:tcPr>
          <w:p w14:paraId="531099D0" w14:textId="77777777" w:rsidR="002F08F3" w:rsidRPr="003E0B98" w:rsidRDefault="002F08F3" w:rsidP="004361AC">
            <w:pPr>
              <w:pStyle w:val="Table"/>
              <w:keepNext/>
              <w:spacing w:before="0" w:after="0"/>
              <w:ind w:left="284"/>
              <w:rPr>
                <w:rFonts w:ascii="Times New Roman" w:hAnsi="Times New Roman"/>
                <w:sz w:val="22"/>
                <w:szCs w:val="22"/>
              </w:rPr>
            </w:pPr>
            <w:r w:rsidRPr="003E0B98">
              <w:rPr>
                <w:rFonts w:ascii="Times New Roman" w:hAnsi="Times New Roman"/>
                <w:sz w:val="22"/>
                <w:szCs w:val="22"/>
              </w:rPr>
              <w:t>n (%)</w:t>
            </w:r>
          </w:p>
        </w:tc>
        <w:tc>
          <w:tcPr>
            <w:tcW w:w="2337" w:type="dxa"/>
            <w:tcBorders>
              <w:top w:val="single" w:sz="4" w:space="0" w:color="auto"/>
              <w:left w:val="single" w:sz="4" w:space="0" w:color="auto"/>
              <w:bottom w:val="single" w:sz="4" w:space="0" w:color="auto"/>
              <w:right w:val="single" w:sz="4" w:space="0" w:color="auto"/>
            </w:tcBorders>
            <w:hideMark/>
          </w:tcPr>
          <w:p w14:paraId="3EE99130" w14:textId="77777777" w:rsidR="002F08F3" w:rsidRPr="003E0B98" w:rsidRDefault="002F08F3" w:rsidP="004361AC">
            <w:pPr>
              <w:pStyle w:val="Table"/>
              <w:keepNext/>
              <w:spacing w:before="0" w:after="0"/>
              <w:jc w:val="center"/>
              <w:rPr>
                <w:rFonts w:ascii="Times New Roman" w:hAnsi="Times New Roman"/>
                <w:sz w:val="22"/>
                <w:szCs w:val="22"/>
              </w:rPr>
            </w:pPr>
            <w:r w:rsidRPr="003E0B98">
              <w:rPr>
                <w:rFonts w:ascii="Times New Roman" w:hAnsi="Times New Roman"/>
                <w:sz w:val="22"/>
                <w:szCs w:val="22"/>
              </w:rPr>
              <w:t>54</w:t>
            </w:r>
          </w:p>
          <w:p w14:paraId="2173A300" w14:textId="77777777" w:rsidR="002F08F3" w:rsidRPr="003E0B98" w:rsidRDefault="002F08F3" w:rsidP="004361AC">
            <w:pPr>
              <w:pStyle w:val="Table"/>
              <w:keepNext/>
              <w:spacing w:before="0" w:after="0"/>
              <w:jc w:val="center"/>
              <w:rPr>
                <w:rFonts w:ascii="Times New Roman" w:hAnsi="Times New Roman"/>
                <w:sz w:val="22"/>
                <w:szCs w:val="22"/>
              </w:rPr>
            </w:pPr>
            <w:r w:rsidRPr="003E0B98">
              <w:rPr>
                <w:rFonts w:ascii="Times New Roman" w:hAnsi="Times New Roman"/>
                <w:sz w:val="22"/>
                <w:szCs w:val="22"/>
              </w:rPr>
              <w:t>(28</w:t>
            </w:r>
            <w:r w:rsidRPr="003E0B98">
              <w:rPr>
                <w:rFonts w:ascii="Times New Roman" w:hAnsi="Times New Roman"/>
                <w:sz w:val="22"/>
                <w:szCs w:val="22"/>
                <w:lang w:val="es-ES"/>
              </w:rPr>
              <w:t>,</w:t>
            </w:r>
            <w:r w:rsidRPr="003E0B98">
              <w:rPr>
                <w:rFonts w:ascii="Times New Roman" w:hAnsi="Times New Roman"/>
                <w:sz w:val="22"/>
                <w:szCs w:val="22"/>
              </w:rPr>
              <w:t>6%)</w:t>
            </w:r>
          </w:p>
        </w:tc>
        <w:tc>
          <w:tcPr>
            <w:tcW w:w="2338" w:type="dxa"/>
            <w:tcBorders>
              <w:top w:val="single" w:sz="4" w:space="0" w:color="auto"/>
              <w:left w:val="single" w:sz="4" w:space="0" w:color="auto"/>
              <w:bottom w:val="single" w:sz="4" w:space="0" w:color="auto"/>
              <w:right w:val="single" w:sz="4" w:space="0" w:color="auto"/>
            </w:tcBorders>
            <w:hideMark/>
          </w:tcPr>
          <w:p w14:paraId="6C40F231" w14:textId="77777777" w:rsidR="002F08F3" w:rsidRPr="003E0B98" w:rsidRDefault="002F08F3" w:rsidP="004361AC">
            <w:pPr>
              <w:pStyle w:val="Table"/>
              <w:keepNext/>
              <w:spacing w:before="0" w:after="0"/>
              <w:jc w:val="center"/>
              <w:rPr>
                <w:rFonts w:ascii="Times New Roman" w:hAnsi="Times New Roman"/>
                <w:sz w:val="22"/>
                <w:szCs w:val="22"/>
              </w:rPr>
            </w:pPr>
            <w:r w:rsidRPr="003E0B98">
              <w:rPr>
                <w:rFonts w:ascii="Times New Roman" w:hAnsi="Times New Roman"/>
                <w:sz w:val="22"/>
                <w:szCs w:val="22"/>
              </w:rPr>
              <w:t>6</w:t>
            </w:r>
          </w:p>
          <w:p w14:paraId="12982EAD" w14:textId="77777777" w:rsidR="002F08F3" w:rsidRPr="003E0B98" w:rsidRDefault="002F08F3" w:rsidP="004361AC">
            <w:pPr>
              <w:pStyle w:val="Table"/>
              <w:keepNext/>
              <w:spacing w:before="0" w:after="0"/>
              <w:jc w:val="center"/>
              <w:rPr>
                <w:rFonts w:ascii="Times New Roman" w:hAnsi="Times New Roman"/>
                <w:sz w:val="22"/>
                <w:szCs w:val="22"/>
              </w:rPr>
            </w:pPr>
            <w:r w:rsidRPr="003E0B98">
              <w:rPr>
                <w:rFonts w:ascii="Times New Roman" w:hAnsi="Times New Roman"/>
                <w:sz w:val="22"/>
                <w:szCs w:val="22"/>
              </w:rPr>
              <w:t>(3</w:t>
            </w:r>
            <w:r w:rsidRPr="003E0B98">
              <w:rPr>
                <w:rFonts w:ascii="Times New Roman" w:hAnsi="Times New Roman"/>
                <w:sz w:val="22"/>
                <w:szCs w:val="22"/>
                <w:lang w:val="es-ES"/>
              </w:rPr>
              <w:t>,</w:t>
            </w:r>
            <w:r w:rsidRPr="003E0B98">
              <w:rPr>
                <w:rFonts w:ascii="Times New Roman" w:hAnsi="Times New Roman"/>
                <w:sz w:val="22"/>
                <w:szCs w:val="22"/>
              </w:rPr>
              <w:t>0%)</w:t>
            </w:r>
          </w:p>
        </w:tc>
        <w:tc>
          <w:tcPr>
            <w:tcW w:w="2338" w:type="dxa"/>
            <w:tcBorders>
              <w:top w:val="single" w:sz="4" w:space="0" w:color="auto"/>
              <w:left w:val="single" w:sz="4" w:space="0" w:color="auto"/>
              <w:bottom w:val="single" w:sz="4" w:space="0" w:color="auto"/>
              <w:right w:val="single" w:sz="4" w:space="0" w:color="auto"/>
            </w:tcBorders>
            <w:hideMark/>
          </w:tcPr>
          <w:p w14:paraId="73435379" w14:textId="77777777" w:rsidR="002F08F3" w:rsidRPr="003E0B98" w:rsidRDefault="002F08F3" w:rsidP="004361AC">
            <w:pPr>
              <w:pStyle w:val="Table"/>
              <w:keepNext/>
              <w:spacing w:before="0" w:after="0"/>
              <w:jc w:val="center"/>
              <w:rPr>
                <w:rFonts w:ascii="Times New Roman" w:hAnsi="Times New Roman"/>
                <w:sz w:val="22"/>
                <w:szCs w:val="22"/>
              </w:rPr>
            </w:pPr>
            <w:r w:rsidRPr="003E0B98">
              <w:rPr>
                <w:rFonts w:ascii="Times New Roman" w:hAnsi="Times New Roman"/>
                <w:sz w:val="22"/>
                <w:szCs w:val="22"/>
              </w:rPr>
              <w:t>25,7</w:t>
            </w:r>
          </w:p>
          <w:p w14:paraId="78E644BC" w14:textId="77777777" w:rsidR="002F08F3" w:rsidRPr="003E0B98" w:rsidRDefault="002F08F3" w:rsidP="004361AC">
            <w:pPr>
              <w:pStyle w:val="Table"/>
              <w:keepNext/>
              <w:spacing w:before="0" w:after="0"/>
              <w:jc w:val="center"/>
              <w:rPr>
                <w:rFonts w:ascii="Times New Roman" w:hAnsi="Times New Roman"/>
                <w:sz w:val="22"/>
                <w:szCs w:val="22"/>
              </w:rPr>
            </w:pPr>
            <w:r w:rsidRPr="003E0B98">
              <w:rPr>
                <w:rFonts w:ascii="Times New Roman" w:hAnsi="Times New Roman"/>
                <w:sz w:val="22"/>
                <w:szCs w:val="22"/>
              </w:rPr>
              <w:t>(18,9, 32,6)</w:t>
            </w:r>
          </w:p>
        </w:tc>
      </w:tr>
      <w:tr w:rsidR="002F08F3" w:rsidRPr="003E0B98" w14:paraId="120C1550" w14:textId="77777777" w:rsidTr="00D55E43">
        <w:tc>
          <w:tcPr>
            <w:tcW w:w="9350" w:type="dxa"/>
            <w:gridSpan w:val="4"/>
            <w:tcBorders>
              <w:top w:val="single" w:sz="4" w:space="0" w:color="auto"/>
              <w:left w:val="single" w:sz="4" w:space="0" w:color="auto"/>
              <w:bottom w:val="single" w:sz="4" w:space="0" w:color="auto"/>
              <w:right w:val="single" w:sz="4" w:space="0" w:color="auto"/>
            </w:tcBorders>
            <w:hideMark/>
          </w:tcPr>
          <w:p w14:paraId="3F03DB97" w14:textId="4B197582" w:rsidR="002F08F3" w:rsidRPr="003E0B98" w:rsidRDefault="002F08F3" w:rsidP="004361AC">
            <w:pPr>
              <w:pStyle w:val="Table"/>
              <w:keepNext/>
              <w:spacing w:before="0" w:after="0"/>
              <w:rPr>
                <w:rFonts w:ascii="Times New Roman" w:hAnsi="Times New Roman"/>
                <w:sz w:val="22"/>
                <w:szCs w:val="22"/>
              </w:rPr>
            </w:pPr>
            <w:r w:rsidRPr="003E0B98">
              <w:rPr>
                <w:rFonts w:ascii="Times New Roman" w:hAnsi="Times New Roman"/>
                <w:sz w:val="22"/>
                <w:szCs w:val="22"/>
                <w:lang w:val="es-ES"/>
              </w:rPr>
              <w:t xml:space="preserve">Empeoramiento de </w:t>
            </w:r>
            <w:r w:rsidRPr="003E0B98">
              <w:rPr>
                <w:rFonts w:ascii="Times New Roman" w:hAnsi="Times New Roman"/>
                <w:sz w:val="22"/>
                <w:szCs w:val="22"/>
              </w:rPr>
              <w:t>≥2</w:t>
            </w:r>
            <w:r w:rsidR="003A34AB" w:rsidRPr="003E0B98">
              <w:rPr>
                <w:rFonts w:ascii="Times New Roman" w:hAnsi="Times New Roman"/>
                <w:sz w:val="22"/>
                <w:szCs w:val="22"/>
                <w:lang w:val="es-ES"/>
              </w:rPr>
              <w:t> </w:t>
            </w:r>
            <w:r w:rsidRPr="003E0B98">
              <w:rPr>
                <w:rFonts w:ascii="Times New Roman" w:hAnsi="Times New Roman"/>
                <w:sz w:val="22"/>
                <w:szCs w:val="22"/>
                <w:lang w:val="es-ES"/>
              </w:rPr>
              <w:t>niveles</w:t>
            </w:r>
          </w:p>
        </w:tc>
      </w:tr>
      <w:tr w:rsidR="002F08F3" w:rsidRPr="003E0B98" w14:paraId="11CB3A55" w14:textId="77777777" w:rsidTr="00D55E43">
        <w:tc>
          <w:tcPr>
            <w:tcW w:w="2337" w:type="dxa"/>
            <w:tcBorders>
              <w:top w:val="single" w:sz="4" w:space="0" w:color="auto"/>
              <w:left w:val="single" w:sz="4" w:space="0" w:color="auto"/>
              <w:bottom w:val="single" w:sz="4" w:space="0" w:color="auto"/>
              <w:right w:val="single" w:sz="4" w:space="0" w:color="auto"/>
            </w:tcBorders>
            <w:hideMark/>
          </w:tcPr>
          <w:p w14:paraId="749A4F4A" w14:textId="77777777" w:rsidR="002F08F3" w:rsidRPr="003E0B98" w:rsidRDefault="002F08F3" w:rsidP="004361AC">
            <w:pPr>
              <w:pStyle w:val="Table"/>
              <w:keepNext/>
              <w:spacing w:before="0" w:after="0"/>
              <w:ind w:left="284"/>
              <w:rPr>
                <w:rFonts w:ascii="Times New Roman" w:hAnsi="Times New Roman"/>
                <w:sz w:val="22"/>
                <w:szCs w:val="22"/>
              </w:rPr>
            </w:pPr>
            <w:r w:rsidRPr="003E0B98">
              <w:rPr>
                <w:rFonts w:ascii="Times New Roman" w:hAnsi="Times New Roman"/>
                <w:sz w:val="22"/>
                <w:szCs w:val="22"/>
              </w:rPr>
              <w:t>n (%)</w:t>
            </w:r>
          </w:p>
        </w:tc>
        <w:tc>
          <w:tcPr>
            <w:tcW w:w="2337" w:type="dxa"/>
            <w:tcBorders>
              <w:top w:val="single" w:sz="4" w:space="0" w:color="auto"/>
              <w:left w:val="single" w:sz="4" w:space="0" w:color="auto"/>
              <w:bottom w:val="single" w:sz="4" w:space="0" w:color="auto"/>
              <w:right w:val="single" w:sz="4" w:space="0" w:color="auto"/>
            </w:tcBorders>
            <w:hideMark/>
          </w:tcPr>
          <w:p w14:paraId="5EE0B0AF" w14:textId="77777777" w:rsidR="002F08F3" w:rsidRPr="003E0B98" w:rsidRDefault="002F08F3" w:rsidP="004361AC">
            <w:pPr>
              <w:pStyle w:val="Table"/>
              <w:keepNext/>
              <w:spacing w:before="0" w:after="0"/>
              <w:jc w:val="center"/>
              <w:rPr>
                <w:rFonts w:ascii="Times New Roman" w:hAnsi="Times New Roman"/>
                <w:sz w:val="22"/>
                <w:szCs w:val="22"/>
              </w:rPr>
            </w:pPr>
            <w:r w:rsidRPr="003E0B98">
              <w:rPr>
                <w:rFonts w:ascii="Times New Roman" w:hAnsi="Times New Roman"/>
                <w:sz w:val="22"/>
                <w:szCs w:val="22"/>
              </w:rPr>
              <w:t>3</w:t>
            </w:r>
          </w:p>
          <w:p w14:paraId="6CE70B81" w14:textId="77777777" w:rsidR="002F08F3" w:rsidRPr="003E0B98" w:rsidRDefault="002F08F3" w:rsidP="004361AC">
            <w:pPr>
              <w:pStyle w:val="Table"/>
              <w:keepNext/>
              <w:spacing w:before="0" w:after="0"/>
              <w:jc w:val="center"/>
              <w:rPr>
                <w:rFonts w:ascii="Times New Roman" w:hAnsi="Times New Roman"/>
                <w:sz w:val="22"/>
                <w:szCs w:val="22"/>
              </w:rPr>
            </w:pPr>
            <w:r w:rsidRPr="003E0B98">
              <w:rPr>
                <w:rFonts w:ascii="Times New Roman" w:hAnsi="Times New Roman"/>
                <w:sz w:val="22"/>
                <w:szCs w:val="22"/>
              </w:rPr>
              <w:t>(1,6%)</w:t>
            </w:r>
          </w:p>
        </w:tc>
        <w:tc>
          <w:tcPr>
            <w:tcW w:w="2338" w:type="dxa"/>
            <w:tcBorders>
              <w:top w:val="single" w:sz="4" w:space="0" w:color="auto"/>
              <w:left w:val="single" w:sz="4" w:space="0" w:color="auto"/>
              <w:bottom w:val="single" w:sz="4" w:space="0" w:color="auto"/>
              <w:right w:val="single" w:sz="4" w:space="0" w:color="auto"/>
            </w:tcBorders>
            <w:hideMark/>
          </w:tcPr>
          <w:p w14:paraId="76B13D36" w14:textId="77777777" w:rsidR="002F08F3" w:rsidRPr="003E0B98" w:rsidRDefault="002F08F3" w:rsidP="004361AC">
            <w:pPr>
              <w:pStyle w:val="Table"/>
              <w:keepNext/>
              <w:spacing w:before="0" w:after="0"/>
              <w:jc w:val="center"/>
              <w:rPr>
                <w:rFonts w:ascii="Times New Roman" w:hAnsi="Times New Roman"/>
                <w:sz w:val="22"/>
                <w:szCs w:val="22"/>
              </w:rPr>
            </w:pPr>
            <w:r w:rsidRPr="003E0B98">
              <w:rPr>
                <w:rFonts w:ascii="Times New Roman" w:hAnsi="Times New Roman"/>
                <w:sz w:val="22"/>
                <w:szCs w:val="22"/>
              </w:rPr>
              <w:t>23</w:t>
            </w:r>
          </w:p>
          <w:p w14:paraId="08862972" w14:textId="77777777" w:rsidR="002F08F3" w:rsidRPr="003E0B98" w:rsidRDefault="002F08F3" w:rsidP="004361AC">
            <w:pPr>
              <w:pStyle w:val="Table"/>
              <w:keepNext/>
              <w:spacing w:before="0" w:after="0"/>
              <w:jc w:val="center"/>
              <w:rPr>
                <w:rFonts w:ascii="Times New Roman" w:hAnsi="Times New Roman"/>
                <w:sz w:val="22"/>
                <w:szCs w:val="22"/>
              </w:rPr>
            </w:pPr>
            <w:r w:rsidRPr="003E0B98">
              <w:rPr>
                <w:rFonts w:ascii="Times New Roman" w:hAnsi="Times New Roman"/>
                <w:sz w:val="22"/>
                <w:szCs w:val="22"/>
              </w:rPr>
              <w:t>(11,6%)</w:t>
            </w:r>
          </w:p>
        </w:tc>
        <w:tc>
          <w:tcPr>
            <w:tcW w:w="2338" w:type="dxa"/>
            <w:tcBorders>
              <w:top w:val="single" w:sz="4" w:space="0" w:color="auto"/>
              <w:left w:val="single" w:sz="4" w:space="0" w:color="auto"/>
              <w:bottom w:val="single" w:sz="4" w:space="0" w:color="auto"/>
              <w:right w:val="single" w:sz="4" w:space="0" w:color="auto"/>
            </w:tcBorders>
            <w:hideMark/>
          </w:tcPr>
          <w:p w14:paraId="1DF0B263" w14:textId="77777777" w:rsidR="002F08F3" w:rsidRPr="003E0B98" w:rsidRDefault="002F08F3" w:rsidP="004361AC">
            <w:pPr>
              <w:pStyle w:val="Table"/>
              <w:keepNext/>
              <w:spacing w:before="0" w:after="0"/>
              <w:jc w:val="center"/>
              <w:rPr>
                <w:rFonts w:ascii="Times New Roman" w:hAnsi="Times New Roman"/>
                <w:bCs/>
                <w:sz w:val="22"/>
                <w:szCs w:val="22"/>
              </w:rPr>
            </w:pPr>
            <w:r w:rsidRPr="003E0B98">
              <w:rPr>
                <w:rFonts w:ascii="Times New Roman" w:hAnsi="Times New Roman"/>
                <w:bCs/>
                <w:sz w:val="22"/>
                <w:szCs w:val="22"/>
              </w:rPr>
              <w:noBreakHyphen/>
              <w:t>9,9</w:t>
            </w:r>
          </w:p>
          <w:p w14:paraId="35F84DBE" w14:textId="77777777" w:rsidR="002F08F3" w:rsidRPr="003E0B98" w:rsidRDefault="002F08F3" w:rsidP="004361AC">
            <w:pPr>
              <w:pStyle w:val="Table"/>
              <w:keepNext/>
              <w:spacing w:before="0" w:after="0"/>
              <w:jc w:val="center"/>
              <w:rPr>
                <w:rFonts w:ascii="Times New Roman" w:hAnsi="Times New Roman"/>
                <w:sz w:val="22"/>
                <w:szCs w:val="22"/>
              </w:rPr>
            </w:pPr>
            <w:r w:rsidRPr="003E0B98">
              <w:rPr>
                <w:rFonts w:ascii="Times New Roman" w:hAnsi="Times New Roman"/>
                <w:bCs/>
                <w:sz w:val="22"/>
                <w:szCs w:val="22"/>
              </w:rPr>
              <w:t>(</w:t>
            </w:r>
            <w:r w:rsidRPr="003E0B98">
              <w:rPr>
                <w:rFonts w:ascii="Times New Roman" w:hAnsi="Times New Roman"/>
                <w:bCs/>
                <w:sz w:val="22"/>
                <w:szCs w:val="22"/>
              </w:rPr>
              <w:noBreakHyphen/>
              <w:t xml:space="preserve">14,7, </w:t>
            </w:r>
            <w:r w:rsidRPr="003E0B98">
              <w:rPr>
                <w:rFonts w:ascii="Times New Roman" w:hAnsi="Times New Roman"/>
                <w:bCs/>
                <w:sz w:val="22"/>
                <w:szCs w:val="22"/>
              </w:rPr>
              <w:noBreakHyphen/>
              <w:t>5,2)</w:t>
            </w:r>
          </w:p>
        </w:tc>
      </w:tr>
      <w:tr w:rsidR="002F08F3" w:rsidRPr="003E0B98" w14:paraId="03FB7BFB" w14:textId="77777777" w:rsidTr="00D55E43">
        <w:tc>
          <w:tcPr>
            <w:tcW w:w="9350" w:type="dxa"/>
            <w:gridSpan w:val="4"/>
            <w:tcBorders>
              <w:top w:val="single" w:sz="4" w:space="0" w:color="auto"/>
              <w:left w:val="single" w:sz="4" w:space="0" w:color="auto"/>
              <w:bottom w:val="single" w:sz="4" w:space="0" w:color="auto"/>
              <w:right w:val="single" w:sz="4" w:space="0" w:color="auto"/>
            </w:tcBorders>
            <w:hideMark/>
          </w:tcPr>
          <w:p w14:paraId="3C898D38" w14:textId="34BD9812" w:rsidR="002F08F3" w:rsidRPr="003E0B98" w:rsidRDefault="002F08F3" w:rsidP="004361AC">
            <w:pPr>
              <w:keepNext/>
              <w:keepLines/>
            </w:pPr>
            <w:proofErr w:type="spellStart"/>
            <w:r w:rsidRPr="003E0B98">
              <w:rPr>
                <w:szCs w:val="22"/>
              </w:rPr>
              <w:t>Empeoramiento</w:t>
            </w:r>
            <w:proofErr w:type="spellEnd"/>
            <w:r w:rsidRPr="003E0B98">
              <w:rPr>
                <w:szCs w:val="22"/>
              </w:rPr>
              <w:t xml:space="preserve"> de ≥3</w:t>
            </w:r>
            <w:r w:rsidR="003A34AB" w:rsidRPr="003E0B98">
              <w:rPr>
                <w:szCs w:val="22"/>
              </w:rPr>
              <w:t> </w:t>
            </w:r>
            <w:proofErr w:type="spellStart"/>
            <w:r w:rsidRPr="003E0B98">
              <w:rPr>
                <w:szCs w:val="22"/>
              </w:rPr>
              <w:t>niveles</w:t>
            </w:r>
            <w:proofErr w:type="spellEnd"/>
          </w:p>
        </w:tc>
      </w:tr>
      <w:tr w:rsidR="002F08F3" w:rsidRPr="003E0B98" w14:paraId="5350D40B" w14:textId="77777777" w:rsidTr="00D55E43">
        <w:tc>
          <w:tcPr>
            <w:tcW w:w="2337" w:type="dxa"/>
            <w:tcBorders>
              <w:top w:val="single" w:sz="4" w:space="0" w:color="auto"/>
              <w:left w:val="single" w:sz="4" w:space="0" w:color="auto"/>
              <w:bottom w:val="single" w:sz="4" w:space="0" w:color="auto"/>
              <w:right w:val="single" w:sz="4" w:space="0" w:color="auto"/>
            </w:tcBorders>
            <w:hideMark/>
          </w:tcPr>
          <w:p w14:paraId="61D00F78" w14:textId="77777777" w:rsidR="002F08F3" w:rsidRPr="003E0B98" w:rsidRDefault="002F08F3" w:rsidP="004361AC">
            <w:pPr>
              <w:pStyle w:val="Table"/>
              <w:keepNext/>
              <w:spacing w:before="0" w:after="0"/>
              <w:ind w:left="284"/>
              <w:rPr>
                <w:rFonts w:ascii="Times New Roman" w:hAnsi="Times New Roman"/>
                <w:sz w:val="22"/>
                <w:szCs w:val="22"/>
              </w:rPr>
            </w:pPr>
            <w:r w:rsidRPr="003E0B98">
              <w:rPr>
                <w:rFonts w:ascii="Times New Roman" w:hAnsi="Times New Roman"/>
                <w:sz w:val="22"/>
                <w:szCs w:val="22"/>
              </w:rPr>
              <w:t>n (%)</w:t>
            </w:r>
          </w:p>
        </w:tc>
        <w:tc>
          <w:tcPr>
            <w:tcW w:w="2337" w:type="dxa"/>
            <w:tcBorders>
              <w:top w:val="single" w:sz="4" w:space="0" w:color="auto"/>
              <w:left w:val="single" w:sz="4" w:space="0" w:color="auto"/>
              <w:bottom w:val="single" w:sz="4" w:space="0" w:color="auto"/>
              <w:right w:val="single" w:sz="4" w:space="0" w:color="auto"/>
            </w:tcBorders>
            <w:hideMark/>
          </w:tcPr>
          <w:p w14:paraId="05EE4CC8" w14:textId="77777777" w:rsidR="002F08F3" w:rsidRPr="003E0B98" w:rsidRDefault="002F08F3" w:rsidP="004361AC">
            <w:pPr>
              <w:pStyle w:val="Table"/>
              <w:keepNext/>
              <w:spacing w:before="0" w:after="0"/>
              <w:jc w:val="center"/>
              <w:rPr>
                <w:rFonts w:ascii="Times New Roman" w:hAnsi="Times New Roman"/>
                <w:sz w:val="22"/>
                <w:szCs w:val="22"/>
              </w:rPr>
            </w:pPr>
            <w:r w:rsidRPr="003E0B98">
              <w:rPr>
                <w:rFonts w:ascii="Times New Roman" w:hAnsi="Times New Roman"/>
                <w:sz w:val="22"/>
                <w:szCs w:val="22"/>
              </w:rPr>
              <w:t>1</w:t>
            </w:r>
          </w:p>
          <w:p w14:paraId="2204547F" w14:textId="77777777" w:rsidR="002F08F3" w:rsidRPr="003E0B98" w:rsidRDefault="002F08F3" w:rsidP="004361AC">
            <w:pPr>
              <w:pStyle w:val="Table"/>
              <w:keepNext/>
              <w:spacing w:before="0" w:after="0"/>
              <w:jc w:val="center"/>
              <w:rPr>
                <w:rFonts w:ascii="Times New Roman" w:hAnsi="Times New Roman"/>
                <w:sz w:val="22"/>
                <w:szCs w:val="22"/>
              </w:rPr>
            </w:pPr>
            <w:r w:rsidRPr="003E0B98">
              <w:rPr>
                <w:rFonts w:ascii="Times New Roman" w:hAnsi="Times New Roman"/>
                <w:sz w:val="22"/>
                <w:szCs w:val="22"/>
              </w:rPr>
              <w:t>(0,5%)</w:t>
            </w:r>
          </w:p>
        </w:tc>
        <w:tc>
          <w:tcPr>
            <w:tcW w:w="2338" w:type="dxa"/>
            <w:tcBorders>
              <w:top w:val="single" w:sz="4" w:space="0" w:color="auto"/>
              <w:left w:val="single" w:sz="4" w:space="0" w:color="auto"/>
              <w:bottom w:val="single" w:sz="4" w:space="0" w:color="auto"/>
              <w:right w:val="single" w:sz="4" w:space="0" w:color="auto"/>
            </w:tcBorders>
            <w:hideMark/>
          </w:tcPr>
          <w:p w14:paraId="1B2A5CB0" w14:textId="77777777" w:rsidR="002F08F3" w:rsidRPr="003E0B98" w:rsidRDefault="002F08F3" w:rsidP="004361AC">
            <w:pPr>
              <w:pStyle w:val="Table"/>
              <w:keepNext/>
              <w:spacing w:before="0" w:after="0"/>
              <w:jc w:val="center"/>
              <w:rPr>
                <w:rFonts w:ascii="Times New Roman" w:hAnsi="Times New Roman"/>
                <w:sz w:val="22"/>
                <w:szCs w:val="22"/>
              </w:rPr>
            </w:pPr>
            <w:r w:rsidRPr="003E0B98">
              <w:rPr>
                <w:rFonts w:ascii="Times New Roman" w:hAnsi="Times New Roman"/>
                <w:sz w:val="22"/>
                <w:szCs w:val="22"/>
              </w:rPr>
              <w:t>8</w:t>
            </w:r>
          </w:p>
          <w:p w14:paraId="43328987" w14:textId="77777777" w:rsidR="002F08F3" w:rsidRPr="003E0B98" w:rsidRDefault="002F08F3" w:rsidP="004361AC">
            <w:pPr>
              <w:pStyle w:val="Table"/>
              <w:keepNext/>
              <w:spacing w:before="0" w:after="0"/>
              <w:jc w:val="center"/>
              <w:rPr>
                <w:rFonts w:ascii="Times New Roman" w:hAnsi="Times New Roman"/>
                <w:sz w:val="22"/>
                <w:szCs w:val="22"/>
              </w:rPr>
            </w:pPr>
            <w:r w:rsidRPr="003E0B98">
              <w:rPr>
                <w:rFonts w:ascii="Times New Roman" w:hAnsi="Times New Roman"/>
                <w:sz w:val="22"/>
                <w:szCs w:val="22"/>
              </w:rPr>
              <w:t>(4,0%)</w:t>
            </w:r>
          </w:p>
        </w:tc>
        <w:tc>
          <w:tcPr>
            <w:tcW w:w="2338" w:type="dxa"/>
            <w:tcBorders>
              <w:top w:val="single" w:sz="4" w:space="0" w:color="auto"/>
              <w:left w:val="single" w:sz="4" w:space="0" w:color="auto"/>
              <w:bottom w:val="single" w:sz="4" w:space="0" w:color="auto"/>
              <w:right w:val="single" w:sz="4" w:space="0" w:color="auto"/>
            </w:tcBorders>
            <w:hideMark/>
          </w:tcPr>
          <w:p w14:paraId="04D2E5B9" w14:textId="77777777" w:rsidR="002F08F3" w:rsidRPr="003E0B98" w:rsidRDefault="002F08F3" w:rsidP="004361AC">
            <w:pPr>
              <w:pStyle w:val="Table"/>
              <w:keepNext/>
              <w:spacing w:before="0" w:after="0"/>
              <w:jc w:val="center"/>
              <w:rPr>
                <w:rFonts w:ascii="Times New Roman" w:hAnsi="Times New Roman"/>
                <w:bCs/>
                <w:sz w:val="22"/>
                <w:szCs w:val="22"/>
              </w:rPr>
            </w:pPr>
            <w:r w:rsidRPr="003E0B98">
              <w:rPr>
                <w:rFonts w:ascii="Times New Roman" w:hAnsi="Times New Roman"/>
                <w:bCs/>
                <w:sz w:val="22"/>
                <w:szCs w:val="22"/>
              </w:rPr>
              <w:noBreakHyphen/>
              <w:t>3,4</w:t>
            </w:r>
          </w:p>
          <w:p w14:paraId="29C3B057" w14:textId="77777777" w:rsidR="002F08F3" w:rsidRPr="003E0B98" w:rsidRDefault="002F08F3" w:rsidP="004361AC">
            <w:pPr>
              <w:pStyle w:val="Table"/>
              <w:keepNext/>
              <w:spacing w:before="0" w:after="0"/>
              <w:jc w:val="center"/>
              <w:rPr>
                <w:rFonts w:ascii="Times New Roman" w:hAnsi="Times New Roman"/>
                <w:sz w:val="22"/>
                <w:szCs w:val="22"/>
              </w:rPr>
            </w:pPr>
            <w:r w:rsidRPr="003E0B98">
              <w:rPr>
                <w:rFonts w:ascii="Times New Roman" w:hAnsi="Times New Roman"/>
                <w:bCs/>
                <w:sz w:val="22"/>
                <w:szCs w:val="22"/>
              </w:rPr>
              <w:t>(</w:t>
            </w:r>
            <w:r w:rsidRPr="003E0B98">
              <w:rPr>
                <w:rFonts w:ascii="Times New Roman" w:hAnsi="Times New Roman"/>
                <w:bCs/>
                <w:sz w:val="22"/>
                <w:szCs w:val="22"/>
              </w:rPr>
              <w:noBreakHyphen/>
              <w:t xml:space="preserve">6,3, </w:t>
            </w:r>
            <w:r w:rsidRPr="003E0B98">
              <w:rPr>
                <w:rFonts w:ascii="Times New Roman" w:hAnsi="Times New Roman"/>
                <w:bCs/>
                <w:sz w:val="22"/>
                <w:szCs w:val="22"/>
              </w:rPr>
              <w:noBreakHyphen/>
              <w:t>0,5)</w:t>
            </w:r>
          </w:p>
        </w:tc>
      </w:tr>
      <w:tr w:rsidR="002F08F3" w:rsidRPr="003C169A" w14:paraId="5AA70A81" w14:textId="77777777" w:rsidTr="00D55E43">
        <w:tc>
          <w:tcPr>
            <w:tcW w:w="9350" w:type="dxa"/>
            <w:gridSpan w:val="4"/>
            <w:tcBorders>
              <w:top w:val="single" w:sz="4" w:space="0" w:color="auto"/>
              <w:left w:val="single" w:sz="4" w:space="0" w:color="auto"/>
              <w:bottom w:val="single" w:sz="4" w:space="0" w:color="auto"/>
              <w:right w:val="single" w:sz="4" w:space="0" w:color="auto"/>
            </w:tcBorders>
            <w:hideMark/>
          </w:tcPr>
          <w:p w14:paraId="5EE38D0D" w14:textId="77777777" w:rsidR="002F08F3" w:rsidRPr="003E0B98" w:rsidRDefault="002F08F3" w:rsidP="004361AC">
            <w:pPr>
              <w:rPr>
                <w:lang w:val="es-ES"/>
              </w:rPr>
            </w:pPr>
            <w:r w:rsidRPr="003E0B98">
              <w:rPr>
                <w:lang w:val="es-ES"/>
              </w:rPr>
              <w:t xml:space="preserve">DRSS = </w:t>
            </w:r>
            <w:r w:rsidRPr="003E0B98">
              <w:rPr>
                <w:rFonts w:cs="Calibri"/>
                <w:bCs/>
                <w:iCs/>
                <w:lang w:val="es-ES"/>
              </w:rPr>
              <w:t>grado de severidad de la retinopatía diabética</w:t>
            </w:r>
            <w:r w:rsidRPr="003E0B98">
              <w:rPr>
                <w:lang w:val="es-ES"/>
              </w:rPr>
              <w:t>, n = Número de pacientes que cumplieron la condición en la visita, N = número total de ojos en estudio.</w:t>
            </w:r>
          </w:p>
        </w:tc>
      </w:tr>
    </w:tbl>
    <w:p w14:paraId="554AEE73" w14:textId="77777777" w:rsidR="002F08F3" w:rsidRPr="003E0B98" w:rsidRDefault="002F08F3" w:rsidP="004361AC">
      <w:pPr>
        <w:tabs>
          <w:tab w:val="clear" w:pos="567"/>
          <w:tab w:val="left" w:pos="720"/>
        </w:tabs>
        <w:spacing w:line="240" w:lineRule="auto"/>
        <w:rPr>
          <w:color w:val="000000"/>
          <w:lang w:val="es-ES"/>
        </w:rPr>
      </w:pPr>
    </w:p>
    <w:p w14:paraId="2550FCD9" w14:textId="2272A678" w:rsidR="00EA766B" w:rsidRPr="003E0B98" w:rsidRDefault="00EA766B" w:rsidP="004361AC">
      <w:pPr>
        <w:tabs>
          <w:tab w:val="clear" w:pos="567"/>
        </w:tabs>
        <w:spacing w:line="240" w:lineRule="auto"/>
        <w:rPr>
          <w:color w:val="000000"/>
          <w:szCs w:val="22"/>
          <w:lang w:val="es-ES"/>
        </w:rPr>
      </w:pPr>
      <w:r w:rsidRPr="003E0B98">
        <w:rPr>
          <w:color w:val="000000"/>
          <w:szCs w:val="22"/>
          <w:lang w:val="es-ES"/>
        </w:rPr>
        <w:t>Al año 1</w:t>
      </w:r>
      <w:r w:rsidR="00005A6E" w:rsidRPr="003E0B98">
        <w:rPr>
          <w:color w:val="000000"/>
          <w:szCs w:val="22"/>
          <w:lang w:val="es-ES"/>
        </w:rPr>
        <w:t> </w:t>
      </w:r>
      <w:r w:rsidRPr="003E0B98">
        <w:rPr>
          <w:color w:val="000000"/>
          <w:szCs w:val="22"/>
          <w:lang w:val="es-ES"/>
        </w:rPr>
        <w:t xml:space="preserve">del grupo tratado con </w:t>
      </w:r>
      <w:proofErr w:type="spellStart"/>
      <w:r w:rsidRPr="003E0B98">
        <w:rPr>
          <w:color w:val="000000"/>
          <w:szCs w:val="22"/>
          <w:lang w:val="es-ES"/>
        </w:rPr>
        <w:t>ranibizumab</w:t>
      </w:r>
      <w:proofErr w:type="spellEnd"/>
      <w:r w:rsidRPr="003E0B98">
        <w:rPr>
          <w:color w:val="000000"/>
          <w:szCs w:val="22"/>
          <w:lang w:val="es-ES"/>
        </w:rPr>
        <w:t xml:space="preserve"> en el Protocolo S, la mejora de ≥2 niveles en DRSS fue consistente en ojos sin EMD (39,9%) y con EMD basal (48,8%).</w:t>
      </w:r>
    </w:p>
    <w:p w14:paraId="2F00DA57" w14:textId="77777777" w:rsidR="00EA766B" w:rsidRPr="003E0B98" w:rsidRDefault="00EA766B" w:rsidP="004361AC">
      <w:pPr>
        <w:tabs>
          <w:tab w:val="clear" w:pos="567"/>
        </w:tabs>
        <w:spacing w:line="240" w:lineRule="auto"/>
        <w:rPr>
          <w:color w:val="000000"/>
          <w:szCs w:val="22"/>
          <w:lang w:val="es-ES"/>
        </w:rPr>
      </w:pPr>
    </w:p>
    <w:p w14:paraId="4EC4F659" w14:textId="0E2591A2" w:rsidR="00EA766B" w:rsidRPr="003E0B98" w:rsidRDefault="00EA766B" w:rsidP="004361AC">
      <w:pPr>
        <w:tabs>
          <w:tab w:val="clear" w:pos="567"/>
        </w:tabs>
        <w:spacing w:line="240" w:lineRule="auto"/>
        <w:rPr>
          <w:color w:val="000000"/>
          <w:szCs w:val="22"/>
          <w:lang w:val="es-ES"/>
        </w:rPr>
      </w:pPr>
      <w:r w:rsidRPr="003E0B98">
        <w:rPr>
          <w:color w:val="000000"/>
          <w:szCs w:val="22"/>
          <w:lang w:val="es-ES"/>
        </w:rPr>
        <w:t>Un análisis de los datos del año 2</w:t>
      </w:r>
      <w:r w:rsidR="00005A6E" w:rsidRPr="003E0B98">
        <w:rPr>
          <w:color w:val="000000"/>
          <w:szCs w:val="22"/>
          <w:lang w:val="es-ES"/>
        </w:rPr>
        <w:t> </w:t>
      </w:r>
      <w:r w:rsidRPr="003E0B98">
        <w:rPr>
          <w:color w:val="000000"/>
          <w:szCs w:val="22"/>
          <w:lang w:val="es-ES"/>
        </w:rPr>
        <w:t xml:space="preserve">del Protocolo S demostró que el 42,3% (n = 80) de los ojos en el grupo tratado con </w:t>
      </w:r>
      <w:proofErr w:type="spellStart"/>
      <w:r w:rsidRPr="003E0B98">
        <w:rPr>
          <w:color w:val="000000"/>
          <w:szCs w:val="22"/>
          <w:lang w:val="es-ES"/>
        </w:rPr>
        <w:t>ranibizumab</w:t>
      </w:r>
      <w:proofErr w:type="spellEnd"/>
      <w:r w:rsidRPr="003E0B98">
        <w:rPr>
          <w:color w:val="000000"/>
          <w:szCs w:val="22"/>
          <w:lang w:val="es-ES"/>
        </w:rPr>
        <w:t xml:space="preserve"> tuvo una mejora de ≥2 niveles en el DRSS desde el inicio en comparación con el 23,1% (n = 46) de los ojos en el grupo FPR. En el grupo tratado con </w:t>
      </w:r>
      <w:proofErr w:type="spellStart"/>
      <w:r w:rsidRPr="003E0B98">
        <w:rPr>
          <w:color w:val="000000"/>
          <w:szCs w:val="22"/>
          <w:lang w:val="es-ES"/>
        </w:rPr>
        <w:t>ranibizumab</w:t>
      </w:r>
      <w:proofErr w:type="spellEnd"/>
      <w:r w:rsidRPr="003E0B98">
        <w:rPr>
          <w:color w:val="000000"/>
          <w:szCs w:val="22"/>
          <w:lang w:val="es-ES"/>
        </w:rPr>
        <w:t xml:space="preserve"> se observó una mejora de ≥2 niveles en DRSS desde el inicio en el 58,5% (n = 24) de los ojos con EMD inicial y el 37,8% (n = 56) de los ojos sin EMD.</w:t>
      </w:r>
    </w:p>
    <w:p w14:paraId="05803663" w14:textId="663E5128" w:rsidR="00EA766B" w:rsidRPr="003E0B98" w:rsidRDefault="00EA766B" w:rsidP="004361AC">
      <w:pPr>
        <w:tabs>
          <w:tab w:val="clear" w:pos="567"/>
        </w:tabs>
        <w:spacing w:line="240" w:lineRule="auto"/>
        <w:rPr>
          <w:color w:val="000000"/>
          <w:szCs w:val="22"/>
          <w:lang w:val="es-ES"/>
        </w:rPr>
      </w:pPr>
    </w:p>
    <w:p w14:paraId="1CAFD64A" w14:textId="3371979C" w:rsidR="00EA766B" w:rsidRPr="003E0B98" w:rsidRDefault="00EA766B" w:rsidP="004361AC">
      <w:pPr>
        <w:tabs>
          <w:tab w:val="clear" w:pos="567"/>
        </w:tabs>
        <w:spacing w:line="240" w:lineRule="auto"/>
        <w:rPr>
          <w:color w:val="000000"/>
          <w:szCs w:val="22"/>
          <w:lang w:val="es-ES_tradnl"/>
        </w:rPr>
      </w:pPr>
      <w:r w:rsidRPr="003E0B98">
        <w:rPr>
          <w:rFonts w:cs="Calibri"/>
          <w:bCs/>
          <w:iCs/>
          <w:lang w:val="es-ES"/>
        </w:rPr>
        <w:t xml:space="preserve">El DRSS se valoró </w:t>
      </w:r>
      <w:r w:rsidR="00005A6E" w:rsidRPr="003E0B98">
        <w:rPr>
          <w:rFonts w:cs="Calibri"/>
          <w:bCs/>
          <w:iCs/>
          <w:lang w:val="es-ES"/>
        </w:rPr>
        <w:t xml:space="preserve">también </w:t>
      </w:r>
      <w:r w:rsidRPr="003E0B98">
        <w:rPr>
          <w:rFonts w:cs="Calibri"/>
          <w:bCs/>
          <w:iCs/>
          <w:lang w:val="es-ES"/>
        </w:rPr>
        <w:t>en tres ensayos distintos Fase III en EMD, controlados con tratamiento activo (</w:t>
      </w:r>
      <w:proofErr w:type="spellStart"/>
      <w:r w:rsidRPr="003E0B98">
        <w:rPr>
          <w:rFonts w:cs="Calibri"/>
          <w:bCs/>
          <w:iCs/>
          <w:szCs w:val="22"/>
          <w:lang w:val="es-ES"/>
        </w:rPr>
        <w:t>ranibizumab</w:t>
      </w:r>
      <w:proofErr w:type="spellEnd"/>
      <w:r w:rsidRPr="003E0B98">
        <w:rPr>
          <w:rFonts w:cs="Calibri"/>
          <w:bCs/>
          <w:iCs/>
          <w:szCs w:val="22"/>
          <w:lang w:val="es-ES"/>
        </w:rPr>
        <w:t xml:space="preserve"> 0,5 mg PRN frente a láser) que incluyeron un total de 875 pacientes, de los cuales un 75% aproximadamente eran de origen asiático. En un metaanálisis de estos estudios, el 48,4% de los 315 pacientes con puntuaciones de DRSS graduables en el subgrupo de pacientes con retinopatía diabética no proliferativa (RDNP) moderadamente grave o de mayor severidad al inicio, tuvieron una mejora de ≥2 niveles en la DRSS al Mes 12 con el tratamiento con </w:t>
      </w:r>
      <w:proofErr w:type="spellStart"/>
      <w:r w:rsidRPr="003E0B98">
        <w:rPr>
          <w:rFonts w:cs="Calibri"/>
          <w:bCs/>
          <w:iCs/>
          <w:szCs w:val="22"/>
          <w:lang w:val="es-ES"/>
        </w:rPr>
        <w:t>ranibizumab</w:t>
      </w:r>
      <w:proofErr w:type="spellEnd"/>
      <w:r w:rsidRPr="003E0B98">
        <w:rPr>
          <w:rFonts w:cs="Calibri"/>
          <w:bCs/>
          <w:iCs/>
          <w:szCs w:val="22"/>
          <w:lang w:val="es-ES"/>
        </w:rPr>
        <w:t xml:space="preserve"> (n=192) frente al 14,6% de los pacientes tratados con láser (n=123). La diferencia estimada entre </w:t>
      </w:r>
      <w:proofErr w:type="spellStart"/>
      <w:r w:rsidRPr="003E0B98">
        <w:rPr>
          <w:szCs w:val="22"/>
          <w:lang w:val="es-ES"/>
        </w:rPr>
        <w:t>ranibizumab</w:t>
      </w:r>
      <w:proofErr w:type="spellEnd"/>
      <w:r w:rsidRPr="003E0B98">
        <w:rPr>
          <w:szCs w:val="22"/>
          <w:lang w:val="es-ES"/>
        </w:rPr>
        <w:t xml:space="preserve"> y láser fue del 29,9% (IC del 95%: [20,0, 39,7]). En </w:t>
      </w:r>
      <w:r w:rsidRPr="003E0B98">
        <w:rPr>
          <w:rFonts w:cs="Calibri"/>
          <w:bCs/>
          <w:iCs/>
          <w:szCs w:val="22"/>
          <w:lang w:val="es-ES"/>
        </w:rPr>
        <w:t xml:space="preserve">los 405 pacientes con puntuaciones de DRSS graduables y con una RDNP de gravedad moderada o menor, se observó una mejora de ≥2 niveles en la DRSS en el </w:t>
      </w:r>
      <w:r w:rsidRPr="003E0B98">
        <w:rPr>
          <w:szCs w:val="22"/>
          <w:lang w:val="es-ES"/>
        </w:rPr>
        <w:t xml:space="preserve">1,4% y 0,9% de los pacientes en los grupos </w:t>
      </w:r>
      <w:proofErr w:type="spellStart"/>
      <w:r w:rsidRPr="003E0B98">
        <w:rPr>
          <w:szCs w:val="22"/>
          <w:lang w:val="es-ES"/>
        </w:rPr>
        <w:t>ranibizumab</w:t>
      </w:r>
      <w:proofErr w:type="spellEnd"/>
      <w:r w:rsidRPr="003E0B98">
        <w:rPr>
          <w:szCs w:val="22"/>
          <w:lang w:val="es-ES"/>
        </w:rPr>
        <w:t xml:space="preserve"> y láser, respectivamente.</w:t>
      </w:r>
    </w:p>
    <w:p w14:paraId="5D70280E" w14:textId="77777777" w:rsidR="00982BA9" w:rsidRPr="003E0B98" w:rsidRDefault="00982BA9" w:rsidP="004361AC">
      <w:pPr>
        <w:tabs>
          <w:tab w:val="clear" w:pos="567"/>
        </w:tabs>
        <w:spacing w:line="240" w:lineRule="auto"/>
        <w:rPr>
          <w:color w:val="000000"/>
          <w:szCs w:val="22"/>
          <w:lang w:val="es-ES_tradnl"/>
        </w:rPr>
      </w:pPr>
    </w:p>
    <w:p w14:paraId="32BD8E25" w14:textId="77777777" w:rsidR="009C7FF4" w:rsidRPr="003E0B98" w:rsidRDefault="009C7FF4" w:rsidP="004361AC">
      <w:pPr>
        <w:keepNext/>
        <w:tabs>
          <w:tab w:val="clear" w:pos="567"/>
        </w:tabs>
        <w:spacing w:line="240" w:lineRule="auto"/>
        <w:rPr>
          <w:i/>
          <w:color w:val="000000"/>
          <w:szCs w:val="22"/>
          <w:u w:val="single"/>
          <w:lang w:val="es-ES_tradnl"/>
        </w:rPr>
      </w:pPr>
      <w:r w:rsidRPr="003E0B98">
        <w:rPr>
          <w:i/>
          <w:color w:val="000000"/>
          <w:szCs w:val="22"/>
          <w:u w:val="single"/>
          <w:lang w:val="es-ES_tradnl"/>
        </w:rPr>
        <w:t xml:space="preserve">Tratamiento de la </w:t>
      </w:r>
      <w:r w:rsidRPr="003E0B98">
        <w:rPr>
          <w:i/>
          <w:color w:val="000000"/>
          <w:szCs w:val="22"/>
          <w:u w:val="single"/>
          <w:lang w:val="es-ES"/>
        </w:rPr>
        <w:t>alteración</w:t>
      </w:r>
      <w:r w:rsidRPr="003E0B98">
        <w:rPr>
          <w:i/>
          <w:color w:val="000000"/>
          <w:szCs w:val="22"/>
          <w:u w:val="single"/>
          <w:lang w:val="es-ES_tradnl"/>
        </w:rPr>
        <w:t xml:space="preserve"> visual debida al edema macular secundario a OVR</w:t>
      </w:r>
    </w:p>
    <w:p w14:paraId="2D02F690" w14:textId="77777777" w:rsidR="009C7FF4" w:rsidRPr="003E0B98" w:rsidRDefault="009C7FF4" w:rsidP="004361AC">
      <w:pPr>
        <w:tabs>
          <w:tab w:val="clear" w:pos="567"/>
        </w:tabs>
        <w:spacing w:line="240" w:lineRule="auto"/>
        <w:rPr>
          <w:color w:val="000000"/>
          <w:szCs w:val="22"/>
          <w:lang w:val="es-ES_tradnl"/>
        </w:rPr>
      </w:pPr>
      <w:r w:rsidRPr="003E0B98">
        <w:rPr>
          <w:color w:val="000000"/>
          <w:szCs w:val="22"/>
          <w:lang w:val="es-ES_tradnl"/>
        </w:rPr>
        <w:t xml:space="preserve">La seguridad y eficacia clínicas de </w:t>
      </w:r>
      <w:proofErr w:type="spellStart"/>
      <w:r w:rsidRPr="003E0B98">
        <w:rPr>
          <w:color w:val="000000"/>
          <w:szCs w:val="22"/>
          <w:lang w:val="es-ES_tradnl"/>
        </w:rPr>
        <w:t>Lucentis</w:t>
      </w:r>
      <w:proofErr w:type="spellEnd"/>
      <w:r w:rsidRPr="003E0B98">
        <w:rPr>
          <w:color w:val="000000"/>
          <w:szCs w:val="22"/>
          <w:lang w:val="es-ES_tradnl"/>
        </w:rPr>
        <w:t xml:space="preserve"> en pacientes con </w:t>
      </w:r>
      <w:r w:rsidRPr="003E0B98">
        <w:rPr>
          <w:color w:val="000000"/>
          <w:szCs w:val="22"/>
          <w:lang w:val="es-ES"/>
        </w:rPr>
        <w:t>alteración</w:t>
      </w:r>
      <w:r w:rsidRPr="003E0B98">
        <w:rPr>
          <w:color w:val="000000"/>
          <w:szCs w:val="22"/>
          <w:lang w:val="es-ES_tradnl"/>
        </w:rPr>
        <w:t xml:space="preserve"> visual debida al edema macular secundario a OVR se han evaluado en los ensayos BRAVO y CRUISE, controlados, aleatorizados, doble ciego que reclutaron sujetos con ORVR (n=397) y con OVCR (n=392), respectivamente. En ambos ensayos, los sujetos recibieron o bien </w:t>
      </w:r>
      <w:proofErr w:type="spellStart"/>
      <w:r w:rsidRPr="003E0B98">
        <w:rPr>
          <w:color w:val="000000"/>
          <w:szCs w:val="22"/>
          <w:lang w:val="es-ES_tradnl"/>
        </w:rPr>
        <w:t>ranibizumab</w:t>
      </w:r>
      <w:proofErr w:type="spellEnd"/>
      <w:r w:rsidRPr="003E0B98">
        <w:rPr>
          <w:color w:val="000000"/>
          <w:szCs w:val="22"/>
          <w:lang w:val="es-ES_tradnl"/>
        </w:rPr>
        <w:t xml:space="preserve"> 0,3 mg o 0,5 mg o inyecciones simuladas. Después de 6 meses, los pacientes en los grupos control con inyección simulada cambiaron a </w:t>
      </w:r>
      <w:proofErr w:type="spellStart"/>
      <w:r w:rsidRPr="003E0B98">
        <w:rPr>
          <w:color w:val="000000"/>
          <w:szCs w:val="22"/>
          <w:lang w:val="es-ES_tradnl"/>
        </w:rPr>
        <w:t>ranibizumab</w:t>
      </w:r>
      <w:proofErr w:type="spellEnd"/>
      <w:r w:rsidRPr="003E0B98">
        <w:rPr>
          <w:color w:val="000000"/>
          <w:szCs w:val="22"/>
          <w:lang w:val="es-ES_tradnl"/>
        </w:rPr>
        <w:t xml:space="preserve"> 0,5 mg.</w:t>
      </w:r>
    </w:p>
    <w:p w14:paraId="65B9B2F9" w14:textId="77777777" w:rsidR="009C7FF4" w:rsidRPr="003E0B98" w:rsidRDefault="009C7FF4" w:rsidP="004361AC">
      <w:pPr>
        <w:tabs>
          <w:tab w:val="clear" w:pos="567"/>
        </w:tabs>
        <w:spacing w:line="240" w:lineRule="auto"/>
        <w:rPr>
          <w:color w:val="000000"/>
          <w:szCs w:val="22"/>
          <w:lang w:val="es-ES_tradnl"/>
        </w:rPr>
      </w:pPr>
    </w:p>
    <w:p w14:paraId="2013F14C" w14:textId="7FBC4AFD" w:rsidR="009C7FF4" w:rsidRPr="003E0B98" w:rsidRDefault="009C7FF4" w:rsidP="004361AC">
      <w:pPr>
        <w:tabs>
          <w:tab w:val="clear" w:pos="567"/>
        </w:tabs>
        <w:spacing w:line="240" w:lineRule="auto"/>
        <w:rPr>
          <w:color w:val="000000"/>
          <w:szCs w:val="22"/>
          <w:lang w:val="es-ES_tradnl"/>
        </w:rPr>
      </w:pPr>
      <w:r w:rsidRPr="003E0B98">
        <w:rPr>
          <w:color w:val="000000"/>
          <w:szCs w:val="22"/>
          <w:lang w:val="es-ES_tradnl"/>
        </w:rPr>
        <w:t>En la Tabla </w:t>
      </w:r>
      <w:r w:rsidR="0001071A" w:rsidRPr="003E0B98">
        <w:rPr>
          <w:color w:val="000000"/>
          <w:szCs w:val="22"/>
          <w:lang w:val="es-ES_tradnl"/>
        </w:rPr>
        <w:t>8</w:t>
      </w:r>
      <w:r w:rsidRPr="003E0B98">
        <w:rPr>
          <w:color w:val="000000"/>
          <w:szCs w:val="22"/>
          <w:lang w:val="es-ES_tradnl"/>
        </w:rPr>
        <w:t xml:space="preserve"> y las Figuras </w:t>
      </w:r>
      <w:r w:rsidR="007E105C" w:rsidRPr="003E0B98">
        <w:rPr>
          <w:color w:val="000000"/>
          <w:szCs w:val="22"/>
          <w:lang w:val="es-ES_tradnl"/>
        </w:rPr>
        <w:t>5</w:t>
      </w:r>
      <w:r w:rsidRPr="003E0B98">
        <w:rPr>
          <w:color w:val="000000"/>
          <w:szCs w:val="22"/>
          <w:lang w:val="es-ES_tradnl"/>
        </w:rPr>
        <w:t xml:space="preserve"> y </w:t>
      </w:r>
      <w:r w:rsidR="007E105C" w:rsidRPr="003E0B98">
        <w:rPr>
          <w:color w:val="000000"/>
          <w:szCs w:val="22"/>
          <w:lang w:val="es-ES_tradnl"/>
        </w:rPr>
        <w:t>6</w:t>
      </w:r>
      <w:r w:rsidRPr="003E0B98">
        <w:rPr>
          <w:color w:val="000000"/>
          <w:szCs w:val="22"/>
          <w:lang w:val="es-ES_tradnl"/>
        </w:rPr>
        <w:t xml:space="preserve"> se resumen los resultados clave de los ensayos BRAVO y CRUISE.</w:t>
      </w:r>
    </w:p>
    <w:p w14:paraId="381CA73C" w14:textId="77777777" w:rsidR="009C7FF4" w:rsidRPr="003E0B98" w:rsidRDefault="009C7FF4" w:rsidP="004361AC">
      <w:pPr>
        <w:tabs>
          <w:tab w:val="clear" w:pos="567"/>
        </w:tabs>
        <w:spacing w:line="240" w:lineRule="auto"/>
        <w:rPr>
          <w:bCs/>
          <w:szCs w:val="22"/>
          <w:lang w:val="es-ES_tradnl"/>
        </w:rPr>
      </w:pPr>
    </w:p>
    <w:p w14:paraId="3E486C3C" w14:textId="7595B57B" w:rsidR="009C7FF4" w:rsidRPr="003E0B98" w:rsidRDefault="009C7FF4" w:rsidP="004361AC">
      <w:pPr>
        <w:keepNext/>
        <w:tabs>
          <w:tab w:val="clear" w:pos="567"/>
        </w:tabs>
        <w:spacing w:line="240" w:lineRule="auto"/>
        <w:ind w:left="1134" w:hanging="1134"/>
        <w:rPr>
          <w:b/>
          <w:color w:val="000000"/>
          <w:lang w:val="es-ES_tradnl"/>
        </w:rPr>
      </w:pPr>
      <w:r w:rsidRPr="003E0B98">
        <w:rPr>
          <w:b/>
          <w:color w:val="000000"/>
          <w:lang w:val="es-ES_tradnl"/>
        </w:rPr>
        <w:t>Tabla </w:t>
      </w:r>
      <w:r w:rsidR="0001071A" w:rsidRPr="003E0B98">
        <w:rPr>
          <w:b/>
          <w:color w:val="000000"/>
          <w:lang w:val="es-ES_tradnl"/>
        </w:rPr>
        <w:t>8</w:t>
      </w:r>
      <w:r w:rsidRPr="003E0B98">
        <w:rPr>
          <w:b/>
          <w:color w:val="000000"/>
          <w:lang w:val="es-ES_tradnl"/>
        </w:rPr>
        <w:tab/>
        <w:t>Resultados a los Meses 6 y 12 (BRAVO</w:t>
      </w:r>
      <w:r w:rsidR="00865448" w:rsidRPr="003E0B98">
        <w:rPr>
          <w:b/>
          <w:color w:val="000000"/>
          <w:lang w:val="es-ES_tradnl"/>
        </w:rPr>
        <w:t xml:space="preserve"> y CRUISE</w:t>
      </w:r>
      <w:r w:rsidRPr="003E0B98">
        <w:rPr>
          <w:b/>
          <w:color w:val="000000"/>
          <w:lang w:val="es-ES_tradnl"/>
        </w:rPr>
        <w:t>)</w:t>
      </w:r>
    </w:p>
    <w:p w14:paraId="7B6CFF8D" w14:textId="77777777" w:rsidR="003F0F97" w:rsidRPr="003E0B98" w:rsidRDefault="003F0F97" w:rsidP="004361AC">
      <w:pPr>
        <w:keepNext/>
        <w:tabs>
          <w:tab w:val="clear" w:pos="567"/>
        </w:tabs>
        <w:spacing w:line="240" w:lineRule="auto"/>
        <w:rPr>
          <w:color w:val="000000"/>
          <w:lang w:val="es-ES_trad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7"/>
        <w:gridCol w:w="1940"/>
        <w:gridCol w:w="1302"/>
        <w:gridCol w:w="1940"/>
        <w:gridCol w:w="1302"/>
      </w:tblGrid>
      <w:tr w:rsidR="003F0F97" w:rsidRPr="003E0B98" w14:paraId="415348AA" w14:textId="77777777" w:rsidTr="00444D05">
        <w:tc>
          <w:tcPr>
            <w:tcW w:w="1517" w:type="pct"/>
          </w:tcPr>
          <w:p w14:paraId="1F94C88C" w14:textId="77777777" w:rsidR="003F0F97" w:rsidRPr="003E0B98" w:rsidRDefault="003F0F97" w:rsidP="004361AC">
            <w:pPr>
              <w:keepNext/>
              <w:tabs>
                <w:tab w:val="clear" w:pos="567"/>
              </w:tabs>
              <w:spacing w:line="240" w:lineRule="auto"/>
              <w:rPr>
                <w:i/>
                <w:color w:val="000000"/>
                <w:lang w:val="es-ES_tradnl"/>
              </w:rPr>
            </w:pPr>
          </w:p>
        </w:tc>
        <w:tc>
          <w:tcPr>
            <w:tcW w:w="1857" w:type="pct"/>
            <w:gridSpan w:val="2"/>
          </w:tcPr>
          <w:p w14:paraId="29DE744F" w14:textId="77777777" w:rsidR="003F0F97" w:rsidRPr="003E0B98" w:rsidRDefault="003F0F97" w:rsidP="004361AC">
            <w:pPr>
              <w:keepNext/>
              <w:tabs>
                <w:tab w:val="clear" w:pos="567"/>
              </w:tabs>
              <w:spacing w:line="240" w:lineRule="auto"/>
              <w:jc w:val="center"/>
              <w:rPr>
                <w:b/>
                <w:bCs/>
                <w:color w:val="000000"/>
                <w:lang w:val="en-US"/>
              </w:rPr>
            </w:pPr>
            <w:r w:rsidRPr="003E0B98">
              <w:rPr>
                <w:b/>
                <w:bCs/>
                <w:color w:val="000000"/>
                <w:lang w:val="en-US"/>
              </w:rPr>
              <w:t>BRAVO</w:t>
            </w:r>
          </w:p>
        </w:tc>
        <w:tc>
          <w:tcPr>
            <w:tcW w:w="1626" w:type="pct"/>
            <w:gridSpan w:val="2"/>
          </w:tcPr>
          <w:p w14:paraId="5620BF2F" w14:textId="77777777" w:rsidR="003F0F97" w:rsidRPr="003E0B98" w:rsidRDefault="003F0F97" w:rsidP="004361AC">
            <w:pPr>
              <w:keepNext/>
              <w:tabs>
                <w:tab w:val="clear" w:pos="567"/>
              </w:tabs>
              <w:spacing w:line="240" w:lineRule="auto"/>
              <w:jc w:val="center"/>
              <w:rPr>
                <w:b/>
                <w:bCs/>
                <w:color w:val="000000"/>
                <w:lang w:val="en-US"/>
              </w:rPr>
            </w:pPr>
            <w:r w:rsidRPr="003E0B98">
              <w:rPr>
                <w:b/>
                <w:bCs/>
                <w:color w:val="000000"/>
                <w:lang w:val="en-US"/>
              </w:rPr>
              <w:t>CRUISE</w:t>
            </w:r>
          </w:p>
        </w:tc>
      </w:tr>
      <w:tr w:rsidR="003F0F97" w:rsidRPr="003E0B98" w14:paraId="360061E0" w14:textId="77777777" w:rsidTr="00FF2CF4">
        <w:tc>
          <w:tcPr>
            <w:tcW w:w="1517" w:type="pct"/>
          </w:tcPr>
          <w:p w14:paraId="33176C63" w14:textId="77777777" w:rsidR="003F0F97" w:rsidRPr="003E0B98" w:rsidRDefault="003F0F97" w:rsidP="004361AC">
            <w:pPr>
              <w:keepNext/>
              <w:tabs>
                <w:tab w:val="clear" w:pos="567"/>
              </w:tabs>
              <w:spacing w:line="240" w:lineRule="auto"/>
              <w:rPr>
                <w:i/>
                <w:color w:val="000000"/>
                <w:lang w:val="es-ES_tradnl"/>
              </w:rPr>
            </w:pPr>
          </w:p>
        </w:tc>
        <w:tc>
          <w:tcPr>
            <w:tcW w:w="1044" w:type="pct"/>
          </w:tcPr>
          <w:p w14:paraId="24A5E882" w14:textId="77777777" w:rsidR="003F0F97" w:rsidRPr="003E0B98" w:rsidRDefault="003F0F97" w:rsidP="004361AC">
            <w:pPr>
              <w:keepNext/>
              <w:tabs>
                <w:tab w:val="clear" w:pos="567"/>
              </w:tabs>
              <w:spacing w:line="240" w:lineRule="auto"/>
              <w:jc w:val="center"/>
              <w:rPr>
                <w:b/>
                <w:bCs/>
                <w:color w:val="000000"/>
                <w:lang w:val="es-ES_tradnl"/>
              </w:rPr>
            </w:pPr>
            <w:r w:rsidRPr="003E0B98">
              <w:rPr>
                <w:b/>
                <w:bCs/>
                <w:color w:val="000000"/>
                <w:lang w:val="es-ES_tradnl"/>
              </w:rPr>
              <w:t>Tratamiento simulado/</w:t>
            </w:r>
            <w:proofErr w:type="spellStart"/>
            <w:r w:rsidRPr="003E0B98">
              <w:rPr>
                <w:b/>
                <w:bCs/>
                <w:color w:val="000000"/>
                <w:lang w:val="es-ES_tradnl"/>
              </w:rPr>
              <w:t>Lucentis</w:t>
            </w:r>
            <w:proofErr w:type="spellEnd"/>
            <w:r w:rsidRPr="003E0B98">
              <w:rPr>
                <w:b/>
                <w:bCs/>
                <w:color w:val="000000"/>
                <w:lang w:val="es-ES_tradnl"/>
              </w:rPr>
              <w:t xml:space="preserve"> 0,5 mg</w:t>
            </w:r>
          </w:p>
          <w:p w14:paraId="0BD59534" w14:textId="77777777" w:rsidR="003F0F97" w:rsidRPr="003E0B98" w:rsidRDefault="003F0F97" w:rsidP="004361AC">
            <w:pPr>
              <w:keepNext/>
              <w:tabs>
                <w:tab w:val="clear" w:pos="567"/>
              </w:tabs>
              <w:spacing w:line="240" w:lineRule="auto"/>
              <w:jc w:val="center"/>
              <w:rPr>
                <w:b/>
                <w:bCs/>
                <w:i/>
                <w:color w:val="000000"/>
                <w:lang w:val="es-ES_tradnl"/>
              </w:rPr>
            </w:pPr>
            <w:r w:rsidRPr="003E0B98">
              <w:rPr>
                <w:b/>
                <w:bCs/>
                <w:color w:val="000000"/>
                <w:lang w:val="es-ES_tradnl"/>
              </w:rPr>
              <w:t>(n=132)</w:t>
            </w:r>
          </w:p>
        </w:tc>
        <w:tc>
          <w:tcPr>
            <w:tcW w:w="813" w:type="pct"/>
          </w:tcPr>
          <w:p w14:paraId="1BC9946E" w14:textId="77777777" w:rsidR="003F0F97" w:rsidRPr="003E0B98" w:rsidRDefault="003F0F97" w:rsidP="004361AC">
            <w:pPr>
              <w:keepNext/>
              <w:tabs>
                <w:tab w:val="clear" w:pos="567"/>
              </w:tabs>
              <w:spacing w:line="240" w:lineRule="auto"/>
              <w:jc w:val="center"/>
              <w:rPr>
                <w:b/>
                <w:bCs/>
                <w:color w:val="000000"/>
                <w:lang w:val="en-US"/>
              </w:rPr>
            </w:pPr>
            <w:r w:rsidRPr="003E0B98">
              <w:rPr>
                <w:b/>
                <w:bCs/>
                <w:color w:val="000000"/>
                <w:lang w:val="en-US"/>
              </w:rPr>
              <w:t>Lucentis 0,5 mg</w:t>
            </w:r>
          </w:p>
          <w:p w14:paraId="1F4FFDB4" w14:textId="77777777" w:rsidR="003F0F97" w:rsidRPr="003E0B98" w:rsidRDefault="003F0F97" w:rsidP="004361AC">
            <w:pPr>
              <w:keepNext/>
              <w:tabs>
                <w:tab w:val="clear" w:pos="567"/>
              </w:tabs>
              <w:spacing w:line="240" w:lineRule="auto"/>
              <w:jc w:val="center"/>
              <w:rPr>
                <w:b/>
                <w:bCs/>
                <w:i/>
                <w:color w:val="000000"/>
                <w:lang w:val="en-US"/>
              </w:rPr>
            </w:pPr>
            <w:r w:rsidRPr="003E0B98">
              <w:rPr>
                <w:b/>
                <w:bCs/>
                <w:color w:val="000000"/>
                <w:lang w:val="en-US"/>
              </w:rPr>
              <w:t>(n=131)</w:t>
            </w:r>
          </w:p>
        </w:tc>
        <w:tc>
          <w:tcPr>
            <w:tcW w:w="813" w:type="pct"/>
          </w:tcPr>
          <w:p w14:paraId="5AC4AFA4" w14:textId="77777777" w:rsidR="003F0F97" w:rsidRPr="003E0B98" w:rsidRDefault="003F0F97" w:rsidP="004361AC">
            <w:pPr>
              <w:keepNext/>
              <w:tabs>
                <w:tab w:val="clear" w:pos="567"/>
              </w:tabs>
              <w:spacing w:line="240" w:lineRule="auto"/>
              <w:jc w:val="center"/>
              <w:rPr>
                <w:b/>
                <w:bCs/>
                <w:color w:val="000000"/>
                <w:lang w:val="es-ES_tradnl"/>
              </w:rPr>
            </w:pPr>
            <w:r w:rsidRPr="003E0B98">
              <w:rPr>
                <w:b/>
                <w:bCs/>
                <w:color w:val="000000"/>
                <w:lang w:val="es-ES_tradnl"/>
              </w:rPr>
              <w:t>Tratamiento simulado/</w:t>
            </w:r>
            <w:proofErr w:type="spellStart"/>
            <w:r w:rsidRPr="003E0B98">
              <w:rPr>
                <w:b/>
                <w:bCs/>
                <w:color w:val="000000"/>
                <w:lang w:val="es-ES_tradnl"/>
              </w:rPr>
              <w:t>Lucentis</w:t>
            </w:r>
            <w:proofErr w:type="spellEnd"/>
            <w:r w:rsidRPr="003E0B98">
              <w:rPr>
                <w:b/>
                <w:bCs/>
                <w:color w:val="000000"/>
                <w:lang w:val="es-ES_tradnl"/>
              </w:rPr>
              <w:t xml:space="preserve"> 0,5 mg</w:t>
            </w:r>
          </w:p>
          <w:p w14:paraId="46930AD5" w14:textId="77777777" w:rsidR="003F0F97" w:rsidRPr="003E0B98" w:rsidRDefault="003F0F97" w:rsidP="004361AC">
            <w:pPr>
              <w:keepNext/>
              <w:tabs>
                <w:tab w:val="clear" w:pos="567"/>
              </w:tabs>
              <w:spacing w:line="240" w:lineRule="auto"/>
              <w:jc w:val="center"/>
              <w:rPr>
                <w:b/>
                <w:bCs/>
                <w:color w:val="000000"/>
                <w:lang w:val="es-ES"/>
              </w:rPr>
            </w:pPr>
            <w:r w:rsidRPr="003E0B98">
              <w:rPr>
                <w:b/>
                <w:bCs/>
                <w:color w:val="000000"/>
                <w:lang w:val="es-ES_tradnl"/>
              </w:rPr>
              <w:t>(n=130)</w:t>
            </w:r>
          </w:p>
        </w:tc>
        <w:tc>
          <w:tcPr>
            <w:tcW w:w="813" w:type="pct"/>
          </w:tcPr>
          <w:p w14:paraId="12136892" w14:textId="77777777" w:rsidR="003F0F97" w:rsidRPr="003E0B98" w:rsidRDefault="003F0F97" w:rsidP="004361AC">
            <w:pPr>
              <w:keepNext/>
              <w:tabs>
                <w:tab w:val="clear" w:pos="567"/>
              </w:tabs>
              <w:spacing w:line="240" w:lineRule="auto"/>
              <w:jc w:val="center"/>
              <w:rPr>
                <w:b/>
                <w:bCs/>
                <w:color w:val="000000"/>
                <w:lang w:val="en-US"/>
              </w:rPr>
            </w:pPr>
            <w:r w:rsidRPr="003E0B98">
              <w:rPr>
                <w:b/>
                <w:bCs/>
                <w:color w:val="000000"/>
                <w:lang w:val="en-US"/>
              </w:rPr>
              <w:t>Lucentis 0,5 mg</w:t>
            </w:r>
          </w:p>
          <w:p w14:paraId="0D9F5EB1" w14:textId="77777777" w:rsidR="003F0F97" w:rsidRPr="003E0B98" w:rsidRDefault="003F0F97" w:rsidP="004361AC">
            <w:pPr>
              <w:keepNext/>
              <w:tabs>
                <w:tab w:val="clear" w:pos="567"/>
              </w:tabs>
              <w:spacing w:line="240" w:lineRule="auto"/>
              <w:jc w:val="center"/>
              <w:rPr>
                <w:b/>
                <w:bCs/>
                <w:color w:val="000000"/>
                <w:lang w:val="es-ES"/>
              </w:rPr>
            </w:pPr>
            <w:r w:rsidRPr="003E0B98">
              <w:rPr>
                <w:b/>
                <w:bCs/>
                <w:color w:val="000000"/>
                <w:lang w:val="en-US"/>
              </w:rPr>
              <w:t>(n=130)</w:t>
            </w:r>
          </w:p>
        </w:tc>
      </w:tr>
      <w:tr w:rsidR="003F0F97" w:rsidRPr="003E0B98" w14:paraId="0C561702" w14:textId="77777777" w:rsidTr="00FF2CF4">
        <w:tc>
          <w:tcPr>
            <w:tcW w:w="1517" w:type="pct"/>
          </w:tcPr>
          <w:p w14:paraId="47B7A358" w14:textId="77777777" w:rsidR="003F0F97" w:rsidRPr="003E0B98" w:rsidRDefault="003F0F97" w:rsidP="004361AC">
            <w:pPr>
              <w:keepNext/>
              <w:tabs>
                <w:tab w:val="clear" w:pos="567"/>
              </w:tabs>
              <w:spacing w:line="240" w:lineRule="auto"/>
              <w:rPr>
                <w:color w:val="000000"/>
                <w:lang w:val="es-ES_tradnl"/>
              </w:rPr>
            </w:pPr>
            <w:r w:rsidRPr="003E0B98">
              <w:rPr>
                <w:color w:val="000000"/>
                <w:szCs w:val="22"/>
                <w:lang w:val="es-ES_tradnl"/>
              </w:rPr>
              <w:t xml:space="preserve">Cambio </w:t>
            </w:r>
            <w:r w:rsidR="006006F4" w:rsidRPr="003E0B98">
              <w:rPr>
                <w:color w:val="000000"/>
                <w:szCs w:val="22"/>
                <w:lang w:val="es-ES_tradnl"/>
              </w:rPr>
              <w:t>pro</w:t>
            </w:r>
            <w:r w:rsidRPr="003E0B98">
              <w:rPr>
                <w:color w:val="000000"/>
                <w:szCs w:val="22"/>
                <w:lang w:val="es-ES_tradnl"/>
              </w:rPr>
              <w:t xml:space="preserve">medio </w:t>
            </w:r>
            <w:r w:rsidR="008222CB" w:rsidRPr="003E0B98">
              <w:rPr>
                <w:color w:val="000000"/>
                <w:szCs w:val="22"/>
                <w:lang w:val="es-ES_tradnl"/>
              </w:rPr>
              <w:t>de</w:t>
            </w:r>
            <w:r w:rsidRPr="003E0B98">
              <w:rPr>
                <w:color w:val="000000"/>
                <w:szCs w:val="22"/>
                <w:lang w:val="es-ES_tradnl"/>
              </w:rPr>
              <w:t xml:space="preserve"> la agudeza visual al Mes 6</w:t>
            </w:r>
            <w:r w:rsidRPr="003E0B98">
              <w:rPr>
                <w:color w:val="000000"/>
                <w:szCs w:val="22"/>
                <w:vertAlign w:val="superscript"/>
                <w:lang w:val="es-ES_tradnl"/>
              </w:rPr>
              <w:t>a</w:t>
            </w:r>
            <w:r w:rsidRPr="003E0B98">
              <w:rPr>
                <w:color w:val="000000"/>
                <w:szCs w:val="22"/>
                <w:lang w:val="es-ES_tradnl"/>
              </w:rPr>
              <w:t xml:space="preserve"> (letras) (desviación estándar) (variable primaria)</w:t>
            </w:r>
          </w:p>
        </w:tc>
        <w:tc>
          <w:tcPr>
            <w:tcW w:w="1044" w:type="pct"/>
          </w:tcPr>
          <w:p w14:paraId="6B02400E" w14:textId="77777777" w:rsidR="003F0F97" w:rsidRPr="003E0B98" w:rsidRDefault="003F0F97" w:rsidP="004361AC">
            <w:pPr>
              <w:keepNext/>
              <w:tabs>
                <w:tab w:val="clear" w:pos="567"/>
              </w:tabs>
              <w:spacing w:line="240" w:lineRule="auto"/>
              <w:jc w:val="center"/>
              <w:rPr>
                <w:color w:val="000000"/>
                <w:lang w:val="es-ES_tradnl"/>
              </w:rPr>
            </w:pPr>
            <w:r w:rsidRPr="003E0B98">
              <w:rPr>
                <w:color w:val="000000"/>
                <w:lang w:val="es-ES_tradnl"/>
              </w:rPr>
              <w:t>7,3 (13,0)</w:t>
            </w:r>
          </w:p>
        </w:tc>
        <w:tc>
          <w:tcPr>
            <w:tcW w:w="813" w:type="pct"/>
          </w:tcPr>
          <w:p w14:paraId="5060582A" w14:textId="77777777" w:rsidR="003F0F97" w:rsidRPr="003E0B98" w:rsidRDefault="003F0F97" w:rsidP="004361AC">
            <w:pPr>
              <w:keepNext/>
              <w:tabs>
                <w:tab w:val="clear" w:pos="567"/>
              </w:tabs>
              <w:spacing w:line="240" w:lineRule="auto"/>
              <w:jc w:val="center"/>
              <w:rPr>
                <w:color w:val="000000"/>
                <w:lang w:val="es-ES_tradnl"/>
              </w:rPr>
            </w:pPr>
            <w:r w:rsidRPr="003E0B98">
              <w:rPr>
                <w:color w:val="000000"/>
                <w:lang w:val="es-ES_tradnl"/>
              </w:rPr>
              <w:t>18,3 (13,2)</w:t>
            </w:r>
          </w:p>
        </w:tc>
        <w:tc>
          <w:tcPr>
            <w:tcW w:w="813" w:type="pct"/>
          </w:tcPr>
          <w:p w14:paraId="1B231F7F" w14:textId="77777777" w:rsidR="003F0F97" w:rsidRPr="003E0B98" w:rsidRDefault="003F0F97" w:rsidP="004361AC">
            <w:pPr>
              <w:keepNext/>
              <w:tabs>
                <w:tab w:val="clear" w:pos="567"/>
              </w:tabs>
              <w:spacing w:line="240" w:lineRule="auto"/>
              <w:jc w:val="center"/>
              <w:rPr>
                <w:color w:val="000000"/>
                <w:lang w:val="es-ES_tradnl"/>
              </w:rPr>
            </w:pPr>
            <w:r w:rsidRPr="003E0B98">
              <w:rPr>
                <w:color w:val="000000"/>
                <w:lang w:val="en-US"/>
              </w:rPr>
              <w:t>0,8 (16,2)</w:t>
            </w:r>
          </w:p>
        </w:tc>
        <w:tc>
          <w:tcPr>
            <w:tcW w:w="813" w:type="pct"/>
          </w:tcPr>
          <w:p w14:paraId="2D7C159E" w14:textId="77777777" w:rsidR="003F0F97" w:rsidRPr="003E0B98" w:rsidRDefault="003F0F97" w:rsidP="004361AC">
            <w:pPr>
              <w:keepNext/>
              <w:tabs>
                <w:tab w:val="clear" w:pos="567"/>
              </w:tabs>
              <w:spacing w:line="240" w:lineRule="auto"/>
              <w:jc w:val="center"/>
              <w:rPr>
                <w:color w:val="000000"/>
                <w:lang w:val="es-ES_tradnl"/>
              </w:rPr>
            </w:pPr>
            <w:r w:rsidRPr="003E0B98">
              <w:rPr>
                <w:color w:val="000000"/>
                <w:lang w:val="en-US"/>
              </w:rPr>
              <w:t>14,9 (13,2)</w:t>
            </w:r>
          </w:p>
        </w:tc>
      </w:tr>
      <w:tr w:rsidR="003F0F97" w:rsidRPr="003E0B98" w14:paraId="4FFDC28C" w14:textId="77777777" w:rsidTr="00FF2CF4">
        <w:tc>
          <w:tcPr>
            <w:tcW w:w="1517" w:type="pct"/>
          </w:tcPr>
          <w:p w14:paraId="5DBD5B93" w14:textId="77777777" w:rsidR="003F0F97" w:rsidRPr="003E0B98" w:rsidRDefault="003F0F97" w:rsidP="004361AC">
            <w:pPr>
              <w:keepNext/>
              <w:tabs>
                <w:tab w:val="clear" w:pos="567"/>
              </w:tabs>
              <w:spacing w:line="240" w:lineRule="auto"/>
              <w:rPr>
                <w:color w:val="000000"/>
                <w:lang w:val="es-ES_tradnl"/>
              </w:rPr>
            </w:pPr>
            <w:r w:rsidRPr="003E0B98">
              <w:rPr>
                <w:color w:val="000000"/>
                <w:szCs w:val="22"/>
                <w:lang w:val="es-ES_tradnl"/>
              </w:rPr>
              <w:t xml:space="preserve">Cambio </w:t>
            </w:r>
            <w:r w:rsidR="006006F4" w:rsidRPr="003E0B98">
              <w:rPr>
                <w:color w:val="000000"/>
                <w:szCs w:val="22"/>
                <w:lang w:val="es-ES_tradnl"/>
              </w:rPr>
              <w:t>pro</w:t>
            </w:r>
            <w:r w:rsidRPr="003E0B98">
              <w:rPr>
                <w:color w:val="000000"/>
                <w:szCs w:val="22"/>
                <w:lang w:val="es-ES_tradnl"/>
              </w:rPr>
              <w:t xml:space="preserve">medio </w:t>
            </w:r>
            <w:r w:rsidR="008222CB" w:rsidRPr="003E0B98">
              <w:rPr>
                <w:color w:val="000000"/>
                <w:szCs w:val="22"/>
                <w:lang w:val="es-ES_tradnl"/>
              </w:rPr>
              <w:t>de</w:t>
            </w:r>
            <w:r w:rsidRPr="003E0B98">
              <w:rPr>
                <w:color w:val="000000"/>
                <w:szCs w:val="22"/>
                <w:lang w:val="es-ES_tradnl"/>
              </w:rPr>
              <w:t xml:space="preserve"> la AVMC al Mes 12 (letras) (desviación estándar)</w:t>
            </w:r>
          </w:p>
        </w:tc>
        <w:tc>
          <w:tcPr>
            <w:tcW w:w="1044" w:type="pct"/>
          </w:tcPr>
          <w:p w14:paraId="446F0AEA" w14:textId="77777777" w:rsidR="003F0F97" w:rsidRPr="003E0B98" w:rsidRDefault="003F0F97" w:rsidP="004361AC">
            <w:pPr>
              <w:keepNext/>
              <w:tabs>
                <w:tab w:val="clear" w:pos="567"/>
              </w:tabs>
              <w:spacing w:line="240" w:lineRule="auto"/>
              <w:jc w:val="center"/>
              <w:rPr>
                <w:color w:val="000000"/>
                <w:lang w:val="es-ES_tradnl"/>
              </w:rPr>
            </w:pPr>
            <w:r w:rsidRPr="003E0B98">
              <w:rPr>
                <w:color w:val="000000"/>
                <w:lang w:val="es-ES_tradnl"/>
              </w:rPr>
              <w:t>12,1 (14,4)</w:t>
            </w:r>
          </w:p>
        </w:tc>
        <w:tc>
          <w:tcPr>
            <w:tcW w:w="813" w:type="pct"/>
          </w:tcPr>
          <w:p w14:paraId="73029E27" w14:textId="77777777" w:rsidR="003F0F97" w:rsidRPr="003E0B98" w:rsidRDefault="003F0F97" w:rsidP="004361AC">
            <w:pPr>
              <w:keepNext/>
              <w:tabs>
                <w:tab w:val="clear" w:pos="567"/>
              </w:tabs>
              <w:spacing w:line="240" w:lineRule="auto"/>
              <w:jc w:val="center"/>
              <w:rPr>
                <w:color w:val="000000"/>
                <w:lang w:val="es-ES_tradnl"/>
              </w:rPr>
            </w:pPr>
            <w:r w:rsidRPr="003E0B98">
              <w:rPr>
                <w:color w:val="000000"/>
                <w:lang w:val="es-ES_tradnl"/>
              </w:rPr>
              <w:t>18,3 (14,6)</w:t>
            </w:r>
          </w:p>
        </w:tc>
        <w:tc>
          <w:tcPr>
            <w:tcW w:w="813" w:type="pct"/>
          </w:tcPr>
          <w:p w14:paraId="467A34A1" w14:textId="77777777" w:rsidR="003F0F97" w:rsidRPr="003E0B98" w:rsidRDefault="003F0F97" w:rsidP="004361AC">
            <w:pPr>
              <w:keepNext/>
              <w:tabs>
                <w:tab w:val="clear" w:pos="567"/>
              </w:tabs>
              <w:spacing w:line="240" w:lineRule="auto"/>
              <w:jc w:val="center"/>
              <w:rPr>
                <w:color w:val="000000"/>
                <w:lang w:val="es-ES_tradnl"/>
              </w:rPr>
            </w:pPr>
            <w:r w:rsidRPr="003E0B98">
              <w:rPr>
                <w:color w:val="000000"/>
                <w:lang w:val="en-US"/>
              </w:rPr>
              <w:t>7,3 (15,9)</w:t>
            </w:r>
          </w:p>
        </w:tc>
        <w:tc>
          <w:tcPr>
            <w:tcW w:w="813" w:type="pct"/>
          </w:tcPr>
          <w:p w14:paraId="5941E512" w14:textId="77777777" w:rsidR="003F0F97" w:rsidRPr="003E0B98" w:rsidRDefault="003F0F97" w:rsidP="004361AC">
            <w:pPr>
              <w:keepNext/>
              <w:tabs>
                <w:tab w:val="clear" w:pos="567"/>
              </w:tabs>
              <w:spacing w:line="240" w:lineRule="auto"/>
              <w:jc w:val="center"/>
              <w:rPr>
                <w:color w:val="000000"/>
                <w:lang w:val="es-ES_tradnl"/>
              </w:rPr>
            </w:pPr>
            <w:r w:rsidRPr="003E0B98">
              <w:rPr>
                <w:color w:val="000000"/>
                <w:lang w:val="en-US"/>
              </w:rPr>
              <w:t>13,9 (14,2)</w:t>
            </w:r>
          </w:p>
        </w:tc>
      </w:tr>
      <w:tr w:rsidR="003F0F97" w:rsidRPr="003E0B98" w14:paraId="01762161" w14:textId="77777777" w:rsidTr="00FF2CF4">
        <w:tc>
          <w:tcPr>
            <w:tcW w:w="1517" w:type="pct"/>
          </w:tcPr>
          <w:p w14:paraId="551D5AFC" w14:textId="77777777" w:rsidR="003F0F97" w:rsidRPr="003E0B98" w:rsidRDefault="003F0F97" w:rsidP="004361AC">
            <w:pPr>
              <w:keepNext/>
              <w:tabs>
                <w:tab w:val="clear" w:pos="567"/>
              </w:tabs>
              <w:spacing w:line="240" w:lineRule="auto"/>
              <w:rPr>
                <w:color w:val="000000"/>
                <w:lang w:val="es-ES_tradnl"/>
              </w:rPr>
            </w:pPr>
            <w:r w:rsidRPr="003E0B98">
              <w:rPr>
                <w:color w:val="000000"/>
                <w:szCs w:val="22"/>
                <w:lang w:val="es-ES_tradnl"/>
              </w:rPr>
              <w:t>Ganancia de ≥15 letras en agudeza visual al Mes 6</w:t>
            </w:r>
            <w:r w:rsidRPr="003E0B98">
              <w:rPr>
                <w:color w:val="000000"/>
                <w:szCs w:val="22"/>
                <w:vertAlign w:val="superscript"/>
                <w:lang w:val="es-ES_tradnl"/>
              </w:rPr>
              <w:t>a</w:t>
            </w:r>
            <w:r w:rsidRPr="003E0B98">
              <w:rPr>
                <w:color w:val="000000"/>
                <w:szCs w:val="22"/>
                <w:lang w:val="es-ES_tradnl"/>
              </w:rPr>
              <w:t xml:space="preserve"> (%)</w:t>
            </w:r>
          </w:p>
        </w:tc>
        <w:tc>
          <w:tcPr>
            <w:tcW w:w="1044" w:type="pct"/>
          </w:tcPr>
          <w:p w14:paraId="6238657D" w14:textId="77777777" w:rsidR="003F0F97" w:rsidRPr="003E0B98" w:rsidRDefault="003F0F97" w:rsidP="004361AC">
            <w:pPr>
              <w:keepNext/>
              <w:tabs>
                <w:tab w:val="clear" w:pos="567"/>
              </w:tabs>
              <w:spacing w:line="240" w:lineRule="auto"/>
              <w:jc w:val="center"/>
              <w:rPr>
                <w:color w:val="000000"/>
                <w:lang w:val="en-US"/>
              </w:rPr>
            </w:pPr>
            <w:r w:rsidRPr="003E0B98">
              <w:rPr>
                <w:color w:val="000000"/>
                <w:lang w:val="en-US"/>
              </w:rPr>
              <w:t>28,8</w:t>
            </w:r>
          </w:p>
        </w:tc>
        <w:tc>
          <w:tcPr>
            <w:tcW w:w="813" w:type="pct"/>
          </w:tcPr>
          <w:p w14:paraId="289A547D" w14:textId="77777777" w:rsidR="003F0F97" w:rsidRPr="003E0B98" w:rsidRDefault="003F0F97" w:rsidP="004361AC">
            <w:pPr>
              <w:keepNext/>
              <w:tabs>
                <w:tab w:val="clear" w:pos="567"/>
              </w:tabs>
              <w:spacing w:line="240" w:lineRule="auto"/>
              <w:jc w:val="center"/>
              <w:rPr>
                <w:color w:val="000000"/>
                <w:lang w:val="en-US"/>
              </w:rPr>
            </w:pPr>
            <w:r w:rsidRPr="003E0B98">
              <w:rPr>
                <w:color w:val="000000"/>
                <w:lang w:val="en-US"/>
              </w:rPr>
              <w:t>61,1</w:t>
            </w:r>
          </w:p>
        </w:tc>
        <w:tc>
          <w:tcPr>
            <w:tcW w:w="813" w:type="pct"/>
          </w:tcPr>
          <w:p w14:paraId="43A7FE5A" w14:textId="77777777" w:rsidR="003F0F97" w:rsidRPr="003E0B98" w:rsidRDefault="003F0F97" w:rsidP="004361AC">
            <w:pPr>
              <w:keepNext/>
              <w:tabs>
                <w:tab w:val="clear" w:pos="567"/>
              </w:tabs>
              <w:spacing w:line="240" w:lineRule="auto"/>
              <w:jc w:val="center"/>
              <w:rPr>
                <w:color w:val="000000"/>
                <w:lang w:val="en-US"/>
              </w:rPr>
            </w:pPr>
            <w:r w:rsidRPr="003E0B98">
              <w:rPr>
                <w:color w:val="000000"/>
                <w:lang w:val="en-US"/>
              </w:rPr>
              <w:t>16,9</w:t>
            </w:r>
          </w:p>
        </w:tc>
        <w:tc>
          <w:tcPr>
            <w:tcW w:w="813" w:type="pct"/>
          </w:tcPr>
          <w:p w14:paraId="1ED58C5A" w14:textId="77777777" w:rsidR="003F0F97" w:rsidRPr="003E0B98" w:rsidRDefault="003F0F97" w:rsidP="004361AC">
            <w:pPr>
              <w:keepNext/>
              <w:tabs>
                <w:tab w:val="clear" w:pos="567"/>
              </w:tabs>
              <w:spacing w:line="240" w:lineRule="auto"/>
              <w:jc w:val="center"/>
              <w:rPr>
                <w:color w:val="000000"/>
                <w:lang w:val="en-US"/>
              </w:rPr>
            </w:pPr>
            <w:r w:rsidRPr="003E0B98">
              <w:rPr>
                <w:color w:val="000000"/>
                <w:lang w:val="en-US"/>
              </w:rPr>
              <w:t>47,7</w:t>
            </w:r>
          </w:p>
        </w:tc>
      </w:tr>
      <w:tr w:rsidR="003F0F97" w:rsidRPr="003E0B98" w14:paraId="0CB61A38" w14:textId="77777777" w:rsidTr="00FF2CF4">
        <w:tc>
          <w:tcPr>
            <w:tcW w:w="1517" w:type="pct"/>
          </w:tcPr>
          <w:p w14:paraId="2BEB410F" w14:textId="77777777" w:rsidR="003F0F97" w:rsidRPr="003E0B98" w:rsidRDefault="003F0F97" w:rsidP="004361AC">
            <w:pPr>
              <w:keepNext/>
              <w:tabs>
                <w:tab w:val="clear" w:pos="567"/>
              </w:tabs>
              <w:spacing w:line="240" w:lineRule="auto"/>
              <w:rPr>
                <w:color w:val="000000"/>
                <w:lang w:val="es-ES_tradnl"/>
              </w:rPr>
            </w:pPr>
            <w:r w:rsidRPr="003E0B98">
              <w:rPr>
                <w:color w:val="000000"/>
                <w:szCs w:val="22"/>
                <w:lang w:val="es-ES_tradnl"/>
              </w:rPr>
              <w:t>Ganancia de ≥15 letras en agudeza visual al Mes 12</w:t>
            </w:r>
            <w:r w:rsidRPr="003E0B98">
              <w:rPr>
                <w:color w:val="000000"/>
                <w:lang w:val="es-ES_tradnl"/>
              </w:rPr>
              <w:t xml:space="preserve"> (%)</w:t>
            </w:r>
          </w:p>
        </w:tc>
        <w:tc>
          <w:tcPr>
            <w:tcW w:w="1044" w:type="pct"/>
          </w:tcPr>
          <w:p w14:paraId="7B2BA67A" w14:textId="77777777" w:rsidR="003F0F97" w:rsidRPr="003E0B98" w:rsidRDefault="003F0F97" w:rsidP="004361AC">
            <w:pPr>
              <w:keepNext/>
              <w:tabs>
                <w:tab w:val="clear" w:pos="567"/>
              </w:tabs>
              <w:spacing w:line="240" w:lineRule="auto"/>
              <w:jc w:val="center"/>
              <w:rPr>
                <w:color w:val="000000"/>
                <w:lang w:val="en-US"/>
              </w:rPr>
            </w:pPr>
            <w:r w:rsidRPr="003E0B98">
              <w:rPr>
                <w:color w:val="000000"/>
                <w:lang w:val="en-US"/>
              </w:rPr>
              <w:t>43,9</w:t>
            </w:r>
          </w:p>
        </w:tc>
        <w:tc>
          <w:tcPr>
            <w:tcW w:w="813" w:type="pct"/>
          </w:tcPr>
          <w:p w14:paraId="549E8D58" w14:textId="77777777" w:rsidR="003F0F97" w:rsidRPr="003E0B98" w:rsidRDefault="003F0F97" w:rsidP="004361AC">
            <w:pPr>
              <w:keepNext/>
              <w:tabs>
                <w:tab w:val="clear" w:pos="567"/>
              </w:tabs>
              <w:spacing w:line="240" w:lineRule="auto"/>
              <w:jc w:val="center"/>
              <w:rPr>
                <w:color w:val="000000"/>
                <w:lang w:val="en-US"/>
              </w:rPr>
            </w:pPr>
            <w:r w:rsidRPr="003E0B98">
              <w:rPr>
                <w:color w:val="000000"/>
                <w:lang w:val="en-US"/>
              </w:rPr>
              <w:t>60,3</w:t>
            </w:r>
          </w:p>
        </w:tc>
        <w:tc>
          <w:tcPr>
            <w:tcW w:w="813" w:type="pct"/>
          </w:tcPr>
          <w:p w14:paraId="61A1444E" w14:textId="77777777" w:rsidR="003F0F97" w:rsidRPr="003E0B98" w:rsidRDefault="003F0F97" w:rsidP="004361AC">
            <w:pPr>
              <w:keepNext/>
              <w:tabs>
                <w:tab w:val="clear" w:pos="567"/>
              </w:tabs>
              <w:spacing w:line="240" w:lineRule="auto"/>
              <w:jc w:val="center"/>
              <w:rPr>
                <w:color w:val="000000"/>
                <w:lang w:val="en-US"/>
              </w:rPr>
            </w:pPr>
            <w:r w:rsidRPr="003E0B98">
              <w:rPr>
                <w:color w:val="000000"/>
                <w:lang w:val="en-US"/>
              </w:rPr>
              <w:t>33,1</w:t>
            </w:r>
          </w:p>
        </w:tc>
        <w:tc>
          <w:tcPr>
            <w:tcW w:w="813" w:type="pct"/>
          </w:tcPr>
          <w:p w14:paraId="02C64E4A" w14:textId="77777777" w:rsidR="003F0F97" w:rsidRPr="003E0B98" w:rsidRDefault="003F0F97" w:rsidP="004361AC">
            <w:pPr>
              <w:keepNext/>
              <w:tabs>
                <w:tab w:val="clear" w:pos="567"/>
              </w:tabs>
              <w:spacing w:line="240" w:lineRule="auto"/>
              <w:jc w:val="center"/>
              <w:rPr>
                <w:color w:val="000000"/>
                <w:lang w:val="en-US"/>
              </w:rPr>
            </w:pPr>
            <w:r w:rsidRPr="003E0B98">
              <w:rPr>
                <w:color w:val="000000"/>
                <w:lang w:val="en-US"/>
              </w:rPr>
              <w:t>50,8</w:t>
            </w:r>
          </w:p>
        </w:tc>
      </w:tr>
      <w:tr w:rsidR="003F0F97" w:rsidRPr="003E0B98" w14:paraId="37DEF1DA" w14:textId="77777777" w:rsidTr="00FF2CF4">
        <w:tc>
          <w:tcPr>
            <w:tcW w:w="1517" w:type="pct"/>
          </w:tcPr>
          <w:p w14:paraId="411885B3" w14:textId="77777777" w:rsidR="003F0F97" w:rsidRPr="003E0B98" w:rsidRDefault="003F0F97" w:rsidP="004361AC">
            <w:pPr>
              <w:keepNext/>
              <w:tabs>
                <w:tab w:val="clear" w:pos="567"/>
              </w:tabs>
              <w:spacing w:line="240" w:lineRule="auto"/>
              <w:rPr>
                <w:color w:val="000000"/>
                <w:lang w:val="es-ES_tradnl"/>
              </w:rPr>
            </w:pPr>
            <w:r w:rsidRPr="003E0B98">
              <w:rPr>
                <w:color w:val="000000"/>
                <w:lang w:val="es-ES_tradnl"/>
              </w:rPr>
              <w:t>Proporción (%) que recibió rescate con láser en 12 meses</w:t>
            </w:r>
          </w:p>
        </w:tc>
        <w:tc>
          <w:tcPr>
            <w:tcW w:w="1044" w:type="pct"/>
          </w:tcPr>
          <w:p w14:paraId="64CE0D11" w14:textId="77777777" w:rsidR="003F0F97" w:rsidRPr="003E0B98" w:rsidRDefault="003F0F97" w:rsidP="004361AC">
            <w:pPr>
              <w:keepNext/>
              <w:tabs>
                <w:tab w:val="clear" w:pos="567"/>
              </w:tabs>
              <w:spacing w:line="240" w:lineRule="auto"/>
              <w:jc w:val="center"/>
              <w:rPr>
                <w:color w:val="000000"/>
                <w:lang w:val="es-ES_tradnl"/>
              </w:rPr>
            </w:pPr>
            <w:r w:rsidRPr="003E0B98">
              <w:rPr>
                <w:color w:val="000000"/>
                <w:lang w:val="es-ES_tradnl"/>
              </w:rPr>
              <w:t>61,4</w:t>
            </w:r>
          </w:p>
        </w:tc>
        <w:tc>
          <w:tcPr>
            <w:tcW w:w="813" w:type="pct"/>
          </w:tcPr>
          <w:p w14:paraId="4FD8290E" w14:textId="77777777" w:rsidR="003F0F97" w:rsidRPr="003E0B98" w:rsidRDefault="003F0F97" w:rsidP="004361AC">
            <w:pPr>
              <w:keepNext/>
              <w:tabs>
                <w:tab w:val="clear" w:pos="567"/>
              </w:tabs>
              <w:spacing w:line="240" w:lineRule="auto"/>
              <w:jc w:val="center"/>
              <w:rPr>
                <w:color w:val="000000"/>
                <w:lang w:val="es-ES_tradnl"/>
              </w:rPr>
            </w:pPr>
            <w:r w:rsidRPr="003E0B98">
              <w:rPr>
                <w:color w:val="000000"/>
                <w:lang w:val="es-ES_tradnl"/>
              </w:rPr>
              <w:t>34,4</w:t>
            </w:r>
          </w:p>
        </w:tc>
        <w:tc>
          <w:tcPr>
            <w:tcW w:w="813" w:type="pct"/>
          </w:tcPr>
          <w:p w14:paraId="32ABDCCC" w14:textId="77777777" w:rsidR="003F0F97" w:rsidRPr="003E0B98" w:rsidRDefault="003F0F97" w:rsidP="004361AC">
            <w:pPr>
              <w:keepNext/>
              <w:tabs>
                <w:tab w:val="clear" w:pos="567"/>
              </w:tabs>
              <w:spacing w:line="240" w:lineRule="auto"/>
              <w:jc w:val="center"/>
              <w:rPr>
                <w:color w:val="000000"/>
                <w:lang w:val="es-ES_tradnl"/>
              </w:rPr>
            </w:pPr>
            <w:r w:rsidRPr="003E0B98">
              <w:rPr>
                <w:color w:val="000000"/>
                <w:lang w:val="en-US"/>
              </w:rPr>
              <w:t>NA</w:t>
            </w:r>
          </w:p>
        </w:tc>
        <w:tc>
          <w:tcPr>
            <w:tcW w:w="813" w:type="pct"/>
          </w:tcPr>
          <w:p w14:paraId="0642485E" w14:textId="77777777" w:rsidR="003F0F97" w:rsidRPr="003E0B98" w:rsidRDefault="003F0F97" w:rsidP="004361AC">
            <w:pPr>
              <w:keepNext/>
              <w:tabs>
                <w:tab w:val="clear" w:pos="567"/>
              </w:tabs>
              <w:spacing w:line="240" w:lineRule="auto"/>
              <w:jc w:val="center"/>
              <w:rPr>
                <w:color w:val="000000"/>
                <w:lang w:val="es-ES_tradnl"/>
              </w:rPr>
            </w:pPr>
            <w:r w:rsidRPr="003E0B98">
              <w:rPr>
                <w:color w:val="000000"/>
                <w:lang w:val="en-US"/>
              </w:rPr>
              <w:t>NA</w:t>
            </w:r>
          </w:p>
        </w:tc>
      </w:tr>
    </w:tbl>
    <w:p w14:paraId="7EF0F868" w14:textId="77777777" w:rsidR="003F0F97" w:rsidRPr="003E0B98" w:rsidRDefault="003F0F97" w:rsidP="004361AC">
      <w:pPr>
        <w:tabs>
          <w:tab w:val="clear" w:pos="567"/>
        </w:tabs>
        <w:spacing w:line="240" w:lineRule="auto"/>
        <w:rPr>
          <w:color w:val="000000"/>
          <w:lang w:val="es-ES_tradnl"/>
        </w:rPr>
      </w:pPr>
      <w:r w:rsidRPr="003E0B98">
        <w:rPr>
          <w:color w:val="000000"/>
          <w:szCs w:val="22"/>
          <w:vertAlign w:val="superscript"/>
          <w:lang w:val="es-ES_tradnl"/>
        </w:rPr>
        <w:t>a</w:t>
      </w:r>
      <w:r w:rsidRPr="003E0B98">
        <w:rPr>
          <w:color w:val="000000"/>
          <w:szCs w:val="22"/>
          <w:lang w:val="es-ES_tradnl"/>
        </w:rPr>
        <w:t xml:space="preserve"> p&lt;0,0001 para ambos ensayos</w:t>
      </w:r>
    </w:p>
    <w:p w14:paraId="7D76A12B" w14:textId="77777777" w:rsidR="009C7FF4" w:rsidRPr="003E0B98" w:rsidRDefault="009C7FF4" w:rsidP="004361AC">
      <w:pPr>
        <w:tabs>
          <w:tab w:val="clear" w:pos="567"/>
        </w:tabs>
        <w:spacing w:line="240" w:lineRule="auto"/>
        <w:rPr>
          <w:color w:val="000000"/>
          <w:lang w:val="es-ES_tradnl"/>
        </w:rPr>
      </w:pPr>
    </w:p>
    <w:p w14:paraId="4B11E455" w14:textId="77777777" w:rsidR="009C7FF4" w:rsidRPr="003E0B98" w:rsidRDefault="009C7FF4" w:rsidP="004361AC">
      <w:pPr>
        <w:keepNext/>
        <w:tabs>
          <w:tab w:val="clear" w:pos="567"/>
        </w:tabs>
        <w:spacing w:line="240" w:lineRule="auto"/>
        <w:ind w:left="1134" w:hanging="1134"/>
        <w:rPr>
          <w:b/>
          <w:color w:val="000000"/>
          <w:lang w:val="es-ES_tradnl"/>
        </w:rPr>
      </w:pPr>
      <w:r w:rsidRPr="003E0B98">
        <w:rPr>
          <w:b/>
          <w:color w:val="000000"/>
          <w:lang w:val="es-ES_tradnl"/>
        </w:rPr>
        <w:t>Figura </w:t>
      </w:r>
      <w:r w:rsidR="007E105C" w:rsidRPr="003E0B98">
        <w:rPr>
          <w:b/>
          <w:color w:val="000000"/>
          <w:lang w:val="es-ES_tradnl"/>
        </w:rPr>
        <w:t>5</w:t>
      </w:r>
      <w:r w:rsidRPr="003E0B98">
        <w:rPr>
          <w:b/>
          <w:color w:val="000000"/>
          <w:lang w:val="es-ES_tradnl"/>
        </w:rPr>
        <w:tab/>
        <w:t xml:space="preserve">Cambio </w:t>
      </w:r>
      <w:r w:rsidR="006006F4" w:rsidRPr="003E0B98">
        <w:rPr>
          <w:b/>
          <w:color w:val="000000"/>
          <w:lang w:val="es-ES_tradnl"/>
        </w:rPr>
        <w:t>pro</w:t>
      </w:r>
      <w:r w:rsidRPr="003E0B98">
        <w:rPr>
          <w:b/>
          <w:color w:val="000000"/>
          <w:lang w:val="es-ES_tradnl"/>
        </w:rPr>
        <w:t xml:space="preserve">medio </w:t>
      </w:r>
      <w:r w:rsidR="008222CB" w:rsidRPr="003E0B98">
        <w:rPr>
          <w:b/>
          <w:color w:val="000000"/>
          <w:lang w:val="es-ES_tradnl"/>
        </w:rPr>
        <w:t>de</w:t>
      </w:r>
      <w:r w:rsidRPr="003E0B98">
        <w:rPr>
          <w:b/>
          <w:color w:val="000000"/>
          <w:lang w:val="es-ES_tradnl"/>
        </w:rPr>
        <w:t xml:space="preserve"> la AVMC desde el inicio en el tiempo hasta el Mes 6 y el Mes 12 (BRAVO)</w:t>
      </w:r>
    </w:p>
    <w:p w14:paraId="08717882" w14:textId="77777777" w:rsidR="00C57283" w:rsidRPr="003E0B98" w:rsidRDefault="00C57283" w:rsidP="004361AC">
      <w:pPr>
        <w:keepNext/>
        <w:keepLines/>
        <w:tabs>
          <w:tab w:val="clear" w:pos="567"/>
        </w:tabs>
        <w:spacing w:line="240" w:lineRule="auto"/>
        <w:rPr>
          <w:color w:val="000000"/>
          <w:lang w:val="es-ES_tradnl"/>
        </w:rPr>
      </w:pPr>
    </w:p>
    <w:p w14:paraId="0428CEB9" w14:textId="490FBF5F" w:rsidR="00C57283" w:rsidRPr="003E0B98" w:rsidRDefault="00B77443" w:rsidP="004361AC">
      <w:pPr>
        <w:tabs>
          <w:tab w:val="clear" w:pos="567"/>
        </w:tabs>
        <w:spacing w:line="240" w:lineRule="auto"/>
        <w:rPr>
          <w:color w:val="000000"/>
          <w:lang w:val="es-ES_tradnl"/>
        </w:rPr>
      </w:pPr>
      <w:r w:rsidRPr="003E0B98">
        <w:rPr>
          <w:noProof/>
          <w:lang w:val="es-ES" w:eastAsia="es-ES"/>
        </w:rPr>
        <w:drawing>
          <wp:inline distT="0" distB="0" distL="0" distR="0" wp14:anchorId="7C2D7BD2" wp14:editId="5E8CA430">
            <wp:extent cx="5760085" cy="4110355"/>
            <wp:effectExtent l="0" t="0" r="0" b="444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60085" cy="4110355"/>
                    </a:xfrm>
                    <a:prstGeom prst="rect">
                      <a:avLst/>
                    </a:prstGeom>
                  </pic:spPr>
                </pic:pic>
              </a:graphicData>
            </a:graphic>
          </wp:inline>
        </w:drawing>
      </w:r>
    </w:p>
    <w:p w14:paraId="2C8F4B3A" w14:textId="77777777" w:rsidR="00C57283" w:rsidRPr="003E0B98" w:rsidRDefault="00C57283" w:rsidP="004361AC">
      <w:pPr>
        <w:tabs>
          <w:tab w:val="clear" w:pos="567"/>
        </w:tabs>
        <w:spacing w:line="240" w:lineRule="auto"/>
        <w:rPr>
          <w:color w:val="000000"/>
          <w:lang w:val="es-ES_tradnl"/>
        </w:rPr>
      </w:pPr>
    </w:p>
    <w:p w14:paraId="1045B682" w14:textId="77777777" w:rsidR="009C7FF4" w:rsidRPr="003E0B98" w:rsidRDefault="009C7FF4" w:rsidP="004361AC">
      <w:pPr>
        <w:keepNext/>
        <w:keepLines/>
        <w:tabs>
          <w:tab w:val="clear" w:pos="567"/>
        </w:tabs>
        <w:spacing w:line="240" w:lineRule="auto"/>
        <w:ind w:left="1134" w:hanging="1134"/>
        <w:rPr>
          <w:b/>
          <w:color w:val="000000"/>
          <w:lang w:val="es-ES_tradnl"/>
        </w:rPr>
      </w:pPr>
      <w:r w:rsidRPr="003E0B98">
        <w:rPr>
          <w:b/>
          <w:color w:val="000000"/>
          <w:lang w:val="es-ES_tradnl"/>
        </w:rPr>
        <w:t>Figura </w:t>
      </w:r>
      <w:r w:rsidR="007E105C" w:rsidRPr="003E0B98">
        <w:rPr>
          <w:b/>
          <w:color w:val="000000"/>
          <w:lang w:val="es-ES_tradnl"/>
        </w:rPr>
        <w:t>6</w:t>
      </w:r>
      <w:r w:rsidRPr="003E0B98">
        <w:rPr>
          <w:b/>
          <w:color w:val="000000"/>
          <w:lang w:val="es-ES_tradnl"/>
        </w:rPr>
        <w:tab/>
        <w:t xml:space="preserve">Cambio </w:t>
      </w:r>
      <w:r w:rsidR="006006F4" w:rsidRPr="003E0B98">
        <w:rPr>
          <w:b/>
          <w:color w:val="000000"/>
          <w:lang w:val="es-ES_tradnl"/>
        </w:rPr>
        <w:t>pro</w:t>
      </w:r>
      <w:r w:rsidRPr="003E0B98">
        <w:rPr>
          <w:b/>
          <w:color w:val="000000"/>
          <w:lang w:val="es-ES_tradnl"/>
        </w:rPr>
        <w:t xml:space="preserve">medio </w:t>
      </w:r>
      <w:r w:rsidR="008222CB" w:rsidRPr="003E0B98">
        <w:rPr>
          <w:b/>
          <w:color w:val="000000"/>
          <w:lang w:val="es-ES_tradnl"/>
        </w:rPr>
        <w:t>de</w:t>
      </w:r>
      <w:r w:rsidRPr="003E0B98">
        <w:rPr>
          <w:b/>
          <w:color w:val="000000"/>
          <w:lang w:val="es-ES_tradnl"/>
        </w:rPr>
        <w:t xml:space="preserve"> la AVMC desde el inicio en el tiempo hasta el Mes 6 y el Mes 12 (CRUISE)</w:t>
      </w:r>
    </w:p>
    <w:p w14:paraId="5D7742CF" w14:textId="77777777" w:rsidR="00C64FB5" w:rsidRPr="003E0B98" w:rsidRDefault="00C64FB5" w:rsidP="004361AC">
      <w:pPr>
        <w:keepNext/>
        <w:keepLines/>
        <w:tabs>
          <w:tab w:val="clear" w:pos="567"/>
        </w:tabs>
        <w:spacing w:line="240" w:lineRule="auto"/>
        <w:rPr>
          <w:color w:val="000000"/>
          <w:lang w:val="es-ES_tradnl"/>
        </w:rPr>
      </w:pPr>
    </w:p>
    <w:p w14:paraId="434AF822" w14:textId="0F1A9A24" w:rsidR="00C64FB5" w:rsidRPr="003E0B98" w:rsidRDefault="00085326" w:rsidP="004361AC">
      <w:pPr>
        <w:tabs>
          <w:tab w:val="clear" w:pos="567"/>
        </w:tabs>
        <w:spacing w:line="240" w:lineRule="auto"/>
        <w:rPr>
          <w:szCs w:val="22"/>
          <w:lang w:val="es-ES_tradnl"/>
        </w:rPr>
      </w:pPr>
      <w:r w:rsidRPr="003E0B98">
        <w:rPr>
          <w:noProof/>
          <w:lang w:val="es-ES" w:eastAsia="es-ES"/>
        </w:rPr>
        <w:drawing>
          <wp:inline distT="0" distB="0" distL="0" distR="0" wp14:anchorId="0A97FF78" wp14:editId="06778C05">
            <wp:extent cx="5760085" cy="4247515"/>
            <wp:effectExtent l="0" t="0" r="0" b="63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60085" cy="4247515"/>
                    </a:xfrm>
                    <a:prstGeom prst="rect">
                      <a:avLst/>
                    </a:prstGeom>
                  </pic:spPr>
                </pic:pic>
              </a:graphicData>
            </a:graphic>
          </wp:inline>
        </w:drawing>
      </w:r>
    </w:p>
    <w:p w14:paraId="2E1E10A3" w14:textId="77777777" w:rsidR="00C64FB5" w:rsidRPr="003E0B98" w:rsidRDefault="00C64FB5" w:rsidP="004361AC">
      <w:pPr>
        <w:tabs>
          <w:tab w:val="clear" w:pos="567"/>
        </w:tabs>
        <w:spacing w:line="240" w:lineRule="auto"/>
        <w:rPr>
          <w:szCs w:val="22"/>
          <w:lang w:val="es-ES_tradnl"/>
        </w:rPr>
      </w:pPr>
    </w:p>
    <w:p w14:paraId="5271005A" w14:textId="77777777" w:rsidR="009C7FF4" w:rsidRPr="003E0B98" w:rsidRDefault="009C7FF4" w:rsidP="004361AC">
      <w:pPr>
        <w:tabs>
          <w:tab w:val="clear" w:pos="567"/>
        </w:tabs>
        <w:spacing w:line="240" w:lineRule="auto"/>
        <w:rPr>
          <w:color w:val="000000"/>
          <w:lang w:val="es-ES_tradnl"/>
        </w:rPr>
      </w:pPr>
      <w:r w:rsidRPr="003E0B98">
        <w:rPr>
          <w:szCs w:val="22"/>
          <w:lang w:val="es-ES_tradnl"/>
        </w:rPr>
        <w:t>En ambos estudios, la mejora de la visión se acompañó de una reducción continua y significativa del edema macular medido según el grosor central de la retina</w:t>
      </w:r>
      <w:r w:rsidRPr="003E0B98">
        <w:rPr>
          <w:color w:val="000000"/>
          <w:lang w:val="es-ES_tradnl"/>
        </w:rPr>
        <w:t>.</w:t>
      </w:r>
    </w:p>
    <w:p w14:paraId="54274CF1" w14:textId="77777777" w:rsidR="009C7FF4" w:rsidRPr="003E0B98" w:rsidRDefault="009C7FF4" w:rsidP="004361AC">
      <w:pPr>
        <w:tabs>
          <w:tab w:val="clear" w:pos="567"/>
        </w:tabs>
        <w:spacing w:line="240" w:lineRule="auto"/>
        <w:rPr>
          <w:color w:val="000000"/>
          <w:lang w:val="es-ES_tradnl"/>
        </w:rPr>
      </w:pPr>
    </w:p>
    <w:p w14:paraId="02BFA800" w14:textId="2DA6364E" w:rsidR="009C7FF4" w:rsidRPr="003E0B98" w:rsidRDefault="0015274E" w:rsidP="004361AC">
      <w:pPr>
        <w:tabs>
          <w:tab w:val="clear" w:pos="567"/>
        </w:tabs>
        <w:spacing w:line="240" w:lineRule="auto"/>
        <w:rPr>
          <w:bCs/>
          <w:szCs w:val="22"/>
          <w:lang w:val="es-ES_tradnl"/>
        </w:rPr>
      </w:pPr>
      <w:r w:rsidRPr="003E0B98">
        <w:rPr>
          <w:bCs/>
          <w:szCs w:val="22"/>
          <w:lang w:val="es-ES_tradnl"/>
        </w:rPr>
        <w:t xml:space="preserve">En pacientes con </w:t>
      </w:r>
      <w:r w:rsidRPr="003E0B98">
        <w:rPr>
          <w:color w:val="000000"/>
          <w:szCs w:val="22"/>
          <w:lang w:val="es-ES_tradnl"/>
        </w:rPr>
        <w:t xml:space="preserve">OVCR (CRUISE y ensayo de extensión HORIZON): Los sujetos tratados con tratamiento simulado en los primeros 6 meses que posteriormente recibieron </w:t>
      </w:r>
      <w:proofErr w:type="spellStart"/>
      <w:r w:rsidRPr="003E0B98">
        <w:rPr>
          <w:color w:val="000000"/>
          <w:szCs w:val="22"/>
          <w:lang w:val="es-ES_tradnl"/>
        </w:rPr>
        <w:t>ranibizumab</w:t>
      </w:r>
      <w:proofErr w:type="spellEnd"/>
      <w:r w:rsidRPr="003E0B98">
        <w:rPr>
          <w:color w:val="000000"/>
          <w:szCs w:val="22"/>
          <w:lang w:val="es-ES_tradnl"/>
        </w:rPr>
        <w:t xml:space="preserve">, no alcanzaron ganancias comparables en </w:t>
      </w:r>
      <w:r w:rsidR="00784C67">
        <w:rPr>
          <w:color w:val="000000"/>
          <w:szCs w:val="22"/>
          <w:lang w:val="es-ES_tradnl"/>
        </w:rPr>
        <w:t>agudeza visual</w:t>
      </w:r>
      <w:r w:rsidRPr="003E0B98">
        <w:rPr>
          <w:color w:val="000000"/>
          <w:szCs w:val="22"/>
          <w:lang w:val="es-ES_tradnl"/>
        </w:rPr>
        <w:t xml:space="preserve"> en el Mes 24 </w:t>
      </w:r>
      <w:r w:rsidRPr="003E0B98">
        <w:rPr>
          <w:color w:val="000000"/>
          <w:lang w:val="es-ES_tradnl"/>
        </w:rPr>
        <w:t xml:space="preserve">(~6 letras) en comparación con los sujetos </w:t>
      </w:r>
      <w:r w:rsidRPr="003E0B98">
        <w:rPr>
          <w:color w:val="000000"/>
          <w:szCs w:val="22"/>
          <w:lang w:val="es-ES_tradnl"/>
        </w:rPr>
        <w:t xml:space="preserve">tratados con </w:t>
      </w:r>
      <w:proofErr w:type="spellStart"/>
      <w:r w:rsidRPr="003E0B98">
        <w:rPr>
          <w:color w:val="000000"/>
          <w:szCs w:val="22"/>
          <w:lang w:val="es-ES_tradnl"/>
        </w:rPr>
        <w:t>ranibizumab</w:t>
      </w:r>
      <w:proofErr w:type="spellEnd"/>
      <w:r w:rsidRPr="003E0B98">
        <w:rPr>
          <w:color w:val="000000"/>
          <w:szCs w:val="22"/>
          <w:lang w:val="es-ES_tradnl"/>
        </w:rPr>
        <w:t xml:space="preserve"> desde el inicio del ensayo (</w:t>
      </w:r>
      <w:r w:rsidRPr="003E0B98">
        <w:rPr>
          <w:color w:val="000000"/>
          <w:lang w:val="es-ES_tradnl"/>
        </w:rPr>
        <w:t>~12 letras).</w:t>
      </w:r>
    </w:p>
    <w:p w14:paraId="0D9CB170" w14:textId="77777777" w:rsidR="009C7FF4" w:rsidRPr="003E0B98" w:rsidRDefault="009C7FF4" w:rsidP="004361AC">
      <w:pPr>
        <w:tabs>
          <w:tab w:val="clear" w:pos="567"/>
        </w:tabs>
        <w:spacing w:line="240" w:lineRule="auto"/>
        <w:rPr>
          <w:bCs/>
          <w:szCs w:val="22"/>
          <w:lang w:val="es-ES_tradnl"/>
        </w:rPr>
      </w:pPr>
    </w:p>
    <w:p w14:paraId="4F4FDA53" w14:textId="77777777" w:rsidR="009C7FF4" w:rsidRPr="003E0B98" w:rsidRDefault="0015274E" w:rsidP="004361AC">
      <w:pPr>
        <w:tabs>
          <w:tab w:val="clear" w:pos="567"/>
        </w:tabs>
        <w:spacing w:line="240" w:lineRule="auto"/>
        <w:rPr>
          <w:szCs w:val="22"/>
          <w:lang w:val="es-ES_tradnl"/>
        </w:rPr>
      </w:pPr>
      <w:r w:rsidRPr="003E0B98">
        <w:rPr>
          <w:rFonts w:cs="Calibri"/>
          <w:lang w:val="es-ES"/>
        </w:rPr>
        <w:t xml:space="preserve">En el tratamiento con </w:t>
      </w:r>
      <w:proofErr w:type="spellStart"/>
      <w:r w:rsidRPr="003E0B98">
        <w:rPr>
          <w:rFonts w:cs="Calibri"/>
          <w:lang w:val="es-ES"/>
        </w:rPr>
        <w:t>ranibizumab</w:t>
      </w:r>
      <w:proofErr w:type="spellEnd"/>
      <w:r w:rsidRPr="003E0B98">
        <w:rPr>
          <w:rFonts w:cs="Calibri"/>
          <w:lang w:val="es-ES"/>
        </w:rPr>
        <w:t xml:space="preserve"> se observaron beneficios </w:t>
      </w:r>
      <w:r w:rsidRPr="003E0B98">
        <w:rPr>
          <w:szCs w:val="22"/>
          <w:lang w:val="es-ES"/>
        </w:rPr>
        <w:t xml:space="preserve">notificados por el mismo paciente estadísticamente significativos en las subescalas </w:t>
      </w:r>
      <w:r w:rsidRPr="003E0B98">
        <w:rPr>
          <w:szCs w:val="22"/>
          <w:lang w:val="es-ES_tradnl"/>
        </w:rPr>
        <w:t>relativas a la actividad de cerca y de lejos</w:t>
      </w:r>
      <w:r w:rsidRPr="003E0B98">
        <w:rPr>
          <w:szCs w:val="22"/>
          <w:lang w:val="es-ES"/>
        </w:rPr>
        <w:t xml:space="preserve"> respecto al grupo control, medidos según el </w:t>
      </w:r>
      <w:r w:rsidRPr="003E0B98">
        <w:rPr>
          <w:szCs w:val="22"/>
          <w:lang w:val="es-ES_tradnl"/>
        </w:rPr>
        <w:t>NEI VFQ-25.</w:t>
      </w:r>
    </w:p>
    <w:p w14:paraId="45777B51" w14:textId="77777777" w:rsidR="009C7FF4" w:rsidRPr="003E0B98" w:rsidRDefault="009C7FF4" w:rsidP="004361AC">
      <w:pPr>
        <w:tabs>
          <w:tab w:val="clear" w:pos="567"/>
        </w:tabs>
        <w:spacing w:line="240" w:lineRule="auto"/>
        <w:rPr>
          <w:bCs/>
          <w:szCs w:val="22"/>
          <w:lang w:val="es-ES_tradnl"/>
        </w:rPr>
      </w:pPr>
    </w:p>
    <w:p w14:paraId="13C2B21D" w14:textId="77777777" w:rsidR="008974F3" w:rsidRPr="003E0B98" w:rsidRDefault="008974F3" w:rsidP="004361AC">
      <w:pPr>
        <w:tabs>
          <w:tab w:val="clear" w:pos="567"/>
        </w:tabs>
        <w:spacing w:line="240" w:lineRule="auto"/>
        <w:rPr>
          <w:color w:val="000000"/>
          <w:szCs w:val="22"/>
          <w:lang w:val="es-ES_tradnl"/>
        </w:rPr>
      </w:pPr>
      <w:r w:rsidRPr="003E0B98">
        <w:rPr>
          <w:color w:val="000000"/>
          <w:szCs w:val="22"/>
          <w:lang w:val="es-ES_tradnl"/>
        </w:rPr>
        <w:t xml:space="preserve">La seguridad y eficacia clínicas de </w:t>
      </w:r>
      <w:proofErr w:type="spellStart"/>
      <w:r w:rsidRPr="003E0B98">
        <w:rPr>
          <w:color w:val="000000"/>
          <w:szCs w:val="22"/>
          <w:lang w:val="es-ES_tradnl"/>
        </w:rPr>
        <w:t>Lucentis</w:t>
      </w:r>
      <w:proofErr w:type="spellEnd"/>
      <w:r w:rsidRPr="003E0B98">
        <w:rPr>
          <w:color w:val="000000"/>
          <w:szCs w:val="22"/>
          <w:lang w:val="es-ES_tradnl"/>
        </w:rPr>
        <w:t xml:space="preserve"> a largo plazo (24 meses) en pacientes con </w:t>
      </w:r>
      <w:r w:rsidRPr="003E0B98">
        <w:rPr>
          <w:color w:val="000000"/>
          <w:szCs w:val="22"/>
          <w:lang w:val="es-ES"/>
        </w:rPr>
        <w:t>alteración</w:t>
      </w:r>
      <w:r w:rsidRPr="003E0B98">
        <w:rPr>
          <w:color w:val="000000"/>
          <w:szCs w:val="22"/>
          <w:lang w:val="es-ES_tradnl"/>
        </w:rPr>
        <w:t xml:space="preserve"> visual debida al edema macular secundario a OVR se evaluaron en los ensayos </w:t>
      </w:r>
      <w:r w:rsidRPr="003E0B98">
        <w:rPr>
          <w:color w:val="000000"/>
          <w:lang w:val="es-ES"/>
        </w:rPr>
        <w:t xml:space="preserve">BRIGHTER (BRVO) y CRYSTAL (CRVO). En ambos ensayos, los sujetos recibieron </w:t>
      </w:r>
      <w:proofErr w:type="spellStart"/>
      <w:r w:rsidRPr="003E0B98">
        <w:rPr>
          <w:color w:val="000000"/>
          <w:lang w:val="es-ES"/>
        </w:rPr>
        <w:t>ranibizumab</w:t>
      </w:r>
      <w:proofErr w:type="spellEnd"/>
      <w:r w:rsidRPr="003E0B98">
        <w:rPr>
          <w:color w:val="000000"/>
          <w:lang w:val="es-ES"/>
        </w:rPr>
        <w:t xml:space="preserve"> 0,5 mg en un </w:t>
      </w:r>
      <w:proofErr w:type="spellStart"/>
      <w:r w:rsidRPr="003E0B98">
        <w:rPr>
          <w:color w:val="000000"/>
          <w:lang w:val="es-ES"/>
        </w:rPr>
        <w:t>regimen</w:t>
      </w:r>
      <w:proofErr w:type="spellEnd"/>
      <w:r w:rsidRPr="003E0B98">
        <w:rPr>
          <w:color w:val="000000"/>
          <w:lang w:val="es-ES"/>
        </w:rPr>
        <w:t xml:space="preserve"> de dosificación PRN que obedece a criterios de estabilización individualizados</w:t>
      </w:r>
      <w:r w:rsidRPr="003E0B98">
        <w:rPr>
          <w:color w:val="000000"/>
          <w:szCs w:val="22"/>
          <w:lang w:val="es-ES_tradnl"/>
        </w:rPr>
        <w:t xml:space="preserve">. </w:t>
      </w:r>
      <w:r w:rsidRPr="003E0B98">
        <w:rPr>
          <w:color w:val="000000"/>
          <w:lang w:val="es-ES"/>
        </w:rPr>
        <w:t>BRIGHTER</w:t>
      </w:r>
      <w:r w:rsidRPr="003E0B98">
        <w:rPr>
          <w:color w:val="000000"/>
          <w:szCs w:val="22"/>
          <w:lang w:val="es-ES_tradnl"/>
        </w:rPr>
        <w:t xml:space="preserve"> era un ensayo aleatorizado con 3 grupos controlado con tratamiento activo que comparaba </w:t>
      </w:r>
      <w:proofErr w:type="spellStart"/>
      <w:r w:rsidRPr="003E0B98">
        <w:rPr>
          <w:color w:val="000000"/>
          <w:szCs w:val="22"/>
          <w:lang w:val="es-ES_tradnl"/>
        </w:rPr>
        <w:t>ranibizumab</w:t>
      </w:r>
      <w:proofErr w:type="spellEnd"/>
      <w:r w:rsidRPr="003E0B98">
        <w:rPr>
          <w:color w:val="000000"/>
          <w:szCs w:val="22"/>
          <w:lang w:val="es-ES_tradnl"/>
        </w:rPr>
        <w:t xml:space="preserve"> 0,5 mg administrado en monoterapia o en combinación con fotocoagulación con láser adjunta frente a fotocoagulación con láser sola. Después de 6 meses, los sujetos en el grupo del láser podían recibir </w:t>
      </w:r>
      <w:proofErr w:type="spellStart"/>
      <w:r w:rsidRPr="003E0B98">
        <w:rPr>
          <w:color w:val="000000"/>
          <w:szCs w:val="22"/>
          <w:lang w:val="es-ES_tradnl"/>
        </w:rPr>
        <w:t>ranibizumab</w:t>
      </w:r>
      <w:proofErr w:type="spellEnd"/>
      <w:r w:rsidRPr="003E0B98">
        <w:rPr>
          <w:color w:val="000000"/>
          <w:szCs w:val="22"/>
          <w:lang w:val="es-ES_tradnl"/>
        </w:rPr>
        <w:t xml:space="preserve"> 0,5 mg. CRYSTAL era un ensayo de un grupo único con </w:t>
      </w:r>
      <w:proofErr w:type="spellStart"/>
      <w:r w:rsidRPr="003E0B98">
        <w:rPr>
          <w:color w:val="000000"/>
          <w:szCs w:val="22"/>
          <w:lang w:val="es-ES_tradnl"/>
        </w:rPr>
        <w:t>ranibizumab</w:t>
      </w:r>
      <w:proofErr w:type="spellEnd"/>
      <w:r w:rsidRPr="003E0B98">
        <w:rPr>
          <w:color w:val="000000"/>
          <w:szCs w:val="22"/>
          <w:lang w:val="es-ES_tradnl"/>
        </w:rPr>
        <w:t xml:space="preserve"> 0,5 mg en monoterapia.</w:t>
      </w:r>
    </w:p>
    <w:p w14:paraId="2F37B44A" w14:textId="77777777" w:rsidR="008974F3" w:rsidRPr="003E0B98" w:rsidRDefault="008974F3" w:rsidP="004361AC">
      <w:pPr>
        <w:tabs>
          <w:tab w:val="clear" w:pos="567"/>
        </w:tabs>
        <w:spacing w:line="240" w:lineRule="auto"/>
        <w:rPr>
          <w:color w:val="000000"/>
          <w:szCs w:val="22"/>
          <w:lang w:val="es-ES_tradnl"/>
        </w:rPr>
      </w:pPr>
    </w:p>
    <w:p w14:paraId="070C45BD" w14:textId="0B602D58" w:rsidR="008974F3" w:rsidRPr="003E0B98" w:rsidRDefault="008974F3" w:rsidP="004361AC">
      <w:pPr>
        <w:tabs>
          <w:tab w:val="clear" w:pos="567"/>
        </w:tabs>
        <w:spacing w:line="240" w:lineRule="auto"/>
        <w:rPr>
          <w:color w:val="000000"/>
          <w:szCs w:val="22"/>
          <w:lang w:val="es-ES_tradnl"/>
        </w:rPr>
      </w:pPr>
      <w:r w:rsidRPr="003E0B98">
        <w:rPr>
          <w:color w:val="000000"/>
          <w:szCs w:val="22"/>
          <w:lang w:val="es-ES_tradnl"/>
        </w:rPr>
        <w:t>En la Tabla </w:t>
      </w:r>
      <w:r w:rsidR="0001071A" w:rsidRPr="003E0B98">
        <w:rPr>
          <w:color w:val="000000"/>
          <w:szCs w:val="22"/>
          <w:lang w:val="es-ES_tradnl"/>
        </w:rPr>
        <w:t>9</w:t>
      </w:r>
      <w:r w:rsidRPr="003E0B98">
        <w:rPr>
          <w:color w:val="000000"/>
          <w:szCs w:val="22"/>
          <w:lang w:val="es-ES_tradnl"/>
        </w:rPr>
        <w:t xml:space="preserve"> se muestran los resultados clave de los ensayos </w:t>
      </w:r>
      <w:r w:rsidRPr="003E0B98">
        <w:rPr>
          <w:color w:val="000000"/>
          <w:lang w:val="es-ES"/>
        </w:rPr>
        <w:t xml:space="preserve">BRIGHTER y </w:t>
      </w:r>
      <w:r w:rsidRPr="003E0B98">
        <w:rPr>
          <w:color w:val="000000"/>
          <w:szCs w:val="22"/>
          <w:lang w:val="es-ES_tradnl"/>
        </w:rPr>
        <w:t>CRYSTAL.</w:t>
      </w:r>
    </w:p>
    <w:p w14:paraId="7CDC28BE" w14:textId="77777777" w:rsidR="008974F3" w:rsidRPr="003E0B98" w:rsidRDefault="008974F3" w:rsidP="004361AC">
      <w:pPr>
        <w:tabs>
          <w:tab w:val="clear" w:pos="567"/>
        </w:tabs>
        <w:spacing w:line="240" w:lineRule="auto"/>
        <w:rPr>
          <w:color w:val="000000"/>
          <w:lang w:val="es-ES"/>
        </w:rPr>
      </w:pPr>
    </w:p>
    <w:p w14:paraId="2513ECFF" w14:textId="03B82D9D" w:rsidR="008974F3" w:rsidRPr="003E0B98" w:rsidRDefault="008974F3" w:rsidP="004361AC">
      <w:pPr>
        <w:keepNext/>
        <w:keepLines/>
        <w:tabs>
          <w:tab w:val="clear" w:pos="567"/>
        </w:tabs>
        <w:spacing w:line="240" w:lineRule="auto"/>
        <w:rPr>
          <w:b/>
          <w:color w:val="000000"/>
          <w:lang w:val="es-ES"/>
        </w:rPr>
      </w:pPr>
      <w:r w:rsidRPr="003E0B98">
        <w:rPr>
          <w:b/>
          <w:color w:val="000000"/>
          <w:lang w:val="es-ES"/>
        </w:rPr>
        <w:t>Tabla </w:t>
      </w:r>
      <w:r w:rsidR="0001071A" w:rsidRPr="003E0B98">
        <w:rPr>
          <w:b/>
          <w:color w:val="000000"/>
          <w:lang w:val="es-ES"/>
        </w:rPr>
        <w:t>9</w:t>
      </w:r>
      <w:r w:rsidRPr="003E0B98">
        <w:rPr>
          <w:b/>
          <w:color w:val="000000"/>
          <w:lang w:val="es-ES"/>
        </w:rPr>
        <w:tab/>
      </w:r>
      <w:r w:rsidRPr="003E0B98">
        <w:rPr>
          <w:b/>
          <w:color w:val="000000"/>
          <w:lang w:val="es-ES_tradnl"/>
        </w:rPr>
        <w:t>Resultados a los Meses 6 y 24 (</w:t>
      </w:r>
      <w:r w:rsidRPr="003E0B98">
        <w:rPr>
          <w:b/>
          <w:color w:val="000000"/>
          <w:lang w:val="es-ES"/>
        </w:rPr>
        <w:t>BRIGHTER y CRYSTAL)</w:t>
      </w:r>
    </w:p>
    <w:p w14:paraId="0877C2BD" w14:textId="77777777" w:rsidR="008974F3" w:rsidRPr="003E0B98" w:rsidRDefault="008974F3" w:rsidP="004361AC">
      <w:pPr>
        <w:keepNext/>
        <w:keepLines/>
        <w:tabs>
          <w:tab w:val="clear" w:pos="567"/>
        </w:tabs>
        <w:spacing w:line="240" w:lineRule="auto"/>
        <w:rPr>
          <w:color w:val="00000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9"/>
        <w:gridCol w:w="1805"/>
        <w:gridCol w:w="1805"/>
        <w:gridCol w:w="1799"/>
        <w:gridCol w:w="1823"/>
      </w:tblGrid>
      <w:tr w:rsidR="008974F3" w:rsidRPr="003E0B98" w14:paraId="1BFCD634" w14:textId="77777777" w:rsidTr="007F0AC9">
        <w:trPr>
          <w:cantSplit/>
        </w:trPr>
        <w:tc>
          <w:tcPr>
            <w:tcW w:w="1857" w:type="dxa"/>
          </w:tcPr>
          <w:p w14:paraId="757686CD" w14:textId="77777777" w:rsidR="008974F3" w:rsidRPr="003E0B98" w:rsidRDefault="008974F3" w:rsidP="004361AC">
            <w:pPr>
              <w:keepNext/>
              <w:keepLines/>
              <w:tabs>
                <w:tab w:val="clear" w:pos="567"/>
              </w:tabs>
              <w:spacing w:line="240" w:lineRule="auto"/>
              <w:jc w:val="center"/>
              <w:rPr>
                <w:b/>
                <w:bCs/>
                <w:color w:val="000000"/>
                <w:szCs w:val="22"/>
                <w:lang w:val="es-ES"/>
              </w:rPr>
            </w:pPr>
          </w:p>
        </w:tc>
        <w:tc>
          <w:tcPr>
            <w:tcW w:w="5572" w:type="dxa"/>
            <w:gridSpan w:val="3"/>
          </w:tcPr>
          <w:p w14:paraId="5F1E64E0" w14:textId="77777777" w:rsidR="008974F3" w:rsidRPr="003E0B98" w:rsidRDefault="008974F3" w:rsidP="004361AC">
            <w:pPr>
              <w:keepNext/>
              <w:keepLines/>
              <w:tabs>
                <w:tab w:val="clear" w:pos="567"/>
              </w:tabs>
              <w:spacing w:line="240" w:lineRule="auto"/>
              <w:jc w:val="center"/>
              <w:rPr>
                <w:b/>
                <w:bCs/>
                <w:color w:val="000000"/>
                <w:szCs w:val="22"/>
                <w:lang w:val="en-US"/>
              </w:rPr>
            </w:pPr>
            <w:r w:rsidRPr="003E0B98">
              <w:rPr>
                <w:b/>
                <w:bCs/>
                <w:color w:val="000000"/>
                <w:szCs w:val="22"/>
                <w:lang w:val="en-US"/>
              </w:rPr>
              <w:t>BRIGHTER</w:t>
            </w:r>
          </w:p>
        </w:tc>
        <w:tc>
          <w:tcPr>
            <w:tcW w:w="1858" w:type="dxa"/>
          </w:tcPr>
          <w:p w14:paraId="2C10CFB3" w14:textId="77777777" w:rsidR="008974F3" w:rsidRPr="003E0B98" w:rsidRDefault="008974F3" w:rsidP="004361AC">
            <w:pPr>
              <w:keepNext/>
              <w:keepLines/>
              <w:tabs>
                <w:tab w:val="clear" w:pos="567"/>
              </w:tabs>
              <w:spacing w:line="240" w:lineRule="auto"/>
              <w:jc w:val="center"/>
              <w:rPr>
                <w:b/>
                <w:bCs/>
                <w:color w:val="000000"/>
                <w:szCs w:val="22"/>
                <w:lang w:val="en-US"/>
              </w:rPr>
            </w:pPr>
            <w:r w:rsidRPr="003E0B98">
              <w:rPr>
                <w:b/>
                <w:bCs/>
                <w:color w:val="000000"/>
                <w:szCs w:val="22"/>
                <w:lang w:val="en-US"/>
              </w:rPr>
              <w:t>CRYSTAL</w:t>
            </w:r>
          </w:p>
        </w:tc>
      </w:tr>
      <w:tr w:rsidR="008974F3" w:rsidRPr="003E0B98" w14:paraId="3CCAFD19" w14:textId="77777777" w:rsidTr="007F0AC9">
        <w:trPr>
          <w:cantSplit/>
        </w:trPr>
        <w:tc>
          <w:tcPr>
            <w:tcW w:w="1857" w:type="dxa"/>
          </w:tcPr>
          <w:p w14:paraId="4DB24A01" w14:textId="77777777" w:rsidR="008974F3" w:rsidRPr="003E0B98" w:rsidRDefault="008974F3" w:rsidP="004361AC">
            <w:pPr>
              <w:keepNext/>
              <w:keepLines/>
              <w:tabs>
                <w:tab w:val="clear" w:pos="567"/>
              </w:tabs>
              <w:spacing w:line="240" w:lineRule="auto"/>
              <w:jc w:val="center"/>
              <w:rPr>
                <w:color w:val="000000"/>
                <w:vertAlign w:val="superscript"/>
                <w:lang w:val="en-US"/>
              </w:rPr>
            </w:pPr>
          </w:p>
        </w:tc>
        <w:tc>
          <w:tcPr>
            <w:tcW w:w="1857" w:type="dxa"/>
          </w:tcPr>
          <w:p w14:paraId="4BCDDC48" w14:textId="77777777" w:rsidR="008974F3" w:rsidRPr="003E0B98" w:rsidRDefault="008974F3" w:rsidP="004361AC">
            <w:pPr>
              <w:keepNext/>
              <w:keepLines/>
              <w:tabs>
                <w:tab w:val="clear" w:pos="567"/>
              </w:tabs>
              <w:spacing w:line="240" w:lineRule="auto"/>
              <w:jc w:val="center"/>
              <w:rPr>
                <w:color w:val="000000"/>
                <w:lang w:val="en-US"/>
              </w:rPr>
            </w:pPr>
            <w:r w:rsidRPr="003E0B98">
              <w:rPr>
                <w:color w:val="000000"/>
                <w:lang w:val="en-US"/>
              </w:rPr>
              <w:t>Lucentis 0,5 mg</w:t>
            </w:r>
          </w:p>
          <w:p w14:paraId="3388A0C8" w14:textId="77777777" w:rsidR="008974F3" w:rsidRPr="003E0B98" w:rsidRDefault="008974F3" w:rsidP="004361AC">
            <w:pPr>
              <w:keepNext/>
              <w:keepLines/>
              <w:tabs>
                <w:tab w:val="clear" w:pos="567"/>
              </w:tabs>
              <w:spacing w:line="240" w:lineRule="auto"/>
              <w:jc w:val="center"/>
              <w:rPr>
                <w:color w:val="000000"/>
                <w:vertAlign w:val="superscript"/>
                <w:lang w:val="en-US"/>
              </w:rPr>
            </w:pPr>
            <w:r w:rsidRPr="003E0B98">
              <w:rPr>
                <w:color w:val="000000"/>
                <w:lang w:val="en-US"/>
              </w:rPr>
              <w:t>N=180</w:t>
            </w:r>
          </w:p>
        </w:tc>
        <w:tc>
          <w:tcPr>
            <w:tcW w:w="1857" w:type="dxa"/>
          </w:tcPr>
          <w:p w14:paraId="1B8CDE58" w14:textId="77777777" w:rsidR="008974F3" w:rsidRPr="003E0B98" w:rsidRDefault="008974F3" w:rsidP="004361AC">
            <w:pPr>
              <w:keepNext/>
              <w:keepLines/>
              <w:tabs>
                <w:tab w:val="clear" w:pos="567"/>
              </w:tabs>
              <w:spacing w:line="240" w:lineRule="auto"/>
              <w:jc w:val="center"/>
              <w:rPr>
                <w:color w:val="000000"/>
                <w:lang w:val="en-US"/>
              </w:rPr>
            </w:pPr>
            <w:r w:rsidRPr="003E0B98">
              <w:rPr>
                <w:color w:val="000000"/>
                <w:lang w:val="en-US"/>
              </w:rPr>
              <w:t xml:space="preserve">Lucentis 0,5 mg + </w:t>
            </w:r>
            <w:proofErr w:type="spellStart"/>
            <w:r w:rsidRPr="003E0B98">
              <w:rPr>
                <w:color w:val="000000"/>
                <w:lang w:val="en-US"/>
              </w:rPr>
              <w:t>Láser</w:t>
            </w:r>
            <w:proofErr w:type="spellEnd"/>
          </w:p>
          <w:p w14:paraId="063A869A" w14:textId="77777777" w:rsidR="008974F3" w:rsidRPr="003E0B98" w:rsidRDefault="008974F3" w:rsidP="004361AC">
            <w:pPr>
              <w:keepNext/>
              <w:keepLines/>
              <w:tabs>
                <w:tab w:val="clear" w:pos="567"/>
              </w:tabs>
              <w:spacing w:line="240" w:lineRule="auto"/>
              <w:jc w:val="center"/>
              <w:rPr>
                <w:color w:val="000000"/>
                <w:vertAlign w:val="superscript"/>
                <w:lang w:val="en-US"/>
              </w:rPr>
            </w:pPr>
            <w:r w:rsidRPr="003E0B98">
              <w:rPr>
                <w:color w:val="000000"/>
                <w:lang w:val="en-US"/>
              </w:rPr>
              <w:t>N=178</w:t>
            </w:r>
          </w:p>
        </w:tc>
        <w:tc>
          <w:tcPr>
            <w:tcW w:w="1858" w:type="dxa"/>
          </w:tcPr>
          <w:p w14:paraId="0E4A7101" w14:textId="77777777" w:rsidR="008974F3" w:rsidRPr="003E0B98" w:rsidRDefault="008974F3" w:rsidP="004361AC">
            <w:pPr>
              <w:keepNext/>
              <w:keepLines/>
              <w:tabs>
                <w:tab w:val="clear" w:pos="567"/>
              </w:tabs>
              <w:spacing w:line="240" w:lineRule="auto"/>
              <w:jc w:val="center"/>
              <w:rPr>
                <w:color w:val="000000"/>
                <w:lang w:val="en-US"/>
              </w:rPr>
            </w:pPr>
            <w:r w:rsidRPr="003E0B98">
              <w:rPr>
                <w:color w:val="000000"/>
                <w:lang w:val="en-US"/>
              </w:rPr>
              <w:t>Láser*</w:t>
            </w:r>
          </w:p>
          <w:p w14:paraId="58DDE989" w14:textId="77777777" w:rsidR="008974F3" w:rsidRPr="003E0B98" w:rsidRDefault="008974F3" w:rsidP="004361AC">
            <w:pPr>
              <w:keepNext/>
              <w:keepLines/>
              <w:tabs>
                <w:tab w:val="clear" w:pos="567"/>
              </w:tabs>
              <w:spacing w:line="240" w:lineRule="auto"/>
              <w:jc w:val="center"/>
              <w:rPr>
                <w:color w:val="000000"/>
                <w:vertAlign w:val="superscript"/>
                <w:lang w:val="en-US"/>
              </w:rPr>
            </w:pPr>
            <w:r w:rsidRPr="003E0B98">
              <w:rPr>
                <w:color w:val="000000"/>
                <w:lang w:val="en-US"/>
              </w:rPr>
              <w:t>N=90</w:t>
            </w:r>
          </w:p>
        </w:tc>
        <w:tc>
          <w:tcPr>
            <w:tcW w:w="1858" w:type="dxa"/>
          </w:tcPr>
          <w:p w14:paraId="5455131F" w14:textId="77777777" w:rsidR="008974F3" w:rsidRPr="003E0B98" w:rsidRDefault="008974F3" w:rsidP="004361AC">
            <w:pPr>
              <w:keepNext/>
              <w:keepLines/>
              <w:tabs>
                <w:tab w:val="clear" w:pos="567"/>
              </w:tabs>
              <w:spacing w:line="240" w:lineRule="auto"/>
              <w:jc w:val="center"/>
              <w:rPr>
                <w:color w:val="000000"/>
                <w:lang w:val="en-US"/>
              </w:rPr>
            </w:pPr>
            <w:r w:rsidRPr="003E0B98">
              <w:rPr>
                <w:color w:val="000000"/>
                <w:lang w:val="en-US"/>
              </w:rPr>
              <w:t>Lucentis 0,5 mg</w:t>
            </w:r>
          </w:p>
          <w:p w14:paraId="5ECB6ABF" w14:textId="77777777" w:rsidR="008974F3" w:rsidRPr="003E0B98" w:rsidRDefault="008974F3" w:rsidP="004361AC">
            <w:pPr>
              <w:keepNext/>
              <w:keepLines/>
              <w:tabs>
                <w:tab w:val="clear" w:pos="567"/>
              </w:tabs>
              <w:spacing w:line="240" w:lineRule="auto"/>
              <w:jc w:val="center"/>
              <w:rPr>
                <w:color w:val="000000"/>
                <w:vertAlign w:val="superscript"/>
                <w:lang w:val="en-US"/>
              </w:rPr>
            </w:pPr>
            <w:r w:rsidRPr="003E0B98">
              <w:rPr>
                <w:color w:val="000000"/>
                <w:lang w:val="en-US"/>
              </w:rPr>
              <w:t>N=356</w:t>
            </w:r>
          </w:p>
        </w:tc>
      </w:tr>
      <w:tr w:rsidR="008974F3" w:rsidRPr="003E0B98" w14:paraId="6CD014C7" w14:textId="77777777" w:rsidTr="007F0AC9">
        <w:trPr>
          <w:cantSplit/>
        </w:trPr>
        <w:tc>
          <w:tcPr>
            <w:tcW w:w="1857" w:type="dxa"/>
          </w:tcPr>
          <w:p w14:paraId="525C8E82" w14:textId="77777777" w:rsidR="008974F3" w:rsidRPr="003E0B98" w:rsidRDefault="008974F3" w:rsidP="004361AC">
            <w:pPr>
              <w:keepNext/>
              <w:keepLines/>
              <w:tabs>
                <w:tab w:val="clear" w:pos="567"/>
              </w:tabs>
              <w:spacing w:line="240" w:lineRule="auto"/>
              <w:rPr>
                <w:color w:val="000000"/>
                <w:vertAlign w:val="superscript"/>
                <w:lang w:val="es-ES"/>
              </w:rPr>
            </w:pPr>
            <w:r w:rsidRPr="003E0B98">
              <w:rPr>
                <w:color w:val="000000"/>
                <w:szCs w:val="22"/>
                <w:lang w:val="es-ES_tradnl"/>
              </w:rPr>
              <w:t xml:space="preserve">Cambio </w:t>
            </w:r>
            <w:r w:rsidR="006006F4" w:rsidRPr="003E0B98">
              <w:rPr>
                <w:color w:val="000000"/>
                <w:szCs w:val="22"/>
                <w:lang w:val="es-ES_tradnl"/>
              </w:rPr>
              <w:t>pro</w:t>
            </w:r>
            <w:r w:rsidRPr="003E0B98">
              <w:rPr>
                <w:color w:val="000000"/>
                <w:szCs w:val="22"/>
                <w:lang w:val="es-ES_tradnl"/>
              </w:rPr>
              <w:t xml:space="preserve">medio </w:t>
            </w:r>
            <w:r w:rsidR="008222CB" w:rsidRPr="003E0B98">
              <w:rPr>
                <w:color w:val="000000"/>
                <w:szCs w:val="22"/>
                <w:lang w:val="es-ES_tradnl"/>
              </w:rPr>
              <w:t>de</w:t>
            </w:r>
            <w:r w:rsidRPr="003E0B98">
              <w:rPr>
                <w:color w:val="000000"/>
                <w:szCs w:val="22"/>
                <w:lang w:val="es-ES_tradnl"/>
              </w:rPr>
              <w:t xml:space="preserve"> la AVMC</w:t>
            </w:r>
            <w:r w:rsidRPr="003E0B98">
              <w:rPr>
                <w:rFonts w:cs="Calibri"/>
                <w:bCs/>
                <w:iCs/>
                <w:lang w:val="es-ES"/>
              </w:rPr>
              <w:t xml:space="preserve"> al Mes </w:t>
            </w:r>
            <w:r w:rsidRPr="003E0B98">
              <w:rPr>
                <w:color w:val="000000"/>
                <w:lang w:val="es-ES"/>
              </w:rPr>
              <w:t>6</w:t>
            </w:r>
            <w:r w:rsidRPr="003E0B98">
              <w:rPr>
                <w:color w:val="000000"/>
                <w:vertAlign w:val="superscript"/>
                <w:lang w:val="es-ES"/>
              </w:rPr>
              <w:t>a</w:t>
            </w:r>
            <w:r w:rsidRPr="003E0B98">
              <w:rPr>
                <w:color w:val="000000"/>
                <w:lang w:val="es-ES"/>
              </w:rPr>
              <w:t xml:space="preserve"> (letras) (</w:t>
            </w:r>
            <w:r w:rsidRPr="003E0B98">
              <w:rPr>
                <w:bCs/>
                <w:iCs/>
                <w:color w:val="000000"/>
                <w:szCs w:val="22"/>
                <w:lang w:val="es-ES_tradnl"/>
              </w:rPr>
              <w:t>desviación estándar</w:t>
            </w:r>
            <w:r w:rsidRPr="003E0B98">
              <w:rPr>
                <w:rFonts w:cs="Calibri"/>
                <w:bCs/>
                <w:iCs/>
                <w:lang w:val="es-ES"/>
              </w:rPr>
              <w:t>)</w:t>
            </w:r>
          </w:p>
        </w:tc>
        <w:tc>
          <w:tcPr>
            <w:tcW w:w="1857" w:type="dxa"/>
            <w:vAlign w:val="center"/>
          </w:tcPr>
          <w:p w14:paraId="43D3F6AE" w14:textId="77777777" w:rsidR="008974F3" w:rsidRPr="003E0B98" w:rsidRDefault="008974F3" w:rsidP="004361AC">
            <w:pPr>
              <w:keepNext/>
              <w:keepLines/>
              <w:tabs>
                <w:tab w:val="clear" w:pos="567"/>
              </w:tabs>
              <w:spacing w:line="240" w:lineRule="auto"/>
              <w:jc w:val="center"/>
              <w:rPr>
                <w:color w:val="000000"/>
                <w:lang w:val="en-US"/>
              </w:rPr>
            </w:pPr>
            <w:r w:rsidRPr="003E0B98">
              <w:rPr>
                <w:color w:val="000000"/>
                <w:lang w:val="en-US"/>
              </w:rPr>
              <w:t>+14,8</w:t>
            </w:r>
          </w:p>
          <w:p w14:paraId="35AB48CE" w14:textId="77777777" w:rsidR="008974F3" w:rsidRPr="003E0B98" w:rsidRDefault="008974F3" w:rsidP="004361AC">
            <w:pPr>
              <w:keepNext/>
              <w:keepLines/>
              <w:tabs>
                <w:tab w:val="clear" w:pos="567"/>
              </w:tabs>
              <w:spacing w:line="240" w:lineRule="auto"/>
              <w:jc w:val="center"/>
              <w:rPr>
                <w:color w:val="000000"/>
                <w:vertAlign w:val="superscript"/>
                <w:lang w:val="en-US"/>
              </w:rPr>
            </w:pPr>
            <w:r w:rsidRPr="003E0B98">
              <w:rPr>
                <w:color w:val="000000"/>
                <w:lang w:val="en-US"/>
              </w:rPr>
              <w:t>(10,7)</w:t>
            </w:r>
          </w:p>
        </w:tc>
        <w:tc>
          <w:tcPr>
            <w:tcW w:w="1857" w:type="dxa"/>
            <w:vAlign w:val="center"/>
          </w:tcPr>
          <w:p w14:paraId="0714C747" w14:textId="77777777" w:rsidR="008974F3" w:rsidRPr="003E0B98" w:rsidRDefault="008974F3" w:rsidP="004361AC">
            <w:pPr>
              <w:keepNext/>
              <w:keepLines/>
              <w:tabs>
                <w:tab w:val="clear" w:pos="567"/>
              </w:tabs>
              <w:spacing w:line="240" w:lineRule="auto"/>
              <w:jc w:val="center"/>
              <w:rPr>
                <w:color w:val="000000"/>
                <w:lang w:val="en-US"/>
              </w:rPr>
            </w:pPr>
            <w:r w:rsidRPr="003E0B98">
              <w:rPr>
                <w:color w:val="000000"/>
                <w:lang w:val="en-US"/>
              </w:rPr>
              <w:t>+14,8</w:t>
            </w:r>
          </w:p>
          <w:p w14:paraId="432DAA5C" w14:textId="77777777" w:rsidR="008974F3" w:rsidRPr="003E0B98" w:rsidRDefault="008974F3" w:rsidP="004361AC">
            <w:pPr>
              <w:keepNext/>
              <w:keepLines/>
              <w:tabs>
                <w:tab w:val="clear" w:pos="567"/>
              </w:tabs>
              <w:spacing w:line="240" w:lineRule="auto"/>
              <w:jc w:val="center"/>
              <w:rPr>
                <w:color w:val="000000"/>
                <w:vertAlign w:val="superscript"/>
                <w:lang w:val="en-US"/>
              </w:rPr>
            </w:pPr>
            <w:r w:rsidRPr="003E0B98">
              <w:rPr>
                <w:color w:val="000000"/>
                <w:lang w:val="en-US"/>
              </w:rPr>
              <w:t>(11,13)</w:t>
            </w:r>
          </w:p>
        </w:tc>
        <w:tc>
          <w:tcPr>
            <w:tcW w:w="1858" w:type="dxa"/>
            <w:vAlign w:val="center"/>
          </w:tcPr>
          <w:p w14:paraId="49ED74C5" w14:textId="77777777" w:rsidR="008974F3" w:rsidRPr="003E0B98" w:rsidRDefault="008974F3" w:rsidP="004361AC">
            <w:pPr>
              <w:keepNext/>
              <w:keepLines/>
              <w:tabs>
                <w:tab w:val="clear" w:pos="567"/>
              </w:tabs>
              <w:spacing w:line="240" w:lineRule="auto"/>
              <w:jc w:val="center"/>
              <w:rPr>
                <w:color w:val="000000"/>
                <w:lang w:val="en-US"/>
              </w:rPr>
            </w:pPr>
            <w:r w:rsidRPr="003E0B98">
              <w:rPr>
                <w:color w:val="000000"/>
                <w:lang w:val="en-US"/>
              </w:rPr>
              <w:t>+6,0</w:t>
            </w:r>
          </w:p>
          <w:p w14:paraId="35A5923E" w14:textId="77777777" w:rsidR="008974F3" w:rsidRPr="003E0B98" w:rsidRDefault="008974F3" w:rsidP="004361AC">
            <w:pPr>
              <w:keepNext/>
              <w:keepLines/>
              <w:tabs>
                <w:tab w:val="clear" w:pos="567"/>
              </w:tabs>
              <w:spacing w:line="240" w:lineRule="auto"/>
              <w:jc w:val="center"/>
              <w:rPr>
                <w:color w:val="000000"/>
                <w:vertAlign w:val="superscript"/>
                <w:lang w:val="en-US"/>
              </w:rPr>
            </w:pPr>
            <w:r w:rsidRPr="003E0B98">
              <w:rPr>
                <w:color w:val="000000"/>
                <w:lang w:val="en-US"/>
              </w:rPr>
              <w:t>(14,27)</w:t>
            </w:r>
          </w:p>
        </w:tc>
        <w:tc>
          <w:tcPr>
            <w:tcW w:w="1858" w:type="dxa"/>
            <w:vAlign w:val="center"/>
          </w:tcPr>
          <w:p w14:paraId="2BE824D9" w14:textId="77777777" w:rsidR="008974F3" w:rsidRPr="003E0B98" w:rsidRDefault="008974F3" w:rsidP="004361AC">
            <w:pPr>
              <w:keepNext/>
              <w:keepLines/>
              <w:tabs>
                <w:tab w:val="clear" w:pos="567"/>
              </w:tabs>
              <w:spacing w:line="240" w:lineRule="auto"/>
              <w:jc w:val="center"/>
              <w:rPr>
                <w:color w:val="000000"/>
                <w:lang w:val="en-US"/>
              </w:rPr>
            </w:pPr>
            <w:r w:rsidRPr="003E0B98">
              <w:rPr>
                <w:color w:val="000000"/>
                <w:lang w:val="en-US"/>
              </w:rPr>
              <w:t>+12,0</w:t>
            </w:r>
          </w:p>
          <w:p w14:paraId="03DA67E3" w14:textId="77777777" w:rsidR="008974F3" w:rsidRPr="003E0B98" w:rsidRDefault="008974F3" w:rsidP="004361AC">
            <w:pPr>
              <w:keepNext/>
              <w:keepLines/>
              <w:tabs>
                <w:tab w:val="clear" w:pos="567"/>
              </w:tabs>
              <w:spacing w:line="240" w:lineRule="auto"/>
              <w:jc w:val="center"/>
              <w:rPr>
                <w:color w:val="000000"/>
                <w:vertAlign w:val="superscript"/>
                <w:lang w:val="en-US"/>
              </w:rPr>
            </w:pPr>
            <w:r w:rsidRPr="003E0B98">
              <w:rPr>
                <w:color w:val="000000"/>
                <w:lang w:val="en-US"/>
              </w:rPr>
              <w:t>(13,95)</w:t>
            </w:r>
          </w:p>
        </w:tc>
      </w:tr>
      <w:tr w:rsidR="008974F3" w:rsidRPr="003E0B98" w14:paraId="4004E286" w14:textId="77777777" w:rsidTr="007F0AC9">
        <w:trPr>
          <w:cantSplit/>
        </w:trPr>
        <w:tc>
          <w:tcPr>
            <w:tcW w:w="1857" w:type="dxa"/>
          </w:tcPr>
          <w:p w14:paraId="05BA01AB" w14:textId="77777777" w:rsidR="008974F3" w:rsidRPr="003E0B98" w:rsidRDefault="008974F3" w:rsidP="004361AC">
            <w:pPr>
              <w:keepNext/>
              <w:keepLines/>
              <w:tabs>
                <w:tab w:val="clear" w:pos="567"/>
              </w:tabs>
              <w:spacing w:line="240" w:lineRule="auto"/>
              <w:rPr>
                <w:color w:val="000000"/>
                <w:vertAlign w:val="superscript"/>
                <w:lang w:val="es-ES"/>
              </w:rPr>
            </w:pPr>
            <w:r w:rsidRPr="003E0B98">
              <w:rPr>
                <w:color w:val="000000"/>
                <w:szCs w:val="22"/>
                <w:lang w:val="es-ES_tradnl"/>
              </w:rPr>
              <w:t xml:space="preserve">Cambio </w:t>
            </w:r>
            <w:r w:rsidR="006006F4" w:rsidRPr="003E0B98">
              <w:rPr>
                <w:color w:val="000000"/>
                <w:szCs w:val="22"/>
                <w:lang w:val="es-ES_tradnl"/>
              </w:rPr>
              <w:t>pro</w:t>
            </w:r>
            <w:r w:rsidRPr="003E0B98">
              <w:rPr>
                <w:color w:val="000000"/>
                <w:szCs w:val="22"/>
                <w:lang w:val="es-ES_tradnl"/>
              </w:rPr>
              <w:t xml:space="preserve">medio </w:t>
            </w:r>
            <w:r w:rsidR="008222CB" w:rsidRPr="003E0B98">
              <w:rPr>
                <w:color w:val="000000"/>
                <w:szCs w:val="22"/>
                <w:lang w:val="es-ES_tradnl"/>
              </w:rPr>
              <w:t>de</w:t>
            </w:r>
            <w:r w:rsidRPr="003E0B98">
              <w:rPr>
                <w:color w:val="000000"/>
                <w:szCs w:val="22"/>
                <w:lang w:val="es-ES_tradnl"/>
              </w:rPr>
              <w:t xml:space="preserve"> la AVMC</w:t>
            </w:r>
            <w:r w:rsidRPr="003E0B98">
              <w:rPr>
                <w:rFonts w:cs="Calibri"/>
                <w:bCs/>
                <w:iCs/>
                <w:lang w:val="es-ES"/>
              </w:rPr>
              <w:t xml:space="preserve"> al</w:t>
            </w:r>
            <w:r w:rsidRPr="003E0B98">
              <w:rPr>
                <w:color w:val="000000"/>
                <w:lang w:val="es-ES"/>
              </w:rPr>
              <w:t xml:space="preserve"> Mes 24</w:t>
            </w:r>
            <w:r w:rsidRPr="003E0B98">
              <w:rPr>
                <w:color w:val="000000"/>
                <w:vertAlign w:val="superscript"/>
                <w:lang w:val="es-ES"/>
              </w:rPr>
              <w:t>b</w:t>
            </w:r>
            <w:r w:rsidRPr="003E0B98">
              <w:rPr>
                <w:color w:val="000000"/>
                <w:lang w:val="es-ES"/>
              </w:rPr>
              <w:t xml:space="preserve"> (letras) (</w:t>
            </w:r>
            <w:r w:rsidRPr="003E0B98">
              <w:rPr>
                <w:bCs/>
                <w:iCs/>
                <w:color w:val="000000"/>
                <w:szCs w:val="22"/>
                <w:lang w:val="es-ES_tradnl"/>
              </w:rPr>
              <w:t>desviación estándar</w:t>
            </w:r>
            <w:r w:rsidRPr="003E0B98">
              <w:rPr>
                <w:color w:val="000000"/>
                <w:lang w:val="es-ES"/>
              </w:rPr>
              <w:t>)</w:t>
            </w:r>
          </w:p>
        </w:tc>
        <w:tc>
          <w:tcPr>
            <w:tcW w:w="1857" w:type="dxa"/>
            <w:vAlign w:val="center"/>
          </w:tcPr>
          <w:p w14:paraId="4BDEBBD6" w14:textId="77777777" w:rsidR="008974F3" w:rsidRPr="003E0B98" w:rsidRDefault="008974F3" w:rsidP="004361AC">
            <w:pPr>
              <w:keepNext/>
              <w:keepLines/>
              <w:tabs>
                <w:tab w:val="clear" w:pos="567"/>
              </w:tabs>
              <w:spacing w:line="240" w:lineRule="auto"/>
              <w:jc w:val="center"/>
              <w:rPr>
                <w:color w:val="000000"/>
                <w:lang w:val="en-US"/>
              </w:rPr>
            </w:pPr>
            <w:r w:rsidRPr="003E0B98">
              <w:rPr>
                <w:color w:val="000000"/>
                <w:lang w:val="en-US"/>
              </w:rPr>
              <w:t>+15,5</w:t>
            </w:r>
          </w:p>
          <w:p w14:paraId="3AD8DBDB" w14:textId="77777777" w:rsidR="008974F3" w:rsidRPr="003E0B98" w:rsidRDefault="008974F3" w:rsidP="004361AC">
            <w:pPr>
              <w:keepNext/>
              <w:keepLines/>
              <w:tabs>
                <w:tab w:val="clear" w:pos="567"/>
              </w:tabs>
              <w:spacing w:line="240" w:lineRule="auto"/>
              <w:jc w:val="center"/>
              <w:rPr>
                <w:color w:val="000000"/>
                <w:vertAlign w:val="superscript"/>
                <w:lang w:val="en-US"/>
              </w:rPr>
            </w:pPr>
            <w:r w:rsidRPr="003E0B98">
              <w:rPr>
                <w:color w:val="000000"/>
                <w:lang w:val="en-US"/>
              </w:rPr>
              <w:t>(13,91)</w:t>
            </w:r>
          </w:p>
        </w:tc>
        <w:tc>
          <w:tcPr>
            <w:tcW w:w="1857" w:type="dxa"/>
            <w:vAlign w:val="center"/>
          </w:tcPr>
          <w:p w14:paraId="2C77359B" w14:textId="77777777" w:rsidR="008974F3" w:rsidRPr="003E0B98" w:rsidRDefault="008974F3" w:rsidP="004361AC">
            <w:pPr>
              <w:keepNext/>
              <w:keepLines/>
              <w:tabs>
                <w:tab w:val="clear" w:pos="567"/>
              </w:tabs>
              <w:spacing w:line="240" w:lineRule="auto"/>
              <w:jc w:val="center"/>
              <w:rPr>
                <w:color w:val="000000"/>
                <w:lang w:val="en-US"/>
              </w:rPr>
            </w:pPr>
            <w:r w:rsidRPr="003E0B98">
              <w:rPr>
                <w:color w:val="000000"/>
                <w:lang w:val="en-US"/>
              </w:rPr>
              <w:t>+17,3</w:t>
            </w:r>
          </w:p>
          <w:p w14:paraId="74503500" w14:textId="77777777" w:rsidR="008974F3" w:rsidRPr="003E0B98" w:rsidRDefault="008974F3" w:rsidP="004361AC">
            <w:pPr>
              <w:keepNext/>
              <w:keepLines/>
              <w:tabs>
                <w:tab w:val="clear" w:pos="567"/>
              </w:tabs>
              <w:spacing w:line="240" w:lineRule="auto"/>
              <w:jc w:val="center"/>
              <w:rPr>
                <w:color w:val="000000"/>
                <w:vertAlign w:val="superscript"/>
                <w:lang w:val="en-US"/>
              </w:rPr>
            </w:pPr>
            <w:r w:rsidRPr="003E0B98">
              <w:rPr>
                <w:color w:val="000000"/>
                <w:lang w:val="en-US"/>
              </w:rPr>
              <w:t>(12,61)</w:t>
            </w:r>
          </w:p>
        </w:tc>
        <w:tc>
          <w:tcPr>
            <w:tcW w:w="1858" w:type="dxa"/>
            <w:vAlign w:val="center"/>
          </w:tcPr>
          <w:p w14:paraId="440E3BF5" w14:textId="77777777" w:rsidR="008974F3" w:rsidRPr="003E0B98" w:rsidRDefault="008974F3" w:rsidP="004361AC">
            <w:pPr>
              <w:keepNext/>
              <w:keepLines/>
              <w:tabs>
                <w:tab w:val="clear" w:pos="567"/>
              </w:tabs>
              <w:spacing w:line="240" w:lineRule="auto"/>
              <w:jc w:val="center"/>
              <w:rPr>
                <w:color w:val="000000"/>
                <w:lang w:val="en-US"/>
              </w:rPr>
            </w:pPr>
            <w:r w:rsidRPr="003E0B98">
              <w:rPr>
                <w:color w:val="000000"/>
                <w:lang w:val="en-US"/>
              </w:rPr>
              <w:t>+11,6</w:t>
            </w:r>
          </w:p>
          <w:p w14:paraId="711F02B0" w14:textId="77777777" w:rsidR="008974F3" w:rsidRPr="003E0B98" w:rsidRDefault="008974F3" w:rsidP="004361AC">
            <w:pPr>
              <w:keepNext/>
              <w:keepLines/>
              <w:tabs>
                <w:tab w:val="clear" w:pos="567"/>
              </w:tabs>
              <w:spacing w:line="240" w:lineRule="auto"/>
              <w:jc w:val="center"/>
              <w:rPr>
                <w:color w:val="000000"/>
                <w:vertAlign w:val="superscript"/>
                <w:lang w:val="en-US"/>
              </w:rPr>
            </w:pPr>
            <w:r w:rsidRPr="003E0B98">
              <w:rPr>
                <w:color w:val="000000"/>
                <w:lang w:val="en-US"/>
              </w:rPr>
              <w:t>(16,09)</w:t>
            </w:r>
          </w:p>
        </w:tc>
        <w:tc>
          <w:tcPr>
            <w:tcW w:w="1858" w:type="dxa"/>
            <w:vAlign w:val="center"/>
          </w:tcPr>
          <w:p w14:paraId="4DB70E3A" w14:textId="77777777" w:rsidR="008974F3" w:rsidRPr="003E0B98" w:rsidRDefault="008974F3" w:rsidP="004361AC">
            <w:pPr>
              <w:keepNext/>
              <w:keepLines/>
              <w:tabs>
                <w:tab w:val="clear" w:pos="567"/>
              </w:tabs>
              <w:spacing w:line="240" w:lineRule="auto"/>
              <w:jc w:val="center"/>
              <w:rPr>
                <w:color w:val="000000"/>
                <w:lang w:val="en-US"/>
              </w:rPr>
            </w:pPr>
            <w:r w:rsidRPr="003E0B98">
              <w:rPr>
                <w:color w:val="000000"/>
                <w:lang w:val="en-US"/>
              </w:rPr>
              <w:t>+12,1</w:t>
            </w:r>
          </w:p>
          <w:p w14:paraId="02A99D51" w14:textId="77777777" w:rsidR="008974F3" w:rsidRPr="003E0B98" w:rsidRDefault="008974F3" w:rsidP="004361AC">
            <w:pPr>
              <w:keepNext/>
              <w:keepLines/>
              <w:tabs>
                <w:tab w:val="clear" w:pos="567"/>
              </w:tabs>
              <w:spacing w:line="240" w:lineRule="auto"/>
              <w:jc w:val="center"/>
              <w:rPr>
                <w:color w:val="000000"/>
                <w:vertAlign w:val="superscript"/>
                <w:lang w:val="en-US"/>
              </w:rPr>
            </w:pPr>
            <w:r w:rsidRPr="003E0B98">
              <w:rPr>
                <w:color w:val="000000"/>
                <w:lang w:val="en-US"/>
              </w:rPr>
              <w:t>(18,60)</w:t>
            </w:r>
          </w:p>
        </w:tc>
      </w:tr>
      <w:tr w:rsidR="008974F3" w:rsidRPr="003E0B98" w14:paraId="0FF4217F" w14:textId="77777777" w:rsidTr="007F0AC9">
        <w:trPr>
          <w:cantSplit/>
        </w:trPr>
        <w:tc>
          <w:tcPr>
            <w:tcW w:w="1857" w:type="dxa"/>
          </w:tcPr>
          <w:p w14:paraId="16730E12" w14:textId="77777777" w:rsidR="008974F3" w:rsidRPr="003E0B98" w:rsidRDefault="008974F3" w:rsidP="004361AC">
            <w:pPr>
              <w:keepNext/>
              <w:keepLines/>
              <w:tabs>
                <w:tab w:val="clear" w:pos="567"/>
              </w:tabs>
              <w:spacing w:line="240" w:lineRule="auto"/>
              <w:rPr>
                <w:color w:val="000000"/>
                <w:lang w:val="es-ES"/>
              </w:rPr>
            </w:pPr>
            <w:r w:rsidRPr="003E0B98">
              <w:rPr>
                <w:color w:val="000000"/>
                <w:szCs w:val="22"/>
                <w:lang w:val="es-ES_tradnl"/>
              </w:rPr>
              <w:t>Ganancia de ≥15 letras en</w:t>
            </w:r>
            <w:r w:rsidRPr="003E0B98">
              <w:rPr>
                <w:color w:val="000000"/>
                <w:lang w:val="es-ES"/>
              </w:rPr>
              <w:t xml:space="preserve"> </w:t>
            </w:r>
            <w:r w:rsidRPr="003E0B98">
              <w:rPr>
                <w:color w:val="000000"/>
                <w:szCs w:val="22"/>
                <w:lang w:val="es-ES_tradnl"/>
              </w:rPr>
              <w:t>AVMC</w:t>
            </w:r>
            <w:r w:rsidRPr="003E0B98">
              <w:rPr>
                <w:color w:val="000000"/>
                <w:lang w:val="es-ES"/>
              </w:rPr>
              <w:t xml:space="preserve"> al Mes 24 (%)</w:t>
            </w:r>
          </w:p>
        </w:tc>
        <w:tc>
          <w:tcPr>
            <w:tcW w:w="1857" w:type="dxa"/>
            <w:vAlign w:val="center"/>
          </w:tcPr>
          <w:p w14:paraId="56EF756C" w14:textId="77777777" w:rsidR="008974F3" w:rsidRPr="003E0B98" w:rsidRDefault="008974F3" w:rsidP="004361AC">
            <w:pPr>
              <w:keepNext/>
              <w:keepLines/>
              <w:tabs>
                <w:tab w:val="clear" w:pos="567"/>
              </w:tabs>
              <w:spacing w:line="240" w:lineRule="auto"/>
              <w:jc w:val="center"/>
              <w:rPr>
                <w:color w:val="000000"/>
                <w:lang w:val="en-US"/>
              </w:rPr>
            </w:pPr>
            <w:r w:rsidRPr="003E0B98">
              <w:rPr>
                <w:color w:val="000000"/>
                <w:lang w:val="en-US"/>
              </w:rPr>
              <w:t>52,8</w:t>
            </w:r>
          </w:p>
        </w:tc>
        <w:tc>
          <w:tcPr>
            <w:tcW w:w="1857" w:type="dxa"/>
            <w:vAlign w:val="center"/>
          </w:tcPr>
          <w:p w14:paraId="3B788282" w14:textId="77777777" w:rsidR="008974F3" w:rsidRPr="003E0B98" w:rsidRDefault="008974F3" w:rsidP="004361AC">
            <w:pPr>
              <w:keepNext/>
              <w:keepLines/>
              <w:tabs>
                <w:tab w:val="clear" w:pos="567"/>
              </w:tabs>
              <w:spacing w:line="240" w:lineRule="auto"/>
              <w:jc w:val="center"/>
              <w:rPr>
                <w:color w:val="000000"/>
                <w:lang w:val="en-US"/>
              </w:rPr>
            </w:pPr>
            <w:r w:rsidRPr="003E0B98">
              <w:rPr>
                <w:color w:val="000000"/>
                <w:lang w:val="en-US"/>
              </w:rPr>
              <w:t>59,6</w:t>
            </w:r>
          </w:p>
        </w:tc>
        <w:tc>
          <w:tcPr>
            <w:tcW w:w="1858" w:type="dxa"/>
            <w:vAlign w:val="center"/>
          </w:tcPr>
          <w:p w14:paraId="193379A4" w14:textId="77777777" w:rsidR="008974F3" w:rsidRPr="003E0B98" w:rsidRDefault="008974F3" w:rsidP="004361AC">
            <w:pPr>
              <w:keepNext/>
              <w:keepLines/>
              <w:tabs>
                <w:tab w:val="clear" w:pos="567"/>
              </w:tabs>
              <w:spacing w:line="240" w:lineRule="auto"/>
              <w:jc w:val="center"/>
              <w:rPr>
                <w:color w:val="000000"/>
                <w:vertAlign w:val="superscript"/>
                <w:lang w:val="en-US"/>
              </w:rPr>
            </w:pPr>
            <w:r w:rsidRPr="003E0B98">
              <w:rPr>
                <w:color w:val="000000"/>
                <w:lang w:val="en-US"/>
              </w:rPr>
              <w:t>43,3</w:t>
            </w:r>
          </w:p>
        </w:tc>
        <w:tc>
          <w:tcPr>
            <w:tcW w:w="1858" w:type="dxa"/>
            <w:vAlign w:val="center"/>
          </w:tcPr>
          <w:p w14:paraId="66CE35D5" w14:textId="77777777" w:rsidR="008974F3" w:rsidRPr="003E0B98" w:rsidRDefault="008974F3" w:rsidP="004361AC">
            <w:pPr>
              <w:keepNext/>
              <w:keepLines/>
              <w:tabs>
                <w:tab w:val="clear" w:pos="567"/>
              </w:tabs>
              <w:spacing w:line="240" w:lineRule="auto"/>
              <w:jc w:val="center"/>
              <w:rPr>
                <w:color w:val="000000"/>
                <w:vertAlign w:val="superscript"/>
                <w:lang w:val="en-US"/>
              </w:rPr>
            </w:pPr>
            <w:r w:rsidRPr="003E0B98">
              <w:rPr>
                <w:color w:val="000000"/>
                <w:lang w:val="en-US"/>
              </w:rPr>
              <w:t>49,2</w:t>
            </w:r>
          </w:p>
        </w:tc>
      </w:tr>
      <w:tr w:rsidR="008974F3" w:rsidRPr="003E0B98" w14:paraId="4529D802" w14:textId="77777777" w:rsidTr="007F0AC9">
        <w:trPr>
          <w:cantSplit/>
        </w:trPr>
        <w:tc>
          <w:tcPr>
            <w:tcW w:w="1857" w:type="dxa"/>
          </w:tcPr>
          <w:p w14:paraId="23B5B4F1" w14:textId="77777777" w:rsidR="008974F3" w:rsidRPr="003E0B98" w:rsidRDefault="008974F3" w:rsidP="004361AC">
            <w:pPr>
              <w:keepNext/>
              <w:keepLines/>
              <w:tabs>
                <w:tab w:val="clear" w:pos="567"/>
              </w:tabs>
              <w:spacing w:line="240" w:lineRule="auto"/>
              <w:rPr>
                <w:color w:val="000000"/>
                <w:lang w:val="es-ES"/>
              </w:rPr>
            </w:pPr>
            <w:r w:rsidRPr="003E0B98">
              <w:rPr>
                <w:rFonts w:cs="Calibri"/>
                <w:bCs/>
                <w:iCs/>
                <w:lang w:val="es-ES"/>
              </w:rPr>
              <w:t xml:space="preserve">Número </w:t>
            </w:r>
            <w:r w:rsidR="00A72E17" w:rsidRPr="003E0B98">
              <w:rPr>
                <w:rFonts w:cs="Calibri"/>
                <w:bCs/>
                <w:iCs/>
                <w:lang w:val="es-ES"/>
              </w:rPr>
              <w:t>pro</w:t>
            </w:r>
            <w:r w:rsidRPr="003E0B98">
              <w:rPr>
                <w:rFonts w:cs="Calibri"/>
                <w:bCs/>
                <w:iCs/>
                <w:lang w:val="es-ES"/>
              </w:rPr>
              <w:t xml:space="preserve">medio de inyecciones </w:t>
            </w:r>
            <w:r w:rsidRPr="003E0B98">
              <w:rPr>
                <w:color w:val="000000"/>
                <w:lang w:val="es-ES"/>
              </w:rPr>
              <w:t>(</w:t>
            </w:r>
            <w:r w:rsidRPr="003E0B98">
              <w:rPr>
                <w:bCs/>
                <w:iCs/>
                <w:color w:val="000000"/>
                <w:szCs w:val="22"/>
                <w:lang w:val="es-ES_tradnl"/>
              </w:rPr>
              <w:t>desviación estándar</w:t>
            </w:r>
            <w:r w:rsidRPr="003E0B98">
              <w:rPr>
                <w:color w:val="000000"/>
                <w:lang w:val="es-ES"/>
              </w:rPr>
              <w:t xml:space="preserve">) </w:t>
            </w:r>
            <w:r w:rsidRPr="003E0B98">
              <w:rPr>
                <w:rFonts w:cs="Calibri"/>
                <w:bCs/>
                <w:iCs/>
                <w:lang w:val="es-ES"/>
              </w:rPr>
              <w:t>(Meses 0</w:t>
            </w:r>
            <w:r w:rsidRPr="003E0B98">
              <w:rPr>
                <w:rFonts w:cs="Calibri"/>
                <w:bCs/>
                <w:iCs/>
                <w:lang w:val="es-ES"/>
              </w:rPr>
              <w:noBreakHyphen/>
              <w:t>23)</w:t>
            </w:r>
          </w:p>
        </w:tc>
        <w:tc>
          <w:tcPr>
            <w:tcW w:w="1857" w:type="dxa"/>
            <w:vAlign w:val="center"/>
          </w:tcPr>
          <w:p w14:paraId="0CEB570C" w14:textId="77777777" w:rsidR="008974F3" w:rsidRPr="003E0B98" w:rsidRDefault="008974F3" w:rsidP="004361AC">
            <w:pPr>
              <w:keepNext/>
              <w:keepLines/>
              <w:tabs>
                <w:tab w:val="clear" w:pos="567"/>
              </w:tabs>
              <w:spacing w:line="240" w:lineRule="auto"/>
              <w:jc w:val="center"/>
              <w:rPr>
                <w:color w:val="000000"/>
                <w:lang w:val="en-US"/>
              </w:rPr>
            </w:pPr>
            <w:r w:rsidRPr="003E0B98">
              <w:rPr>
                <w:color w:val="000000"/>
                <w:lang w:val="en-US"/>
              </w:rPr>
              <w:t>11,4</w:t>
            </w:r>
          </w:p>
          <w:p w14:paraId="3B772480" w14:textId="77777777" w:rsidR="008974F3" w:rsidRPr="003E0B98" w:rsidRDefault="008974F3" w:rsidP="004361AC">
            <w:pPr>
              <w:keepNext/>
              <w:keepLines/>
              <w:tabs>
                <w:tab w:val="clear" w:pos="567"/>
              </w:tabs>
              <w:spacing w:line="240" w:lineRule="auto"/>
              <w:jc w:val="center"/>
              <w:rPr>
                <w:color w:val="000000"/>
                <w:lang w:val="en-US"/>
              </w:rPr>
            </w:pPr>
            <w:r w:rsidRPr="003E0B98">
              <w:rPr>
                <w:color w:val="000000"/>
                <w:lang w:val="en-US"/>
              </w:rPr>
              <w:t>(5,81)</w:t>
            </w:r>
          </w:p>
        </w:tc>
        <w:tc>
          <w:tcPr>
            <w:tcW w:w="1857" w:type="dxa"/>
            <w:vAlign w:val="center"/>
          </w:tcPr>
          <w:p w14:paraId="64C024BB" w14:textId="77777777" w:rsidR="008974F3" w:rsidRPr="003E0B98" w:rsidRDefault="008974F3" w:rsidP="004361AC">
            <w:pPr>
              <w:keepNext/>
              <w:keepLines/>
              <w:tabs>
                <w:tab w:val="clear" w:pos="567"/>
              </w:tabs>
              <w:spacing w:line="240" w:lineRule="auto"/>
              <w:jc w:val="center"/>
              <w:rPr>
                <w:color w:val="000000"/>
                <w:lang w:val="en-US"/>
              </w:rPr>
            </w:pPr>
            <w:r w:rsidRPr="003E0B98">
              <w:rPr>
                <w:color w:val="000000"/>
                <w:lang w:val="en-US"/>
              </w:rPr>
              <w:t>11,3 (6,02)</w:t>
            </w:r>
          </w:p>
        </w:tc>
        <w:tc>
          <w:tcPr>
            <w:tcW w:w="1858" w:type="dxa"/>
            <w:vAlign w:val="center"/>
          </w:tcPr>
          <w:p w14:paraId="3A4DF8CB" w14:textId="77777777" w:rsidR="008974F3" w:rsidRPr="003E0B98" w:rsidRDefault="008974F3" w:rsidP="004361AC">
            <w:pPr>
              <w:keepNext/>
              <w:keepLines/>
              <w:tabs>
                <w:tab w:val="clear" w:pos="567"/>
              </w:tabs>
              <w:spacing w:line="240" w:lineRule="auto"/>
              <w:jc w:val="center"/>
              <w:rPr>
                <w:color w:val="000000"/>
                <w:vertAlign w:val="superscript"/>
                <w:lang w:val="en-US"/>
              </w:rPr>
            </w:pPr>
            <w:r w:rsidRPr="003E0B98">
              <w:rPr>
                <w:color w:val="000000"/>
                <w:lang w:val="en-US"/>
              </w:rPr>
              <w:t>NA</w:t>
            </w:r>
          </w:p>
        </w:tc>
        <w:tc>
          <w:tcPr>
            <w:tcW w:w="1858" w:type="dxa"/>
            <w:vAlign w:val="center"/>
          </w:tcPr>
          <w:p w14:paraId="5C4E5BEF" w14:textId="77777777" w:rsidR="008974F3" w:rsidRPr="003E0B98" w:rsidRDefault="008974F3" w:rsidP="004361AC">
            <w:pPr>
              <w:keepNext/>
              <w:keepLines/>
              <w:tabs>
                <w:tab w:val="clear" w:pos="567"/>
              </w:tabs>
              <w:spacing w:line="240" w:lineRule="auto"/>
              <w:jc w:val="center"/>
              <w:rPr>
                <w:color w:val="000000"/>
                <w:vertAlign w:val="superscript"/>
                <w:lang w:val="en-US"/>
              </w:rPr>
            </w:pPr>
            <w:r w:rsidRPr="003E0B98">
              <w:rPr>
                <w:color w:val="000000"/>
                <w:lang w:val="en-US"/>
              </w:rPr>
              <w:t>13,1 (6,39)</w:t>
            </w:r>
          </w:p>
        </w:tc>
      </w:tr>
      <w:tr w:rsidR="008974F3" w:rsidRPr="003C169A" w14:paraId="57D2C0AC" w14:textId="77777777" w:rsidTr="007F0AC9">
        <w:trPr>
          <w:cantSplit/>
        </w:trPr>
        <w:tc>
          <w:tcPr>
            <w:tcW w:w="9287" w:type="dxa"/>
            <w:gridSpan w:val="5"/>
          </w:tcPr>
          <w:p w14:paraId="7150AC0D" w14:textId="77777777" w:rsidR="008974F3" w:rsidRPr="003E0B98" w:rsidRDefault="008974F3" w:rsidP="004361AC">
            <w:pPr>
              <w:keepLines/>
              <w:tabs>
                <w:tab w:val="clear" w:pos="567"/>
              </w:tabs>
              <w:spacing w:line="240" w:lineRule="auto"/>
              <w:ind w:left="567" w:hanging="567"/>
              <w:rPr>
                <w:color w:val="000000"/>
                <w:lang w:val="es-ES"/>
              </w:rPr>
            </w:pPr>
            <w:r w:rsidRPr="003E0B98">
              <w:rPr>
                <w:color w:val="000000"/>
                <w:vertAlign w:val="superscript"/>
                <w:lang w:val="es-ES"/>
              </w:rPr>
              <w:t>a</w:t>
            </w:r>
            <w:r w:rsidRPr="003E0B98">
              <w:rPr>
                <w:color w:val="000000"/>
                <w:lang w:val="es-ES"/>
              </w:rPr>
              <w:tab/>
              <w:t xml:space="preserve">p&lt;0,0001 para ambas comparaciones en el ensayo BRIGHTER al Mes 6: </w:t>
            </w:r>
            <w:proofErr w:type="spellStart"/>
            <w:r w:rsidRPr="003E0B98">
              <w:rPr>
                <w:color w:val="000000"/>
                <w:lang w:val="es-ES"/>
              </w:rPr>
              <w:t>Lucentis</w:t>
            </w:r>
            <w:proofErr w:type="spellEnd"/>
            <w:r w:rsidRPr="003E0B98">
              <w:rPr>
                <w:color w:val="000000"/>
                <w:lang w:val="es-ES"/>
              </w:rPr>
              <w:t xml:space="preserve"> 0,5 mg frente a Láser y </w:t>
            </w:r>
            <w:proofErr w:type="spellStart"/>
            <w:r w:rsidRPr="003E0B98">
              <w:rPr>
                <w:color w:val="000000"/>
                <w:lang w:val="es-ES"/>
              </w:rPr>
              <w:t>Lucentis</w:t>
            </w:r>
            <w:proofErr w:type="spellEnd"/>
            <w:r w:rsidRPr="003E0B98">
              <w:rPr>
                <w:color w:val="000000"/>
                <w:lang w:val="es-ES"/>
              </w:rPr>
              <w:t xml:space="preserve"> 0,5 mg + Láser frente a Láser.</w:t>
            </w:r>
          </w:p>
          <w:p w14:paraId="3EE55B12" w14:textId="77777777" w:rsidR="008974F3" w:rsidRPr="003E0B98" w:rsidRDefault="008974F3" w:rsidP="004361AC">
            <w:pPr>
              <w:keepLines/>
              <w:tabs>
                <w:tab w:val="clear" w:pos="567"/>
              </w:tabs>
              <w:spacing w:line="240" w:lineRule="auto"/>
              <w:ind w:left="567" w:hanging="567"/>
              <w:rPr>
                <w:color w:val="000000"/>
                <w:lang w:val="es-ES"/>
              </w:rPr>
            </w:pPr>
            <w:r w:rsidRPr="003E0B98">
              <w:rPr>
                <w:color w:val="000000"/>
                <w:vertAlign w:val="superscript"/>
                <w:lang w:val="es-ES"/>
              </w:rPr>
              <w:t>b</w:t>
            </w:r>
            <w:r w:rsidRPr="003E0B98">
              <w:rPr>
                <w:color w:val="000000"/>
                <w:lang w:val="es-ES"/>
              </w:rPr>
              <w:tab/>
              <w:t xml:space="preserve">p&lt;0,0001 para la hipótesis nula en el ensayo CRYSTAL en que el cambio </w:t>
            </w:r>
            <w:r w:rsidR="006006F4" w:rsidRPr="003E0B98">
              <w:rPr>
                <w:color w:val="000000"/>
                <w:lang w:val="es-ES"/>
              </w:rPr>
              <w:t>pro</w:t>
            </w:r>
            <w:r w:rsidRPr="003E0B98">
              <w:rPr>
                <w:color w:val="000000"/>
                <w:lang w:val="es-ES"/>
              </w:rPr>
              <w:t>medio al Mes 24 desde el valor inicial es cero.</w:t>
            </w:r>
          </w:p>
          <w:p w14:paraId="7FE38E30" w14:textId="77777777" w:rsidR="008974F3" w:rsidRPr="003E0B98" w:rsidDel="007C5466" w:rsidRDefault="008974F3" w:rsidP="004361AC">
            <w:pPr>
              <w:keepLines/>
              <w:tabs>
                <w:tab w:val="clear" w:pos="567"/>
              </w:tabs>
              <w:spacing w:line="240" w:lineRule="auto"/>
              <w:ind w:left="567" w:hanging="567"/>
              <w:rPr>
                <w:color w:val="000000"/>
                <w:lang w:val="es-ES"/>
              </w:rPr>
            </w:pPr>
            <w:r w:rsidRPr="003E0B98">
              <w:rPr>
                <w:color w:val="000000"/>
                <w:lang w:val="es-ES"/>
              </w:rPr>
              <w:t>*</w:t>
            </w:r>
            <w:r w:rsidRPr="003E0B98">
              <w:rPr>
                <w:color w:val="000000"/>
                <w:lang w:val="es-ES"/>
              </w:rPr>
              <w:tab/>
              <w:t xml:space="preserve">A partir del Mes 6 se permitió el tratamiento con </w:t>
            </w:r>
            <w:proofErr w:type="spellStart"/>
            <w:r w:rsidRPr="003E0B98">
              <w:rPr>
                <w:color w:val="000000"/>
                <w:lang w:val="es-ES"/>
              </w:rPr>
              <w:t>ranibizumab</w:t>
            </w:r>
            <w:proofErr w:type="spellEnd"/>
            <w:r w:rsidRPr="003E0B98">
              <w:rPr>
                <w:color w:val="000000"/>
                <w:lang w:val="es-ES"/>
              </w:rPr>
              <w:t xml:space="preserve"> 0,5 mg (24 pacientes fueron tratados solo con láser).</w:t>
            </w:r>
          </w:p>
        </w:tc>
      </w:tr>
    </w:tbl>
    <w:p w14:paraId="4B365C6D" w14:textId="77777777" w:rsidR="008974F3" w:rsidRPr="003E0B98" w:rsidRDefault="008974F3" w:rsidP="004361AC">
      <w:pPr>
        <w:tabs>
          <w:tab w:val="clear" w:pos="567"/>
        </w:tabs>
        <w:spacing w:line="240" w:lineRule="auto"/>
        <w:rPr>
          <w:color w:val="000000"/>
          <w:szCs w:val="22"/>
          <w:lang w:val="es-ES"/>
        </w:rPr>
      </w:pPr>
    </w:p>
    <w:p w14:paraId="7F84A88C" w14:textId="77777777" w:rsidR="008974F3" w:rsidRPr="003E0B98" w:rsidRDefault="008974F3" w:rsidP="004361AC">
      <w:pPr>
        <w:tabs>
          <w:tab w:val="clear" w:pos="567"/>
        </w:tabs>
        <w:spacing w:line="240" w:lineRule="auto"/>
        <w:rPr>
          <w:color w:val="000000"/>
          <w:lang w:val="es-ES"/>
        </w:rPr>
      </w:pPr>
      <w:r w:rsidRPr="003E0B98">
        <w:rPr>
          <w:color w:val="000000"/>
          <w:lang w:val="es-ES"/>
        </w:rPr>
        <w:t xml:space="preserve">En el ensayo BRIGHTER, </w:t>
      </w:r>
      <w:proofErr w:type="spellStart"/>
      <w:r w:rsidRPr="003E0B98">
        <w:rPr>
          <w:color w:val="000000"/>
          <w:lang w:val="es-ES"/>
        </w:rPr>
        <w:t>ranibizumab</w:t>
      </w:r>
      <w:proofErr w:type="spellEnd"/>
      <w:r w:rsidRPr="003E0B98">
        <w:rPr>
          <w:color w:val="000000"/>
          <w:lang w:val="es-ES"/>
        </w:rPr>
        <w:t xml:space="preserve"> 0,5 mg con terapia</w:t>
      </w:r>
      <w:r w:rsidRPr="003E0B98">
        <w:rPr>
          <w:color w:val="000000"/>
          <w:szCs w:val="22"/>
          <w:lang w:val="es-ES_tradnl"/>
        </w:rPr>
        <w:t xml:space="preserve"> con láser adjunta demostró no inferioridad comparado con </w:t>
      </w:r>
      <w:proofErr w:type="spellStart"/>
      <w:r w:rsidRPr="003E0B98">
        <w:rPr>
          <w:color w:val="000000"/>
          <w:lang w:val="es-ES"/>
        </w:rPr>
        <w:t>ranibizumab</w:t>
      </w:r>
      <w:proofErr w:type="spellEnd"/>
      <w:r w:rsidRPr="003E0B98">
        <w:rPr>
          <w:color w:val="000000"/>
          <w:lang w:val="es-ES"/>
        </w:rPr>
        <w:t xml:space="preserve"> en monoterapia desde el valor inicial hasta el Mes 24 (95% IC -2,8, 1,4).</w:t>
      </w:r>
    </w:p>
    <w:p w14:paraId="1F42F2BB" w14:textId="77777777" w:rsidR="008974F3" w:rsidRPr="003E0B98" w:rsidRDefault="008974F3" w:rsidP="004361AC">
      <w:pPr>
        <w:tabs>
          <w:tab w:val="clear" w:pos="567"/>
        </w:tabs>
        <w:spacing w:line="240" w:lineRule="auto"/>
        <w:rPr>
          <w:color w:val="000000"/>
          <w:lang w:val="es-ES"/>
        </w:rPr>
      </w:pPr>
    </w:p>
    <w:p w14:paraId="6666AAC0" w14:textId="77777777" w:rsidR="008974F3" w:rsidRPr="003E0B98" w:rsidRDefault="008974F3" w:rsidP="004361AC">
      <w:pPr>
        <w:tabs>
          <w:tab w:val="clear" w:pos="567"/>
        </w:tabs>
        <w:spacing w:line="240" w:lineRule="auto"/>
        <w:rPr>
          <w:color w:val="000000"/>
          <w:szCs w:val="22"/>
          <w:lang w:val="es-ES_tradnl"/>
        </w:rPr>
      </w:pPr>
      <w:r w:rsidRPr="003E0B98">
        <w:rPr>
          <w:color w:val="000000"/>
          <w:lang w:val="es-ES"/>
        </w:rPr>
        <w:t xml:space="preserve">En ambos ensayos, se observó en el Mes 1 una reducción rápida y estadísticamente significativa del </w:t>
      </w:r>
      <w:r w:rsidRPr="003E0B98">
        <w:rPr>
          <w:color w:val="000000"/>
          <w:szCs w:val="22"/>
          <w:lang w:val="es-ES_tradnl"/>
        </w:rPr>
        <w:t xml:space="preserve">grosor del subcampo central de la retina </w:t>
      </w:r>
      <w:r w:rsidRPr="003E0B98">
        <w:rPr>
          <w:color w:val="000000"/>
          <w:lang w:val="es-ES"/>
        </w:rPr>
        <w:t>desde el valor inicial</w:t>
      </w:r>
      <w:r w:rsidRPr="003E0B98">
        <w:rPr>
          <w:color w:val="000000"/>
          <w:szCs w:val="22"/>
          <w:lang w:val="es-ES_tradnl"/>
        </w:rPr>
        <w:t>. Este efecto se mantuvo hasta el Mes 24.</w:t>
      </w:r>
    </w:p>
    <w:p w14:paraId="0BB17825" w14:textId="77777777" w:rsidR="008974F3" w:rsidRPr="003E0B98" w:rsidRDefault="008974F3" w:rsidP="004361AC">
      <w:pPr>
        <w:tabs>
          <w:tab w:val="clear" w:pos="567"/>
        </w:tabs>
        <w:spacing w:line="240" w:lineRule="auto"/>
        <w:rPr>
          <w:color w:val="000000"/>
          <w:szCs w:val="22"/>
          <w:lang w:val="es-ES_tradnl"/>
        </w:rPr>
      </w:pPr>
    </w:p>
    <w:p w14:paraId="325AE89A" w14:textId="77777777" w:rsidR="008974F3" w:rsidRPr="003E0B98" w:rsidRDefault="008974F3" w:rsidP="004361AC">
      <w:pPr>
        <w:tabs>
          <w:tab w:val="clear" w:pos="567"/>
        </w:tabs>
        <w:spacing w:line="240" w:lineRule="auto"/>
        <w:rPr>
          <w:lang w:val="es-ES"/>
        </w:rPr>
      </w:pPr>
      <w:r w:rsidRPr="003E0B98">
        <w:rPr>
          <w:color w:val="000000"/>
          <w:szCs w:val="22"/>
          <w:lang w:val="es-ES_tradnl"/>
        </w:rPr>
        <w:t xml:space="preserve">El efecto del tratamiento con </w:t>
      </w:r>
      <w:proofErr w:type="spellStart"/>
      <w:r w:rsidRPr="003E0B98">
        <w:rPr>
          <w:color w:val="000000"/>
          <w:szCs w:val="22"/>
          <w:lang w:val="es-ES_tradnl"/>
        </w:rPr>
        <w:t>ranibizumab</w:t>
      </w:r>
      <w:proofErr w:type="spellEnd"/>
      <w:r w:rsidRPr="003E0B98">
        <w:rPr>
          <w:color w:val="000000"/>
          <w:szCs w:val="22"/>
          <w:lang w:val="es-ES_tradnl"/>
        </w:rPr>
        <w:t xml:space="preserve"> fue similar de forma independiente de la presencia de isquemia retiniana. En el ensayo </w:t>
      </w:r>
      <w:r w:rsidRPr="003E0B98">
        <w:rPr>
          <w:color w:val="000000"/>
          <w:lang w:val="es-ES"/>
        </w:rPr>
        <w:t xml:space="preserve">BRIGHTER, los pacientes que presentaban isquemia </w:t>
      </w:r>
      <w:r w:rsidRPr="003E0B98">
        <w:rPr>
          <w:lang w:val="es-ES"/>
        </w:rPr>
        <w:t>(N=46)</w:t>
      </w:r>
      <w:r w:rsidRPr="003E0B98">
        <w:rPr>
          <w:color w:val="000000"/>
          <w:lang w:val="es-ES"/>
        </w:rPr>
        <w:t xml:space="preserve"> o los que no la presentaban </w:t>
      </w:r>
      <w:r w:rsidRPr="003E0B98">
        <w:rPr>
          <w:lang w:val="es-ES"/>
        </w:rPr>
        <w:t xml:space="preserve">(N=133) y que fueron tratados con </w:t>
      </w:r>
      <w:proofErr w:type="spellStart"/>
      <w:r w:rsidRPr="003E0B98">
        <w:rPr>
          <w:lang w:val="es-ES"/>
        </w:rPr>
        <w:t>ranibizumab</w:t>
      </w:r>
      <w:proofErr w:type="spellEnd"/>
      <w:r w:rsidRPr="003E0B98">
        <w:rPr>
          <w:lang w:val="es-ES"/>
        </w:rPr>
        <w:t xml:space="preserve"> en monoterapia, tuvieron un cambio </w:t>
      </w:r>
      <w:r w:rsidR="006006F4" w:rsidRPr="003E0B98">
        <w:rPr>
          <w:lang w:val="es-ES"/>
        </w:rPr>
        <w:t>pro</w:t>
      </w:r>
      <w:r w:rsidRPr="003E0B98">
        <w:rPr>
          <w:lang w:val="es-ES"/>
        </w:rPr>
        <w:t>medio desde el valor inicial de +15,3 y +15,6 letras respectivamente, en el Mes 24</w:t>
      </w:r>
      <w:r w:rsidRPr="003E0B98">
        <w:rPr>
          <w:color w:val="000000"/>
          <w:lang w:val="es-ES"/>
        </w:rPr>
        <w:t xml:space="preserve">. </w:t>
      </w:r>
      <w:r w:rsidRPr="003E0B98">
        <w:rPr>
          <w:color w:val="000000"/>
          <w:szCs w:val="22"/>
          <w:lang w:val="es-ES_tradnl"/>
        </w:rPr>
        <w:t xml:space="preserve">En el ensayo </w:t>
      </w:r>
      <w:r w:rsidRPr="003E0B98">
        <w:rPr>
          <w:color w:val="000000"/>
          <w:lang w:val="es-ES"/>
        </w:rPr>
        <w:t xml:space="preserve">CRYSTAL, los pacientes que presentaban isquemia </w:t>
      </w:r>
      <w:r w:rsidRPr="003E0B98">
        <w:rPr>
          <w:lang w:val="es-ES"/>
        </w:rPr>
        <w:t>(N=53)</w:t>
      </w:r>
      <w:r w:rsidRPr="003E0B98">
        <w:rPr>
          <w:color w:val="000000"/>
          <w:lang w:val="es-ES"/>
        </w:rPr>
        <w:t xml:space="preserve"> o los que no la presentaban </w:t>
      </w:r>
      <w:r w:rsidRPr="003E0B98">
        <w:rPr>
          <w:lang w:val="es-ES"/>
        </w:rPr>
        <w:t xml:space="preserve">(N=300) y que fueron tratados con </w:t>
      </w:r>
      <w:proofErr w:type="spellStart"/>
      <w:r w:rsidRPr="003E0B98">
        <w:rPr>
          <w:lang w:val="es-ES"/>
        </w:rPr>
        <w:t>ranibizumab</w:t>
      </w:r>
      <w:proofErr w:type="spellEnd"/>
      <w:r w:rsidRPr="003E0B98">
        <w:rPr>
          <w:lang w:val="es-ES"/>
        </w:rPr>
        <w:t xml:space="preserve"> en monoterapia, tuvieron un cambio </w:t>
      </w:r>
      <w:r w:rsidR="006006F4" w:rsidRPr="003E0B98">
        <w:rPr>
          <w:lang w:val="es-ES"/>
        </w:rPr>
        <w:t>pro</w:t>
      </w:r>
      <w:r w:rsidRPr="003E0B98">
        <w:rPr>
          <w:lang w:val="es-ES"/>
        </w:rPr>
        <w:t>medio desde el valor inicial de +15,0 y +11,5 letras respectivamente.</w:t>
      </w:r>
    </w:p>
    <w:p w14:paraId="649A2885" w14:textId="77777777" w:rsidR="008974F3" w:rsidRPr="003E0B98" w:rsidRDefault="008974F3" w:rsidP="004361AC">
      <w:pPr>
        <w:tabs>
          <w:tab w:val="clear" w:pos="567"/>
        </w:tabs>
        <w:spacing w:line="240" w:lineRule="auto"/>
        <w:rPr>
          <w:lang w:val="es-ES"/>
        </w:rPr>
      </w:pPr>
    </w:p>
    <w:p w14:paraId="09116896" w14:textId="77777777" w:rsidR="008974F3" w:rsidRPr="003E0B98" w:rsidRDefault="008974F3" w:rsidP="004361AC">
      <w:pPr>
        <w:tabs>
          <w:tab w:val="clear" w:pos="567"/>
        </w:tabs>
        <w:spacing w:line="240" w:lineRule="auto"/>
        <w:rPr>
          <w:iCs/>
          <w:szCs w:val="22"/>
          <w:lang w:val="es-ES"/>
        </w:rPr>
      </w:pPr>
      <w:r w:rsidRPr="003E0B98">
        <w:rPr>
          <w:color w:val="000000"/>
          <w:lang w:val="es-ES"/>
        </w:rPr>
        <w:t xml:space="preserve">En todos los pacientes tratados con </w:t>
      </w:r>
      <w:proofErr w:type="spellStart"/>
      <w:r w:rsidRPr="003E0B98">
        <w:rPr>
          <w:lang w:val="es-ES"/>
        </w:rPr>
        <w:t>ranibizumab</w:t>
      </w:r>
      <w:proofErr w:type="spellEnd"/>
      <w:r w:rsidRPr="003E0B98">
        <w:rPr>
          <w:lang w:val="es-ES"/>
        </w:rPr>
        <w:t xml:space="preserve"> 0,5 mg en monoterapia</w:t>
      </w:r>
      <w:r w:rsidRPr="003E0B98">
        <w:rPr>
          <w:color w:val="000000"/>
          <w:lang w:val="es-ES"/>
        </w:rPr>
        <w:t xml:space="preserve"> se observó el efecto en términos de mejora visual en ambos ensayos BRIGHTER y CRYSTAL de forma independiente de la duración de la enfermedad. En pacientes con una duración de la enfermedad </w:t>
      </w:r>
      <w:r w:rsidRPr="003E0B98">
        <w:rPr>
          <w:iCs/>
          <w:szCs w:val="22"/>
          <w:lang w:val="es-ES"/>
        </w:rPr>
        <w:t xml:space="preserve">&lt;3 meses se observó un aumento en la agudeza visual de 13,3 y 10,0 letras en el Mes 1; y 17,7 y 13,2 letras en el Mes 24 en </w:t>
      </w:r>
      <w:r w:rsidRPr="003E0B98">
        <w:rPr>
          <w:color w:val="000000"/>
          <w:lang w:val="es-ES"/>
        </w:rPr>
        <w:t xml:space="preserve">BRIGHTER y CRYSTAL respectivamente. En pacientes con una duración de la enfermedad </w:t>
      </w:r>
      <w:r w:rsidRPr="003E0B98">
        <w:rPr>
          <w:iCs/>
          <w:szCs w:val="22"/>
          <w:lang w:val="es-ES"/>
        </w:rPr>
        <w:t>≥12 meses, la ganancia de agudeza visual correspondiente fue de 8,6 y 8,4 letras en los respectivos ensayos. Se debe considerar el inicio del tratamiento en el momento del diagnóstico.</w:t>
      </w:r>
    </w:p>
    <w:p w14:paraId="7BE5F60A" w14:textId="77777777" w:rsidR="008974F3" w:rsidRPr="003E0B98" w:rsidRDefault="008974F3" w:rsidP="004361AC">
      <w:pPr>
        <w:tabs>
          <w:tab w:val="clear" w:pos="567"/>
        </w:tabs>
        <w:spacing w:line="240" w:lineRule="auto"/>
        <w:rPr>
          <w:iCs/>
          <w:szCs w:val="22"/>
          <w:lang w:val="es-ES"/>
        </w:rPr>
      </w:pPr>
    </w:p>
    <w:p w14:paraId="401CDCA3" w14:textId="77777777" w:rsidR="008974F3" w:rsidRPr="003E0B98" w:rsidRDefault="008974F3" w:rsidP="004361AC">
      <w:pPr>
        <w:tabs>
          <w:tab w:val="clear" w:pos="567"/>
        </w:tabs>
        <w:spacing w:line="240" w:lineRule="auto"/>
        <w:rPr>
          <w:color w:val="000000"/>
          <w:lang w:val="es-ES"/>
        </w:rPr>
      </w:pPr>
      <w:r w:rsidRPr="003E0B98">
        <w:rPr>
          <w:szCs w:val="22"/>
          <w:lang w:val="es-ES_tradnl"/>
        </w:rPr>
        <w:t xml:space="preserve">El perfil de seguridad a largo plazo de </w:t>
      </w:r>
      <w:proofErr w:type="spellStart"/>
      <w:r w:rsidRPr="003E0B98">
        <w:rPr>
          <w:szCs w:val="22"/>
          <w:lang w:val="es-ES_tradnl"/>
        </w:rPr>
        <w:t>ranibizumab</w:t>
      </w:r>
      <w:proofErr w:type="spellEnd"/>
      <w:r w:rsidRPr="003E0B98">
        <w:rPr>
          <w:szCs w:val="22"/>
          <w:lang w:val="es-ES_tradnl"/>
        </w:rPr>
        <w:t xml:space="preserve"> observado en los ensayos de 24 meses es consistente con el perfil de seguridad de </w:t>
      </w:r>
      <w:proofErr w:type="spellStart"/>
      <w:r w:rsidRPr="003E0B98">
        <w:rPr>
          <w:szCs w:val="22"/>
          <w:lang w:val="es-ES_tradnl"/>
        </w:rPr>
        <w:t>Lucentis</w:t>
      </w:r>
      <w:proofErr w:type="spellEnd"/>
      <w:r w:rsidRPr="003E0B98">
        <w:rPr>
          <w:szCs w:val="22"/>
          <w:lang w:val="es-ES_tradnl"/>
        </w:rPr>
        <w:t xml:space="preserve"> conocido.</w:t>
      </w:r>
    </w:p>
    <w:p w14:paraId="2E492E8F" w14:textId="77777777" w:rsidR="008974F3" w:rsidRPr="003E0B98" w:rsidRDefault="008974F3" w:rsidP="004361AC">
      <w:pPr>
        <w:tabs>
          <w:tab w:val="clear" w:pos="567"/>
        </w:tabs>
        <w:spacing w:line="240" w:lineRule="auto"/>
        <w:rPr>
          <w:bCs/>
          <w:szCs w:val="22"/>
          <w:lang w:val="es-ES"/>
        </w:rPr>
      </w:pPr>
    </w:p>
    <w:p w14:paraId="488BF984" w14:textId="77777777" w:rsidR="009C7FF4" w:rsidRPr="003E0B98" w:rsidRDefault="009C7FF4" w:rsidP="004361AC">
      <w:pPr>
        <w:keepNext/>
        <w:tabs>
          <w:tab w:val="clear" w:pos="567"/>
        </w:tabs>
        <w:spacing w:line="240" w:lineRule="auto"/>
        <w:rPr>
          <w:bCs/>
          <w:szCs w:val="22"/>
          <w:u w:val="single"/>
          <w:lang w:val="es-ES_tradnl"/>
        </w:rPr>
      </w:pPr>
      <w:r w:rsidRPr="003E0B98">
        <w:rPr>
          <w:bCs/>
          <w:szCs w:val="22"/>
          <w:u w:val="single"/>
          <w:lang w:val="es-ES_tradnl"/>
        </w:rPr>
        <w:t>Población pediátrica</w:t>
      </w:r>
    </w:p>
    <w:p w14:paraId="3CF0276D" w14:textId="77777777" w:rsidR="007017F4" w:rsidRPr="003E0B98" w:rsidRDefault="007017F4" w:rsidP="004361AC">
      <w:pPr>
        <w:keepNext/>
        <w:tabs>
          <w:tab w:val="clear" w:pos="567"/>
        </w:tabs>
        <w:spacing w:line="240" w:lineRule="auto"/>
        <w:rPr>
          <w:bCs/>
          <w:szCs w:val="22"/>
          <w:lang w:val="es-ES_tradnl"/>
        </w:rPr>
      </w:pPr>
    </w:p>
    <w:p w14:paraId="64255EB5" w14:textId="6A1DEE77" w:rsidR="009C7FF4" w:rsidRPr="003E0B98" w:rsidRDefault="00577268" w:rsidP="004361AC">
      <w:pPr>
        <w:tabs>
          <w:tab w:val="clear" w:pos="567"/>
        </w:tabs>
        <w:spacing w:line="240" w:lineRule="auto"/>
        <w:rPr>
          <w:bCs/>
          <w:szCs w:val="22"/>
          <w:lang w:val="es-ES_tradnl"/>
        </w:rPr>
      </w:pPr>
      <w:r w:rsidRPr="003E0B98">
        <w:rPr>
          <w:bCs/>
          <w:szCs w:val="22"/>
          <w:lang w:val="es-ES_tradnl"/>
        </w:rPr>
        <w:t xml:space="preserve">No se ha </w:t>
      </w:r>
      <w:r w:rsidR="00784C67">
        <w:rPr>
          <w:bCs/>
          <w:szCs w:val="22"/>
          <w:lang w:val="es-ES_tradnl"/>
        </w:rPr>
        <w:t>estudiado</w:t>
      </w:r>
      <w:r w:rsidR="00784C67" w:rsidRPr="003E0B98">
        <w:rPr>
          <w:bCs/>
          <w:szCs w:val="22"/>
          <w:lang w:val="es-ES_tradnl"/>
        </w:rPr>
        <w:t xml:space="preserve"> </w:t>
      </w:r>
      <w:r w:rsidRPr="003E0B98">
        <w:rPr>
          <w:bCs/>
          <w:szCs w:val="22"/>
          <w:lang w:val="es-ES_tradnl"/>
        </w:rPr>
        <w:t>l</w:t>
      </w:r>
      <w:r w:rsidR="009C7FF4" w:rsidRPr="003E0B98">
        <w:rPr>
          <w:bCs/>
          <w:szCs w:val="22"/>
          <w:lang w:val="es-ES_tradnl"/>
        </w:rPr>
        <w:t xml:space="preserve">a seguridad y eficacia de </w:t>
      </w:r>
      <w:r w:rsidR="00784C67">
        <w:rPr>
          <w:bCs/>
          <w:szCs w:val="22"/>
          <w:lang w:val="es-ES_tradnl"/>
        </w:rPr>
        <w:t xml:space="preserve">0,5 mg de </w:t>
      </w:r>
      <w:proofErr w:type="spellStart"/>
      <w:r w:rsidR="009C7FF4" w:rsidRPr="003E0B98">
        <w:rPr>
          <w:bCs/>
          <w:szCs w:val="22"/>
          <w:lang w:val="es-ES_tradnl"/>
        </w:rPr>
        <w:t>ranibizumab</w:t>
      </w:r>
      <w:proofErr w:type="spellEnd"/>
      <w:r w:rsidR="00784C67">
        <w:rPr>
          <w:bCs/>
          <w:szCs w:val="22"/>
          <w:lang w:val="es-ES_tradnl"/>
        </w:rPr>
        <w:t xml:space="preserve"> en jeringa precargada</w:t>
      </w:r>
      <w:r w:rsidR="009C7FF4" w:rsidRPr="003E0B98">
        <w:rPr>
          <w:bCs/>
          <w:szCs w:val="22"/>
          <w:lang w:val="es-ES_tradnl"/>
        </w:rPr>
        <w:t xml:space="preserve"> en pacientes pediátricos.</w:t>
      </w:r>
    </w:p>
    <w:p w14:paraId="08AF24FE" w14:textId="77777777" w:rsidR="009C7FF4" w:rsidRPr="003E0B98" w:rsidRDefault="009C7FF4" w:rsidP="004361AC">
      <w:pPr>
        <w:tabs>
          <w:tab w:val="clear" w:pos="567"/>
        </w:tabs>
        <w:spacing w:line="240" w:lineRule="auto"/>
        <w:rPr>
          <w:bCs/>
          <w:szCs w:val="22"/>
          <w:lang w:val="es-ES_tradnl"/>
        </w:rPr>
      </w:pPr>
    </w:p>
    <w:p w14:paraId="422AD294" w14:textId="4EB44608" w:rsidR="009C7FF4" w:rsidRPr="003E0B98" w:rsidRDefault="009C7FF4" w:rsidP="004361AC">
      <w:pPr>
        <w:tabs>
          <w:tab w:val="clear" w:pos="567"/>
        </w:tabs>
        <w:spacing w:line="240" w:lineRule="auto"/>
        <w:rPr>
          <w:color w:val="000000"/>
          <w:szCs w:val="22"/>
          <w:lang w:val="es-ES_tradnl"/>
        </w:rPr>
      </w:pPr>
      <w:r w:rsidRPr="003E0B98">
        <w:rPr>
          <w:rFonts w:eastAsia="SimSun"/>
          <w:szCs w:val="22"/>
          <w:lang w:val="es-ES_tradnl" w:eastAsia="zh-CN"/>
        </w:rPr>
        <w:t xml:space="preserve">La Agencia Europea de Medicamentos ha eximido al titular de la obligación de presentar los resultados de los ensayos realizados con </w:t>
      </w:r>
      <w:proofErr w:type="spellStart"/>
      <w:r w:rsidRPr="003E0B98">
        <w:rPr>
          <w:rFonts w:eastAsia="SimSun"/>
          <w:szCs w:val="22"/>
          <w:lang w:val="es-ES_tradnl" w:eastAsia="zh-CN"/>
        </w:rPr>
        <w:t>Lucentis</w:t>
      </w:r>
      <w:proofErr w:type="spellEnd"/>
      <w:r w:rsidRPr="003E0B98">
        <w:rPr>
          <w:rFonts w:eastAsia="SimSun"/>
          <w:szCs w:val="22"/>
          <w:lang w:val="es-ES_tradnl" w:eastAsia="zh-CN"/>
        </w:rPr>
        <w:t xml:space="preserve"> en </w:t>
      </w:r>
      <w:r w:rsidR="00F83361" w:rsidRPr="003E0B98">
        <w:rPr>
          <w:rFonts w:eastAsia="SimSun"/>
          <w:szCs w:val="22"/>
          <w:lang w:val="es-ES_tradnl" w:eastAsia="zh-CN"/>
        </w:rPr>
        <w:t xml:space="preserve">todos </w:t>
      </w:r>
      <w:r w:rsidRPr="003E0B98">
        <w:rPr>
          <w:rFonts w:eastAsia="SimSun"/>
          <w:szCs w:val="22"/>
          <w:lang w:val="es-ES_tradnl" w:eastAsia="zh-CN"/>
        </w:rPr>
        <w:t>los grupos de la población pediátrica en</w:t>
      </w:r>
      <w:r w:rsidRPr="003E0B98">
        <w:rPr>
          <w:color w:val="000000"/>
          <w:szCs w:val="22"/>
          <w:lang w:val="es-ES"/>
        </w:rPr>
        <w:t xml:space="preserve"> la DMAE </w:t>
      </w:r>
      <w:proofErr w:type="spellStart"/>
      <w:r w:rsidRPr="003E0B98">
        <w:rPr>
          <w:color w:val="000000"/>
          <w:szCs w:val="22"/>
          <w:lang w:val="es-ES"/>
        </w:rPr>
        <w:t>neovascular</w:t>
      </w:r>
      <w:proofErr w:type="spellEnd"/>
      <w:r w:rsidRPr="003E0B98">
        <w:rPr>
          <w:color w:val="000000"/>
          <w:szCs w:val="22"/>
          <w:lang w:val="es-ES"/>
        </w:rPr>
        <w:t>, la alteración</w:t>
      </w:r>
      <w:r w:rsidRPr="003E0B98">
        <w:rPr>
          <w:rFonts w:eastAsia="SimSun"/>
          <w:szCs w:val="22"/>
          <w:lang w:val="es-ES" w:eastAsia="zh-CN"/>
        </w:rPr>
        <w:t xml:space="preserve"> visual debida al EMD, </w:t>
      </w:r>
      <w:r w:rsidRPr="003E0B98">
        <w:rPr>
          <w:color w:val="000000"/>
          <w:szCs w:val="22"/>
          <w:lang w:val="es-ES"/>
        </w:rPr>
        <w:t>la alteración visual debida al edema macular secundario a la OVR</w:t>
      </w:r>
      <w:r w:rsidR="0001071A" w:rsidRPr="003E0B98">
        <w:rPr>
          <w:color w:val="000000"/>
          <w:szCs w:val="22"/>
          <w:lang w:val="es-ES"/>
        </w:rPr>
        <w:t>,</w:t>
      </w:r>
      <w:r w:rsidRPr="003E0B98">
        <w:rPr>
          <w:color w:val="000000"/>
          <w:szCs w:val="22"/>
          <w:lang w:val="es-ES"/>
        </w:rPr>
        <w:t xml:space="preserve"> la alteración visual debida a NVC</w:t>
      </w:r>
      <w:r w:rsidR="0001071A" w:rsidRPr="003E0B98">
        <w:rPr>
          <w:color w:val="000000"/>
          <w:szCs w:val="22"/>
          <w:lang w:val="es-ES"/>
        </w:rPr>
        <w:t xml:space="preserve"> y la retinopatía diabética</w:t>
      </w:r>
      <w:r w:rsidRPr="003E0B98">
        <w:rPr>
          <w:rFonts w:eastAsia="SimSun"/>
          <w:szCs w:val="22"/>
          <w:lang w:val="es-ES" w:eastAsia="zh-CN"/>
        </w:rPr>
        <w:t xml:space="preserve"> (ver sección</w:t>
      </w:r>
      <w:r w:rsidR="00872B1B" w:rsidRPr="003E0B98">
        <w:rPr>
          <w:rFonts w:eastAsia="SimSun"/>
          <w:szCs w:val="22"/>
          <w:lang w:val="es-ES" w:eastAsia="zh-CN"/>
        </w:rPr>
        <w:t> </w:t>
      </w:r>
      <w:r w:rsidRPr="003E0B98">
        <w:rPr>
          <w:rFonts w:eastAsia="SimSun"/>
          <w:szCs w:val="22"/>
          <w:lang w:val="es-ES" w:eastAsia="zh-CN"/>
        </w:rPr>
        <w:t xml:space="preserve">4.2 para consultar la información sobre el uso en </w:t>
      </w:r>
      <w:r w:rsidR="00F83361" w:rsidRPr="003E0B98">
        <w:rPr>
          <w:rFonts w:eastAsia="SimSun"/>
          <w:szCs w:val="22"/>
          <w:lang w:val="es-ES" w:eastAsia="zh-CN"/>
        </w:rPr>
        <w:t xml:space="preserve">la </w:t>
      </w:r>
      <w:r w:rsidRPr="003E0B98">
        <w:rPr>
          <w:rFonts w:eastAsia="SimSun"/>
          <w:szCs w:val="22"/>
          <w:lang w:val="es-ES" w:eastAsia="zh-CN"/>
        </w:rPr>
        <w:t>población pediátrica).</w:t>
      </w:r>
    </w:p>
    <w:p w14:paraId="7FDD5B57" w14:textId="77777777" w:rsidR="009C7FF4" w:rsidRPr="003E0B98" w:rsidRDefault="009C7FF4" w:rsidP="004361AC">
      <w:pPr>
        <w:tabs>
          <w:tab w:val="clear" w:pos="567"/>
        </w:tabs>
        <w:spacing w:line="240" w:lineRule="auto"/>
        <w:rPr>
          <w:color w:val="000000"/>
          <w:szCs w:val="22"/>
          <w:lang w:val="es-ES_tradnl"/>
        </w:rPr>
      </w:pPr>
    </w:p>
    <w:p w14:paraId="6A06282A" w14:textId="77777777" w:rsidR="009C7FF4" w:rsidRPr="003E0B98" w:rsidRDefault="009C7FF4" w:rsidP="004361AC">
      <w:pPr>
        <w:keepNext/>
        <w:tabs>
          <w:tab w:val="clear" w:pos="567"/>
        </w:tabs>
        <w:spacing w:line="240" w:lineRule="auto"/>
        <w:ind w:left="567" w:hanging="567"/>
        <w:rPr>
          <w:color w:val="000000"/>
          <w:szCs w:val="22"/>
          <w:lang w:val="es-ES_tradnl"/>
        </w:rPr>
      </w:pPr>
      <w:r w:rsidRPr="003E0B98">
        <w:rPr>
          <w:b/>
          <w:color w:val="000000"/>
          <w:szCs w:val="22"/>
          <w:lang w:val="es-ES_tradnl"/>
        </w:rPr>
        <w:t>5.2</w:t>
      </w:r>
      <w:r w:rsidRPr="003E0B98">
        <w:rPr>
          <w:b/>
          <w:color w:val="000000"/>
          <w:szCs w:val="22"/>
          <w:lang w:val="es-ES_tradnl"/>
        </w:rPr>
        <w:tab/>
      </w:r>
      <w:r w:rsidRPr="003E0B98">
        <w:rPr>
          <w:b/>
          <w:color w:val="000000"/>
          <w:szCs w:val="22"/>
          <w:lang w:val="es-ES"/>
        </w:rPr>
        <w:t>Propiedades farmacocinéticas</w:t>
      </w:r>
    </w:p>
    <w:p w14:paraId="093FD45D" w14:textId="77777777" w:rsidR="009C7FF4" w:rsidRPr="003E0B98" w:rsidRDefault="009C7FF4" w:rsidP="004361AC">
      <w:pPr>
        <w:keepNext/>
        <w:tabs>
          <w:tab w:val="clear" w:pos="567"/>
        </w:tabs>
        <w:spacing w:line="240" w:lineRule="auto"/>
        <w:rPr>
          <w:color w:val="000000"/>
          <w:szCs w:val="22"/>
          <w:lang w:val="es-ES_tradnl"/>
        </w:rPr>
      </w:pPr>
    </w:p>
    <w:p w14:paraId="70C2A5FC" w14:textId="77777777" w:rsidR="009C7FF4" w:rsidRPr="003E0B98" w:rsidRDefault="009C7FF4" w:rsidP="004361AC">
      <w:pPr>
        <w:tabs>
          <w:tab w:val="clear" w:pos="567"/>
        </w:tabs>
        <w:spacing w:line="240" w:lineRule="auto"/>
        <w:rPr>
          <w:color w:val="000000"/>
          <w:szCs w:val="22"/>
          <w:lang w:val="es-ES_tradnl"/>
        </w:rPr>
      </w:pPr>
      <w:r w:rsidRPr="003E0B98">
        <w:rPr>
          <w:color w:val="000000"/>
          <w:szCs w:val="22"/>
          <w:lang w:val="es-ES_tradnl"/>
        </w:rPr>
        <w:t xml:space="preserve">Tras la administración intravítrea mensual de </w:t>
      </w:r>
      <w:proofErr w:type="spellStart"/>
      <w:r w:rsidRPr="003E0B98">
        <w:rPr>
          <w:color w:val="000000"/>
          <w:szCs w:val="22"/>
          <w:lang w:val="es-ES_tradnl"/>
        </w:rPr>
        <w:t>Lucentis</w:t>
      </w:r>
      <w:proofErr w:type="spellEnd"/>
      <w:r w:rsidRPr="003E0B98">
        <w:rPr>
          <w:color w:val="000000"/>
          <w:szCs w:val="22"/>
          <w:lang w:val="es-ES_tradnl"/>
        </w:rPr>
        <w:t xml:space="preserve"> a pacientes con DMAE </w:t>
      </w:r>
      <w:proofErr w:type="spellStart"/>
      <w:r w:rsidRPr="003E0B98">
        <w:rPr>
          <w:color w:val="000000"/>
          <w:szCs w:val="22"/>
          <w:lang w:val="es-ES_tradnl"/>
        </w:rPr>
        <w:t>neovascular</w:t>
      </w:r>
      <w:proofErr w:type="spellEnd"/>
      <w:r w:rsidRPr="003E0B98">
        <w:rPr>
          <w:color w:val="000000"/>
          <w:szCs w:val="22"/>
          <w:lang w:val="es-ES_tradnl"/>
        </w:rPr>
        <w:t xml:space="preserve">, las concentraciones séricas de </w:t>
      </w:r>
      <w:proofErr w:type="spellStart"/>
      <w:r w:rsidRPr="003E0B98">
        <w:rPr>
          <w:color w:val="000000"/>
          <w:szCs w:val="22"/>
          <w:lang w:val="es-ES_tradnl"/>
        </w:rPr>
        <w:t>ranibizumab</w:t>
      </w:r>
      <w:proofErr w:type="spellEnd"/>
      <w:r w:rsidRPr="003E0B98">
        <w:rPr>
          <w:color w:val="000000"/>
          <w:szCs w:val="22"/>
          <w:lang w:val="es-ES_tradnl"/>
        </w:rPr>
        <w:t xml:space="preserve"> fueron en general bajas, con niveles máximos (</w:t>
      </w:r>
      <w:proofErr w:type="spellStart"/>
      <w:r w:rsidRPr="003E0B98">
        <w:rPr>
          <w:color w:val="000000"/>
          <w:szCs w:val="22"/>
          <w:lang w:val="es-ES_tradnl"/>
        </w:rPr>
        <w:t>C</w:t>
      </w:r>
      <w:r w:rsidRPr="003E0B98">
        <w:rPr>
          <w:color w:val="000000"/>
          <w:szCs w:val="22"/>
          <w:vertAlign w:val="subscript"/>
          <w:lang w:val="es-ES_tradnl"/>
        </w:rPr>
        <w:t>max</w:t>
      </w:r>
      <w:proofErr w:type="spellEnd"/>
      <w:r w:rsidRPr="003E0B98">
        <w:rPr>
          <w:color w:val="000000"/>
          <w:szCs w:val="22"/>
          <w:lang w:val="es-ES_tradnl"/>
        </w:rPr>
        <w:t xml:space="preserve">) por debajo de la concentración de </w:t>
      </w:r>
      <w:proofErr w:type="spellStart"/>
      <w:r w:rsidRPr="003E0B98">
        <w:rPr>
          <w:color w:val="000000"/>
          <w:szCs w:val="22"/>
          <w:lang w:val="es-ES_tradnl"/>
        </w:rPr>
        <w:t>ranibizumab</w:t>
      </w:r>
      <w:proofErr w:type="spellEnd"/>
      <w:r w:rsidRPr="003E0B98">
        <w:rPr>
          <w:color w:val="000000"/>
          <w:szCs w:val="22"/>
          <w:lang w:val="es-ES_tradnl"/>
        </w:rPr>
        <w:t xml:space="preserve"> necesaria para inhibir la actividad biológica del VEGF en un 50% (11</w:t>
      </w:r>
      <w:r w:rsidRPr="003E0B98">
        <w:rPr>
          <w:color w:val="000000"/>
          <w:szCs w:val="22"/>
          <w:lang w:val="es-ES_tradnl"/>
        </w:rPr>
        <w:noBreakHyphen/>
        <w:t xml:space="preserve">27 ng/ml, valorado en un ensayo de proliferación celular </w:t>
      </w:r>
      <w:r w:rsidRPr="003E0B98">
        <w:rPr>
          <w:i/>
          <w:iCs/>
          <w:color w:val="000000"/>
          <w:szCs w:val="22"/>
          <w:lang w:val="es-ES_tradnl"/>
        </w:rPr>
        <w:t>in vitro</w:t>
      </w:r>
      <w:r w:rsidRPr="003E0B98">
        <w:rPr>
          <w:color w:val="000000"/>
          <w:szCs w:val="22"/>
          <w:lang w:val="es-ES_tradnl"/>
        </w:rPr>
        <w:t xml:space="preserve">). La </w:t>
      </w:r>
      <w:proofErr w:type="spellStart"/>
      <w:r w:rsidRPr="003E0B98">
        <w:rPr>
          <w:color w:val="000000"/>
          <w:szCs w:val="22"/>
          <w:lang w:val="es-ES_tradnl"/>
        </w:rPr>
        <w:t>C</w:t>
      </w:r>
      <w:r w:rsidRPr="003E0B98">
        <w:rPr>
          <w:color w:val="000000"/>
          <w:szCs w:val="22"/>
          <w:vertAlign w:val="subscript"/>
          <w:lang w:val="es-ES_tradnl"/>
        </w:rPr>
        <w:t>max</w:t>
      </w:r>
      <w:proofErr w:type="spellEnd"/>
      <w:r w:rsidRPr="003E0B98">
        <w:rPr>
          <w:color w:val="000000"/>
          <w:szCs w:val="22"/>
          <w:lang w:val="es-ES_tradnl"/>
        </w:rPr>
        <w:t xml:space="preserve"> fue proporcional a la dosis, en el rango de dosis de 0,05 a 1,0 mg/ojo. Las concentraciones séricas en un número limitado de pacientes con EMD indican que no puede excluirse una exposición sistémica ligeramente superior en comparación con la observada en pacientes con DMAE </w:t>
      </w:r>
      <w:proofErr w:type="spellStart"/>
      <w:r w:rsidRPr="003E0B98">
        <w:rPr>
          <w:color w:val="000000"/>
          <w:szCs w:val="22"/>
          <w:lang w:val="es-ES_tradnl"/>
        </w:rPr>
        <w:t>neovascular</w:t>
      </w:r>
      <w:proofErr w:type="spellEnd"/>
      <w:r w:rsidRPr="003E0B98">
        <w:rPr>
          <w:color w:val="000000"/>
          <w:szCs w:val="22"/>
          <w:lang w:val="es-ES_tradnl"/>
        </w:rPr>
        <w:t xml:space="preserve">. Las concentraciones séricas de </w:t>
      </w:r>
      <w:proofErr w:type="spellStart"/>
      <w:r w:rsidRPr="003E0B98">
        <w:rPr>
          <w:color w:val="000000"/>
          <w:szCs w:val="22"/>
          <w:lang w:val="es-ES_tradnl"/>
        </w:rPr>
        <w:t>ranibizumab</w:t>
      </w:r>
      <w:proofErr w:type="spellEnd"/>
      <w:r w:rsidRPr="003E0B98">
        <w:rPr>
          <w:color w:val="000000"/>
          <w:szCs w:val="22"/>
          <w:lang w:val="es-ES_tradnl"/>
        </w:rPr>
        <w:t xml:space="preserve"> en pacientes con OVR fueron similares o ligeramente superiores en comparación con las observadas en pacientes con DMAE </w:t>
      </w:r>
      <w:proofErr w:type="spellStart"/>
      <w:r w:rsidRPr="003E0B98">
        <w:rPr>
          <w:color w:val="000000"/>
          <w:szCs w:val="22"/>
          <w:lang w:val="es-ES_tradnl"/>
        </w:rPr>
        <w:t>neovascular</w:t>
      </w:r>
      <w:proofErr w:type="spellEnd"/>
      <w:r w:rsidRPr="003E0B98">
        <w:rPr>
          <w:color w:val="000000"/>
          <w:szCs w:val="22"/>
          <w:lang w:val="es-ES_tradnl"/>
        </w:rPr>
        <w:t>.</w:t>
      </w:r>
    </w:p>
    <w:p w14:paraId="7666A935" w14:textId="77777777" w:rsidR="009C7FF4" w:rsidRPr="003E0B98" w:rsidRDefault="009C7FF4" w:rsidP="004361AC">
      <w:pPr>
        <w:tabs>
          <w:tab w:val="clear" w:pos="567"/>
        </w:tabs>
        <w:spacing w:line="240" w:lineRule="auto"/>
        <w:rPr>
          <w:color w:val="000000"/>
          <w:szCs w:val="22"/>
          <w:lang w:val="es-ES_tradnl"/>
        </w:rPr>
      </w:pPr>
    </w:p>
    <w:p w14:paraId="5B764F69" w14:textId="77777777" w:rsidR="009C7FF4" w:rsidRPr="003E0B98" w:rsidRDefault="009C7FF4" w:rsidP="004361AC">
      <w:pPr>
        <w:tabs>
          <w:tab w:val="clear" w:pos="567"/>
        </w:tabs>
        <w:spacing w:line="240" w:lineRule="auto"/>
        <w:rPr>
          <w:color w:val="000000"/>
          <w:szCs w:val="22"/>
          <w:lang w:val="es-ES_tradnl"/>
        </w:rPr>
      </w:pPr>
      <w:r w:rsidRPr="003E0B98">
        <w:rPr>
          <w:color w:val="000000"/>
          <w:szCs w:val="22"/>
          <w:lang w:val="es-ES_tradnl"/>
        </w:rPr>
        <w:t xml:space="preserve">En base al análisis farmacocinético poblacional y a la desaparición sérica de </w:t>
      </w:r>
      <w:proofErr w:type="spellStart"/>
      <w:r w:rsidRPr="003E0B98">
        <w:rPr>
          <w:color w:val="000000"/>
          <w:szCs w:val="22"/>
          <w:lang w:val="es-ES_tradnl"/>
        </w:rPr>
        <w:t>ranibizumab</w:t>
      </w:r>
      <w:proofErr w:type="spellEnd"/>
      <w:r w:rsidRPr="003E0B98">
        <w:rPr>
          <w:color w:val="000000"/>
          <w:szCs w:val="22"/>
          <w:lang w:val="es-ES_tradnl"/>
        </w:rPr>
        <w:t xml:space="preserve"> en pacientes con DMAE </w:t>
      </w:r>
      <w:proofErr w:type="spellStart"/>
      <w:r w:rsidRPr="003E0B98">
        <w:rPr>
          <w:color w:val="000000"/>
          <w:szCs w:val="22"/>
          <w:lang w:val="es-ES_tradnl"/>
        </w:rPr>
        <w:t>neovascular</w:t>
      </w:r>
      <w:proofErr w:type="spellEnd"/>
      <w:r w:rsidRPr="003E0B98">
        <w:rPr>
          <w:color w:val="000000"/>
          <w:szCs w:val="22"/>
          <w:lang w:val="es-ES_tradnl"/>
        </w:rPr>
        <w:t xml:space="preserve"> tratados con la dosis de 0,5 mg, el promedio de la vida media de eliminación vítrea de </w:t>
      </w:r>
      <w:proofErr w:type="spellStart"/>
      <w:r w:rsidRPr="003E0B98">
        <w:rPr>
          <w:color w:val="000000"/>
          <w:szCs w:val="22"/>
          <w:lang w:val="es-ES_tradnl"/>
        </w:rPr>
        <w:t>ranibizumab</w:t>
      </w:r>
      <w:proofErr w:type="spellEnd"/>
      <w:r w:rsidRPr="003E0B98">
        <w:rPr>
          <w:color w:val="000000"/>
          <w:szCs w:val="22"/>
          <w:lang w:val="es-ES_tradnl"/>
        </w:rPr>
        <w:t xml:space="preserve"> es de 9 días aproximadamente. Tras la administración intravítrea mensual de </w:t>
      </w:r>
      <w:proofErr w:type="spellStart"/>
      <w:r w:rsidRPr="003E0B98">
        <w:rPr>
          <w:color w:val="000000"/>
          <w:szCs w:val="22"/>
          <w:lang w:val="es-ES_tradnl"/>
        </w:rPr>
        <w:t>Lucentis</w:t>
      </w:r>
      <w:proofErr w:type="spellEnd"/>
      <w:r w:rsidRPr="003E0B98">
        <w:rPr>
          <w:color w:val="000000"/>
          <w:szCs w:val="22"/>
          <w:lang w:val="es-ES_tradnl"/>
        </w:rPr>
        <w:t xml:space="preserve"> 0,5 mg/ojo, se prevé que la </w:t>
      </w:r>
      <w:proofErr w:type="spellStart"/>
      <w:r w:rsidRPr="003E0B98">
        <w:rPr>
          <w:color w:val="000000"/>
          <w:szCs w:val="22"/>
          <w:lang w:val="es-ES_tradnl"/>
        </w:rPr>
        <w:t>C</w:t>
      </w:r>
      <w:r w:rsidRPr="003E0B98">
        <w:rPr>
          <w:color w:val="000000"/>
          <w:szCs w:val="22"/>
          <w:vertAlign w:val="subscript"/>
          <w:lang w:val="es-ES_tradnl"/>
        </w:rPr>
        <w:t>max</w:t>
      </w:r>
      <w:proofErr w:type="spellEnd"/>
      <w:r w:rsidRPr="003E0B98">
        <w:rPr>
          <w:color w:val="000000"/>
          <w:szCs w:val="22"/>
          <w:lang w:val="es-ES_tradnl"/>
        </w:rPr>
        <w:t xml:space="preserve"> de </w:t>
      </w:r>
      <w:proofErr w:type="spellStart"/>
      <w:r w:rsidRPr="003E0B98">
        <w:rPr>
          <w:color w:val="000000"/>
          <w:szCs w:val="22"/>
          <w:lang w:val="es-ES_tradnl"/>
        </w:rPr>
        <w:t>ranibizumab</w:t>
      </w:r>
      <w:proofErr w:type="spellEnd"/>
      <w:r w:rsidRPr="003E0B98">
        <w:rPr>
          <w:color w:val="000000"/>
          <w:szCs w:val="22"/>
          <w:lang w:val="es-ES_tradnl"/>
        </w:rPr>
        <w:t xml:space="preserve"> sérica alcanzada aproximadamente 1 día después de la administración, varíe en general en un rango de entre 0,79 y 2,90 ng/ml, y que la </w:t>
      </w:r>
      <w:proofErr w:type="spellStart"/>
      <w:r w:rsidRPr="003E0B98">
        <w:rPr>
          <w:color w:val="000000"/>
          <w:szCs w:val="22"/>
          <w:lang w:val="es-ES_tradnl"/>
        </w:rPr>
        <w:t>C</w:t>
      </w:r>
      <w:r w:rsidRPr="003E0B98">
        <w:rPr>
          <w:color w:val="000000"/>
          <w:szCs w:val="22"/>
          <w:vertAlign w:val="subscript"/>
          <w:lang w:val="es-ES_tradnl"/>
        </w:rPr>
        <w:t>min</w:t>
      </w:r>
      <w:proofErr w:type="spellEnd"/>
      <w:r w:rsidRPr="003E0B98">
        <w:rPr>
          <w:color w:val="000000"/>
          <w:szCs w:val="22"/>
          <w:lang w:val="es-ES_tradnl"/>
        </w:rPr>
        <w:t xml:space="preserve"> varíe en general en un rango de entre 0,07 y 0,49 ng/ml. Se prevé que las concentraciones séricas de </w:t>
      </w:r>
      <w:proofErr w:type="spellStart"/>
      <w:r w:rsidRPr="003E0B98">
        <w:rPr>
          <w:color w:val="000000"/>
          <w:szCs w:val="22"/>
          <w:lang w:val="es-ES_tradnl"/>
        </w:rPr>
        <w:t>ranibizumab</w:t>
      </w:r>
      <w:proofErr w:type="spellEnd"/>
      <w:r w:rsidRPr="003E0B98">
        <w:rPr>
          <w:color w:val="000000"/>
          <w:szCs w:val="22"/>
          <w:lang w:val="es-ES_tradnl"/>
        </w:rPr>
        <w:t xml:space="preserve"> sean aproximadamente 90.000 veces inferiores a las concentraciones vítreas de </w:t>
      </w:r>
      <w:proofErr w:type="spellStart"/>
      <w:r w:rsidRPr="003E0B98">
        <w:rPr>
          <w:color w:val="000000"/>
          <w:szCs w:val="22"/>
          <w:lang w:val="es-ES_tradnl"/>
        </w:rPr>
        <w:t>ranibizumab</w:t>
      </w:r>
      <w:proofErr w:type="spellEnd"/>
      <w:r w:rsidRPr="003E0B98">
        <w:rPr>
          <w:color w:val="000000"/>
          <w:szCs w:val="22"/>
          <w:lang w:val="es-ES_tradnl"/>
        </w:rPr>
        <w:t>.</w:t>
      </w:r>
    </w:p>
    <w:p w14:paraId="64D16468" w14:textId="77777777" w:rsidR="009C7FF4" w:rsidRPr="003E0B98" w:rsidRDefault="009C7FF4" w:rsidP="004361AC">
      <w:pPr>
        <w:tabs>
          <w:tab w:val="clear" w:pos="567"/>
        </w:tabs>
        <w:spacing w:line="240" w:lineRule="auto"/>
        <w:rPr>
          <w:color w:val="000000"/>
          <w:szCs w:val="22"/>
          <w:lang w:val="es-ES_tradnl"/>
        </w:rPr>
      </w:pPr>
    </w:p>
    <w:p w14:paraId="5005CDE3" w14:textId="77777777" w:rsidR="009C7FF4" w:rsidRPr="003E0B98" w:rsidRDefault="009C7FF4" w:rsidP="004361AC">
      <w:pPr>
        <w:tabs>
          <w:tab w:val="clear" w:pos="567"/>
        </w:tabs>
        <w:spacing w:line="240" w:lineRule="auto"/>
        <w:rPr>
          <w:color w:val="000000"/>
          <w:szCs w:val="22"/>
          <w:lang w:val="es-ES_tradnl"/>
        </w:rPr>
      </w:pPr>
      <w:r w:rsidRPr="003E0B98">
        <w:rPr>
          <w:color w:val="000000"/>
          <w:szCs w:val="22"/>
          <w:lang w:val="es-ES_tradnl"/>
        </w:rPr>
        <w:t xml:space="preserve">Pacientes con insuficiencia renal: No se han realizado estudios formales para investigar la farmacocinética de </w:t>
      </w:r>
      <w:proofErr w:type="spellStart"/>
      <w:r w:rsidRPr="003E0B98">
        <w:rPr>
          <w:color w:val="000000"/>
          <w:szCs w:val="22"/>
          <w:lang w:val="es-ES_tradnl"/>
        </w:rPr>
        <w:t>Lucentis</w:t>
      </w:r>
      <w:proofErr w:type="spellEnd"/>
      <w:r w:rsidRPr="003E0B98">
        <w:rPr>
          <w:color w:val="000000"/>
          <w:szCs w:val="22"/>
          <w:lang w:val="es-ES_tradnl"/>
        </w:rPr>
        <w:t xml:space="preserve"> en pacientes con insuficiencia renal. En un análisis farmacocinético poblacional de pacientes con DMAE </w:t>
      </w:r>
      <w:proofErr w:type="spellStart"/>
      <w:r w:rsidRPr="003E0B98">
        <w:rPr>
          <w:color w:val="000000"/>
          <w:szCs w:val="22"/>
          <w:lang w:val="es-ES_tradnl"/>
        </w:rPr>
        <w:t>neovascular</w:t>
      </w:r>
      <w:proofErr w:type="spellEnd"/>
      <w:r w:rsidRPr="003E0B98">
        <w:rPr>
          <w:color w:val="000000"/>
          <w:szCs w:val="22"/>
          <w:lang w:val="es-ES_tradnl"/>
        </w:rPr>
        <w:t>, el 68% (136 de 200) de los pacientes tenían insuficiencia renal (leve en un 46,5% [50</w:t>
      </w:r>
      <w:r w:rsidRPr="003E0B98">
        <w:rPr>
          <w:color w:val="000000"/>
          <w:szCs w:val="22"/>
          <w:lang w:val="es-ES_tradnl"/>
        </w:rPr>
        <w:noBreakHyphen/>
        <w:t>80 ml/min], moderada en un 20% [30</w:t>
      </w:r>
      <w:r w:rsidRPr="003E0B98">
        <w:rPr>
          <w:color w:val="000000"/>
          <w:szCs w:val="22"/>
          <w:lang w:val="es-ES_tradnl"/>
        </w:rPr>
        <w:noBreakHyphen/>
        <w:t>50 ml/min] y grave en un 1,5% [&lt;30 ml/min]). En el caso de pacientes con OVR, el 48,2% (253 de 525) tenían insuficiencia renal (leve en un 36,4%, moderada en un 9,5% y grave en un 2,3%). El aclaramiento sistémico fue ligeramente inferior, pero esto no fue clínicamente significativo.</w:t>
      </w:r>
    </w:p>
    <w:p w14:paraId="09B84AB8" w14:textId="77777777" w:rsidR="009C7FF4" w:rsidRPr="003E0B98" w:rsidRDefault="009C7FF4" w:rsidP="004361AC">
      <w:pPr>
        <w:tabs>
          <w:tab w:val="clear" w:pos="567"/>
        </w:tabs>
        <w:spacing w:line="240" w:lineRule="auto"/>
        <w:rPr>
          <w:color w:val="000000"/>
          <w:szCs w:val="22"/>
          <w:lang w:val="es-ES_tradnl"/>
        </w:rPr>
      </w:pPr>
    </w:p>
    <w:p w14:paraId="7E1732BB" w14:textId="77777777" w:rsidR="009C7FF4" w:rsidRPr="003E0B98" w:rsidRDefault="009C7FF4" w:rsidP="004361AC">
      <w:pPr>
        <w:tabs>
          <w:tab w:val="clear" w:pos="567"/>
        </w:tabs>
        <w:spacing w:line="240" w:lineRule="auto"/>
        <w:rPr>
          <w:color w:val="000000"/>
          <w:szCs w:val="22"/>
          <w:lang w:val="es-ES_tradnl"/>
        </w:rPr>
      </w:pPr>
      <w:r w:rsidRPr="003E0B98">
        <w:rPr>
          <w:color w:val="000000"/>
          <w:szCs w:val="22"/>
          <w:lang w:val="es-ES_tradnl"/>
        </w:rPr>
        <w:t xml:space="preserve">Insuficiencia hepática: No se han realizado estudios formales para investigar la farmacocinética de </w:t>
      </w:r>
      <w:proofErr w:type="spellStart"/>
      <w:r w:rsidRPr="003E0B98">
        <w:rPr>
          <w:color w:val="000000"/>
          <w:szCs w:val="22"/>
          <w:lang w:val="es-ES_tradnl"/>
        </w:rPr>
        <w:t>Lucentis</w:t>
      </w:r>
      <w:proofErr w:type="spellEnd"/>
      <w:r w:rsidRPr="003E0B98">
        <w:rPr>
          <w:color w:val="000000"/>
          <w:szCs w:val="22"/>
          <w:lang w:val="es-ES_tradnl"/>
        </w:rPr>
        <w:t xml:space="preserve"> en pacientes con insuficiencia hepática.</w:t>
      </w:r>
    </w:p>
    <w:p w14:paraId="5B02317C" w14:textId="77777777" w:rsidR="009C7FF4" w:rsidRPr="003E0B98" w:rsidRDefault="009C7FF4" w:rsidP="004361AC">
      <w:pPr>
        <w:tabs>
          <w:tab w:val="clear" w:pos="567"/>
        </w:tabs>
        <w:spacing w:line="240" w:lineRule="auto"/>
        <w:rPr>
          <w:color w:val="000000"/>
          <w:szCs w:val="22"/>
          <w:lang w:val="es-ES_tradnl"/>
        </w:rPr>
      </w:pPr>
    </w:p>
    <w:p w14:paraId="7E313E21" w14:textId="77777777" w:rsidR="009C7FF4" w:rsidRPr="003E0B98" w:rsidRDefault="009C7FF4" w:rsidP="004361AC">
      <w:pPr>
        <w:keepNext/>
        <w:tabs>
          <w:tab w:val="clear" w:pos="567"/>
        </w:tabs>
        <w:spacing w:line="240" w:lineRule="auto"/>
        <w:ind w:left="567" w:hanging="567"/>
        <w:rPr>
          <w:color w:val="000000"/>
          <w:szCs w:val="22"/>
          <w:lang w:val="es-ES_tradnl"/>
        </w:rPr>
      </w:pPr>
      <w:r w:rsidRPr="003E0B98">
        <w:rPr>
          <w:b/>
          <w:color w:val="000000"/>
          <w:szCs w:val="22"/>
          <w:lang w:val="es-ES_tradnl"/>
        </w:rPr>
        <w:t>5.3</w:t>
      </w:r>
      <w:r w:rsidRPr="003E0B98">
        <w:rPr>
          <w:b/>
          <w:color w:val="000000"/>
          <w:szCs w:val="22"/>
          <w:lang w:val="es-ES_tradnl"/>
        </w:rPr>
        <w:tab/>
      </w:r>
      <w:r w:rsidRPr="003E0B98">
        <w:rPr>
          <w:b/>
          <w:noProof/>
          <w:color w:val="000000"/>
          <w:lang w:val="es-ES_tradnl"/>
        </w:rPr>
        <w:t>Datos preclínicos sobre seguridad</w:t>
      </w:r>
    </w:p>
    <w:p w14:paraId="42298142" w14:textId="77777777" w:rsidR="009C7FF4" w:rsidRPr="003E0B98" w:rsidRDefault="009C7FF4" w:rsidP="004361AC">
      <w:pPr>
        <w:keepNext/>
        <w:tabs>
          <w:tab w:val="clear" w:pos="567"/>
        </w:tabs>
        <w:spacing w:line="240" w:lineRule="auto"/>
        <w:rPr>
          <w:color w:val="000000"/>
          <w:szCs w:val="22"/>
          <w:lang w:val="es-ES_tradnl"/>
        </w:rPr>
      </w:pPr>
    </w:p>
    <w:p w14:paraId="4D5091D3" w14:textId="77777777" w:rsidR="009C7FF4" w:rsidRPr="003E0B98" w:rsidRDefault="009C7FF4" w:rsidP="004361AC">
      <w:pPr>
        <w:tabs>
          <w:tab w:val="clear" w:pos="567"/>
        </w:tabs>
        <w:spacing w:line="240" w:lineRule="auto"/>
        <w:rPr>
          <w:color w:val="000000"/>
          <w:szCs w:val="22"/>
          <w:lang w:val="es-ES_tradnl"/>
        </w:rPr>
      </w:pPr>
      <w:r w:rsidRPr="003E0B98">
        <w:rPr>
          <w:color w:val="000000"/>
          <w:szCs w:val="22"/>
          <w:lang w:val="es-ES"/>
        </w:rPr>
        <w:t xml:space="preserve">La administración intravítrea bilateral de </w:t>
      </w:r>
      <w:proofErr w:type="spellStart"/>
      <w:r w:rsidRPr="003E0B98">
        <w:rPr>
          <w:color w:val="000000"/>
          <w:szCs w:val="22"/>
          <w:lang w:val="es-ES"/>
        </w:rPr>
        <w:t>ranibizumab</w:t>
      </w:r>
      <w:proofErr w:type="spellEnd"/>
      <w:r w:rsidRPr="003E0B98">
        <w:rPr>
          <w:color w:val="000000"/>
          <w:szCs w:val="22"/>
          <w:lang w:val="es-ES"/>
        </w:rPr>
        <w:t xml:space="preserve"> a macacos, a dosis de entre 0,25 mg/ojo y 2,0 mg/ojo una vez cada 2 semanas durante 26 semanas, ocasionó efectos oculares dosis-dependientes.</w:t>
      </w:r>
    </w:p>
    <w:p w14:paraId="26F7251E" w14:textId="77777777" w:rsidR="009C7FF4" w:rsidRPr="003E0B98" w:rsidRDefault="009C7FF4" w:rsidP="004361AC">
      <w:pPr>
        <w:tabs>
          <w:tab w:val="clear" w:pos="567"/>
        </w:tabs>
        <w:spacing w:line="240" w:lineRule="auto"/>
        <w:rPr>
          <w:color w:val="000000"/>
          <w:szCs w:val="22"/>
          <w:lang w:val="es-ES_tradnl"/>
        </w:rPr>
      </w:pPr>
    </w:p>
    <w:p w14:paraId="7257C517" w14:textId="77777777" w:rsidR="009C7FF4" w:rsidRPr="003E0B98" w:rsidRDefault="009C7FF4" w:rsidP="004361AC">
      <w:pPr>
        <w:tabs>
          <w:tab w:val="clear" w:pos="567"/>
        </w:tabs>
        <w:spacing w:line="240" w:lineRule="auto"/>
        <w:rPr>
          <w:color w:val="000000"/>
          <w:szCs w:val="22"/>
          <w:lang w:val="es-ES_tradnl"/>
        </w:rPr>
      </w:pPr>
      <w:r w:rsidRPr="003E0B98">
        <w:rPr>
          <w:color w:val="000000"/>
          <w:szCs w:val="22"/>
          <w:lang w:val="es-ES_tradnl"/>
        </w:rPr>
        <w:t>Intraocularmente, se observaron incrementos dosis-dependientes de exudados y de células en la cámara anterior, con un máximo a los 2 días después de la inyección. Por lo general, la gravedad de la respuesta inflamatoria disminuyó con las inyecciones posteriores o durante el periodo de recuperación. En el segmento posterior, hubo infiltración de células en la cámara vítrea y partículas flotantes, que tendieron también a ser dosis-dependientes y que, en general, persistieron hasta el final del periodo de tratamiento. En el ensayo a 26 semanas, la gravedad de la inflamación vítrea aumentó con el número de inyecciones. Sin embargo, se observó evidencia de reversibilidad tras el periodo de recuperación.</w:t>
      </w:r>
      <w:r w:rsidRPr="003E0B98">
        <w:rPr>
          <w:color w:val="000000"/>
          <w:lang w:val="es-ES"/>
        </w:rPr>
        <w:t xml:space="preserve"> La naturaleza y cronología de la inflamación en el segmento posterior sugiere una respuesta inmunitaria mediada por anticuerpos, que puede ser clínicamente irrelevante. En algunos animales se observó la formación de cataratas tras un periodo relativamente largo de inflamación intensa, lo cual sugiere que las alteraciones en el cristalino fueron secundarias a la inflamación grave. Tras las inyecciones intravítreas se observó un aumentó transitorio de la presión intraocular independiente de la dosis.</w:t>
      </w:r>
    </w:p>
    <w:p w14:paraId="2C30F15A" w14:textId="77777777" w:rsidR="009C7FF4" w:rsidRPr="003E0B98" w:rsidRDefault="009C7FF4" w:rsidP="004361AC">
      <w:pPr>
        <w:tabs>
          <w:tab w:val="clear" w:pos="567"/>
        </w:tabs>
        <w:spacing w:line="240" w:lineRule="auto"/>
        <w:rPr>
          <w:color w:val="000000"/>
          <w:szCs w:val="22"/>
          <w:lang w:val="es-ES_tradnl"/>
        </w:rPr>
      </w:pPr>
    </w:p>
    <w:p w14:paraId="6CA7D60B" w14:textId="77777777" w:rsidR="009C7FF4" w:rsidRPr="003E0B98" w:rsidRDefault="009C7FF4" w:rsidP="004361AC">
      <w:pPr>
        <w:tabs>
          <w:tab w:val="clear" w:pos="567"/>
        </w:tabs>
        <w:spacing w:line="240" w:lineRule="auto"/>
        <w:rPr>
          <w:color w:val="000000"/>
          <w:szCs w:val="22"/>
          <w:lang w:val="es-ES_tradnl"/>
        </w:rPr>
      </w:pPr>
      <w:r w:rsidRPr="003E0B98">
        <w:rPr>
          <w:color w:val="000000"/>
          <w:szCs w:val="22"/>
          <w:lang w:val="es-ES_tradnl"/>
        </w:rPr>
        <w:t>Los cambios oculares microscópicos fueron relacionados con la inflamación y no eran indicativos de procesos degenerativos. Se observaron cambios inflamatorios granulomatosos en el disco óptico de algunos ojos. Estas alteraciones en el segmento posterior disminuyeron, y en algunos casos se resolvieron, durante el periodo de recuperación.</w:t>
      </w:r>
    </w:p>
    <w:p w14:paraId="7DCB67B7" w14:textId="77777777" w:rsidR="009C7FF4" w:rsidRPr="003E0B98" w:rsidRDefault="009C7FF4" w:rsidP="004361AC">
      <w:pPr>
        <w:tabs>
          <w:tab w:val="clear" w:pos="567"/>
        </w:tabs>
        <w:spacing w:line="240" w:lineRule="auto"/>
        <w:rPr>
          <w:color w:val="000000"/>
          <w:szCs w:val="22"/>
          <w:lang w:val="es-ES_tradnl"/>
        </w:rPr>
      </w:pPr>
    </w:p>
    <w:p w14:paraId="7F56E444" w14:textId="77777777" w:rsidR="009C7FF4" w:rsidRPr="003E0B98" w:rsidRDefault="009C7FF4" w:rsidP="004361AC">
      <w:pPr>
        <w:tabs>
          <w:tab w:val="clear" w:pos="567"/>
        </w:tabs>
        <w:spacing w:line="240" w:lineRule="auto"/>
        <w:rPr>
          <w:color w:val="000000"/>
          <w:szCs w:val="22"/>
          <w:lang w:val="es-ES_tradnl"/>
        </w:rPr>
      </w:pPr>
      <w:r w:rsidRPr="003E0B98">
        <w:rPr>
          <w:color w:val="000000"/>
          <w:szCs w:val="22"/>
          <w:lang w:val="es-ES_tradnl"/>
        </w:rPr>
        <w:t xml:space="preserve">Tras la administración intravítrea, no se detectaron signos de toxicidad sistémica. En un subgrupo de animales tratados se detectaron anticuerpos séricos y vítreos contra </w:t>
      </w:r>
      <w:proofErr w:type="spellStart"/>
      <w:r w:rsidRPr="003E0B98">
        <w:rPr>
          <w:color w:val="000000"/>
          <w:szCs w:val="22"/>
          <w:lang w:val="es-ES_tradnl"/>
        </w:rPr>
        <w:t>ranibizumab</w:t>
      </w:r>
      <w:proofErr w:type="spellEnd"/>
      <w:r w:rsidRPr="003E0B98">
        <w:rPr>
          <w:color w:val="000000"/>
          <w:szCs w:val="22"/>
          <w:lang w:val="es-ES_tradnl"/>
        </w:rPr>
        <w:t>.</w:t>
      </w:r>
    </w:p>
    <w:p w14:paraId="43801098" w14:textId="77777777" w:rsidR="009C7FF4" w:rsidRPr="003E0B98" w:rsidRDefault="009C7FF4" w:rsidP="004361AC">
      <w:pPr>
        <w:tabs>
          <w:tab w:val="clear" w:pos="567"/>
        </w:tabs>
        <w:spacing w:line="240" w:lineRule="auto"/>
        <w:rPr>
          <w:color w:val="000000"/>
          <w:szCs w:val="22"/>
          <w:lang w:val="es-ES_tradnl"/>
        </w:rPr>
      </w:pPr>
    </w:p>
    <w:p w14:paraId="230975DB" w14:textId="77777777" w:rsidR="009C7FF4" w:rsidRPr="003E0B98" w:rsidRDefault="009C7FF4" w:rsidP="004361AC">
      <w:pPr>
        <w:tabs>
          <w:tab w:val="clear" w:pos="567"/>
        </w:tabs>
        <w:spacing w:line="240" w:lineRule="auto"/>
        <w:rPr>
          <w:color w:val="000000"/>
          <w:szCs w:val="22"/>
          <w:lang w:val="es-ES_tradnl"/>
        </w:rPr>
      </w:pPr>
      <w:r w:rsidRPr="003E0B98">
        <w:rPr>
          <w:color w:val="000000"/>
          <w:szCs w:val="22"/>
          <w:lang w:val="es-ES_tradnl"/>
        </w:rPr>
        <w:t>No se dispone de datos de carcinogenicidad ni de mutagenicidad.</w:t>
      </w:r>
    </w:p>
    <w:p w14:paraId="3CFB15D8" w14:textId="77777777" w:rsidR="009C7FF4" w:rsidRPr="003E0B98" w:rsidRDefault="009C7FF4" w:rsidP="004361AC">
      <w:pPr>
        <w:tabs>
          <w:tab w:val="clear" w:pos="567"/>
        </w:tabs>
        <w:spacing w:line="240" w:lineRule="auto"/>
        <w:rPr>
          <w:color w:val="000000"/>
          <w:szCs w:val="22"/>
          <w:lang w:val="es-ES_tradnl"/>
        </w:rPr>
      </w:pPr>
    </w:p>
    <w:p w14:paraId="0781DDA8" w14:textId="77777777" w:rsidR="009C7FF4" w:rsidRPr="003E0B98" w:rsidRDefault="009C7FF4" w:rsidP="004361AC">
      <w:pPr>
        <w:tabs>
          <w:tab w:val="clear" w:pos="567"/>
        </w:tabs>
        <w:spacing w:line="240" w:lineRule="auto"/>
        <w:rPr>
          <w:color w:val="000000"/>
          <w:szCs w:val="22"/>
          <w:lang w:val="es-ES_tradnl"/>
        </w:rPr>
      </w:pPr>
      <w:r w:rsidRPr="003E0B98">
        <w:rPr>
          <w:color w:val="000000"/>
          <w:szCs w:val="22"/>
          <w:lang w:val="es-ES_tradnl"/>
        </w:rPr>
        <w:t xml:space="preserve">En hembras de mono preñadas, el tratamiento con </w:t>
      </w:r>
      <w:proofErr w:type="spellStart"/>
      <w:r w:rsidRPr="003E0B98">
        <w:rPr>
          <w:color w:val="000000"/>
          <w:szCs w:val="22"/>
          <w:lang w:val="es-ES_tradnl"/>
        </w:rPr>
        <w:t>ranibizumab</w:t>
      </w:r>
      <w:proofErr w:type="spellEnd"/>
      <w:r w:rsidRPr="003E0B98">
        <w:rPr>
          <w:color w:val="000000"/>
          <w:szCs w:val="22"/>
          <w:lang w:val="es-ES_tradnl"/>
        </w:rPr>
        <w:t xml:space="preserve"> intravítreo resultando en exposiciones sistémicas máximas 0,9</w:t>
      </w:r>
      <w:r w:rsidRPr="003E0B98">
        <w:rPr>
          <w:color w:val="000000"/>
          <w:szCs w:val="22"/>
          <w:lang w:val="es-ES_tradnl"/>
        </w:rPr>
        <w:noBreakHyphen/>
        <w:t xml:space="preserve">7 veces la peor exposición clínica, no provocó toxicidad en el desarrollo ni </w:t>
      </w:r>
      <w:proofErr w:type="spellStart"/>
      <w:r w:rsidRPr="003E0B98">
        <w:rPr>
          <w:color w:val="000000"/>
          <w:szCs w:val="22"/>
          <w:lang w:val="es-ES_tradnl"/>
        </w:rPr>
        <w:t>teratogenicidad</w:t>
      </w:r>
      <w:proofErr w:type="spellEnd"/>
      <w:r w:rsidRPr="003E0B98">
        <w:rPr>
          <w:color w:val="000000"/>
          <w:szCs w:val="22"/>
          <w:lang w:val="es-ES_tradnl"/>
        </w:rPr>
        <w:t xml:space="preserve"> y no tuvo ningún efecto sobre el peso o la estructura de la placenta, aunque en base a su efecto farmacológico, </w:t>
      </w:r>
      <w:proofErr w:type="spellStart"/>
      <w:r w:rsidRPr="003E0B98">
        <w:rPr>
          <w:color w:val="000000"/>
          <w:szCs w:val="22"/>
          <w:lang w:val="es-ES_tradnl"/>
        </w:rPr>
        <w:t>ranibizumab</w:t>
      </w:r>
      <w:proofErr w:type="spellEnd"/>
      <w:r w:rsidRPr="003E0B98">
        <w:rPr>
          <w:color w:val="000000"/>
          <w:szCs w:val="22"/>
          <w:lang w:val="es-ES_tradnl"/>
        </w:rPr>
        <w:t xml:space="preserve"> debe considerarse potencialmente teratogénico y </w:t>
      </w:r>
      <w:proofErr w:type="spellStart"/>
      <w:r w:rsidRPr="003E0B98">
        <w:rPr>
          <w:color w:val="000000"/>
          <w:szCs w:val="22"/>
          <w:lang w:val="es-ES_tradnl"/>
        </w:rPr>
        <w:t>embrio</w:t>
      </w:r>
      <w:proofErr w:type="spellEnd"/>
      <w:r w:rsidRPr="003E0B98">
        <w:rPr>
          <w:color w:val="000000"/>
          <w:szCs w:val="22"/>
          <w:lang w:val="es-ES_tradnl"/>
        </w:rPr>
        <w:t>/</w:t>
      </w:r>
      <w:proofErr w:type="spellStart"/>
      <w:r w:rsidRPr="003E0B98">
        <w:rPr>
          <w:color w:val="000000"/>
          <w:szCs w:val="22"/>
          <w:lang w:val="es-ES_tradnl"/>
        </w:rPr>
        <w:t>fetotóxico</w:t>
      </w:r>
      <w:proofErr w:type="spellEnd"/>
      <w:r w:rsidRPr="003E0B98">
        <w:rPr>
          <w:color w:val="000000"/>
          <w:szCs w:val="22"/>
          <w:lang w:val="es-ES_tradnl"/>
        </w:rPr>
        <w:t>.</w:t>
      </w:r>
    </w:p>
    <w:p w14:paraId="1C2135DF" w14:textId="77777777" w:rsidR="009C7FF4" w:rsidRPr="003E0B98" w:rsidRDefault="009C7FF4" w:rsidP="004361AC">
      <w:pPr>
        <w:tabs>
          <w:tab w:val="clear" w:pos="567"/>
        </w:tabs>
        <w:spacing w:line="240" w:lineRule="auto"/>
        <w:rPr>
          <w:color w:val="000000"/>
          <w:szCs w:val="22"/>
          <w:lang w:val="es-ES_tradnl"/>
        </w:rPr>
      </w:pPr>
    </w:p>
    <w:p w14:paraId="411C7C8F" w14:textId="77777777" w:rsidR="009C7FF4" w:rsidRPr="003E0B98" w:rsidRDefault="009C7FF4" w:rsidP="004361AC">
      <w:pPr>
        <w:tabs>
          <w:tab w:val="clear" w:pos="567"/>
        </w:tabs>
        <w:spacing w:line="240" w:lineRule="auto"/>
        <w:rPr>
          <w:color w:val="000000"/>
          <w:szCs w:val="22"/>
          <w:lang w:val="es-ES_tradnl"/>
        </w:rPr>
      </w:pPr>
      <w:r w:rsidRPr="003E0B98">
        <w:rPr>
          <w:color w:val="000000"/>
          <w:szCs w:val="22"/>
          <w:lang w:val="es-ES_tradnl"/>
        </w:rPr>
        <w:t xml:space="preserve">La ausencia de efectos mediados por </w:t>
      </w:r>
      <w:proofErr w:type="spellStart"/>
      <w:r w:rsidRPr="003E0B98">
        <w:rPr>
          <w:color w:val="000000"/>
          <w:szCs w:val="22"/>
          <w:lang w:val="es-ES_tradnl"/>
        </w:rPr>
        <w:t>ranibizumab</w:t>
      </w:r>
      <w:proofErr w:type="spellEnd"/>
      <w:r w:rsidRPr="003E0B98">
        <w:rPr>
          <w:color w:val="000000"/>
          <w:szCs w:val="22"/>
          <w:lang w:val="es-ES_tradnl"/>
        </w:rPr>
        <w:t xml:space="preserve"> sobre el desarrollo </w:t>
      </w:r>
      <w:proofErr w:type="spellStart"/>
      <w:r w:rsidRPr="003E0B98">
        <w:rPr>
          <w:color w:val="000000"/>
          <w:szCs w:val="22"/>
          <w:lang w:val="es-ES_tradnl"/>
        </w:rPr>
        <w:t>embrio</w:t>
      </w:r>
      <w:proofErr w:type="spellEnd"/>
      <w:r w:rsidRPr="003E0B98">
        <w:rPr>
          <w:color w:val="000000"/>
          <w:szCs w:val="22"/>
          <w:lang w:val="es-ES_tradnl"/>
        </w:rPr>
        <w:t xml:space="preserve">-fetal está plausiblemente relacionado principalmente con la incapacidad del fragmento Fab de atravesar la placenta. Sin embargo, se describió un caso de niveles séricos de </w:t>
      </w:r>
      <w:proofErr w:type="spellStart"/>
      <w:r w:rsidRPr="003E0B98">
        <w:rPr>
          <w:color w:val="000000"/>
          <w:szCs w:val="22"/>
          <w:lang w:val="es-ES_tradnl"/>
        </w:rPr>
        <w:t>ranibizumab</w:t>
      </w:r>
      <w:proofErr w:type="spellEnd"/>
      <w:r w:rsidRPr="003E0B98">
        <w:rPr>
          <w:color w:val="000000"/>
          <w:szCs w:val="22"/>
          <w:lang w:val="es-ES_tradnl"/>
        </w:rPr>
        <w:t xml:space="preserve"> maternos elevados y presencia de </w:t>
      </w:r>
      <w:proofErr w:type="spellStart"/>
      <w:r w:rsidRPr="003E0B98">
        <w:rPr>
          <w:color w:val="000000"/>
          <w:szCs w:val="22"/>
          <w:lang w:val="es-ES_tradnl"/>
        </w:rPr>
        <w:t>ranibizumab</w:t>
      </w:r>
      <w:proofErr w:type="spellEnd"/>
      <w:r w:rsidRPr="003E0B98">
        <w:rPr>
          <w:color w:val="000000"/>
          <w:szCs w:val="22"/>
          <w:lang w:val="es-ES_tradnl"/>
        </w:rPr>
        <w:t xml:space="preserve"> en el suero fetal lo que sugiere que el anticuerpo contra </w:t>
      </w:r>
      <w:proofErr w:type="spellStart"/>
      <w:r w:rsidRPr="003E0B98">
        <w:rPr>
          <w:color w:val="000000"/>
          <w:szCs w:val="22"/>
          <w:lang w:val="es-ES_tradnl"/>
        </w:rPr>
        <w:t>ranibizumab</w:t>
      </w:r>
      <w:proofErr w:type="spellEnd"/>
      <w:r w:rsidRPr="003E0B98">
        <w:rPr>
          <w:color w:val="000000"/>
          <w:szCs w:val="22"/>
          <w:lang w:val="es-ES_tradnl"/>
        </w:rPr>
        <w:t xml:space="preserve"> actuó como proteína transportadora (conteniendo la región </w:t>
      </w:r>
      <w:proofErr w:type="spellStart"/>
      <w:r w:rsidRPr="003E0B98">
        <w:rPr>
          <w:color w:val="000000"/>
          <w:szCs w:val="22"/>
          <w:lang w:val="es-ES_tradnl"/>
        </w:rPr>
        <w:t>Fc</w:t>
      </w:r>
      <w:proofErr w:type="spellEnd"/>
      <w:r w:rsidRPr="003E0B98">
        <w:rPr>
          <w:color w:val="000000"/>
          <w:szCs w:val="22"/>
          <w:lang w:val="es-ES_tradnl"/>
        </w:rPr>
        <w:t xml:space="preserve">) para </w:t>
      </w:r>
      <w:proofErr w:type="spellStart"/>
      <w:r w:rsidRPr="003E0B98">
        <w:rPr>
          <w:color w:val="000000"/>
          <w:szCs w:val="22"/>
          <w:lang w:val="es-ES_tradnl"/>
        </w:rPr>
        <w:t>ranibizumab</w:t>
      </w:r>
      <w:proofErr w:type="spellEnd"/>
      <w:r w:rsidRPr="003E0B98">
        <w:rPr>
          <w:color w:val="000000"/>
          <w:szCs w:val="22"/>
          <w:lang w:val="es-ES_tradnl"/>
        </w:rPr>
        <w:t xml:space="preserve">, disminuyendo de ese modo su aclaramiento sérico materno y permitiendo su paso a la placenta. Dado que las investigaciones en el desarrollo </w:t>
      </w:r>
      <w:proofErr w:type="spellStart"/>
      <w:r w:rsidRPr="003E0B98">
        <w:rPr>
          <w:color w:val="000000"/>
          <w:szCs w:val="22"/>
          <w:lang w:val="es-ES_tradnl"/>
        </w:rPr>
        <w:t>embrio</w:t>
      </w:r>
      <w:proofErr w:type="spellEnd"/>
      <w:r w:rsidRPr="003E0B98">
        <w:rPr>
          <w:color w:val="000000"/>
          <w:szCs w:val="22"/>
          <w:lang w:val="es-ES_tradnl"/>
        </w:rPr>
        <w:t>-fetal se llevaron a cabo en animales preñados sanos y las enfermedades (tales como la diabetes) pueden modificar la permeabilidad de la placenta para el fragmento Fab, el estudio debe interpretarse con cautela.</w:t>
      </w:r>
    </w:p>
    <w:p w14:paraId="7CE35DE6" w14:textId="77777777" w:rsidR="009C7FF4" w:rsidRPr="003E0B98" w:rsidRDefault="009C7FF4" w:rsidP="004361AC">
      <w:pPr>
        <w:tabs>
          <w:tab w:val="clear" w:pos="567"/>
        </w:tabs>
        <w:spacing w:line="240" w:lineRule="auto"/>
        <w:rPr>
          <w:color w:val="000000"/>
          <w:szCs w:val="22"/>
          <w:lang w:val="es-ES_tradnl"/>
        </w:rPr>
      </w:pPr>
    </w:p>
    <w:p w14:paraId="39964C99" w14:textId="77777777" w:rsidR="009C7FF4" w:rsidRPr="003E0B98" w:rsidRDefault="009C7FF4" w:rsidP="004361AC">
      <w:pPr>
        <w:tabs>
          <w:tab w:val="clear" w:pos="567"/>
        </w:tabs>
        <w:spacing w:line="240" w:lineRule="auto"/>
        <w:rPr>
          <w:color w:val="000000"/>
          <w:szCs w:val="22"/>
          <w:lang w:val="es-ES_tradnl"/>
        </w:rPr>
      </w:pPr>
    </w:p>
    <w:p w14:paraId="56054FCA" w14:textId="77777777" w:rsidR="00E36F43" w:rsidRPr="003E0B98" w:rsidRDefault="00E36F43" w:rsidP="004361AC">
      <w:pPr>
        <w:keepNext/>
        <w:tabs>
          <w:tab w:val="clear" w:pos="567"/>
        </w:tabs>
        <w:spacing w:line="240" w:lineRule="auto"/>
        <w:ind w:left="567" w:hanging="567"/>
        <w:rPr>
          <w:b/>
          <w:color w:val="000000"/>
          <w:szCs w:val="22"/>
          <w:lang w:val="es-ES_tradnl"/>
        </w:rPr>
      </w:pPr>
      <w:r w:rsidRPr="003E0B98">
        <w:rPr>
          <w:b/>
          <w:color w:val="000000"/>
          <w:szCs w:val="22"/>
          <w:lang w:val="es-ES_tradnl"/>
        </w:rPr>
        <w:t>6.</w:t>
      </w:r>
      <w:r w:rsidRPr="003E0B98">
        <w:rPr>
          <w:b/>
          <w:color w:val="000000"/>
          <w:szCs w:val="22"/>
          <w:lang w:val="es-ES_tradnl"/>
        </w:rPr>
        <w:tab/>
      </w:r>
      <w:r w:rsidRPr="003E0B98">
        <w:rPr>
          <w:b/>
          <w:color w:val="000000"/>
          <w:szCs w:val="22"/>
          <w:lang w:val="es-ES"/>
        </w:rPr>
        <w:t>DATOS FARMACÉUTICOS</w:t>
      </w:r>
    </w:p>
    <w:p w14:paraId="24D2D9CB" w14:textId="77777777" w:rsidR="00E36F43" w:rsidRPr="003E0B98" w:rsidRDefault="00E36F43" w:rsidP="004361AC">
      <w:pPr>
        <w:keepNext/>
        <w:tabs>
          <w:tab w:val="clear" w:pos="567"/>
        </w:tabs>
        <w:spacing w:line="240" w:lineRule="auto"/>
        <w:rPr>
          <w:color w:val="000000"/>
          <w:szCs w:val="22"/>
          <w:lang w:val="es-ES_tradnl"/>
        </w:rPr>
      </w:pPr>
    </w:p>
    <w:p w14:paraId="47F9F951" w14:textId="77777777" w:rsidR="00E36F43" w:rsidRPr="003E0B98" w:rsidRDefault="00E36F43" w:rsidP="004361AC">
      <w:pPr>
        <w:keepNext/>
        <w:tabs>
          <w:tab w:val="clear" w:pos="567"/>
        </w:tabs>
        <w:spacing w:line="240" w:lineRule="auto"/>
        <w:ind w:left="567" w:hanging="567"/>
        <w:rPr>
          <w:color w:val="000000"/>
          <w:szCs w:val="22"/>
          <w:lang w:val="es-ES_tradnl"/>
        </w:rPr>
      </w:pPr>
      <w:r w:rsidRPr="003E0B98">
        <w:rPr>
          <w:b/>
          <w:color w:val="000000"/>
          <w:szCs w:val="22"/>
          <w:lang w:val="es-ES_tradnl"/>
        </w:rPr>
        <w:t>6.1</w:t>
      </w:r>
      <w:r w:rsidRPr="003E0B98">
        <w:rPr>
          <w:b/>
          <w:color w:val="000000"/>
          <w:szCs w:val="22"/>
          <w:lang w:val="es-ES_tradnl"/>
        </w:rPr>
        <w:tab/>
      </w:r>
      <w:r w:rsidRPr="003E0B98">
        <w:rPr>
          <w:b/>
          <w:color w:val="000000"/>
          <w:szCs w:val="22"/>
          <w:lang w:val="es-ES"/>
        </w:rPr>
        <w:t>Lista de excipientes</w:t>
      </w:r>
    </w:p>
    <w:p w14:paraId="5BDE7795" w14:textId="77777777" w:rsidR="00E36F43" w:rsidRPr="003E0B98" w:rsidRDefault="00E36F43" w:rsidP="004361AC">
      <w:pPr>
        <w:keepNext/>
        <w:tabs>
          <w:tab w:val="clear" w:pos="567"/>
        </w:tabs>
        <w:spacing w:line="240" w:lineRule="auto"/>
        <w:rPr>
          <w:iCs/>
          <w:color w:val="000000"/>
          <w:szCs w:val="22"/>
          <w:lang w:val="es-ES_tradnl"/>
        </w:rPr>
      </w:pPr>
    </w:p>
    <w:p w14:paraId="009E8332" w14:textId="77777777" w:rsidR="00E36F43" w:rsidRPr="003E0B98" w:rsidRDefault="00E36F43" w:rsidP="004361AC">
      <w:pPr>
        <w:tabs>
          <w:tab w:val="clear" w:pos="567"/>
        </w:tabs>
        <w:spacing w:line="240" w:lineRule="auto"/>
        <w:rPr>
          <w:iCs/>
          <w:color w:val="000000"/>
          <w:szCs w:val="22"/>
          <w:lang w:val="es-ES_tradnl"/>
        </w:rPr>
      </w:pPr>
      <w:proofErr w:type="gramStart"/>
      <w:r w:rsidRPr="003E0B98">
        <w:rPr>
          <w:iCs/>
          <w:color w:val="000000"/>
          <w:szCs w:val="22"/>
        </w:rPr>
        <w:t>α</w:t>
      </w:r>
      <w:r w:rsidRPr="003E0B98">
        <w:rPr>
          <w:iCs/>
          <w:color w:val="000000"/>
          <w:szCs w:val="22"/>
          <w:lang w:val="es-ES_tradnl"/>
        </w:rPr>
        <w:t>,</w:t>
      </w:r>
      <w:r w:rsidRPr="003E0B98">
        <w:rPr>
          <w:iCs/>
          <w:color w:val="000000"/>
          <w:szCs w:val="22"/>
        </w:rPr>
        <w:t>α</w:t>
      </w:r>
      <w:proofErr w:type="gramEnd"/>
      <w:r w:rsidRPr="003E0B98">
        <w:rPr>
          <w:iCs/>
          <w:color w:val="000000"/>
          <w:szCs w:val="22"/>
          <w:lang w:val="es-ES_tradnl"/>
        </w:rPr>
        <w:t>-</w:t>
      </w:r>
      <w:proofErr w:type="spellStart"/>
      <w:r w:rsidRPr="003E0B98">
        <w:rPr>
          <w:iCs/>
          <w:color w:val="000000"/>
          <w:szCs w:val="22"/>
          <w:lang w:val="es-ES_tradnl"/>
        </w:rPr>
        <w:t>trehalosa</w:t>
      </w:r>
      <w:proofErr w:type="spellEnd"/>
      <w:r w:rsidRPr="003E0B98">
        <w:rPr>
          <w:iCs/>
          <w:color w:val="000000"/>
          <w:szCs w:val="22"/>
          <w:lang w:val="es-ES_tradnl"/>
        </w:rPr>
        <w:t xml:space="preserve"> </w:t>
      </w:r>
      <w:proofErr w:type="spellStart"/>
      <w:r w:rsidRPr="003E0B98">
        <w:rPr>
          <w:iCs/>
          <w:color w:val="000000"/>
          <w:szCs w:val="22"/>
          <w:lang w:val="es-ES_tradnl"/>
        </w:rPr>
        <w:t>dihidrato</w:t>
      </w:r>
      <w:proofErr w:type="spellEnd"/>
    </w:p>
    <w:p w14:paraId="5C1BD680" w14:textId="77777777" w:rsidR="00E36F43" w:rsidRPr="003E0B98" w:rsidRDefault="00E36F43" w:rsidP="004361AC">
      <w:pPr>
        <w:tabs>
          <w:tab w:val="clear" w:pos="567"/>
        </w:tabs>
        <w:spacing w:line="240" w:lineRule="auto"/>
        <w:rPr>
          <w:iCs/>
          <w:color w:val="000000"/>
          <w:szCs w:val="22"/>
          <w:lang w:val="es-ES_tradnl"/>
        </w:rPr>
      </w:pPr>
      <w:r w:rsidRPr="003E0B98">
        <w:rPr>
          <w:iCs/>
          <w:color w:val="000000"/>
          <w:szCs w:val="22"/>
          <w:lang w:val="es-ES_tradnl"/>
        </w:rPr>
        <w:t xml:space="preserve">Hidrocloruro de histidina </w:t>
      </w:r>
      <w:proofErr w:type="spellStart"/>
      <w:r w:rsidRPr="003E0B98">
        <w:rPr>
          <w:iCs/>
          <w:color w:val="000000"/>
          <w:szCs w:val="22"/>
          <w:lang w:val="es-ES_tradnl"/>
        </w:rPr>
        <w:t>monohidrato</w:t>
      </w:r>
      <w:proofErr w:type="spellEnd"/>
    </w:p>
    <w:p w14:paraId="3300D554" w14:textId="77777777" w:rsidR="00E36F43" w:rsidRPr="003E0B98" w:rsidRDefault="00E36F43" w:rsidP="004361AC">
      <w:pPr>
        <w:tabs>
          <w:tab w:val="clear" w:pos="567"/>
        </w:tabs>
        <w:spacing w:line="240" w:lineRule="auto"/>
        <w:rPr>
          <w:iCs/>
          <w:color w:val="000000"/>
          <w:szCs w:val="22"/>
          <w:lang w:val="es-ES_tradnl"/>
        </w:rPr>
      </w:pPr>
      <w:r w:rsidRPr="003E0B98">
        <w:rPr>
          <w:iCs/>
          <w:color w:val="000000"/>
          <w:szCs w:val="22"/>
          <w:lang w:val="es-ES_tradnl"/>
        </w:rPr>
        <w:t>Histidina</w:t>
      </w:r>
    </w:p>
    <w:p w14:paraId="4204BAE0" w14:textId="77777777" w:rsidR="00E36F43" w:rsidRPr="003E0B98" w:rsidRDefault="00E36F43" w:rsidP="004361AC">
      <w:pPr>
        <w:tabs>
          <w:tab w:val="clear" w:pos="567"/>
        </w:tabs>
        <w:spacing w:line="240" w:lineRule="auto"/>
        <w:rPr>
          <w:iCs/>
          <w:color w:val="000000"/>
          <w:szCs w:val="22"/>
          <w:lang w:val="es-ES_tradnl"/>
        </w:rPr>
      </w:pPr>
      <w:r w:rsidRPr="003E0B98">
        <w:rPr>
          <w:iCs/>
          <w:color w:val="000000"/>
          <w:szCs w:val="22"/>
          <w:lang w:val="es-ES_tradnl"/>
        </w:rPr>
        <w:t>Polisorbato 20</w:t>
      </w:r>
    </w:p>
    <w:p w14:paraId="4A820887" w14:textId="77777777" w:rsidR="00E36F43" w:rsidRPr="003E0B98" w:rsidRDefault="00E36F43" w:rsidP="004361AC">
      <w:pPr>
        <w:tabs>
          <w:tab w:val="clear" w:pos="567"/>
        </w:tabs>
        <w:spacing w:line="240" w:lineRule="auto"/>
        <w:rPr>
          <w:iCs/>
          <w:color w:val="000000"/>
          <w:szCs w:val="22"/>
          <w:lang w:val="es-ES_tradnl"/>
        </w:rPr>
      </w:pPr>
      <w:r w:rsidRPr="003E0B98">
        <w:rPr>
          <w:iCs/>
          <w:color w:val="000000"/>
          <w:szCs w:val="22"/>
          <w:lang w:val="es-ES_tradnl"/>
        </w:rPr>
        <w:t>Agua para inyectables</w:t>
      </w:r>
    </w:p>
    <w:p w14:paraId="798E051F" w14:textId="77777777" w:rsidR="00E36F43" w:rsidRPr="003E0B98" w:rsidRDefault="00E36F43" w:rsidP="004361AC">
      <w:pPr>
        <w:tabs>
          <w:tab w:val="clear" w:pos="567"/>
        </w:tabs>
        <w:spacing w:line="240" w:lineRule="auto"/>
        <w:rPr>
          <w:iCs/>
          <w:color w:val="000000"/>
          <w:szCs w:val="22"/>
          <w:lang w:val="es-ES_tradnl"/>
        </w:rPr>
      </w:pPr>
    </w:p>
    <w:p w14:paraId="58676D8C" w14:textId="77777777" w:rsidR="00E36F43" w:rsidRPr="003E0B98" w:rsidRDefault="00E36F43" w:rsidP="004361AC">
      <w:pPr>
        <w:keepNext/>
        <w:tabs>
          <w:tab w:val="clear" w:pos="567"/>
        </w:tabs>
        <w:spacing w:line="240" w:lineRule="auto"/>
        <w:ind w:left="567" w:hanging="567"/>
        <w:rPr>
          <w:color w:val="000000"/>
          <w:szCs w:val="22"/>
          <w:lang w:val="es-ES_tradnl"/>
        </w:rPr>
      </w:pPr>
      <w:r w:rsidRPr="003E0B98">
        <w:rPr>
          <w:b/>
          <w:color w:val="000000"/>
          <w:szCs w:val="22"/>
          <w:lang w:val="es-ES_tradnl"/>
        </w:rPr>
        <w:t>6.2</w:t>
      </w:r>
      <w:r w:rsidRPr="003E0B98">
        <w:rPr>
          <w:b/>
          <w:color w:val="000000"/>
          <w:szCs w:val="22"/>
          <w:lang w:val="es-ES_tradnl"/>
        </w:rPr>
        <w:tab/>
      </w:r>
      <w:r w:rsidRPr="003E0B98">
        <w:rPr>
          <w:b/>
          <w:color w:val="000000"/>
          <w:szCs w:val="22"/>
          <w:lang w:val="es-ES"/>
        </w:rPr>
        <w:t>Incompatibilidades</w:t>
      </w:r>
    </w:p>
    <w:p w14:paraId="12E2744C" w14:textId="77777777" w:rsidR="00E36F43" w:rsidRPr="003E0B98" w:rsidRDefault="00E36F43" w:rsidP="004361AC">
      <w:pPr>
        <w:keepNext/>
        <w:tabs>
          <w:tab w:val="clear" w:pos="567"/>
        </w:tabs>
        <w:spacing w:line="240" w:lineRule="auto"/>
        <w:rPr>
          <w:color w:val="000000"/>
          <w:szCs w:val="22"/>
          <w:lang w:val="es-ES_tradnl"/>
        </w:rPr>
      </w:pPr>
    </w:p>
    <w:p w14:paraId="14943252" w14:textId="77777777" w:rsidR="00E36F43" w:rsidRPr="003E0B98" w:rsidRDefault="00E36F43" w:rsidP="004361AC">
      <w:pPr>
        <w:tabs>
          <w:tab w:val="clear" w:pos="567"/>
        </w:tabs>
        <w:spacing w:line="240" w:lineRule="auto"/>
        <w:rPr>
          <w:color w:val="000000"/>
          <w:szCs w:val="22"/>
          <w:lang w:val="es-ES_tradnl"/>
        </w:rPr>
      </w:pPr>
      <w:r w:rsidRPr="003E0B98">
        <w:rPr>
          <w:noProof/>
          <w:color w:val="000000"/>
          <w:lang w:val="es-ES_tradnl"/>
        </w:rPr>
        <w:t>En ausencia de estudios de compatibilidad, este medicamento no debe mezclarse con otros.</w:t>
      </w:r>
    </w:p>
    <w:p w14:paraId="145B3BCC" w14:textId="77777777" w:rsidR="00E36F43" w:rsidRPr="003E0B98" w:rsidRDefault="00E36F43" w:rsidP="004361AC">
      <w:pPr>
        <w:tabs>
          <w:tab w:val="clear" w:pos="567"/>
        </w:tabs>
        <w:spacing w:line="240" w:lineRule="auto"/>
        <w:rPr>
          <w:color w:val="000000"/>
          <w:szCs w:val="22"/>
          <w:lang w:val="es-ES_tradnl"/>
        </w:rPr>
      </w:pPr>
    </w:p>
    <w:p w14:paraId="0B11C9F1" w14:textId="77777777" w:rsidR="00E36F43" w:rsidRPr="003E0B98" w:rsidRDefault="00E36F43" w:rsidP="004361AC">
      <w:pPr>
        <w:keepNext/>
        <w:tabs>
          <w:tab w:val="clear" w:pos="567"/>
        </w:tabs>
        <w:spacing w:line="240" w:lineRule="auto"/>
        <w:ind w:left="567" w:hanging="567"/>
        <w:rPr>
          <w:color w:val="000000"/>
          <w:szCs w:val="22"/>
          <w:lang w:val="es-ES_tradnl"/>
        </w:rPr>
      </w:pPr>
      <w:r w:rsidRPr="003E0B98">
        <w:rPr>
          <w:b/>
          <w:color w:val="000000"/>
          <w:szCs w:val="22"/>
          <w:lang w:val="es-ES_tradnl"/>
        </w:rPr>
        <w:t>6.3</w:t>
      </w:r>
      <w:r w:rsidRPr="003E0B98">
        <w:rPr>
          <w:b/>
          <w:color w:val="000000"/>
          <w:szCs w:val="22"/>
          <w:lang w:val="es-ES_tradnl"/>
        </w:rPr>
        <w:tab/>
      </w:r>
      <w:r w:rsidRPr="003E0B98">
        <w:rPr>
          <w:b/>
          <w:noProof/>
          <w:color w:val="000000"/>
          <w:lang w:val="es-ES_tradnl"/>
        </w:rPr>
        <w:t>Periodo de validez</w:t>
      </w:r>
    </w:p>
    <w:p w14:paraId="447CEB4E" w14:textId="77777777" w:rsidR="00E36F43" w:rsidRPr="003E0B98" w:rsidRDefault="00E36F43" w:rsidP="004361AC">
      <w:pPr>
        <w:keepNext/>
        <w:tabs>
          <w:tab w:val="clear" w:pos="567"/>
        </w:tabs>
        <w:spacing w:line="240" w:lineRule="auto"/>
        <w:rPr>
          <w:color w:val="000000"/>
          <w:szCs w:val="22"/>
          <w:lang w:val="es-ES_tradnl"/>
        </w:rPr>
      </w:pPr>
    </w:p>
    <w:p w14:paraId="075BF77D" w14:textId="77777777" w:rsidR="00E36F43" w:rsidRPr="003E0B98" w:rsidRDefault="008C6841" w:rsidP="004361AC">
      <w:pPr>
        <w:pStyle w:val="Text"/>
        <w:spacing w:before="0"/>
        <w:jc w:val="left"/>
        <w:rPr>
          <w:color w:val="000000"/>
          <w:sz w:val="22"/>
          <w:szCs w:val="22"/>
          <w:lang w:val="es-ES_tradnl"/>
        </w:rPr>
      </w:pPr>
      <w:r w:rsidRPr="003E0B98">
        <w:rPr>
          <w:noProof/>
          <w:sz w:val="22"/>
          <w:szCs w:val="22"/>
          <w:lang w:val="es-ES_tradnl"/>
        </w:rPr>
        <w:t>3</w:t>
      </w:r>
      <w:r w:rsidR="00E36F43" w:rsidRPr="003E0B98">
        <w:rPr>
          <w:noProof/>
          <w:sz w:val="22"/>
          <w:szCs w:val="22"/>
          <w:lang w:val="es-ES_tradnl"/>
        </w:rPr>
        <w:t> años</w:t>
      </w:r>
    </w:p>
    <w:p w14:paraId="6E323C51" w14:textId="77777777" w:rsidR="00E36F43" w:rsidRPr="003E0B98" w:rsidRDefault="00E36F43" w:rsidP="004361AC">
      <w:pPr>
        <w:tabs>
          <w:tab w:val="clear" w:pos="567"/>
        </w:tabs>
        <w:spacing w:line="240" w:lineRule="auto"/>
        <w:rPr>
          <w:color w:val="000000"/>
          <w:szCs w:val="22"/>
          <w:lang w:val="es-ES_tradnl"/>
        </w:rPr>
      </w:pPr>
    </w:p>
    <w:p w14:paraId="1840DB53" w14:textId="77777777" w:rsidR="00E36F43" w:rsidRPr="003E0B98" w:rsidRDefault="00E36F43" w:rsidP="004361AC">
      <w:pPr>
        <w:keepNext/>
        <w:tabs>
          <w:tab w:val="clear" w:pos="567"/>
        </w:tabs>
        <w:spacing w:line="240" w:lineRule="auto"/>
        <w:ind w:left="567" w:hanging="567"/>
        <w:rPr>
          <w:color w:val="000000"/>
          <w:szCs w:val="22"/>
          <w:lang w:val="es-ES_tradnl"/>
        </w:rPr>
      </w:pPr>
      <w:r w:rsidRPr="003E0B98">
        <w:rPr>
          <w:b/>
          <w:color w:val="000000"/>
          <w:szCs w:val="22"/>
          <w:lang w:val="es-ES_tradnl"/>
        </w:rPr>
        <w:t>6.4</w:t>
      </w:r>
      <w:r w:rsidRPr="003E0B98">
        <w:rPr>
          <w:b/>
          <w:color w:val="000000"/>
          <w:szCs w:val="22"/>
          <w:lang w:val="es-ES_tradnl"/>
        </w:rPr>
        <w:tab/>
      </w:r>
      <w:r w:rsidRPr="003E0B98">
        <w:rPr>
          <w:b/>
          <w:noProof/>
          <w:color w:val="000000"/>
          <w:lang w:val="es-ES_tradnl"/>
        </w:rPr>
        <w:t>Precauciones especiales de conservación</w:t>
      </w:r>
    </w:p>
    <w:p w14:paraId="0B2AC836" w14:textId="77777777" w:rsidR="00E36F43" w:rsidRPr="003E0B98" w:rsidRDefault="00E36F43" w:rsidP="004361AC">
      <w:pPr>
        <w:keepNext/>
        <w:tabs>
          <w:tab w:val="clear" w:pos="567"/>
        </w:tabs>
        <w:spacing w:line="240" w:lineRule="auto"/>
        <w:rPr>
          <w:color w:val="000000"/>
          <w:szCs w:val="22"/>
          <w:lang w:val="es-ES_tradnl"/>
        </w:rPr>
      </w:pPr>
    </w:p>
    <w:p w14:paraId="034F76EB" w14:textId="77777777" w:rsidR="00E36F43" w:rsidRPr="003E0B98" w:rsidRDefault="00E36F43" w:rsidP="004361AC">
      <w:pPr>
        <w:tabs>
          <w:tab w:val="clear" w:pos="567"/>
        </w:tabs>
        <w:spacing w:line="240" w:lineRule="auto"/>
        <w:rPr>
          <w:rFonts w:eastAsia="Batang"/>
          <w:color w:val="000000"/>
          <w:szCs w:val="22"/>
          <w:lang w:val="es-ES_tradnl"/>
        </w:rPr>
      </w:pPr>
      <w:r w:rsidRPr="003E0B98">
        <w:rPr>
          <w:color w:val="000000"/>
          <w:szCs w:val="22"/>
          <w:lang w:val="es-ES_tradnl"/>
        </w:rPr>
        <w:t>Conservar en nevera (entre 2</w:t>
      </w:r>
      <w:r w:rsidRPr="003E0B98">
        <w:rPr>
          <w:color w:val="000000"/>
          <w:szCs w:val="22"/>
        </w:rPr>
        <w:sym w:font="Symbol" w:char="F0B0"/>
      </w:r>
      <w:r w:rsidRPr="003E0B98">
        <w:rPr>
          <w:color w:val="000000"/>
          <w:szCs w:val="22"/>
          <w:lang w:val="es-ES_tradnl"/>
        </w:rPr>
        <w:t>C y 8</w:t>
      </w:r>
      <w:r w:rsidRPr="003E0B98">
        <w:rPr>
          <w:color w:val="000000"/>
          <w:szCs w:val="22"/>
        </w:rPr>
        <w:sym w:font="Symbol" w:char="F0B0"/>
      </w:r>
      <w:r w:rsidRPr="003E0B98">
        <w:rPr>
          <w:color w:val="000000"/>
          <w:szCs w:val="22"/>
          <w:lang w:val="es-ES_tradnl"/>
        </w:rPr>
        <w:t>C).</w:t>
      </w:r>
    </w:p>
    <w:p w14:paraId="1A91CACC" w14:textId="77777777" w:rsidR="00E36F43" w:rsidRPr="003E0B98" w:rsidRDefault="00E36F43" w:rsidP="004361AC">
      <w:pPr>
        <w:tabs>
          <w:tab w:val="clear" w:pos="567"/>
        </w:tabs>
        <w:spacing w:line="240" w:lineRule="auto"/>
        <w:rPr>
          <w:color w:val="000000"/>
          <w:szCs w:val="22"/>
          <w:lang w:val="es-ES_tradnl"/>
        </w:rPr>
      </w:pPr>
      <w:r w:rsidRPr="003E0B98">
        <w:rPr>
          <w:color w:val="000000"/>
          <w:szCs w:val="22"/>
          <w:lang w:val="es-ES_tradnl"/>
        </w:rPr>
        <w:t>No congelar.</w:t>
      </w:r>
    </w:p>
    <w:p w14:paraId="661DBB24" w14:textId="77777777" w:rsidR="00E36F43" w:rsidRPr="003E0B98" w:rsidRDefault="00E36F43" w:rsidP="004361AC">
      <w:pPr>
        <w:tabs>
          <w:tab w:val="clear" w:pos="567"/>
        </w:tabs>
        <w:spacing w:line="240" w:lineRule="auto"/>
        <w:rPr>
          <w:color w:val="000000"/>
          <w:szCs w:val="22"/>
          <w:lang w:val="es-ES_tradnl"/>
        </w:rPr>
      </w:pPr>
      <w:r w:rsidRPr="003E0B98">
        <w:rPr>
          <w:color w:val="000000"/>
          <w:szCs w:val="22"/>
          <w:lang w:val="es-ES_tradnl"/>
        </w:rPr>
        <w:t xml:space="preserve">Conservar </w:t>
      </w:r>
      <w:r w:rsidR="00CF133C" w:rsidRPr="003E0B98">
        <w:rPr>
          <w:color w:val="000000"/>
          <w:szCs w:val="22"/>
          <w:lang w:val="es-ES_tradnl"/>
        </w:rPr>
        <w:t>la jeringa precargada en su bandeja sellada</w:t>
      </w:r>
      <w:r w:rsidRPr="003E0B98">
        <w:rPr>
          <w:color w:val="000000"/>
          <w:szCs w:val="22"/>
          <w:lang w:val="es-ES_tradnl"/>
        </w:rPr>
        <w:t xml:space="preserve"> en </w:t>
      </w:r>
      <w:r w:rsidR="00B364A3" w:rsidRPr="003E0B98">
        <w:rPr>
          <w:color w:val="000000"/>
          <w:szCs w:val="22"/>
          <w:lang w:val="es-ES_tradnl"/>
        </w:rPr>
        <w:t>la caja</w:t>
      </w:r>
      <w:r w:rsidR="00586A99" w:rsidRPr="003E0B98">
        <w:rPr>
          <w:color w:val="000000"/>
          <w:szCs w:val="22"/>
          <w:lang w:val="es-ES_tradnl"/>
        </w:rPr>
        <w:t xml:space="preserve"> </w:t>
      </w:r>
      <w:r w:rsidRPr="003E0B98">
        <w:rPr>
          <w:color w:val="000000"/>
          <w:szCs w:val="22"/>
          <w:lang w:val="es-ES_tradnl"/>
        </w:rPr>
        <w:t>para protegerlo de la luz.</w:t>
      </w:r>
    </w:p>
    <w:p w14:paraId="1DA14C6A" w14:textId="77777777" w:rsidR="00CF133C" w:rsidRPr="003E0B98" w:rsidRDefault="007C730F" w:rsidP="004361AC">
      <w:pPr>
        <w:tabs>
          <w:tab w:val="clear" w:pos="567"/>
        </w:tabs>
        <w:spacing w:line="240" w:lineRule="auto"/>
        <w:rPr>
          <w:color w:val="000000"/>
          <w:szCs w:val="22"/>
          <w:lang w:val="es-ES"/>
        </w:rPr>
      </w:pPr>
      <w:r w:rsidRPr="003E0B98">
        <w:rPr>
          <w:color w:val="000000"/>
          <w:szCs w:val="22"/>
          <w:lang w:val="es-ES_tradnl"/>
        </w:rPr>
        <w:t>Antes de usar</w:t>
      </w:r>
      <w:r w:rsidR="00CF133C" w:rsidRPr="003E0B98">
        <w:rPr>
          <w:color w:val="000000"/>
          <w:szCs w:val="22"/>
          <w:lang w:val="es-ES_tradnl"/>
        </w:rPr>
        <w:t xml:space="preserve">, la bandeja sin abrir </w:t>
      </w:r>
      <w:r w:rsidR="00AB045D" w:rsidRPr="003E0B98">
        <w:rPr>
          <w:color w:val="000000"/>
          <w:szCs w:val="22"/>
          <w:lang w:val="es-ES_tradnl"/>
        </w:rPr>
        <w:t xml:space="preserve">se </w:t>
      </w:r>
      <w:r w:rsidR="00CF133C" w:rsidRPr="003E0B98">
        <w:rPr>
          <w:color w:val="000000"/>
          <w:szCs w:val="22"/>
          <w:lang w:val="es-ES_tradnl"/>
        </w:rPr>
        <w:t>puede conservar a temperatura ambiente (</w:t>
      </w:r>
      <w:r w:rsidR="00CF133C" w:rsidRPr="003E0B98">
        <w:rPr>
          <w:color w:val="000000"/>
          <w:szCs w:val="22"/>
          <w:lang w:val="es-ES"/>
        </w:rPr>
        <w:t>25°C) durante un máximo de 24 horas.</w:t>
      </w:r>
    </w:p>
    <w:p w14:paraId="4FFD4D68" w14:textId="77777777" w:rsidR="00E36F43" w:rsidRPr="003E0B98" w:rsidRDefault="00E36F43" w:rsidP="004361AC">
      <w:pPr>
        <w:tabs>
          <w:tab w:val="clear" w:pos="567"/>
        </w:tabs>
        <w:spacing w:line="240" w:lineRule="auto"/>
        <w:rPr>
          <w:color w:val="000000"/>
          <w:szCs w:val="22"/>
          <w:lang w:val="es-ES_tradnl"/>
        </w:rPr>
      </w:pPr>
    </w:p>
    <w:p w14:paraId="438F72E3" w14:textId="77777777" w:rsidR="00E36F43" w:rsidRPr="003E0B98" w:rsidRDefault="00E36F43" w:rsidP="004361AC">
      <w:pPr>
        <w:keepNext/>
        <w:tabs>
          <w:tab w:val="clear" w:pos="567"/>
        </w:tabs>
        <w:spacing w:line="240" w:lineRule="auto"/>
        <w:ind w:left="567" w:hanging="567"/>
        <w:rPr>
          <w:b/>
          <w:color w:val="000000"/>
          <w:szCs w:val="22"/>
          <w:lang w:val="es-ES_tradnl"/>
        </w:rPr>
      </w:pPr>
      <w:r w:rsidRPr="003E0B98">
        <w:rPr>
          <w:b/>
          <w:color w:val="000000"/>
          <w:szCs w:val="22"/>
          <w:lang w:val="es-ES"/>
        </w:rPr>
        <w:t>6.5</w:t>
      </w:r>
      <w:r w:rsidRPr="003E0B98">
        <w:rPr>
          <w:b/>
          <w:color w:val="000000"/>
          <w:szCs w:val="22"/>
          <w:lang w:val="es-ES"/>
        </w:rPr>
        <w:tab/>
        <w:t xml:space="preserve">Naturaleza y contenido del </w:t>
      </w:r>
      <w:r w:rsidRPr="003E0B98">
        <w:rPr>
          <w:b/>
          <w:color w:val="000000"/>
          <w:szCs w:val="22"/>
          <w:lang w:val="es-ES_tradnl"/>
        </w:rPr>
        <w:t>envase</w:t>
      </w:r>
    </w:p>
    <w:p w14:paraId="71373BB7" w14:textId="77777777" w:rsidR="00E36F43" w:rsidRPr="003E0B98" w:rsidRDefault="00E36F43" w:rsidP="004361AC">
      <w:pPr>
        <w:keepNext/>
        <w:tabs>
          <w:tab w:val="clear" w:pos="567"/>
        </w:tabs>
        <w:spacing w:line="240" w:lineRule="auto"/>
        <w:rPr>
          <w:iCs/>
          <w:color w:val="000000"/>
          <w:szCs w:val="22"/>
          <w:lang w:val="es-ES_tradnl"/>
        </w:rPr>
      </w:pPr>
    </w:p>
    <w:p w14:paraId="6EFABFBB" w14:textId="77777777" w:rsidR="00E36F43" w:rsidRPr="003E0B98" w:rsidRDefault="0033492C" w:rsidP="004361AC">
      <w:pPr>
        <w:tabs>
          <w:tab w:val="clear" w:pos="567"/>
        </w:tabs>
        <w:spacing w:line="240" w:lineRule="auto"/>
        <w:rPr>
          <w:color w:val="000000"/>
          <w:szCs w:val="22"/>
          <w:lang w:val="es-ES_tradnl"/>
        </w:rPr>
      </w:pPr>
      <w:r w:rsidRPr="003E0B98">
        <w:rPr>
          <w:color w:val="000000"/>
          <w:szCs w:val="22"/>
          <w:lang w:val="es-ES_tradnl"/>
        </w:rPr>
        <w:t>0,165 ml de solución estéril en una jeringa precargada (vidrio tipo I)</w:t>
      </w:r>
      <w:r w:rsidR="00FC5EA3" w:rsidRPr="003E0B98">
        <w:rPr>
          <w:color w:val="000000"/>
          <w:szCs w:val="22"/>
          <w:lang w:val="es-ES_tradnl"/>
        </w:rPr>
        <w:t xml:space="preserve"> con un </w:t>
      </w:r>
      <w:r w:rsidR="001C437C" w:rsidRPr="003E0B98">
        <w:rPr>
          <w:color w:val="000000"/>
          <w:szCs w:val="22"/>
          <w:lang w:val="es-ES_tradnl"/>
        </w:rPr>
        <w:t>tapón</w:t>
      </w:r>
      <w:r w:rsidRPr="003E0B98">
        <w:rPr>
          <w:color w:val="000000"/>
          <w:szCs w:val="22"/>
          <w:lang w:val="es-ES_tradnl"/>
        </w:rPr>
        <w:t xml:space="preserve"> </w:t>
      </w:r>
      <w:r w:rsidR="00E5012B" w:rsidRPr="003E0B98">
        <w:rPr>
          <w:color w:val="000000"/>
          <w:szCs w:val="22"/>
          <w:lang w:val="es-ES_tradnl"/>
        </w:rPr>
        <w:t>con</w:t>
      </w:r>
      <w:r w:rsidRPr="003E0B98">
        <w:rPr>
          <w:color w:val="000000"/>
          <w:szCs w:val="22"/>
          <w:lang w:val="es-ES_tradnl"/>
        </w:rPr>
        <w:t xml:space="preserve"> émbolo de </w:t>
      </w:r>
      <w:r w:rsidR="00BA5F1F" w:rsidRPr="003E0B98">
        <w:rPr>
          <w:color w:val="000000"/>
          <w:szCs w:val="22"/>
          <w:lang w:val="es-ES_tradnl"/>
        </w:rPr>
        <w:t xml:space="preserve">goma de </w:t>
      </w:r>
      <w:proofErr w:type="spellStart"/>
      <w:r w:rsidR="00BA5F1F" w:rsidRPr="003E0B98">
        <w:rPr>
          <w:color w:val="000000"/>
          <w:szCs w:val="22"/>
          <w:lang w:val="es-ES_tradnl"/>
        </w:rPr>
        <w:t>bromo</w:t>
      </w:r>
      <w:r w:rsidRPr="003E0B98">
        <w:rPr>
          <w:color w:val="000000"/>
          <w:szCs w:val="22"/>
          <w:lang w:val="es-ES_tradnl"/>
        </w:rPr>
        <w:t>butilo</w:t>
      </w:r>
      <w:proofErr w:type="spellEnd"/>
      <w:r w:rsidRPr="003E0B98">
        <w:rPr>
          <w:color w:val="000000"/>
          <w:szCs w:val="22"/>
          <w:lang w:val="es-ES_tradnl"/>
        </w:rPr>
        <w:t xml:space="preserve"> y </w:t>
      </w:r>
      <w:r w:rsidR="00E5012B" w:rsidRPr="003E0B98">
        <w:rPr>
          <w:color w:val="000000"/>
          <w:szCs w:val="22"/>
          <w:lang w:val="es-ES_tradnl"/>
        </w:rPr>
        <w:t>una cápsula de cierre</w:t>
      </w:r>
      <w:r w:rsidRPr="003E0B98">
        <w:rPr>
          <w:color w:val="000000"/>
          <w:szCs w:val="22"/>
          <w:lang w:val="es-ES_tradnl"/>
        </w:rPr>
        <w:t xml:space="preserve"> de la jeringa</w:t>
      </w:r>
      <w:r w:rsidR="00041219" w:rsidRPr="003E0B98">
        <w:rPr>
          <w:color w:val="000000"/>
          <w:szCs w:val="22"/>
          <w:lang w:val="es-ES_tradnl"/>
        </w:rPr>
        <w:t xml:space="preserve"> que consiste en un</w:t>
      </w:r>
      <w:r w:rsidR="00237C74" w:rsidRPr="003E0B98">
        <w:rPr>
          <w:color w:val="000000"/>
          <w:szCs w:val="22"/>
          <w:lang w:val="es-ES_tradnl"/>
        </w:rPr>
        <w:t xml:space="preserve"> </w:t>
      </w:r>
      <w:r w:rsidR="00041219" w:rsidRPr="003E0B98">
        <w:rPr>
          <w:color w:val="000000"/>
          <w:szCs w:val="22"/>
          <w:lang w:val="es-ES_tradnl"/>
        </w:rPr>
        <w:t>cierre rígido</w:t>
      </w:r>
      <w:r w:rsidR="00237C74" w:rsidRPr="003E0B98">
        <w:rPr>
          <w:color w:val="000000"/>
          <w:szCs w:val="22"/>
          <w:lang w:val="es-ES_tradnl"/>
        </w:rPr>
        <w:t xml:space="preserve"> blanco</w:t>
      </w:r>
      <w:r w:rsidR="00041219" w:rsidRPr="003E0B98">
        <w:rPr>
          <w:color w:val="000000"/>
          <w:szCs w:val="22"/>
          <w:lang w:val="es-ES_tradnl"/>
        </w:rPr>
        <w:t xml:space="preserve"> </w:t>
      </w:r>
      <w:r w:rsidR="00483975" w:rsidRPr="003E0B98">
        <w:rPr>
          <w:color w:val="000000"/>
          <w:szCs w:val="22"/>
          <w:lang w:val="es-ES_tradnl"/>
        </w:rPr>
        <w:t>con</w:t>
      </w:r>
      <w:r w:rsidR="00041219" w:rsidRPr="003E0B98">
        <w:rPr>
          <w:color w:val="000000"/>
          <w:szCs w:val="22"/>
          <w:lang w:val="es-ES_tradnl"/>
        </w:rPr>
        <w:t xml:space="preserve"> precinto</w:t>
      </w:r>
      <w:r w:rsidR="00237C74" w:rsidRPr="003E0B98">
        <w:rPr>
          <w:color w:val="000000"/>
          <w:szCs w:val="22"/>
          <w:lang w:val="es-ES_tradnl"/>
        </w:rPr>
        <w:t xml:space="preserve"> de s</w:t>
      </w:r>
      <w:r w:rsidR="00B5224A" w:rsidRPr="003E0B98">
        <w:rPr>
          <w:color w:val="000000"/>
          <w:szCs w:val="22"/>
          <w:lang w:val="es-ES_tradnl"/>
        </w:rPr>
        <w:t>e</w:t>
      </w:r>
      <w:r w:rsidR="00237C74" w:rsidRPr="003E0B98">
        <w:rPr>
          <w:color w:val="000000"/>
          <w:szCs w:val="22"/>
          <w:lang w:val="es-ES_tradnl"/>
        </w:rPr>
        <w:t>guridad</w:t>
      </w:r>
      <w:r w:rsidR="00041219" w:rsidRPr="003E0B98">
        <w:rPr>
          <w:color w:val="000000"/>
          <w:szCs w:val="22"/>
          <w:lang w:val="es-ES_tradnl"/>
        </w:rPr>
        <w:t xml:space="preserve"> con un </w:t>
      </w:r>
      <w:r w:rsidR="00B5224A" w:rsidRPr="003E0B98">
        <w:rPr>
          <w:color w:val="000000"/>
          <w:szCs w:val="22"/>
          <w:lang w:val="es-ES_tradnl"/>
        </w:rPr>
        <w:t>tap</w:t>
      </w:r>
      <w:r w:rsidR="00884421" w:rsidRPr="003E0B98">
        <w:rPr>
          <w:color w:val="000000"/>
          <w:szCs w:val="22"/>
          <w:lang w:val="es-ES_tradnl"/>
        </w:rPr>
        <w:t>ón</w:t>
      </w:r>
      <w:r w:rsidR="00041219" w:rsidRPr="003E0B98">
        <w:rPr>
          <w:color w:val="000000"/>
          <w:szCs w:val="22"/>
          <w:lang w:val="es-ES_tradnl"/>
        </w:rPr>
        <w:t xml:space="preserve"> de goma de </w:t>
      </w:r>
      <w:proofErr w:type="spellStart"/>
      <w:r w:rsidR="00041219" w:rsidRPr="003E0B98">
        <w:rPr>
          <w:color w:val="000000"/>
          <w:szCs w:val="22"/>
          <w:lang w:val="es-ES_tradnl"/>
        </w:rPr>
        <w:t>bromobutilo</w:t>
      </w:r>
      <w:proofErr w:type="spellEnd"/>
      <w:r w:rsidR="00041219" w:rsidRPr="003E0B98">
        <w:rPr>
          <w:color w:val="000000"/>
          <w:szCs w:val="22"/>
          <w:lang w:val="es-ES_tradnl"/>
        </w:rPr>
        <w:t xml:space="preserve"> gris </w:t>
      </w:r>
      <w:r w:rsidR="00B5224A" w:rsidRPr="003E0B98">
        <w:rPr>
          <w:color w:val="000000"/>
          <w:szCs w:val="22"/>
          <w:lang w:val="es-ES_tradnl"/>
        </w:rPr>
        <w:t xml:space="preserve">y </w:t>
      </w:r>
      <w:r w:rsidR="00041219" w:rsidRPr="003E0B98">
        <w:rPr>
          <w:color w:val="000000"/>
          <w:szCs w:val="22"/>
          <w:lang w:val="es-ES_tradnl"/>
        </w:rPr>
        <w:t xml:space="preserve">que incluye un adaptador </w:t>
      </w:r>
      <w:proofErr w:type="spellStart"/>
      <w:r w:rsidR="00041219" w:rsidRPr="003E0B98">
        <w:rPr>
          <w:color w:val="000000"/>
          <w:szCs w:val="22"/>
          <w:lang w:val="es-ES_tradnl"/>
        </w:rPr>
        <w:t>Luer</w:t>
      </w:r>
      <w:proofErr w:type="spellEnd"/>
      <w:r w:rsidR="00041219" w:rsidRPr="003E0B98">
        <w:rPr>
          <w:color w:val="000000"/>
          <w:szCs w:val="22"/>
          <w:lang w:val="es-ES_tradnl"/>
        </w:rPr>
        <w:t xml:space="preserve"> </w:t>
      </w:r>
      <w:proofErr w:type="spellStart"/>
      <w:r w:rsidR="00041219" w:rsidRPr="003E0B98">
        <w:rPr>
          <w:color w:val="000000"/>
          <w:szCs w:val="22"/>
          <w:lang w:val="es-ES_tradnl"/>
        </w:rPr>
        <w:t>Lock</w:t>
      </w:r>
      <w:proofErr w:type="spellEnd"/>
      <w:r w:rsidR="00BD1374" w:rsidRPr="003E0B98">
        <w:rPr>
          <w:color w:val="000000"/>
          <w:szCs w:val="22"/>
          <w:lang w:val="es-ES_tradnl"/>
        </w:rPr>
        <w:t xml:space="preserve">. La jeringa precargada tiene un émbolo </w:t>
      </w:r>
      <w:r w:rsidR="00DF6EBC" w:rsidRPr="003E0B98">
        <w:rPr>
          <w:color w:val="000000"/>
          <w:szCs w:val="22"/>
          <w:lang w:val="es-ES_tradnl"/>
        </w:rPr>
        <w:t>y una aleta de sujeción</w:t>
      </w:r>
      <w:r w:rsidR="00B5224A" w:rsidRPr="003E0B98">
        <w:rPr>
          <w:color w:val="000000"/>
          <w:szCs w:val="22"/>
          <w:lang w:val="es-ES_tradnl"/>
        </w:rPr>
        <w:t>,</w:t>
      </w:r>
      <w:r w:rsidR="00BD1374" w:rsidRPr="003E0B98">
        <w:rPr>
          <w:color w:val="000000"/>
          <w:szCs w:val="22"/>
          <w:lang w:val="es-ES_tradnl"/>
        </w:rPr>
        <w:t xml:space="preserve"> y se </w:t>
      </w:r>
      <w:r w:rsidR="00B5224A" w:rsidRPr="003E0B98">
        <w:rPr>
          <w:color w:val="000000"/>
          <w:szCs w:val="22"/>
          <w:lang w:val="es-ES_tradnl"/>
        </w:rPr>
        <w:t>envasa</w:t>
      </w:r>
      <w:r w:rsidR="00BD1374" w:rsidRPr="003E0B98">
        <w:rPr>
          <w:color w:val="000000"/>
          <w:szCs w:val="22"/>
          <w:lang w:val="es-ES_tradnl"/>
        </w:rPr>
        <w:t xml:space="preserve"> en una bandeja</w:t>
      </w:r>
      <w:r w:rsidR="00DF22EC" w:rsidRPr="003E0B98">
        <w:rPr>
          <w:color w:val="000000"/>
          <w:szCs w:val="22"/>
          <w:lang w:val="es-ES_tradnl"/>
        </w:rPr>
        <w:t xml:space="preserve"> contenedora</w:t>
      </w:r>
      <w:r w:rsidR="00BD1374" w:rsidRPr="003E0B98">
        <w:rPr>
          <w:color w:val="000000"/>
          <w:szCs w:val="22"/>
          <w:lang w:val="es-ES_tradnl"/>
        </w:rPr>
        <w:t xml:space="preserve"> sellada.</w:t>
      </w:r>
    </w:p>
    <w:p w14:paraId="249A6AA3" w14:textId="77777777" w:rsidR="005B3195" w:rsidRPr="003E0B98" w:rsidRDefault="005B3195" w:rsidP="004361AC">
      <w:pPr>
        <w:tabs>
          <w:tab w:val="clear" w:pos="567"/>
        </w:tabs>
        <w:spacing w:line="240" w:lineRule="auto"/>
        <w:rPr>
          <w:color w:val="000000"/>
          <w:szCs w:val="22"/>
          <w:lang w:val="es-ES_tradnl"/>
        </w:rPr>
      </w:pPr>
    </w:p>
    <w:p w14:paraId="52F9B2E0" w14:textId="77777777" w:rsidR="00E36F43" w:rsidRPr="003E0B98" w:rsidRDefault="00E03274" w:rsidP="004361AC">
      <w:pPr>
        <w:tabs>
          <w:tab w:val="clear" w:pos="567"/>
        </w:tabs>
        <w:spacing w:line="240" w:lineRule="auto"/>
        <w:rPr>
          <w:color w:val="000000"/>
          <w:szCs w:val="22"/>
          <w:lang w:val="es-ES_tradnl"/>
        </w:rPr>
      </w:pPr>
      <w:r w:rsidRPr="003E0B98">
        <w:rPr>
          <w:color w:val="000000"/>
          <w:szCs w:val="22"/>
          <w:lang w:val="es-ES_tradnl"/>
        </w:rPr>
        <w:t>Tamaño de envase:</w:t>
      </w:r>
      <w:r w:rsidR="005B3195" w:rsidRPr="003E0B98">
        <w:rPr>
          <w:color w:val="000000"/>
          <w:szCs w:val="22"/>
          <w:lang w:val="es-ES_tradnl"/>
        </w:rPr>
        <w:t xml:space="preserve"> una jeringa precargada.</w:t>
      </w:r>
    </w:p>
    <w:p w14:paraId="5050160A" w14:textId="77777777" w:rsidR="005B3195" w:rsidRPr="003E0B98" w:rsidRDefault="005B3195" w:rsidP="004361AC">
      <w:pPr>
        <w:tabs>
          <w:tab w:val="clear" w:pos="567"/>
        </w:tabs>
        <w:spacing w:line="240" w:lineRule="auto"/>
        <w:rPr>
          <w:color w:val="000000"/>
          <w:szCs w:val="22"/>
          <w:lang w:val="es-ES_tradnl"/>
        </w:rPr>
      </w:pPr>
    </w:p>
    <w:p w14:paraId="2B6A4F3B" w14:textId="77777777" w:rsidR="00E36F43" w:rsidRPr="003E0B98" w:rsidRDefault="00E36F43" w:rsidP="004361AC">
      <w:pPr>
        <w:keepNext/>
        <w:tabs>
          <w:tab w:val="clear" w:pos="567"/>
        </w:tabs>
        <w:spacing w:line="240" w:lineRule="auto"/>
        <w:ind w:left="567" w:hanging="567"/>
        <w:rPr>
          <w:color w:val="000000"/>
          <w:szCs w:val="22"/>
          <w:lang w:val="es-ES_tradnl"/>
        </w:rPr>
      </w:pPr>
      <w:r w:rsidRPr="003E0B98">
        <w:rPr>
          <w:b/>
          <w:color w:val="000000"/>
          <w:szCs w:val="22"/>
          <w:lang w:val="es-ES_tradnl"/>
        </w:rPr>
        <w:t>6.6</w:t>
      </w:r>
      <w:r w:rsidRPr="003E0B98">
        <w:rPr>
          <w:b/>
          <w:color w:val="000000"/>
          <w:szCs w:val="22"/>
          <w:lang w:val="es-ES_tradnl"/>
        </w:rPr>
        <w:tab/>
      </w:r>
      <w:r w:rsidRPr="003E0B98">
        <w:rPr>
          <w:b/>
          <w:color w:val="000000"/>
          <w:szCs w:val="22"/>
          <w:lang w:val="es-ES"/>
        </w:rPr>
        <w:t>Precauciones especiales de eliminación y otras manipulaciones</w:t>
      </w:r>
    </w:p>
    <w:p w14:paraId="286E5CDB" w14:textId="77777777" w:rsidR="00E36F43" w:rsidRPr="003E0B98" w:rsidRDefault="00E36F43" w:rsidP="004361AC">
      <w:pPr>
        <w:keepNext/>
        <w:tabs>
          <w:tab w:val="clear" w:pos="567"/>
        </w:tabs>
        <w:spacing w:line="240" w:lineRule="auto"/>
        <w:rPr>
          <w:color w:val="000000"/>
          <w:szCs w:val="22"/>
          <w:lang w:val="es-ES_tradnl"/>
        </w:rPr>
      </w:pPr>
    </w:p>
    <w:p w14:paraId="2CED0FE8" w14:textId="77777777" w:rsidR="00E36F43" w:rsidRPr="003E0B98" w:rsidRDefault="002A1BB5" w:rsidP="004361AC">
      <w:pPr>
        <w:tabs>
          <w:tab w:val="clear" w:pos="567"/>
        </w:tabs>
        <w:spacing w:line="240" w:lineRule="auto"/>
        <w:rPr>
          <w:color w:val="000000"/>
          <w:szCs w:val="22"/>
          <w:lang w:val="es-ES_tradnl"/>
        </w:rPr>
      </w:pPr>
      <w:r w:rsidRPr="003E0B98">
        <w:rPr>
          <w:color w:val="000000"/>
          <w:szCs w:val="22"/>
          <w:lang w:val="es-ES_tradnl"/>
        </w:rPr>
        <w:t>La jeringa precargada es</w:t>
      </w:r>
      <w:r w:rsidR="00E36F43" w:rsidRPr="003E0B98">
        <w:rPr>
          <w:color w:val="000000"/>
          <w:szCs w:val="22"/>
          <w:lang w:val="es-ES_tradnl"/>
        </w:rPr>
        <w:t xml:space="preserve"> para un solo uso. </w:t>
      </w:r>
      <w:r w:rsidRPr="003E0B98">
        <w:rPr>
          <w:color w:val="000000"/>
          <w:szCs w:val="22"/>
          <w:lang w:val="es-ES_tradnl"/>
        </w:rPr>
        <w:t>La jeringa precargada es</w:t>
      </w:r>
      <w:r w:rsidR="00E36F43" w:rsidRPr="003E0B98">
        <w:rPr>
          <w:color w:val="000000"/>
          <w:szCs w:val="22"/>
          <w:lang w:val="es-ES_tradnl"/>
        </w:rPr>
        <w:t xml:space="preserve"> estéril</w:t>
      </w:r>
      <w:r w:rsidR="00586A99" w:rsidRPr="003E0B98">
        <w:rPr>
          <w:color w:val="000000"/>
          <w:szCs w:val="22"/>
          <w:lang w:val="es-ES_tradnl"/>
        </w:rPr>
        <w:t>.</w:t>
      </w:r>
      <w:r w:rsidR="00E36F43" w:rsidRPr="003E0B98">
        <w:rPr>
          <w:color w:val="000000"/>
          <w:szCs w:val="22"/>
          <w:lang w:val="es-ES_tradnl"/>
        </w:rPr>
        <w:t xml:space="preserve"> </w:t>
      </w:r>
      <w:r w:rsidRPr="003E0B98">
        <w:rPr>
          <w:color w:val="000000"/>
          <w:szCs w:val="22"/>
          <w:lang w:val="es-ES_tradnl"/>
        </w:rPr>
        <w:t>No use el producto si el envase está deteriorado</w:t>
      </w:r>
      <w:r w:rsidR="00712517" w:rsidRPr="003E0B98">
        <w:rPr>
          <w:color w:val="000000"/>
          <w:szCs w:val="22"/>
          <w:lang w:val="es-ES_tradnl"/>
        </w:rPr>
        <w:t xml:space="preserve">. </w:t>
      </w:r>
      <w:r w:rsidR="00E36F43" w:rsidRPr="003E0B98">
        <w:rPr>
          <w:color w:val="000000"/>
          <w:szCs w:val="22"/>
          <w:lang w:val="es-ES_tradnl"/>
        </w:rPr>
        <w:t xml:space="preserve">La esterilidad </w:t>
      </w:r>
      <w:r w:rsidR="00712517" w:rsidRPr="003E0B98">
        <w:rPr>
          <w:color w:val="000000"/>
          <w:szCs w:val="22"/>
          <w:lang w:val="es-ES_tradnl"/>
        </w:rPr>
        <w:t xml:space="preserve">de la jeringa precargada </w:t>
      </w:r>
      <w:r w:rsidR="00E36F43" w:rsidRPr="003E0B98">
        <w:rPr>
          <w:color w:val="000000"/>
          <w:szCs w:val="22"/>
          <w:lang w:val="es-ES_tradnl"/>
        </w:rPr>
        <w:t xml:space="preserve">sólo se puede garantizar si </w:t>
      </w:r>
      <w:r w:rsidR="00712517" w:rsidRPr="003E0B98">
        <w:rPr>
          <w:color w:val="000000"/>
          <w:szCs w:val="22"/>
          <w:lang w:val="es-ES_tradnl"/>
        </w:rPr>
        <w:t>la bandeja</w:t>
      </w:r>
      <w:r w:rsidR="00E36F43" w:rsidRPr="003E0B98">
        <w:rPr>
          <w:color w:val="000000"/>
          <w:szCs w:val="22"/>
          <w:lang w:val="es-ES_tradnl"/>
        </w:rPr>
        <w:t xml:space="preserve"> se mantiene </w:t>
      </w:r>
      <w:r w:rsidR="00712517" w:rsidRPr="003E0B98">
        <w:rPr>
          <w:color w:val="000000"/>
          <w:szCs w:val="22"/>
          <w:lang w:val="es-ES_tradnl"/>
        </w:rPr>
        <w:t>sellada</w:t>
      </w:r>
      <w:r w:rsidR="00E36F43" w:rsidRPr="003E0B98">
        <w:rPr>
          <w:color w:val="000000"/>
          <w:szCs w:val="22"/>
          <w:lang w:val="es-ES_tradnl"/>
        </w:rPr>
        <w:t>.</w:t>
      </w:r>
      <w:r w:rsidR="00712517" w:rsidRPr="003E0B98">
        <w:rPr>
          <w:color w:val="000000"/>
          <w:szCs w:val="22"/>
          <w:lang w:val="es-ES_tradnl"/>
        </w:rPr>
        <w:t xml:space="preserve"> No use la jeringa precargada si la solución ha cambiado de color</w:t>
      </w:r>
      <w:r w:rsidR="0084127E" w:rsidRPr="003E0B98">
        <w:rPr>
          <w:color w:val="000000"/>
          <w:szCs w:val="22"/>
          <w:lang w:val="es-ES_tradnl"/>
        </w:rPr>
        <w:t>, está turbia o contiene partículas.</w:t>
      </w:r>
    </w:p>
    <w:p w14:paraId="1D8802A9" w14:textId="77777777" w:rsidR="004F7BD7" w:rsidRPr="003E0B98" w:rsidRDefault="004F7BD7" w:rsidP="004361AC">
      <w:pPr>
        <w:tabs>
          <w:tab w:val="clear" w:pos="567"/>
        </w:tabs>
        <w:spacing w:line="240" w:lineRule="auto"/>
        <w:rPr>
          <w:color w:val="000000"/>
          <w:szCs w:val="22"/>
          <w:lang w:val="es-ES_tradnl"/>
        </w:rPr>
      </w:pPr>
    </w:p>
    <w:p w14:paraId="05DADCE6" w14:textId="77777777" w:rsidR="004F7BD7" w:rsidRPr="003E0B98" w:rsidRDefault="004F7BD7" w:rsidP="004361AC">
      <w:pPr>
        <w:tabs>
          <w:tab w:val="clear" w:pos="567"/>
        </w:tabs>
        <w:spacing w:line="240" w:lineRule="auto"/>
        <w:rPr>
          <w:color w:val="000000"/>
          <w:szCs w:val="22"/>
          <w:lang w:val="es-ES"/>
        </w:rPr>
      </w:pPr>
      <w:r w:rsidRPr="003E0B98">
        <w:rPr>
          <w:color w:val="000000"/>
          <w:szCs w:val="22"/>
          <w:lang w:val="es-ES"/>
        </w:rPr>
        <w:t>La jeringa precargada contiene más cantidad que la dosis recomendada de 0,5 mg. El volumen extraíble de la jeringa precargada (</w:t>
      </w:r>
      <w:r w:rsidR="00320E58" w:rsidRPr="003E0B98">
        <w:rPr>
          <w:color w:val="000000"/>
          <w:szCs w:val="22"/>
          <w:lang w:val="es-ES"/>
        </w:rPr>
        <w:t>0,1 ml</w:t>
      </w:r>
      <w:r w:rsidRPr="003E0B98">
        <w:rPr>
          <w:color w:val="000000"/>
          <w:szCs w:val="22"/>
          <w:lang w:val="es-ES"/>
        </w:rPr>
        <w:t xml:space="preserve">) no se administrará en su totalidad. El exceso de volumen </w:t>
      </w:r>
      <w:r w:rsidR="00F07B28" w:rsidRPr="003E0B98">
        <w:rPr>
          <w:color w:val="000000"/>
          <w:szCs w:val="22"/>
          <w:lang w:val="es-ES"/>
        </w:rPr>
        <w:t>se debe expulsar</w:t>
      </w:r>
      <w:r w:rsidRPr="003E0B98">
        <w:rPr>
          <w:color w:val="000000"/>
          <w:szCs w:val="22"/>
          <w:lang w:val="es-ES"/>
        </w:rPr>
        <w:t xml:space="preserve"> antes de la inyección. Si se inyecta todo el volumen de la jeringa precargada puede dar lugar a una sobredosis. Para </w:t>
      </w:r>
      <w:r w:rsidR="00F07B28" w:rsidRPr="003E0B98">
        <w:rPr>
          <w:color w:val="000000"/>
          <w:szCs w:val="22"/>
          <w:lang w:val="es-ES"/>
        </w:rPr>
        <w:t xml:space="preserve">expulsar </w:t>
      </w:r>
      <w:r w:rsidRPr="003E0B98">
        <w:rPr>
          <w:color w:val="000000"/>
          <w:szCs w:val="22"/>
          <w:lang w:val="es-ES"/>
        </w:rPr>
        <w:t>las burbujas</w:t>
      </w:r>
      <w:r w:rsidR="00F07B28" w:rsidRPr="003E0B98">
        <w:rPr>
          <w:color w:val="000000"/>
          <w:szCs w:val="22"/>
          <w:lang w:val="es-ES"/>
        </w:rPr>
        <w:t xml:space="preserve"> de aire</w:t>
      </w:r>
      <w:r w:rsidRPr="003E0B98">
        <w:rPr>
          <w:color w:val="000000"/>
          <w:szCs w:val="22"/>
          <w:lang w:val="es-ES"/>
        </w:rPr>
        <w:t xml:space="preserve"> y el exceso de medicamento, presione lentamente el émbolo hasta</w:t>
      </w:r>
      <w:r w:rsidR="00884421" w:rsidRPr="003E0B98">
        <w:rPr>
          <w:color w:val="000000"/>
          <w:szCs w:val="22"/>
          <w:lang w:val="es-ES"/>
        </w:rPr>
        <w:t xml:space="preserve"> que el borde inferior de la cúpula que </w:t>
      </w:r>
      <w:r w:rsidR="00C429C6" w:rsidRPr="003E0B98">
        <w:rPr>
          <w:color w:val="000000"/>
          <w:szCs w:val="22"/>
          <w:lang w:val="es-ES"/>
        </w:rPr>
        <w:t>forma</w:t>
      </w:r>
      <w:r w:rsidR="00884421" w:rsidRPr="003E0B98">
        <w:rPr>
          <w:color w:val="000000"/>
          <w:szCs w:val="22"/>
          <w:lang w:val="es-ES"/>
        </w:rPr>
        <w:t xml:space="preserve"> el extremo del </w:t>
      </w:r>
      <w:r w:rsidR="008E7E7E" w:rsidRPr="003E0B98">
        <w:rPr>
          <w:color w:val="000000"/>
          <w:szCs w:val="22"/>
          <w:lang w:val="es-ES"/>
        </w:rPr>
        <w:t>tapón</w:t>
      </w:r>
      <w:r w:rsidR="00884421" w:rsidRPr="003E0B98">
        <w:rPr>
          <w:color w:val="000000"/>
          <w:szCs w:val="22"/>
          <w:lang w:val="es-ES"/>
        </w:rPr>
        <w:t xml:space="preserve"> de goma quede alineado</w:t>
      </w:r>
      <w:r w:rsidR="001C7C26" w:rsidRPr="003E0B98">
        <w:rPr>
          <w:color w:val="000000"/>
          <w:szCs w:val="22"/>
          <w:lang w:val="es-ES"/>
        </w:rPr>
        <w:t xml:space="preserve"> </w:t>
      </w:r>
      <w:r w:rsidRPr="003E0B98">
        <w:rPr>
          <w:color w:val="000000"/>
          <w:szCs w:val="22"/>
          <w:lang w:val="es-ES"/>
        </w:rPr>
        <w:t xml:space="preserve">con la línea </w:t>
      </w:r>
      <w:r w:rsidR="00E10688" w:rsidRPr="003E0B98">
        <w:rPr>
          <w:color w:val="000000"/>
          <w:szCs w:val="22"/>
          <w:lang w:val="es-ES"/>
        </w:rPr>
        <w:t xml:space="preserve">negra </w:t>
      </w:r>
      <w:r w:rsidRPr="003E0B98">
        <w:rPr>
          <w:color w:val="000000"/>
          <w:szCs w:val="22"/>
          <w:lang w:val="es-ES"/>
        </w:rPr>
        <w:t xml:space="preserve">de dosificación de la jeringa (equivalente a </w:t>
      </w:r>
      <w:r w:rsidR="00320E58" w:rsidRPr="003E0B98">
        <w:rPr>
          <w:color w:val="000000"/>
          <w:szCs w:val="22"/>
          <w:lang w:val="es-ES"/>
        </w:rPr>
        <w:t>0,05 ml</w:t>
      </w:r>
      <w:r w:rsidRPr="003E0B98">
        <w:rPr>
          <w:color w:val="000000"/>
          <w:szCs w:val="22"/>
          <w:lang w:val="es-ES"/>
        </w:rPr>
        <w:t xml:space="preserve">, es decir, 0,5 mg de </w:t>
      </w:r>
      <w:proofErr w:type="spellStart"/>
      <w:r w:rsidRPr="003E0B98">
        <w:rPr>
          <w:color w:val="000000"/>
          <w:szCs w:val="22"/>
          <w:lang w:val="es-ES"/>
        </w:rPr>
        <w:t>ranibizumab</w:t>
      </w:r>
      <w:proofErr w:type="spellEnd"/>
      <w:r w:rsidRPr="003E0B98">
        <w:rPr>
          <w:color w:val="000000"/>
          <w:szCs w:val="22"/>
          <w:lang w:val="es-ES"/>
        </w:rPr>
        <w:t>).</w:t>
      </w:r>
    </w:p>
    <w:p w14:paraId="38590C51" w14:textId="77777777" w:rsidR="004F7BD7" w:rsidRPr="003E0B98" w:rsidRDefault="004F7BD7" w:rsidP="004361AC">
      <w:pPr>
        <w:tabs>
          <w:tab w:val="clear" w:pos="567"/>
        </w:tabs>
        <w:spacing w:line="240" w:lineRule="auto"/>
        <w:rPr>
          <w:color w:val="000000"/>
          <w:szCs w:val="22"/>
          <w:lang w:val="es-ES"/>
        </w:rPr>
      </w:pPr>
    </w:p>
    <w:p w14:paraId="4B3A5212" w14:textId="77777777" w:rsidR="004F7BD7" w:rsidRPr="003E0B98" w:rsidRDefault="004F7BD7" w:rsidP="004361AC">
      <w:pPr>
        <w:tabs>
          <w:tab w:val="clear" w:pos="567"/>
        </w:tabs>
        <w:spacing w:line="240" w:lineRule="auto"/>
        <w:rPr>
          <w:color w:val="000000"/>
          <w:szCs w:val="22"/>
          <w:lang w:val="es-ES"/>
        </w:rPr>
      </w:pPr>
      <w:r w:rsidRPr="003E0B98">
        <w:rPr>
          <w:color w:val="000000"/>
          <w:szCs w:val="22"/>
          <w:lang w:val="es-ES"/>
        </w:rPr>
        <w:t>Para la inyección intravítrea, se deb</w:t>
      </w:r>
      <w:r w:rsidR="00191D05" w:rsidRPr="003E0B98">
        <w:rPr>
          <w:color w:val="000000"/>
          <w:szCs w:val="22"/>
          <w:lang w:val="es-ES"/>
        </w:rPr>
        <w:t>e usar una aguja para</w:t>
      </w:r>
      <w:r w:rsidRPr="003E0B98">
        <w:rPr>
          <w:color w:val="000000"/>
          <w:szCs w:val="22"/>
          <w:lang w:val="es-ES"/>
        </w:rPr>
        <w:t xml:space="preserve"> inyección estéril 30G x ½″.</w:t>
      </w:r>
    </w:p>
    <w:p w14:paraId="176B63CB" w14:textId="77777777" w:rsidR="00E36F43" w:rsidRPr="003E0B98" w:rsidRDefault="00E36F43" w:rsidP="004361AC">
      <w:pPr>
        <w:tabs>
          <w:tab w:val="clear" w:pos="567"/>
        </w:tabs>
        <w:spacing w:line="240" w:lineRule="auto"/>
        <w:rPr>
          <w:color w:val="000000"/>
          <w:szCs w:val="22"/>
          <w:lang w:val="es-ES_tradnl"/>
        </w:rPr>
      </w:pPr>
    </w:p>
    <w:p w14:paraId="0DE021C4" w14:textId="77777777" w:rsidR="00E36F43" w:rsidRPr="003E0B98" w:rsidRDefault="00E36F43" w:rsidP="004361AC">
      <w:pPr>
        <w:keepNext/>
        <w:tabs>
          <w:tab w:val="clear" w:pos="567"/>
        </w:tabs>
        <w:spacing w:line="240" w:lineRule="auto"/>
        <w:rPr>
          <w:color w:val="000000"/>
          <w:szCs w:val="22"/>
          <w:lang w:val="es-ES_tradnl"/>
        </w:rPr>
      </w:pPr>
      <w:r w:rsidRPr="003E0B98">
        <w:rPr>
          <w:color w:val="000000"/>
          <w:szCs w:val="22"/>
          <w:lang w:val="es-ES_tradnl"/>
        </w:rPr>
        <w:t xml:space="preserve">Para la preparación de </w:t>
      </w:r>
      <w:proofErr w:type="spellStart"/>
      <w:r w:rsidRPr="003E0B98">
        <w:rPr>
          <w:color w:val="000000"/>
          <w:szCs w:val="22"/>
          <w:lang w:val="es-ES_tradnl"/>
        </w:rPr>
        <w:t>Lucentis</w:t>
      </w:r>
      <w:proofErr w:type="spellEnd"/>
      <w:r w:rsidRPr="003E0B98">
        <w:rPr>
          <w:color w:val="000000"/>
          <w:szCs w:val="22"/>
          <w:lang w:val="es-ES_tradnl"/>
        </w:rPr>
        <w:t xml:space="preserve"> para administración intravítrea, siga las instrucciones</w:t>
      </w:r>
      <w:r w:rsidR="002B51E2" w:rsidRPr="003E0B98">
        <w:rPr>
          <w:color w:val="000000"/>
          <w:szCs w:val="22"/>
          <w:lang w:val="es-ES_tradnl"/>
        </w:rPr>
        <w:t xml:space="preserve"> de uso</w:t>
      </w:r>
      <w:r w:rsidRPr="003E0B98">
        <w:rPr>
          <w:color w:val="000000"/>
          <w:szCs w:val="22"/>
          <w:lang w:val="es-ES_tradnl"/>
        </w:rPr>
        <w:t>:</w:t>
      </w:r>
    </w:p>
    <w:p w14:paraId="6A7C0676" w14:textId="77777777" w:rsidR="002B51E2" w:rsidRPr="003E0B98" w:rsidRDefault="002B51E2" w:rsidP="004361AC">
      <w:pPr>
        <w:keepNext/>
        <w:tabs>
          <w:tab w:val="clear" w:pos="567"/>
        </w:tabs>
        <w:spacing w:line="240" w:lineRule="auto"/>
        <w:rPr>
          <w:color w:val="000000"/>
          <w:szCs w:val="22"/>
          <w:lang w:val="es-ES"/>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4395"/>
        <w:gridCol w:w="3118"/>
      </w:tblGrid>
      <w:tr w:rsidR="002B51E2" w:rsidRPr="003C169A" w14:paraId="1ADC1B9A" w14:textId="77777777" w:rsidTr="00D91B0D">
        <w:tc>
          <w:tcPr>
            <w:tcW w:w="1701" w:type="dxa"/>
          </w:tcPr>
          <w:p w14:paraId="3310C7CA" w14:textId="77777777" w:rsidR="002B51E2" w:rsidRPr="003E0B98" w:rsidRDefault="007771F3" w:rsidP="004361AC">
            <w:pPr>
              <w:tabs>
                <w:tab w:val="clear" w:pos="567"/>
              </w:tabs>
              <w:spacing w:line="240" w:lineRule="auto"/>
              <w:rPr>
                <w:b/>
                <w:color w:val="000000"/>
                <w:szCs w:val="22"/>
              </w:rPr>
            </w:pPr>
            <w:proofErr w:type="spellStart"/>
            <w:r w:rsidRPr="003E0B98">
              <w:rPr>
                <w:b/>
                <w:color w:val="000000"/>
                <w:szCs w:val="22"/>
              </w:rPr>
              <w:t>Introducció</w:t>
            </w:r>
            <w:r w:rsidR="002B51E2" w:rsidRPr="003E0B98">
              <w:rPr>
                <w:b/>
                <w:color w:val="000000"/>
                <w:szCs w:val="22"/>
              </w:rPr>
              <w:t>n</w:t>
            </w:r>
            <w:proofErr w:type="spellEnd"/>
          </w:p>
        </w:tc>
        <w:tc>
          <w:tcPr>
            <w:tcW w:w="7513" w:type="dxa"/>
            <w:gridSpan w:val="2"/>
          </w:tcPr>
          <w:p w14:paraId="25CD71F1" w14:textId="77777777" w:rsidR="002B51E2" w:rsidRPr="003E0B98" w:rsidRDefault="007771F3" w:rsidP="004361AC">
            <w:pPr>
              <w:tabs>
                <w:tab w:val="clear" w:pos="567"/>
              </w:tabs>
              <w:spacing w:line="240" w:lineRule="auto"/>
              <w:rPr>
                <w:color w:val="000000"/>
                <w:szCs w:val="22"/>
                <w:lang w:val="es-ES"/>
              </w:rPr>
            </w:pPr>
            <w:r w:rsidRPr="003E0B98">
              <w:rPr>
                <w:color w:val="000000"/>
                <w:szCs w:val="22"/>
                <w:lang w:val="es-ES"/>
              </w:rPr>
              <w:t>Lea todas las instrucciones detenidamente antes de usar la jeringa precargada</w:t>
            </w:r>
            <w:r w:rsidR="002B51E2" w:rsidRPr="003E0B98">
              <w:rPr>
                <w:color w:val="000000"/>
                <w:szCs w:val="22"/>
                <w:lang w:val="es-ES"/>
              </w:rPr>
              <w:t>.</w:t>
            </w:r>
          </w:p>
          <w:p w14:paraId="5598F10F" w14:textId="77777777" w:rsidR="002B51E2" w:rsidRPr="003E0B98" w:rsidRDefault="007771F3" w:rsidP="004361AC">
            <w:pPr>
              <w:tabs>
                <w:tab w:val="clear" w:pos="567"/>
              </w:tabs>
              <w:spacing w:line="240" w:lineRule="auto"/>
              <w:rPr>
                <w:color w:val="000000"/>
                <w:szCs w:val="22"/>
                <w:lang w:val="es-ES"/>
              </w:rPr>
            </w:pPr>
            <w:r w:rsidRPr="003E0B98">
              <w:rPr>
                <w:color w:val="000000"/>
                <w:szCs w:val="22"/>
                <w:lang w:val="es-ES"/>
              </w:rPr>
              <w:t>La jeringa precargada es para un solo uso.</w:t>
            </w:r>
            <w:r w:rsidR="002B51E2" w:rsidRPr="003E0B98">
              <w:rPr>
                <w:color w:val="000000"/>
                <w:szCs w:val="22"/>
                <w:lang w:val="es-ES"/>
              </w:rPr>
              <w:t xml:space="preserve"> </w:t>
            </w:r>
            <w:r w:rsidRPr="003E0B98">
              <w:rPr>
                <w:color w:val="000000"/>
                <w:szCs w:val="22"/>
                <w:lang w:val="es-ES"/>
              </w:rPr>
              <w:t>La jeringa precargada es estéril</w:t>
            </w:r>
            <w:r w:rsidR="002B51E2" w:rsidRPr="003E0B98">
              <w:rPr>
                <w:color w:val="000000"/>
                <w:szCs w:val="22"/>
                <w:lang w:val="es-ES"/>
              </w:rPr>
              <w:t xml:space="preserve">. </w:t>
            </w:r>
            <w:r w:rsidR="0040530A" w:rsidRPr="003E0B98">
              <w:rPr>
                <w:color w:val="000000"/>
                <w:szCs w:val="22"/>
                <w:lang w:val="es-ES_tradnl"/>
              </w:rPr>
              <w:t>No usar</w:t>
            </w:r>
            <w:r w:rsidRPr="003E0B98">
              <w:rPr>
                <w:color w:val="000000"/>
                <w:szCs w:val="22"/>
                <w:lang w:val="es-ES_tradnl"/>
              </w:rPr>
              <w:t xml:space="preserve"> el producto si el envase está deteriorado</w:t>
            </w:r>
            <w:r w:rsidR="002B51E2" w:rsidRPr="003E0B98">
              <w:rPr>
                <w:color w:val="000000"/>
                <w:szCs w:val="22"/>
                <w:lang w:val="es-ES"/>
              </w:rPr>
              <w:t xml:space="preserve">. </w:t>
            </w:r>
            <w:r w:rsidR="00CC7762" w:rsidRPr="003E0B98">
              <w:rPr>
                <w:color w:val="000000"/>
                <w:szCs w:val="22"/>
                <w:lang w:val="es-ES"/>
              </w:rPr>
              <w:t xml:space="preserve">La apertura de la bandeja sellada y los siguientes pasos </w:t>
            </w:r>
            <w:r w:rsidR="0040530A" w:rsidRPr="003E0B98">
              <w:rPr>
                <w:color w:val="000000"/>
                <w:szCs w:val="22"/>
                <w:lang w:val="es-ES"/>
              </w:rPr>
              <w:t xml:space="preserve">se </w:t>
            </w:r>
            <w:r w:rsidR="00CC7762" w:rsidRPr="003E0B98">
              <w:rPr>
                <w:color w:val="000000"/>
                <w:szCs w:val="22"/>
                <w:lang w:val="es-ES"/>
              </w:rPr>
              <w:t>deben realizar bajo condicione</w:t>
            </w:r>
            <w:r w:rsidR="0040530A" w:rsidRPr="003E0B98">
              <w:rPr>
                <w:color w:val="000000"/>
                <w:szCs w:val="22"/>
                <w:lang w:val="es-ES"/>
              </w:rPr>
              <w:t>s</w:t>
            </w:r>
            <w:r w:rsidR="00CC7762" w:rsidRPr="003E0B98">
              <w:rPr>
                <w:color w:val="000000"/>
                <w:szCs w:val="22"/>
                <w:lang w:val="es-ES"/>
              </w:rPr>
              <w:t xml:space="preserve"> asépticas</w:t>
            </w:r>
            <w:r w:rsidR="002B51E2" w:rsidRPr="003E0B98">
              <w:rPr>
                <w:color w:val="000000"/>
                <w:szCs w:val="22"/>
                <w:lang w:val="es-ES"/>
              </w:rPr>
              <w:t>.</w:t>
            </w:r>
          </w:p>
          <w:p w14:paraId="6764A35D" w14:textId="77777777" w:rsidR="002B51E2" w:rsidRPr="003E0B98" w:rsidRDefault="00CC7762" w:rsidP="004361AC">
            <w:pPr>
              <w:tabs>
                <w:tab w:val="clear" w:pos="567"/>
              </w:tabs>
              <w:spacing w:line="240" w:lineRule="auto"/>
              <w:rPr>
                <w:i/>
                <w:color w:val="000000"/>
                <w:szCs w:val="22"/>
                <w:lang w:val="es-ES"/>
              </w:rPr>
            </w:pPr>
            <w:r w:rsidRPr="003E0B98">
              <w:rPr>
                <w:b/>
                <w:color w:val="000000"/>
                <w:szCs w:val="22"/>
                <w:lang w:val="es-ES"/>
              </w:rPr>
              <w:t>Nota</w:t>
            </w:r>
            <w:r w:rsidR="002B51E2" w:rsidRPr="003E0B98">
              <w:rPr>
                <w:b/>
                <w:color w:val="000000"/>
                <w:szCs w:val="22"/>
                <w:lang w:val="es-ES"/>
              </w:rPr>
              <w:t xml:space="preserve">: </w:t>
            </w:r>
            <w:r w:rsidR="00172BCC" w:rsidRPr="003E0B98">
              <w:rPr>
                <w:b/>
                <w:color w:val="000000"/>
                <w:szCs w:val="22"/>
                <w:lang w:val="es-ES"/>
              </w:rPr>
              <w:t>La dosis</w:t>
            </w:r>
            <w:r w:rsidR="00F00E80" w:rsidRPr="003E0B98">
              <w:rPr>
                <w:b/>
                <w:color w:val="000000"/>
                <w:szCs w:val="22"/>
                <w:lang w:val="es-ES"/>
              </w:rPr>
              <w:t xml:space="preserve"> a administrar</w:t>
            </w:r>
            <w:r w:rsidR="00172BCC" w:rsidRPr="003E0B98">
              <w:rPr>
                <w:b/>
                <w:color w:val="000000"/>
                <w:szCs w:val="22"/>
                <w:lang w:val="es-ES"/>
              </w:rPr>
              <w:t xml:space="preserve"> </w:t>
            </w:r>
            <w:r w:rsidR="00971974" w:rsidRPr="003E0B98">
              <w:rPr>
                <w:b/>
                <w:color w:val="000000"/>
                <w:szCs w:val="22"/>
                <w:lang w:val="es-ES"/>
              </w:rPr>
              <w:t xml:space="preserve">se </w:t>
            </w:r>
            <w:r w:rsidR="00172BCC" w:rsidRPr="003E0B98">
              <w:rPr>
                <w:b/>
                <w:color w:val="000000"/>
                <w:szCs w:val="22"/>
                <w:lang w:val="es-ES"/>
              </w:rPr>
              <w:t xml:space="preserve">debe </w:t>
            </w:r>
            <w:r w:rsidR="00971974" w:rsidRPr="003E0B98">
              <w:rPr>
                <w:b/>
                <w:color w:val="000000"/>
                <w:szCs w:val="22"/>
                <w:lang w:val="es-ES"/>
              </w:rPr>
              <w:t>ajustar a</w:t>
            </w:r>
            <w:r w:rsidR="00F00E80" w:rsidRPr="003E0B98">
              <w:rPr>
                <w:b/>
                <w:color w:val="000000"/>
                <w:szCs w:val="22"/>
                <w:lang w:val="es-ES"/>
              </w:rPr>
              <w:t xml:space="preserve"> </w:t>
            </w:r>
            <w:r w:rsidR="00A21677" w:rsidRPr="003E0B98">
              <w:rPr>
                <w:b/>
                <w:color w:val="000000"/>
                <w:szCs w:val="22"/>
                <w:lang w:val="es-ES"/>
              </w:rPr>
              <w:t>0,</w:t>
            </w:r>
            <w:r w:rsidR="002B51E2" w:rsidRPr="003E0B98">
              <w:rPr>
                <w:b/>
                <w:color w:val="000000"/>
                <w:szCs w:val="22"/>
                <w:lang w:val="es-ES"/>
              </w:rPr>
              <w:t>05 ml.</w:t>
            </w:r>
          </w:p>
        </w:tc>
      </w:tr>
      <w:tr w:rsidR="002B51E2" w:rsidRPr="003E0B98" w14:paraId="7038C6D8" w14:textId="77777777" w:rsidTr="00D91B0D">
        <w:trPr>
          <w:trHeight w:val="3173"/>
        </w:trPr>
        <w:tc>
          <w:tcPr>
            <w:tcW w:w="1701" w:type="dxa"/>
          </w:tcPr>
          <w:p w14:paraId="091B9D3E" w14:textId="77777777" w:rsidR="002B51E2" w:rsidRPr="003E0B98" w:rsidRDefault="00F00E80" w:rsidP="004361AC">
            <w:pPr>
              <w:tabs>
                <w:tab w:val="clear" w:pos="567"/>
              </w:tabs>
              <w:spacing w:line="240" w:lineRule="auto"/>
              <w:rPr>
                <w:b/>
                <w:color w:val="000000"/>
                <w:szCs w:val="22"/>
                <w:lang w:val="es-ES"/>
              </w:rPr>
            </w:pPr>
            <w:r w:rsidRPr="003E0B98">
              <w:rPr>
                <w:b/>
                <w:color w:val="000000"/>
                <w:szCs w:val="22"/>
                <w:lang w:val="es-ES"/>
              </w:rPr>
              <w:t>Descripción de la jeringa precargada</w:t>
            </w:r>
          </w:p>
        </w:tc>
        <w:tc>
          <w:tcPr>
            <w:tcW w:w="7513" w:type="dxa"/>
            <w:gridSpan w:val="2"/>
          </w:tcPr>
          <w:p w14:paraId="036C1324" w14:textId="77777777" w:rsidR="00175E08" w:rsidRPr="003E0B98" w:rsidRDefault="00C240E6" w:rsidP="004361AC">
            <w:pPr>
              <w:spacing w:after="200" w:line="276" w:lineRule="auto"/>
              <w:rPr>
                <w:rFonts w:eastAsia="Calibri"/>
                <w:noProof/>
                <w:szCs w:val="22"/>
                <w:lang w:val="es-ES" w:eastAsia="en-GB"/>
              </w:rPr>
            </w:pPr>
            <w:r w:rsidRPr="003E0B98">
              <w:rPr>
                <w:rFonts w:eastAsia="Calibri"/>
                <w:noProof/>
                <w:szCs w:val="22"/>
                <w:lang w:val="es-ES" w:eastAsia="es-ES"/>
              </w:rPr>
              <mc:AlternateContent>
                <mc:Choice Requires="wps">
                  <w:drawing>
                    <wp:anchor distT="0" distB="0" distL="114300" distR="114300" simplePos="0" relativeHeight="251640320" behindDoc="0" locked="0" layoutInCell="1" allowOverlap="1" wp14:anchorId="7D1E2D83" wp14:editId="09C502D0">
                      <wp:simplePos x="0" y="0"/>
                      <wp:positionH relativeFrom="column">
                        <wp:posOffset>405130</wp:posOffset>
                      </wp:positionH>
                      <wp:positionV relativeFrom="paragraph">
                        <wp:posOffset>135255</wp:posOffset>
                      </wp:positionV>
                      <wp:extent cx="954405" cy="715010"/>
                      <wp:effectExtent l="0" t="0" r="0" b="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4405" cy="715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B6A027" w14:textId="77777777" w:rsidR="00160989" w:rsidRPr="00B26220" w:rsidRDefault="00160989" w:rsidP="002B51E2">
                                  <w:pPr>
                                    <w:jc w:val="center"/>
                                    <w:rPr>
                                      <w:rFonts w:eastAsia="MS PGothic"/>
                                      <w:color w:val="000000"/>
                                      <w:kern w:val="24"/>
                                      <w:szCs w:val="22"/>
                                      <w:lang w:val="es-ES"/>
                                    </w:rPr>
                                  </w:pPr>
                                  <w:r w:rsidRPr="00B26220">
                                    <w:rPr>
                                      <w:rFonts w:eastAsia="MS PGothic"/>
                                      <w:color w:val="000000"/>
                                      <w:kern w:val="24"/>
                                      <w:szCs w:val="22"/>
                                      <w:lang w:val="es-ES"/>
                                    </w:rPr>
                                    <w:t>Cápsula de cierre de la jeringa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D1E2D83" id="_x0000_t202" coordsize="21600,21600" o:spt="202" path="m,l,21600r21600,l21600,xe">
                      <v:stroke joinstyle="miter"/>
                      <v:path gradientshapeok="t" o:connecttype="rect"/>
                    </v:shapetype>
                    <v:shape id="Text Box 2" o:spid="_x0000_s1026" type="#_x0000_t202" style="position:absolute;margin-left:31.9pt;margin-top:10.65pt;width:75.15pt;height:56.3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k9m3gEAAKADAAAOAAAAZHJzL2Uyb0RvYy54bWysU8Fu2zAMvQ/YPwi6L7aDZF2NOEXXosOA&#10;bh3Q7QNkWbKF2aJGKbGzrx8lp2m23YpeBImkH997pDdX09CzvUJvwFa8WOScKSuhMbat+I/vd+8+&#10;cOaDsI3owaqKH5TnV9u3bzajK9USOugbhYxArC9HV/EuBFdmmZedGoRfgFOWkhpwEIGe2GYNipHQ&#10;hz5b5vn7bARsHIJU3lP0dk7ybcLXWsnwoLVXgfUVJ24hnZjOOp7ZdiPKFoXrjDzSEC9gMQhjqekJ&#10;6lYEwXZo/oMajETwoMNCwpCB1kaqpIHUFPk/ah474VTSQuZ4d7LJvx6s/Lp/dN+QhekjTDTAJMK7&#10;e5A/PbNw0wnbqmtEGDslGmpcRMuy0fny+Gm02pc+gtTjF2hoyGIXIAFNGofoCulkhE4DOJxMV1Ng&#10;koKX69UqX3MmKXVRrMmF1EGUTx879OGTgoHFS8WRZprAxf7eh0hGlE8lsZeFO9P3aa69/StAhTGS&#10;yEe+M/Mw1RNVRxE1NAeSgTCvCa01XTrA35yNtCIV9792AhVn/WdLVlwWxJx2Kj1W64slPfA8U59n&#10;hJUEVfHA2Xy9CfMe7hyatqNOs/kWrsk+bZK0Z1ZH3rQGSfFxZeOenb9T1fOPtf0DAAD//wMAUEsD&#10;BBQABgAIAAAAIQAZPGAF3gAAAAkBAAAPAAAAZHJzL2Rvd25yZXYueG1sTI/BTsMwEETvSPyDtZW4&#10;UTtJqdoQp0IgriBKW4mbG2+TqPE6it0m/D3LCY6jGc28KTaT68QVh9B60pDMFQikytuWag27z9f7&#10;FYgQDVnTeUIN3xhgU97eFCa3fqQPvG5jLbiEQm40NDH2uZShatCZMPc9EnsnPzgTWQ61tIMZudx1&#10;MlVqKZ1piRca0+Nzg9V5e3Ea9m+nr8NCvdcv7qEf/aQkubXU+m42PT2CiDjFvzD84jM6lMx09Bey&#10;QXQalhmTRw1pkoFgP00WCYgjB7NsDbIs5P8H5Q8AAAD//wMAUEsBAi0AFAAGAAgAAAAhALaDOJL+&#10;AAAA4QEAABMAAAAAAAAAAAAAAAAAAAAAAFtDb250ZW50X1R5cGVzXS54bWxQSwECLQAUAAYACAAA&#10;ACEAOP0h/9YAAACUAQAACwAAAAAAAAAAAAAAAAAvAQAAX3JlbHMvLnJlbHNQSwECLQAUAAYACAAA&#10;ACEAFlJPZt4BAACgAwAADgAAAAAAAAAAAAAAAAAuAgAAZHJzL2Uyb0RvYy54bWxQSwECLQAUAAYA&#10;CAAAACEAGTxgBd4AAAAJAQAADwAAAAAAAAAAAAAAAAA4BAAAZHJzL2Rvd25yZXYueG1sUEsFBgAA&#10;AAAEAAQA8wAAAEMFAAAAAA==&#10;" filled="f" stroked="f">
                      <v:textbox>
                        <w:txbxContent>
                          <w:p w14:paraId="5EB6A027" w14:textId="77777777" w:rsidR="00160989" w:rsidRPr="00B26220" w:rsidRDefault="00160989" w:rsidP="002B51E2">
                            <w:pPr>
                              <w:jc w:val="center"/>
                              <w:rPr>
                                <w:rFonts w:eastAsia="MS PGothic"/>
                                <w:color w:val="000000"/>
                                <w:kern w:val="24"/>
                                <w:szCs w:val="22"/>
                                <w:lang w:val="es-ES"/>
                              </w:rPr>
                            </w:pPr>
                            <w:r w:rsidRPr="00B26220">
                              <w:rPr>
                                <w:rFonts w:eastAsia="MS PGothic"/>
                                <w:color w:val="000000"/>
                                <w:kern w:val="24"/>
                                <w:szCs w:val="22"/>
                                <w:lang w:val="es-ES"/>
                              </w:rPr>
                              <w:t>Cápsula de cierre de la jeringa</w:t>
                            </w:r>
                          </w:p>
                        </w:txbxContent>
                      </v:textbox>
                    </v:shape>
                  </w:pict>
                </mc:Fallback>
              </mc:AlternateContent>
            </w:r>
          </w:p>
          <w:p w14:paraId="642707B8" w14:textId="77777777" w:rsidR="00175E08" w:rsidRPr="003E0B98" w:rsidRDefault="00C240E6" w:rsidP="004361AC">
            <w:pPr>
              <w:spacing w:after="200" w:line="276" w:lineRule="auto"/>
              <w:rPr>
                <w:rFonts w:eastAsia="Calibri"/>
                <w:noProof/>
                <w:szCs w:val="22"/>
                <w:lang w:val="es-ES" w:eastAsia="en-GB"/>
              </w:rPr>
            </w:pPr>
            <w:r w:rsidRPr="003E0B98">
              <w:rPr>
                <w:rFonts w:eastAsia="Calibri"/>
                <w:noProof/>
                <w:szCs w:val="22"/>
                <w:lang w:val="es-ES" w:eastAsia="es-ES"/>
              </w:rPr>
              <mc:AlternateContent>
                <mc:Choice Requires="wps">
                  <w:drawing>
                    <wp:anchor distT="0" distB="0" distL="114300" distR="114300" simplePos="0" relativeHeight="251646464" behindDoc="0" locked="0" layoutInCell="1" allowOverlap="1" wp14:anchorId="6609A1BA" wp14:editId="1A8E574E">
                      <wp:simplePos x="0" y="0"/>
                      <wp:positionH relativeFrom="column">
                        <wp:posOffset>2519045</wp:posOffset>
                      </wp:positionH>
                      <wp:positionV relativeFrom="paragraph">
                        <wp:posOffset>111760</wp:posOffset>
                      </wp:positionV>
                      <wp:extent cx="1229360" cy="257175"/>
                      <wp:effectExtent l="0" t="0" r="0" b="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936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9EA7AE" w14:textId="77777777" w:rsidR="00160989" w:rsidRPr="00803C66" w:rsidRDefault="00160989" w:rsidP="002B51E2">
                                  <w:pPr>
                                    <w:jc w:val="center"/>
                                    <w:rPr>
                                      <w:rFonts w:eastAsia="MS PGothic"/>
                                      <w:color w:val="000000"/>
                                      <w:kern w:val="24"/>
                                      <w:szCs w:val="22"/>
                                      <w:lang w:val="de-CH"/>
                                    </w:rPr>
                                  </w:pPr>
                                  <w:r>
                                    <w:rPr>
                                      <w:rFonts w:eastAsia="MS PGothic"/>
                                      <w:color w:val="000000"/>
                                      <w:kern w:val="24"/>
                                      <w:szCs w:val="22"/>
                                      <w:lang w:val="de-CH"/>
                                    </w:rPr>
                                    <w:t>Aleta de sujeción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09A1BA" id="_x0000_s1027" type="#_x0000_t202" style="position:absolute;margin-left:198.35pt;margin-top:8.8pt;width:96.8pt;height:20.2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cf4gEAAKgDAAAOAAAAZHJzL2Uyb0RvYy54bWysU9Fu0zAUfUfiHyy/0zShXVnUdBqbhpDG&#10;QBr7AMdxEovE11y7TcrXc+1kXWFviBfL9nXOPefck+3V2HfsoNBpMAVPF0vOlJFQadMU/On73bsP&#10;nDkvTCU6MKrgR+X41e7tm+1gc5VBC12lkBGIcflgC956b/MkcbJVvXALsMpQsQbshacjNkmFYiD0&#10;vkuy5fIiGQAriyCVc3R7OxX5LuLXtZL+a1075VlXcOLm44pxLcOa7LYib1DYVsuZhvgHFr3Qhpqe&#10;oG6FF2yP+hVUryWCg9ovJPQJ1LWWKmogNenyLzWPrbAqaiFznD3Z5P4frHw4PNpvyPz4EUYaYBTh&#10;7D3IH44ZuGmFadQ1IgytEhU1ToNlyWBdPn8arHa5CyDl8AUqGrLYe4hAY419cIV0MkKnARxPpqvR&#10;MxlaZtnl+wsqSapl6026WccWIn/+2qLznxT0LGwKjjTUiC4O984HNiJ/fhKaGbjTXRcH25k/Luhh&#10;uInsA+GJuh/LkelqlhbElFAdSQ7CFBeKN21awF+cDRSVgrufe4GKs+6zIUsu09UqZCseVutNRgc8&#10;r5TnFWEkQRXcczZtb/yUx71F3bTUaRqCgWuysdZR4QurmT7FIQqfoxvydn6Or15+sN1vAAAA//8D&#10;AFBLAwQUAAYACAAAACEAGNzf6d0AAAAJAQAADwAAAGRycy9kb3ducmV2LnhtbEyPTU/DMAyG70j8&#10;h8hI3FiyjXVraTohEFcQ+5K4ZY3XVmucqsnW8u8xJ7jZeh+9fpyvR9eKK/ah8aRhOlEgkEpvG6o0&#10;7LZvDysQIRqypvWEGr4xwLq4vclNZv1An3jdxEpwCYXMaKhj7DIpQ1mjM2HiOyTOTr53JvLaV9L2&#10;ZuBy18qZUol0piG+UJsOX2osz5uL07B/P30dHtVH9eoW3eBHJcmlUuv7u/H5CUTEMf7B8KvP6lCw&#10;09FfyAbRapinyZJRDpYJCAYWqZqDOPKwmoIscvn/g+IHAAD//wMAUEsBAi0AFAAGAAgAAAAhALaD&#10;OJL+AAAA4QEAABMAAAAAAAAAAAAAAAAAAAAAAFtDb250ZW50X1R5cGVzXS54bWxQSwECLQAUAAYA&#10;CAAAACEAOP0h/9YAAACUAQAACwAAAAAAAAAAAAAAAAAvAQAAX3JlbHMvLnJlbHNQSwECLQAUAAYA&#10;CAAAACEAPw+HH+IBAACoAwAADgAAAAAAAAAAAAAAAAAuAgAAZHJzL2Uyb0RvYy54bWxQSwECLQAU&#10;AAYACAAAACEAGNzf6d0AAAAJAQAADwAAAAAAAAAAAAAAAAA8BAAAZHJzL2Rvd25yZXYueG1sUEsF&#10;BgAAAAAEAAQA8wAAAEYFAAAAAA==&#10;" filled="f" stroked="f">
                      <v:textbox>
                        <w:txbxContent>
                          <w:p w14:paraId="4B9EA7AE" w14:textId="77777777" w:rsidR="00160989" w:rsidRPr="00803C66" w:rsidRDefault="00160989" w:rsidP="002B51E2">
                            <w:pPr>
                              <w:jc w:val="center"/>
                              <w:rPr>
                                <w:rFonts w:eastAsia="MS PGothic"/>
                                <w:color w:val="000000"/>
                                <w:kern w:val="24"/>
                                <w:szCs w:val="22"/>
                                <w:lang w:val="de-CH"/>
                              </w:rPr>
                            </w:pPr>
                            <w:r>
                              <w:rPr>
                                <w:rFonts w:eastAsia="MS PGothic"/>
                                <w:color w:val="000000"/>
                                <w:kern w:val="24"/>
                                <w:szCs w:val="22"/>
                                <w:lang w:val="de-CH"/>
                              </w:rPr>
                              <w:t>Aleta de sujeción</w:t>
                            </w:r>
                          </w:p>
                        </w:txbxContent>
                      </v:textbox>
                    </v:shape>
                  </w:pict>
                </mc:Fallback>
              </mc:AlternateContent>
            </w:r>
            <w:r w:rsidRPr="003E0B98">
              <w:rPr>
                <w:rFonts w:eastAsia="Calibri"/>
                <w:noProof/>
                <w:szCs w:val="22"/>
                <w:lang w:val="es-ES" w:eastAsia="es-ES"/>
              </w:rPr>
              <mc:AlternateContent>
                <mc:Choice Requires="wps">
                  <w:drawing>
                    <wp:anchor distT="0" distB="0" distL="114300" distR="114300" simplePos="0" relativeHeight="251643392" behindDoc="0" locked="0" layoutInCell="1" allowOverlap="1" wp14:anchorId="61B8130A" wp14:editId="6DBF6050">
                      <wp:simplePos x="0" y="0"/>
                      <wp:positionH relativeFrom="column">
                        <wp:posOffset>1417320</wp:posOffset>
                      </wp:positionH>
                      <wp:positionV relativeFrom="paragraph">
                        <wp:posOffset>75565</wp:posOffset>
                      </wp:positionV>
                      <wp:extent cx="1101725" cy="424180"/>
                      <wp:effectExtent l="0" t="0" r="0" b="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1725" cy="424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2628F0" w14:textId="77777777" w:rsidR="00160989" w:rsidRPr="00136BB2" w:rsidRDefault="00160989" w:rsidP="002B51E2">
                                  <w:pPr>
                                    <w:jc w:val="center"/>
                                    <w:rPr>
                                      <w:szCs w:val="22"/>
                                      <w:lang w:val="de-CH"/>
                                    </w:rPr>
                                  </w:pPr>
                                  <w:r>
                                    <w:rPr>
                                      <w:szCs w:val="22"/>
                                      <w:lang w:val="de-CH"/>
                                    </w:rPr>
                                    <w:t>Marca de dosis de 0,05 ml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1B8130A" id="_x0000_s1028" type="#_x0000_t202" style="position:absolute;margin-left:111.6pt;margin-top:5.95pt;width:86.75pt;height:33.4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Q274wEAAKgDAAAOAAAAZHJzL2Uyb0RvYy54bWysU9Fu1DAQfEfiHyy/c7lEKS3R5arSqgip&#10;UKTCBziOnVgkXrP2XXJ8PWvnej3gDfFi2V5ndmZ2srmex4HtFXoDtub5as2ZshJaY7uaf/t6/+aK&#10;Mx+EbcUAVtX8oDy/3r5+tZlcpQroYWgVMgKxvppczfsQXJVlXvZqFH4FTlkqasBRBDpil7UoJkIf&#10;h6xYr99mE2DrEKTynm7vliLfJnytlQyPWnsV2FBz4hbSimlt4pptN6LqULjeyCMN8Q8sRmEsNT1B&#10;3Ykg2A7NX1CjkQgedFhJGDPQ2kiVNJCafP2HmqdeOJW0kDnenWzy/w9Wft4/uS/IwvweZhpgEuHd&#10;A8jvnlm47YXt1A0iTL0SLTXOo2XZ5Hx1/DRa7SsfQZrpE7Q0ZLELkIBmjWN0hXQyQqcBHE6mqzkw&#10;GVvm6/yyuOBMUq0syvwqTSUT1fPXDn34oGBkcVNzpKEmdLF/8CGyEdXzk9jMwr0ZhjTYwf52QQ/j&#10;TWIfCS/Uw9zMzLQ1L6K0KKaB9kByEJa4ULxp0wP+5GyiqNTc/9gJVJwNHy1Z8i4vy5itdCgvLgs6&#10;4HmlOa8IKwmq5oGzZXsbljzuHJqup07LECzckI3aJIUvrI70KQ5J+DG6MW/n5/Tq5Qfb/gIAAP//&#10;AwBQSwMEFAAGAAgAAAAhAFU48obeAAAACQEAAA8AAABkcnMvZG93bnJldi54bWxMj8tOwzAQRfeV&#10;+AdrkNi1dlNomhCnqkBsQZSHxM6Np0nUeBzFbhP+nmEFy9E9uvdMsZ1cJy44hNaThuVCgUCqvG2p&#10;1vD+9jTfgAjRkDWdJ9TwjQG25dWsMLn1I73iZR9rwSUUcqOhibHPpQxVg86Ehe+RODv6wZnI51BL&#10;O5iRy10nE6XW0pmWeKExPT40WJ32Z6fh4/n49XmrXupHd9ePflKSXCa1vrmedvcgIk7xD4ZffVaH&#10;kp0O/kw2iE5DkqwSRjlYZiAYWGXrFMRBQ7pJQZaF/P9B+QMAAP//AwBQSwECLQAUAAYACAAAACEA&#10;toM4kv4AAADhAQAAEwAAAAAAAAAAAAAAAAAAAAAAW0NvbnRlbnRfVHlwZXNdLnhtbFBLAQItABQA&#10;BgAIAAAAIQA4/SH/1gAAAJQBAAALAAAAAAAAAAAAAAAAAC8BAABfcmVscy8ucmVsc1BLAQItABQA&#10;BgAIAAAAIQAJUQ274wEAAKgDAAAOAAAAAAAAAAAAAAAAAC4CAABkcnMvZTJvRG9jLnhtbFBLAQIt&#10;ABQABgAIAAAAIQBVOPKG3gAAAAkBAAAPAAAAAAAAAAAAAAAAAD0EAABkcnMvZG93bnJldi54bWxQ&#10;SwUGAAAAAAQABADzAAAASAUAAAAA&#10;" filled="f" stroked="f">
                      <v:textbox>
                        <w:txbxContent>
                          <w:p w14:paraId="582628F0" w14:textId="77777777" w:rsidR="00160989" w:rsidRPr="00136BB2" w:rsidRDefault="00160989" w:rsidP="002B51E2">
                            <w:pPr>
                              <w:jc w:val="center"/>
                              <w:rPr>
                                <w:szCs w:val="22"/>
                                <w:lang w:val="de-CH"/>
                              </w:rPr>
                            </w:pPr>
                            <w:r>
                              <w:rPr>
                                <w:szCs w:val="22"/>
                                <w:lang w:val="de-CH"/>
                              </w:rPr>
                              <w:t>Marca de dosis de 0,05 ml</w:t>
                            </w:r>
                          </w:p>
                        </w:txbxContent>
                      </v:textbox>
                    </v:shape>
                  </w:pict>
                </mc:Fallback>
              </mc:AlternateContent>
            </w:r>
          </w:p>
          <w:p w14:paraId="48600E29" w14:textId="77777777" w:rsidR="00175E08" w:rsidRPr="003E0B98" w:rsidRDefault="00C240E6" w:rsidP="004361AC">
            <w:pPr>
              <w:spacing w:after="200" w:line="276" w:lineRule="auto"/>
              <w:ind w:firstLine="885"/>
              <w:rPr>
                <w:rFonts w:eastAsia="Calibri"/>
                <w:noProof/>
                <w:szCs w:val="22"/>
                <w:lang w:eastAsia="en-GB"/>
              </w:rPr>
            </w:pPr>
            <w:r w:rsidRPr="003E0B98">
              <w:rPr>
                <w:rFonts w:eastAsia="Calibri"/>
                <w:noProof/>
                <w:szCs w:val="22"/>
                <w:lang w:val="es-ES" w:eastAsia="es-ES"/>
              </w:rPr>
              <mc:AlternateContent>
                <mc:Choice Requires="wps">
                  <w:drawing>
                    <wp:anchor distT="0" distB="0" distL="114300" distR="114300" simplePos="0" relativeHeight="251649536" behindDoc="0" locked="0" layoutInCell="1" allowOverlap="1" wp14:anchorId="61DEDCAA" wp14:editId="3DC44C7C">
                      <wp:simplePos x="0" y="0"/>
                      <wp:positionH relativeFrom="column">
                        <wp:posOffset>3046730</wp:posOffset>
                      </wp:positionH>
                      <wp:positionV relativeFrom="paragraph">
                        <wp:posOffset>1172845</wp:posOffset>
                      </wp:positionV>
                      <wp:extent cx="967740" cy="416560"/>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7740" cy="416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A5F82F" w14:textId="77777777" w:rsidR="00160989" w:rsidRPr="00803C66" w:rsidRDefault="00160989" w:rsidP="002B51E2">
                                  <w:pPr>
                                    <w:jc w:val="center"/>
                                    <w:rPr>
                                      <w:rFonts w:eastAsia="MS PGothic"/>
                                      <w:color w:val="000000"/>
                                      <w:kern w:val="24"/>
                                      <w:szCs w:val="22"/>
                                      <w:lang w:val="de-CH"/>
                                    </w:rPr>
                                  </w:pPr>
                                  <w:r>
                                    <w:rPr>
                                      <w:rFonts w:eastAsia="MS PGothic"/>
                                      <w:color w:val="000000"/>
                                      <w:kern w:val="24"/>
                                      <w:szCs w:val="22"/>
                                      <w:lang w:val="de-CH"/>
                                    </w:rPr>
                                    <w:t>Émbolo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1DEDCAA" id="_x0000_s1029" type="#_x0000_t202" style="position:absolute;left:0;text-align:left;margin-left:239.9pt;margin-top:92.35pt;width:76.2pt;height:32.8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r2u4wEAAKcDAAAOAAAAZHJzL2Uyb0RvYy54bWysU8Fu2zAMvQ/YPwi6L46zNFmNOEXXosOA&#10;rhvQ9QNkWbKF2aJGKbGzrx8lp2m23oZdBJGUH997pDdXY9+xvUJvwJY8n805U1ZCbWxT8qfvd+8+&#10;cOaDsLXowKqSH5TnV9u3bzaDK9QCWuhqhYxArC8GV/I2BFdkmZet6oWfgVOWihqwF4FCbLIaxUDo&#10;fZct5vNVNgDWDkEq7yl7OxX5NuFrrWT4qrVXgXUlJ24hnZjOKp7ZdiOKBoVrjTzSEP/AohfGUtMT&#10;1K0Igu3QvILqjUTwoMNMQp+B1kaqpIHU5PO/1Dy2wqmkhczx7mST/3+w8mH/6L4hC+NHGGmASYR3&#10;9yB/eGbhphW2UdeIMLRK1NQ4j5Zlg/PF8dNotS98BKmGL1DTkMUuQAIaNfbRFdLJCJ0GcDiZrsbA&#10;JCUvV+v1kiqSSst8dbFKQ8lE8fyxQx8+KehZvJQcaaYJXOzvfYhkRPH8JPaycGe6Ls21s38k6GHM&#10;JPKR78Q8jNXITF3y91FZ1FJBfSA1CNO20HbTpQX8xdlAm1Jy/3MnUHHWfbbkyGW+jPxDCpYX6wUF&#10;eF6pzivCSoIqeeBsut6EaR13Dk3TUqdpBhauyUVtksIXVkf6tA1J+HFz47qdx+nVy/+1/Q0AAP//&#10;AwBQSwMEFAAGAAgAAAAhANQl57/fAAAACwEAAA8AAABkcnMvZG93bnJldi54bWxMj81OwzAQhO9I&#10;vIO1SNyoTZr+hThVBeIKagtI3Nx4m0SN11HsNuHtWU70OJrRzDf5enStuGAfGk8aHicKBFLpbUOV&#10;ho/968MSRIiGrGk9oYYfDLAubm9yk1k/0BYvu1gJLqGQGQ11jF0mZShrdCZMfIfE3tH3zkSWfSVt&#10;bwYud61MlJpLZxrihdp0+FxjedqdnYbPt+P3V6reqxc36wY/KkluJbW+vxs3TyAijvE/DH/4jA4F&#10;Mx38mWwQrYZ0sWL0yMYyXYDgxHyaJCAOGpKZmoIscnn9ofgFAAD//wMAUEsBAi0AFAAGAAgAAAAh&#10;ALaDOJL+AAAA4QEAABMAAAAAAAAAAAAAAAAAAAAAAFtDb250ZW50X1R5cGVzXS54bWxQSwECLQAU&#10;AAYACAAAACEAOP0h/9YAAACUAQAACwAAAAAAAAAAAAAAAAAvAQAAX3JlbHMvLnJlbHNQSwECLQAU&#10;AAYACAAAACEAKBa9ruMBAACnAwAADgAAAAAAAAAAAAAAAAAuAgAAZHJzL2Uyb0RvYy54bWxQSwEC&#10;LQAUAAYACAAAACEA1CXnv98AAAALAQAADwAAAAAAAAAAAAAAAAA9BAAAZHJzL2Rvd25yZXYueG1s&#10;UEsFBgAAAAAEAAQA8wAAAEkFAAAAAA==&#10;" filled="f" stroked="f">
                      <v:textbox>
                        <w:txbxContent>
                          <w:p w14:paraId="76A5F82F" w14:textId="77777777" w:rsidR="00160989" w:rsidRPr="00803C66" w:rsidRDefault="00160989" w:rsidP="002B51E2">
                            <w:pPr>
                              <w:jc w:val="center"/>
                              <w:rPr>
                                <w:rFonts w:eastAsia="MS PGothic"/>
                                <w:color w:val="000000"/>
                                <w:kern w:val="24"/>
                                <w:szCs w:val="22"/>
                                <w:lang w:val="de-CH"/>
                              </w:rPr>
                            </w:pPr>
                            <w:r>
                              <w:rPr>
                                <w:rFonts w:eastAsia="MS PGothic"/>
                                <w:color w:val="000000"/>
                                <w:kern w:val="24"/>
                                <w:szCs w:val="22"/>
                                <w:lang w:val="de-CH"/>
                              </w:rPr>
                              <w:t>Émbolo</w:t>
                            </w:r>
                          </w:p>
                        </w:txbxContent>
                      </v:textbox>
                    </v:shape>
                  </w:pict>
                </mc:Fallback>
              </mc:AlternateContent>
            </w:r>
            <w:r w:rsidRPr="003E0B98">
              <w:rPr>
                <w:rFonts w:eastAsia="Calibri"/>
                <w:noProof/>
                <w:szCs w:val="22"/>
                <w:lang w:val="es-ES" w:eastAsia="es-ES"/>
              </w:rPr>
              <mc:AlternateContent>
                <mc:Choice Requires="wps">
                  <w:drawing>
                    <wp:anchor distT="0" distB="0" distL="114300" distR="114300" simplePos="0" relativeHeight="251652608" behindDoc="0" locked="0" layoutInCell="1" allowOverlap="1" wp14:anchorId="2EB70C03" wp14:editId="3F549632">
                      <wp:simplePos x="0" y="0"/>
                      <wp:positionH relativeFrom="column">
                        <wp:posOffset>1518285</wp:posOffset>
                      </wp:positionH>
                      <wp:positionV relativeFrom="paragraph">
                        <wp:posOffset>1207770</wp:posOffset>
                      </wp:positionV>
                      <wp:extent cx="1337310" cy="440690"/>
                      <wp:effectExtent l="0" t="0" r="0" b="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440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BFEB44" w14:textId="77777777" w:rsidR="00160989" w:rsidRPr="00803C66" w:rsidRDefault="00160989" w:rsidP="002B51E2">
                                  <w:pPr>
                                    <w:jc w:val="center"/>
                                    <w:rPr>
                                      <w:rFonts w:eastAsia="MS PGothic"/>
                                      <w:color w:val="000000"/>
                                      <w:kern w:val="24"/>
                                      <w:szCs w:val="22"/>
                                      <w:lang w:val="de-CH"/>
                                    </w:rPr>
                                  </w:pPr>
                                  <w:r w:rsidRPr="00B26220">
                                    <w:rPr>
                                      <w:rFonts w:eastAsia="MS PGothic"/>
                                      <w:color w:val="000000"/>
                                      <w:kern w:val="24"/>
                                      <w:szCs w:val="22"/>
                                      <w:lang w:val="de-CH"/>
                                    </w:rPr>
                                    <w:t>Tapón de</w:t>
                                  </w:r>
                                  <w:r>
                                    <w:rPr>
                                      <w:rFonts w:eastAsia="MS PGothic"/>
                                      <w:color w:val="000000"/>
                                      <w:kern w:val="24"/>
                                      <w:szCs w:val="22"/>
                                      <w:lang w:val="de-CH"/>
                                    </w:rPr>
                                    <w:t xml:space="preserve"> goma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EB70C03" id="_x0000_s1030" type="#_x0000_t202" style="position:absolute;left:0;text-align:left;margin-left:119.55pt;margin-top:95.1pt;width:105.3pt;height:34.7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xt/4wEAAKgDAAAOAAAAZHJzL2Uyb0RvYy54bWysU9Fu0zAUfUfiHyy/0yRt2VjUdBqbhpDG&#10;QBp8gOPYiUXia67dJuXruXa6rsAb4sWyfZ1zzzn3ZHM9DT3bK/QGbMWLRc6ZshIaY9uKf/t6/+Yd&#10;Zz4I24gerKr4QXl+vX39ajO6Ui2hg75RyAjE+nJ0Fe9CcGWWedmpQfgFOGWpqAEHEeiIbdagGAl9&#10;6LNlnl9kI2DjEKTynm7v5iLfJnytlQyftfYqsL7ixC2kFdNaxzXbbkTZonCdkUca4h9YDMJYanqC&#10;uhNBsB2av6AGIxE86LCQMGSgtZEqaSA1Rf6HmqdOOJW0kDnenWzy/w9WPu6f3BdkYXoPEw0wifDu&#10;AeR3zyzcdsK26gYRxk6JhhoX0bJsdL48fhqt9qWPIPX4CRoastgFSECTxiG6QjoZodMADifT1RSY&#10;jC1Xq8tVQSVJtfU6v7hKU8lE+fy1Qx8+KBhY3FQcaagJXewffIhsRPn8JDazcG/6Pg22t79d0MN4&#10;k9hHwjP1MNUTMw01j9KimBqaA8lBmONC8aZNB/iTs5GiUnH/YydQcdZ/tGTJVUG0KVvpsH57uaQD&#10;nlfq84qwkqAqHjibt7dhzuPOoWk76jQPwcIN2ahNUvjC6kif4pCEH6Mb83Z+Tq9efrDtLwAAAP//&#10;AwBQSwMEFAAGAAgAAAAhAPQ7gnLeAAAACwEAAA8AAABkcnMvZG93bnJldi54bWxMj8tOwzAQRfdI&#10;/IM1SOyo3ZAWHOJUCMQW1PKQ2LnxNImIx1HsNuHvGVawHJ2re8+Um9n34oRj7AIZWC4UCKQ6uI4a&#10;A2+vT1e3IGKy5GwfCA18Y4RNdX5W2sKFibZ42qVGcAnFwhpoUxoKKWPdordxEQYkZocwepv4HBvp&#10;Rjtxue9lptRaetsRL7R2wIcW66/d0Rt4fz58fuTqpXn0q2EKs5LktTTm8mK+vwORcE5/YfjVZ3Wo&#10;2GkfjuSi6A1k13rJUQZaZSA4kef6BsSe0UqvQVal/P9D9QMAAP//AwBQSwECLQAUAAYACAAAACEA&#10;toM4kv4AAADhAQAAEwAAAAAAAAAAAAAAAAAAAAAAW0NvbnRlbnRfVHlwZXNdLnhtbFBLAQItABQA&#10;BgAIAAAAIQA4/SH/1gAAAJQBAAALAAAAAAAAAAAAAAAAAC8BAABfcmVscy8ucmVsc1BLAQItABQA&#10;BgAIAAAAIQCNHxt/4wEAAKgDAAAOAAAAAAAAAAAAAAAAAC4CAABkcnMvZTJvRG9jLnhtbFBLAQIt&#10;ABQABgAIAAAAIQD0O4Jy3gAAAAsBAAAPAAAAAAAAAAAAAAAAAD0EAABkcnMvZG93bnJldi54bWxQ&#10;SwUGAAAAAAQABADzAAAASAUAAAAA&#10;" filled="f" stroked="f">
                      <v:textbox>
                        <w:txbxContent>
                          <w:p w14:paraId="20BFEB44" w14:textId="77777777" w:rsidR="00160989" w:rsidRPr="00803C66" w:rsidRDefault="00160989" w:rsidP="002B51E2">
                            <w:pPr>
                              <w:jc w:val="center"/>
                              <w:rPr>
                                <w:rFonts w:eastAsia="MS PGothic"/>
                                <w:color w:val="000000"/>
                                <w:kern w:val="24"/>
                                <w:szCs w:val="22"/>
                                <w:lang w:val="de-CH"/>
                              </w:rPr>
                            </w:pPr>
                            <w:r w:rsidRPr="00B26220">
                              <w:rPr>
                                <w:rFonts w:eastAsia="MS PGothic"/>
                                <w:color w:val="000000"/>
                                <w:kern w:val="24"/>
                                <w:szCs w:val="22"/>
                                <w:lang w:val="de-CH"/>
                              </w:rPr>
                              <w:t>Tapón de</w:t>
                            </w:r>
                            <w:r>
                              <w:rPr>
                                <w:rFonts w:eastAsia="MS PGothic"/>
                                <w:color w:val="000000"/>
                                <w:kern w:val="24"/>
                                <w:szCs w:val="22"/>
                                <w:lang w:val="de-CH"/>
                              </w:rPr>
                              <w:t xml:space="preserve"> goma</w:t>
                            </w:r>
                          </w:p>
                        </w:txbxContent>
                      </v:textbox>
                    </v:shape>
                  </w:pict>
                </mc:Fallback>
              </mc:AlternateContent>
            </w:r>
            <w:r w:rsidRPr="003E0B98">
              <w:rPr>
                <w:rFonts w:eastAsia="Calibri"/>
                <w:noProof/>
                <w:szCs w:val="22"/>
                <w:lang w:val="es-ES" w:eastAsia="es-ES"/>
              </w:rPr>
              <mc:AlternateContent>
                <mc:Choice Requires="wps">
                  <w:drawing>
                    <wp:anchor distT="0" distB="0" distL="114300" distR="114300" simplePos="0" relativeHeight="251664896" behindDoc="0" locked="0" layoutInCell="1" allowOverlap="1" wp14:anchorId="2B12E477" wp14:editId="0ED37D14">
                      <wp:simplePos x="0" y="0"/>
                      <wp:positionH relativeFrom="column">
                        <wp:posOffset>760095</wp:posOffset>
                      </wp:positionH>
                      <wp:positionV relativeFrom="paragraph">
                        <wp:posOffset>1240155</wp:posOffset>
                      </wp:positionV>
                      <wp:extent cx="895350" cy="497840"/>
                      <wp:effectExtent l="0" t="0" r="0"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497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13F7B7" w14:textId="77777777" w:rsidR="00160989" w:rsidRPr="00803C66" w:rsidRDefault="00160989" w:rsidP="00175E08">
                                  <w:pPr>
                                    <w:jc w:val="center"/>
                                    <w:rPr>
                                      <w:rFonts w:eastAsia="MS PGothic"/>
                                      <w:color w:val="000000"/>
                                      <w:kern w:val="24"/>
                                      <w:szCs w:val="22"/>
                                      <w:lang w:val="de-CH"/>
                                    </w:rPr>
                                  </w:pPr>
                                  <w:r>
                                    <w:rPr>
                                      <w:rFonts w:eastAsia="MS PGothic"/>
                                      <w:color w:val="000000"/>
                                      <w:kern w:val="24"/>
                                      <w:szCs w:val="22"/>
                                      <w:lang w:val="de-CH"/>
                                    </w:rPr>
                                    <w:t>Luer lock</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B12E477" id="_x0000_s1031" type="#_x0000_t202" style="position:absolute;left:0;text-align:left;margin-left:59.85pt;margin-top:97.65pt;width:70.5pt;height:39.2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dNw5AEAAKcDAAAOAAAAZHJzL2Uyb0RvYy54bWysU8GO0zAQvSPxD5bvNG1p2TZqulp2tQhp&#10;WZAWPmDiOI1F4jFjt0n5esZOt1vghrhYnhnnzXtvJpvroWvFQZM3aAs5m0yl0FZhZeyukN++3r9Z&#10;SeED2ApatLqQR+3l9fb1q03vcj3HBttKk2AQ6/PeFbIJweVZ5lWjO/ATdNpysUbqIHBIu6wi6Bm9&#10;a7P5dPou65EqR6i095y9G4tym/DrWqvwua69DqItJHML6aR0lvHMthvIdwSuMepEA/6BRQfGctMz&#10;1B0EEHsyf0F1RhF6rMNEYZdhXRulkwZWM5v+oeapAaeTFjbHu7NN/v/BqsfDk/tCIgzvceABJhHe&#10;PaD67oXF2wbsTt8QYd9oqLjxLFqW9c7np0+j1T73EaTsP2HFQ4Z9wAQ01NRFV1inYHQewPFsuh6C&#10;UJxcrZdvl1xRXFqsr1aLNJQM8uePHfnwQWMn4qWQxDNN4HB48CGSgfz5Sexl8d60bZpra39L8MOY&#10;SeQj35F5GMpBmKqQy6gsaimxOrIawnFbeLv50iD9lKLnTSmk/7EH0lK0Hy07sp4tmLMIKVgsr+Yc&#10;0GWlvKyAVQxVyCDFeL0N4zruHZldw53GGVi8YRdrkxS+sDrR521Iwk+bG9ftMk6vXv6v7S8AAAD/&#10;/wMAUEsDBBQABgAIAAAAIQDOVA053gAAAAsBAAAPAAAAZHJzL2Rvd25yZXYueG1sTI9BT8MwDIXv&#10;SPsPkZF2Y8k2ttLSdEJMXEEMNolb1nhttcapmmwt/x5zgtt79tPz53wzulZcsQ+NJw3zmQKBVHrb&#10;UKXh8+Pl7gFEiIasaT2hhm8MsCkmN7nJrB/oHa+7WAkuoZAZDXWMXSZlKGt0Jsx8h8S7k++diWz7&#10;StreDFzuWrlQai2daYgv1KbD5xrL8+7iNOxfT1+He/VWbd2qG/yoJLlUaj29HZ8eQUQc418YfvEZ&#10;HQpmOvoL2SBa9vM04SiLdLUEwYnFWvHkyCJZJiCLXP7/ofgBAAD//wMAUEsBAi0AFAAGAAgAAAAh&#10;ALaDOJL+AAAA4QEAABMAAAAAAAAAAAAAAAAAAAAAAFtDb250ZW50X1R5cGVzXS54bWxQSwECLQAU&#10;AAYACAAAACEAOP0h/9YAAACUAQAACwAAAAAAAAAAAAAAAAAvAQAAX3JlbHMvLnJlbHNQSwECLQAU&#10;AAYACAAAACEA203TcOQBAACnAwAADgAAAAAAAAAAAAAAAAAuAgAAZHJzL2Uyb0RvYy54bWxQSwEC&#10;LQAUAAYACAAAACEAzlQNOd4AAAALAQAADwAAAAAAAAAAAAAAAAA+BAAAZHJzL2Rvd25yZXYueG1s&#10;UEsFBgAAAAAEAAQA8wAAAEkFAAAAAA==&#10;" filled="f" stroked="f">
                      <v:textbox>
                        <w:txbxContent>
                          <w:p w14:paraId="1913F7B7" w14:textId="77777777" w:rsidR="00160989" w:rsidRPr="00803C66" w:rsidRDefault="00160989" w:rsidP="00175E08">
                            <w:pPr>
                              <w:jc w:val="center"/>
                              <w:rPr>
                                <w:rFonts w:eastAsia="MS PGothic"/>
                                <w:color w:val="000000"/>
                                <w:kern w:val="24"/>
                                <w:szCs w:val="22"/>
                                <w:lang w:val="de-CH"/>
                              </w:rPr>
                            </w:pPr>
                            <w:r>
                              <w:rPr>
                                <w:rFonts w:eastAsia="MS PGothic"/>
                                <w:color w:val="000000"/>
                                <w:kern w:val="24"/>
                                <w:szCs w:val="22"/>
                                <w:lang w:val="de-CH"/>
                              </w:rPr>
                              <w:t>Luer lock</w:t>
                            </w:r>
                          </w:p>
                        </w:txbxContent>
                      </v:textbox>
                    </v:shape>
                  </w:pict>
                </mc:Fallback>
              </mc:AlternateContent>
            </w:r>
            <w:r w:rsidRPr="003E0B98">
              <w:rPr>
                <w:noProof/>
                <w:lang w:val="es-ES" w:eastAsia="es-ES"/>
              </w:rPr>
              <w:drawing>
                <wp:inline distT="0" distB="0" distL="0" distR="0" wp14:anchorId="6272258E" wp14:editId="5017A8C1">
                  <wp:extent cx="3219450" cy="1343025"/>
                  <wp:effectExtent l="0" t="0" r="0" b="0"/>
                  <wp:docPr id="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219450" cy="1343025"/>
                          </a:xfrm>
                          <a:prstGeom prst="rect">
                            <a:avLst/>
                          </a:prstGeom>
                          <a:noFill/>
                          <a:ln>
                            <a:noFill/>
                          </a:ln>
                        </pic:spPr>
                      </pic:pic>
                    </a:graphicData>
                  </a:graphic>
                </wp:inline>
              </w:drawing>
            </w:r>
          </w:p>
          <w:p w14:paraId="280C1F73" w14:textId="77777777" w:rsidR="002B51E2" w:rsidRPr="003E0B98" w:rsidRDefault="00C240E6" w:rsidP="004361AC">
            <w:pPr>
              <w:spacing w:after="200" w:line="276" w:lineRule="auto"/>
              <w:rPr>
                <w:rFonts w:eastAsia="Calibri"/>
                <w:noProof/>
                <w:szCs w:val="22"/>
                <w:lang w:val="es-ES" w:eastAsia="en-GB"/>
              </w:rPr>
            </w:pPr>
            <w:r w:rsidRPr="003E0B98">
              <w:rPr>
                <w:rFonts w:ascii="NewsGothicBdBT-Reg" w:eastAsia="Calibri" w:hAnsi="NewsGothicBdBT-Reg" w:cs="NewsGothicBdBT-Reg"/>
                <w:noProof/>
                <w:sz w:val="18"/>
                <w:szCs w:val="18"/>
                <w:lang w:val="es-ES" w:eastAsia="es-ES"/>
              </w:rPr>
              <mc:AlternateContent>
                <mc:Choice Requires="wps">
                  <w:drawing>
                    <wp:anchor distT="0" distB="0" distL="114300" distR="114300" simplePos="0" relativeHeight="251655680" behindDoc="0" locked="0" layoutInCell="1" allowOverlap="1" wp14:anchorId="36B1CABB" wp14:editId="5DBB40DF">
                      <wp:simplePos x="0" y="0"/>
                      <wp:positionH relativeFrom="column">
                        <wp:posOffset>1727835</wp:posOffset>
                      </wp:positionH>
                      <wp:positionV relativeFrom="paragraph">
                        <wp:posOffset>182880</wp:posOffset>
                      </wp:positionV>
                      <wp:extent cx="886460" cy="318770"/>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6460" cy="318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C25F85" w14:textId="77777777" w:rsidR="00160989" w:rsidRPr="00803C66" w:rsidRDefault="00160989" w:rsidP="002B51E2">
                                  <w:pPr>
                                    <w:jc w:val="center"/>
                                    <w:rPr>
                                      <w:rFonts w:eastAsia="MS PGothic"/>
                                      <w:b/>
                                      <w:color w:val="000000"/>
                                      <w:kern w:val="24"/>
                                      <w:szCs w:val="22"/>
                                      <w:lang w:val="de-CH"/>
                                    </w:rPr>
                                  </w:pPr>
                                  <w:r>
                                    <w:rPr>
                                      <w:rFonts w:eastAsia="MS PGothic"/>
                                      <w:b/>
                                      <w:color w:val="000000"/>
                                      <w:kern w:val="24"/>
                                      <w:szCs w:val="22"/>
                                      <w:lang w:val="de-CH"/>
                                    </w:rPr>
                                    <w:t>Figura 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6B1CABB" id="_x0000_s1032" type="#_x0000_t202" style="position:absolute;margin-left:136.05pt;margin-top:14.4pt;width:69.8pt;height:25.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J+q5AEAAKcDAAAOAAAAZHJzL2Uyb0RvYy54bWysU9tu2zAMfR+wfxD0vjjOsiQz4hRdiw4D&#10;ugvQ7gNkWbKF2aJGKbGzrx8lp2m2vg17EURSPjznkN5ejX3HDgq9AVvyfDbnTFkJtbFNyb8/3r3Z&#10;cOaDsLXowKqSH5XnV7vXr7aDK9QCWuhqhYxArC8GV/I2BFdkmZet6oWfgVOWihqwF4FCbLIaxUDo&#10;fZct5vNVNgDWDkEq7yl7OxX5LuFrrWT4qrVXgXUlJ24hnZjOKp7ZbiuKBoVrjTzREP/AohfGUtMz&#10;1K0Igu3RvIDqjUTwoMNMQp+B1kaqpIHU5PO/1Dy0wqmkhczx7myT/3+w8svhwX1DFsYPMNIAkwjv&#10;7kH+8MzCTStso64RYWiVqKlxHi3LBueL06fRal/4CFINn6GmIYt9gAQ0auyjK6STEToN4Hg2XY2B&#10;SUpuNqvliiqSSm/zzXqdhpKJ4uljhz58VNCzeCk50kwTuDjc+xDJiOLpSexl4c50XZprZ/9I0MOY&#10;SeQj34l5GKuRmbrkq6gsaqmgPpIahGlbaLvp0gL+4mygTSm5/7kXqDjrPlly5H2+XMbVSsHy3XpB&#10;AV5WqsuKsJKgSh44m643YVrHvUPTtNRpmoGFa3JRm6TwmdWJPm1DEn7a3Lhul3F69fx/7X4DAAD/&#10;/wMAUEsDBBQABgAIAAAAIQB26uK03gAAAAkBAAAPAAAAZHJzL2Rvd25yZXYueG1sTI/BTsMwDIbv&#10;SHuHyJO4saTVoFtpOk1DXEEMmLRb1nhtReNUTbaWt8ec4GbLn35/f7GZXCeuOITWk4ZkoUAgVd62&#10;VGv4eH++W4EI0ZA1nSfU8I0BNuXspjC59SO94XUfa8EhFHKjoYmxz6UMVYPOhIXvkfh29oMzkdeh&#10;lnYwI4e7TqZKPUhnWuIPjelx12D1tb84DZ8v5+NhqV7rJ3ffj35Sktxaan07n7aPICJO8Q+GX31W&#10;h5KdTv5CNohOQ5qlCaM8rLgCA8skyUCcNGRrBbIs5P8G5Q8AAAD//wMAUEsBAi0AFAAGAAgAAAAh&#10;ALaDOJL+AAAA4QEAABMAAAAAAAAAAAAAAAAAAAAAAFtDb250ZW50X1R5cGVzXS54bWxQSwECLQAU&#10;AAYACAAAACEAOP0h/9YAAACUAQAACwAAAAAAAAAAAAAAAAAvAQAAX3JlbHMvLnJlbHNQSwECLQAU&#10;AAYACAAAACEAcwSfquQBAACnAwAADgAAAAAAAAAAAAAAAAAuAgAAZHJzL2Uyb0RvYy54bWxQSwEC&#10;LQAUAAYACAAAACEAduritN4AAAAJAQAADwAAAAAAAAAAAAAAAAA+BAAAZHJzL2Rvd25yZXYueG1s&#10;UEsFBgAAAAAEAAQA8wAAAEkFAAAAAA==&#10;" filled="f" stroked="f">
                      <v:textbox>
                        <w:txbxContent>
                          <w:p w14:paraId="26C25F85" w14:textId="77777777" w:rsidR="00160989" w:rsidRPr="00803C66" w:rsidRDefault="00160989" w:rsidP="002B51E2">
                            <w:pPr>
                              <w:jc w:val="center"/>
                              <w:rPr>
                                <w:rFonts w:eastAsia="MS PGothic"/>
                                <w:b/>
                                <w:color w:val="000000"/>
                                <w:kern w:val="24"/>
                                <w:szCs w:val="22"/>
                                <w:lang w:val="de-CH"/>
                              </w:rPr>
                            </w:pPr>
                            <w:r>
                              <w:rPr>
                                <w:rFonts w:eastAsia="MS PGothic"/>
                                <w:b/>
                                <w:color w:val="000000"/>
                                <w:kern w:val="24"/>
                                <w:szCs w:val="22"/>
                                <w:lang w:val="de-CH"/>
                              </w:rPr>
                              <w:t>Figura 1</w:t>
                            </w:r>
                          </w:p>
                        </w:txbxContent>
                      </v:textbox>
                    </v:shape>
                  </w:pict>
                </mc:Fallback>
              </mc:AlternateContent>
            </w:r>
          </w:p>
          <w:p w14:paraId="741F4F79" w14:textId="77777777" w:rsidR="002B51E2" w:rsidRPr="003E0B98" w:rsidRDefault="00C240E6" w:rsidP="004361AC">
            <w:pPr>
              <w:tabs>
                <w:tab w:val="clear" w:pos="567"/>
              </w:tabs>
              <w:spacing w:line="240" w:lineRule="auto"/>
              <w:rPr>
                <w:i/>
                <w:color w:val="000000"/>
                <w:szCs w:val="22"/>
                <w:lang w:val="es-ES"/>
              </w:rPr>
            </w:pPr>
            <w:r w:rsidRPr="003E0B98">
              <w:rPr>
                <w:noProof/>
                <w:color w:val="000000"/>
                <w:szCs w:val="22"/>
                <w:lang w:val="es-ES" w:eastAsia="es-ES"/>
              </w:rPr>
              <mc:AlternateContent>
                <mc:Choice Requires="wps">
                  <w:drawing>
                    <wp:anchor distT="0" distB="0" distL="114300" distR="114300" simplePos="0" relativeHeight="251637248" behindDoc="0" locked="0" layoutInCell="1" allowOverlap="1" wp14:anchorId="73B49C27" wp14:editId="72D768A5">
                      <wp:simplePos x="0" y="0"/>
                      <wp:positionH relativeFrom="column">
                        <wp:posOffset>7254875</wp:posOffset>
                      </wp:positionH>
                      <wp:positionV relativeFrom="paragraph">
                        <wp:posOffset>2633980</wp:posOffset>
                      </wp:positionV>
                      <wp:extent cx="2160270" cy="675005"/>
                      <wp:effectExtent l="0" t="0" r="0" b="0"/>
                      <wp:wrapNone/>
                      <wp:docPr id="13"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60270" cy="675005"/>
                              </a:xfrm>
                              <a:prstGeom prst="rect">
                                <a:avLst/>
                              </a:prstGeom>
                              <a:noFill/>
                            </wps:spPr>
                            <wps:txbx>
                              <w:txbxContent>
                                <w:p w14:paraId="2023B4F8" w14:textId="77777777" w:rsidR="00160989" w:rsidRDefault="00160989" w:rsidP="002B51E2">
                                  <w:pPr>
                                    <w:pStyle w:val="NormalWeb"/>
                                    <w:spacing w:before="0" w:beforeAutospacing="0" w:after="0" w:afterAutospacing="0"/>
                                    <w:textAlignment w:val="baseline"/>
                                  </w:pPr>
                                  <w:r w:rsidRPr="004B1825">
                                    <w:rPr>
                                      <w:rFonts w:ascii="Arial" w:eastAsia="MS PGothic" w:hAnsi="Arial"/>
                                      <w:color w:val="000000"/>
                                      <w:kern w:val="24"/>
                                      <w:sz w:val="40"/>
                                      <w:szCs w:val="40"/>
                                      <w:lang w:val="de-CH"/>
                                    </w:rPr>
                                    <w:t>Plunger</w:t>
                                  </w:r>
                                </w:p>
                                <w:p w14:paraId="14E24F36" w14:textId="77777777" w:rsidR="00160989" w:rsidRDefault="00160989" w:rsidP="002B51E2">
                                  <w:pPr>
                                    <w:pStyle w:val="NormalWeb"/>
                                    <w:spacing w:before="0" w:beforeAutospacing="0" w:after="0" w:afterAutospacing="0"/>
                                    <w:textAlignment w:val="baseline"/>
                                  </w:pPr>
                                  <w:r w:rsidRPr="004B1825">
                                    <w:rPr>
                                      <w:rFonts w:ascii="Arial" w:eastAsia="MS PGothic" w:hAnsi="Arial"/>
                                      <w:color w:val="000000"/>
                                      <w:kern w:val="24"/>
                                      <w:sz w:val="40"/>
                                      <w:szCs w:val="40"/>
                                      <w:lang w:val="de-CH"/>
                                    </w:rPr>
                                    <w:t xml:space="preserve">    Rod</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 w14:anchorId="73B49C27" id="TextBox 11" o:spid="_x0000_s1033" type="#_x0000_t202" style="position:absolute;margin-left:571.25pt;margin-top:207.4pt;width:170.1pt;height:53.1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vqtkAEAAAkDAAAOAAAAZHJzL2Uyb0RvYy54bWysUttu4yAQfa+0/4B4b3AiNVlZcape1H2p&#10;tiu1/QCCIUY1DMuQ2Pn7DiRNqu7bqi/YzOXMOWdYXo+uZzsd0YJv+HRScaa9gtb6TcNfXx4uf3KG&#10;SfpW9uB1w/ca+fXqx8VyCLWeQQd9qyMjEI/1EBrepRRqIVB12kmcQNCekgaik4mucSPaKAdCd72Y&#10;VdVcDBDbEEFpRIreH5J8VfCN0So9GYM6sb7hxC2VM5ZznU+xWsp6E2XorDrSkP/BwknraegJ6l4m&#10;ybbR/gPlrIqAYNJEgRNgjFW6aCA10+qLmudOBl20kDkYTjbh98Gq37vn8CeyNN7CSAssIjA8gnpD&#10;8kYMAetjTfYUa6TqLHQ00eUvSWDUSN7uT37qMTFFwdl0Xs0WlFKUmy+uquoqGy7O3SFi+qXBsfzT&#10;8Ej7Kgzk7hHTofSjJA/z8GD7/oPXgUomlcb1yGzb8EXGz5E1tHuSNdBmG45/tzJqzmLq76A8hAyG&#10;4WabCLDMOfccRZPfhenxbeSFfr6XqvMLXr0DAAD//wMAUEsDBBQABgAIAAAAIQBq7ZlZ3wAAAA0B&#10;AAAPAAAAZHJzL2Rvd25yZXYueG1sTI/LTsMwEEX3SPyDNUjsqOMogSrEqSoeEgs2lLB342kSNR5H&#10;sdukf890BcurObpzbrlZ3CDOOIXekwa1SkAgNd721Gqov98f1iBCNGTN4Ak1XDDAprq9KU1h/Uxf&#10;eN7FVnAJhcJo6GIcCylD06EzYeVHJL4d/ORM5Di10k5m5nI3yDRJHqUzPfGHzoz40mFz3J2chhjt&#10;Vl3qNxc+fpbP17lLmtzUWt/fLdtnEBGX+AfDVZ/VoWKnvT+RDWLgrLI0Z1ZDpjIecUWydfoEYq8h&#10;T5UCWZXy/4rqFwAA//8DAFBLAQItABQABgAIAAAAIQC2gziS/gAAAOEBAAATAAAAAAAAAAAAAAAA&#10;AAAAAABbQ29udGVudF9UeXBlc10ueG1sUEsBAi0AFAAGAAgAAAAhADj9If/WAAAAlAEAAAsAAAAA&#10;AAAAAAAAAAAALwEAAF9yZWxzLy5yZWxzUEsBAi0AFAAGAAgAAAAhACla+q2QAQAACQMAAA4AAAAA&#10;AAAAAAAAAAAALgIAAGRycy9lMm9Eb2MueG1sUEsBAi0AFAAGAAgAAAAhAGrtmVnfAAAADQEAAA8A&#10;AAAAAAAAAAAAAAAA6gMAAGRycy9kb3ducmV2LnhtbFBLBQYAAAAABAAEAPMAAAD2BAAAAAA=&#10;" filled="f" stroked="f">
                      <v:textbox style="mso-fit-shape-to-text:t">
                        <w:txbxContent>
                          <w:p w14:paraId="2023B4F8" w14:textId="77777777" w:rsidR="00160989" w:rsidRDefault="00160989" w:rsidP="002B51E2">
                            <w:pPr>
                              <w:pStyle w:val="NormalWeb"/>
                              <w:spacing w:before="0" w:beforeAutospacing="0" w:after="0" w:afterAutospacing="0"/>
                              <w:textAlignment w:val="baseline"/>
                            </w:pPr>
                            <w:r w:rsidRPr="004B1825">
                              <w:rPr>
                                <w:rFonts w:ascii="Arial" w:eastAsia="MS PGothic" w:hAnsi="Arial"/>
                                <w:color w:val="000000"/>
                                <w:kern w:val="24"/>
                                <w:sz w:val="40"/>
                                <w:szCs w:val="40"/>
                                <w:lang w:val="de-CH"/>
                              </w:rPr>
                              <w:t>Plunger</w:t>
                            </w:r>
                          </w:p>
                          <w:p w14:paraId="14E24F36" w14:textId="77777777" w:rsidR="00160989" w:rsidRDefault="00160989" w:rsidP="002B51E2">
                            <w:pPr>
                              <w:pStyle w:val="NormalWeb"/>
                              <w:spacing w:before="0" w:beforeAutospacing="0" w:after="0" w:afterAutospacing="0"/>
                              <w:textAlignment w:val="baseline"/>
                            </w:pPr>
                            <w:r w:rsidRPr="004B1825">
                              <w:rPr>
                                <w:rFonts w:ascii="Arial" w:eastAsia="MS PGothic" w:hAnsi="Arial"/>
                                <w:color w:val="000000"/>
                                <w:kern w:val="24"/>
                                <w:sz w:val="40"/>
                                <w:szCs w:val="40"/>
                                <w:lang w:val="de-CH"/>
                              </w:rPr>
                              <w:t xml:space="preserve">    Rod</w:t>
                            </w:r>
                          </w:p>
                        </w:txbxContent>
                      </v:textbox>
                    </v:shape>
                  </w:pict>
                </mc:Fallback>
              </mc:AlternateContent>
            </w:r>
          </w:p>
        </w:tc>
      </w:tr>
      <w:tr w:rsidR="002B51E2" w:rsidRPr="003C169A" w14:paraId="48678CC7" w14:textId="77777777" w:rsidTr="00D91B0D">
        <w:tc>
          <w:tcPr>
            <w:tcW w:w="1701" w:type="dxa"/>
          </w:tcPr>
          <w:p w14:paraId="4D315044" w14:textId="77777777" w:rsidR="002B51E2" w:rsidRPr="003E0B98" w:rsidRDefault="002B51E2" w:rsidP="004361AC">
            <w:pPr>
              <w:tabs>
                <w:tab w:val="clear" w:pos="567"/>
              </w:tabs>
              <w:spacing w:line="240" w:lineRule="auto"/>
              <w:rPr>
                <w:color w:val="000000"/>
                <w:szCs w:val="22"/>
                <w:lang w:val="en-US"/>
              </w:rPr>
            </w:pPr>
            <w:proofErr w:type="spellStart"/>
            <w:r w:rsidRPr="003E0B98">
              <w:rPr>
                <w:b/>
                <w:color w:val="000000"/>
                <w:szCs w:val="22"/>
              </w:rPr>
              <w:t>Prepar</w:t>
            </w:r>
            <w:r w:rsidR="00C5443E" w:rsidRPr="003E0B98">
              <w:rPr>
                <w:b/>
                <w:color w:val="000000"/>
                <w:szCs w:val="22"/>
              </w:rPr>
              <w:t>ar</w:t>
            </w:r>
            <w:proofErr w:type="spellEnd"/>
          </w:p>
        </w:tc>
        <w:tc>
          <w:tcPr>
            <w:tcW w:w="7513" w:type="dxa"/>
            <w:gridSpan w:val="2"/>
          </w:tcPr>
          <w:p w14:paraId="77E12E05" w14:textId="77777777" w:rsidR="002B51E2" w:rsidRPr="003E0B98" w:rsidRDefault="00C5443E" w:rsidP="004361AC">
            <w:pPr>
              <w:tabs>
                <w:tab w:val="clear" w:pos="567"/>
              </w:tabs>
              <w:spacing w:line="240" w:lineRule="auto"/>
              <w:ind w:left="459" w:hanging="459"/>
              <w:rPr>
                <w:color w:val="000000"/>
                <w:szCs w:val="22"/>
                <w:lang w:val="es-ES"/>
              </w:rPr>
            </w:pPr>
            <w:r w:rsidRPr="003E0B98">
              <w:rPr>
                <w:color w:val="000000"/>
                <w:szCs w:val="22"/>
                <w:lang w:val="es-ES"/>
              </w:rPr>
              <w:t>1.</w:t>
            </w:r>
            <w:r w:rsidRPr="003E0B98">
              <w:rPr>
                <w:color w:val="000000"/>
                <w:szCs w:val="22"/>
                <w:lang w:val="es-ES"/>
              </w:rPr>
              <w:tab/>
              <w:t>Asegurarse que el envase contiene</w:t>
            </w:r>
            <w:r w:rsidR="002B51E2" w:rsidRPr="003E0B98">
              <w:rPr>
                <w:color w:val="000000"/>
                <w:szCs w:val="22"/>
                <w:lang w:val="es-ES"/>
              </w:rPr>
              <w:t>:</w:t>
            </w:r>
          </w:p>
          <w:p w14:paraId="14AF768C" w14:textId="77777777" w:rsidR="002B51E2" w:rsidRPr="003E0B98" w:rsidRDefault="00C5443E" w:rsidP="004361AC">
            <w:pPr>
              <w:numPr>
                <w:ilvl w:val="0"/>
                <w:numId w:val="10"/>
              </w:numPr>
              <w:tabs>
                <w:tab w:val="clear" w:pos="357"/>
                <w:tab w:val="clear" w:pos="567"/>
              </w:tabs>
              <w:spacing w:line="240" w:lineRule="auto"/>
              <w:ind w:left="459" w:hanging="459"/>
              <w:rPr>
                <w:color w:val="000000"/>
                <w:szCs w:val="22"/>
                <w:lang w:val="es-ES"/>
              </w:rPr>
            </w:pPr>
            <w:r w:rsidRPr="003E0B98">
              <w:rPr>
                <w:color w:val="000000"/>
                <w:szCs w:val="22"/>
                <w:lang w:val="es-ES"/>
              </w:rPr>
              <w:t>una jeringa precargada estéril en una bandeja sellada</w:t>
            </w:r>
            <w:r w:rsidR="002B51E2" w:rsidRPr="003E0B98">
              <w:rPr>
                <w:color w:val="000000"/>
                <w:szCs w:val="22"/>
                <w:lang w:val="es-ES"/>
              </w:rPr>
              <w:t>.</w:t>
            </w:r>
          </w:p>
          <w:p w14:paraId="2A638EBC" w14:textId="77777777" w:rsidR="002B51E2" w:rsidRPr="003E0B98" w:rsidRDefault="002B51E2" w:rsidP="004361AC">
            <w:pPr>
              <w:tabs>
                <w:tab w:val="clear" w:pos="567"/>
              </w:tabs>
              <w:spacing w:line="240" w:lineRule="auto"/>
              <w:ind w:left="459" w:hanging="459"/>
              <w:rPr>
                <w:b/>
                <w:bCs/>
                <w:i/>
                <w:color w:val="000000"/>
                <w:szCs w:val="22"/>
                <w:lang w:val="es-ES"/>
              </w:rPr>
            </w:pPr>
            <w:r w:rsidRPr="003E0B98">
              <w:rPr>
                <w:color w:val="000000"/>
                <w:szCs w:val="22"/>
                <w:lang w:val="es-ES"/>
              </w:rPr>
              <w:t>2.</w:t>
            </w:r>
            <w:r w:rsidRPr="003E0B98">
              <w:rPr>
                <w:color w:val="000000"/>
                <w:szCs w:val="22"/>
                <w:lang w:val="es-ES"/>
              </w:rPr>
              <w:tab/>
            </w:r>
            <w:r w:rsidR="00E10688" w:rsidRPr="003E0B98">
              <w:rPr>
                <w:color w:val="000000"/>
                <w:szCs w:val="22"/>
                <w:lang w:val="es-ES"/>
              </w:rPr>
              <w:t>Quitar la cubierta de la bandeja</w:t>
            </w:r>
            <w:r w:rsidR="00405C96" w:rsidRPr="003E0B98">
              <w:rPr>
                <w:color w:val="000000"/>
                <w:szCs w:val="22"/>
                <w:lang w:val="es-ES"/>
              </w:rPr>
              <w:t xml:space="preserve"> contenedora</w:t>
            </w:r>
            <w:r w:rsidR="00E10688" w:rsidRPr="003E0B98">
              <w:rPr>
                <w:color w:val="000000"/>
                <w:szCs w:val="22"/>
                <w:lang w:val="es-ES"/>
              </w:rPr>
              <w:t xml:space="preserve"> de la jeringa y, usando una técnica aséptica, extraer la jeringa cuidadosamente.</w:t>
            </w:r>
          </w:p>
        </w:tc>
      </w:tr>
      <w:tr w:rsidR="002B51E2" w:rsidRPr="005E6AC0" w14:paraId="53FEE3C5" w14:textId="77777777" w:rsidTr="00D91B0D">
        <w:tc>
          <w:tcPr>
            <w:tcW w:w="1701" w:type="dxa"/>
          </w:tcPr>
          <w:p w14:paraId="479076E6" w14:textId="77777777" w:rsidR="002B51E2" w:rsidRPr="003E0B98" w:rsidRDefault="00E10688" w:rsidP="004361AC">
            <w:pPr>
              <w:tabs>
                <w:tab w:val="clear" w:pos="567"/>
              </w:tabs>
              <w:spacing w:line="240" w:lineRule="auto"/>
              <w:rPr>
                <w:b/>
                <w:color w:val="000000"/>
                <w:szCs w:val="22"/>
              </w:rPr>
            </w:pPr>
            <w:proofErr w:type="spellStart"/>
            <w:r w:rsidRPr="003E0B98">
              <w:rPr>
                <w:b/>
                <w:color w:val="000000"/>
                <w:szCs w:val="22"/>
              </w:rPr>
              <w:t>Comprobar</w:t>
            </w:r>
            <w:proofErr w:type="spellEnd"/>
            <w:r w:rsidRPr="003E0B98">
              <w:rPr>
                <w:b/>
                <w:color w:val="000000"/>
                <w:szCs w:val="22"/>
              </w:rPr>
              <w:t xml:space="preserve"> la </w:t>
            </w:r>
            <w:proofErr w:type="spellStart"/>
            <w:r w:rsidRPr="003E0B98">
              <w:rPr>
                <w:b/>
                <w:color w:val="000000"/>
                <w:szCs w:val="22"/>
              </w:rPr>
              <w:t>jeringa</w:t>
            </w:r>
            <w:proofErr w:type="spellEnd"/>
          </w:p>
        </w:tc>
        <w:tc>
          <w:tcPr>
            <w:tcW w:w="4395" w:type="dxa"/>
          </w:tcPr>
          <w:p w14:paraId="0C2E2FC6" w14:textId="77777777" w:rsidR="002B51E2" w:rsidRPr="003E0B98" w:rsidRDefault="002B51E2" w:rsidP="004361AC">
            <w:pPr>
              <w:tabs>
                <w:tab w:val="clear" w:pos="567"/>
              </w:tabs>
              <w:spacing w:line="240" w:lineRule="auto"/>
              <w:ind w:left="459" w:hanging="459"/>
              <w:rPr>
                <w:color w:val="000000"/>
                <w:szCs w:val="22"/>
              </w:rPr>
            </w:pPr>
            <w:r w:rsidRPr="003E0B98">
              <w:rPr>
                <w:color w:val="000000"/>
                <w:szCs w:val="22"/>
              </w:rPr>
              <w:t>3.</w:t>
            </w:r>
            <w:r w:rsidRPr="003E0B98">
              <w:rPr>
                <w:color w:val="000000"/>
                <w:szCs w:val="22"/>
              </w:rPr>
              <w:tab/>
            </w:r>
            <w:proofErr w:type="spellStart"/>
            <w:r w:rsidR="00E10688" w:rsidRPr="003E0B98">
              <w:rPr>
                <w:color w:val="000000"/>
                <w:szCs w:val="22"/>
              </w:rPr>
              <w:t>Comprobar</w:t>
            </w:r>
            <w:proofErr w:type="spellEnd"/>
            <w:r w:rsidR="00E10688" w:rsidRPr="003E0B98">
              <w:rPr>
                <w:color w:val="000000"/>
                <w:szCs w:val="22"/>
              </w:rPr>
              <w:t xml:space="preserve"> que</w:t>
            </w:r>
            <w:r w:rsidRPr="003E0B98">
              <w:rPr>
                <w:color w:val="000000"/>
                <w:szCs w:val="22"/>
              </w:rPr>
              <w:t>:</w:t>
            </w:r>
          </w:p>
          <w:p w14:paraId="62EB66B7" w14:textId="77777777" w:rsidR="002B51E2" w:rsidRPr="003E0B98" w:rsidRDefault="00295705" w:rsidP="004361AC">
            <w:pPr>
              <w:numPr>
                <w:ilvl w:val="0"/>
                <w:numId w:val="10"/>
              </w:numPr>
              <w:tabs>
                <w:tab w:val="clear" w:pos="357"/>
                <w:tab w:val="clear" w:pos="567"/>
              </w:tabs>
              <w:spacing w:line="240" w:lineRule="auto"/>
              <w:ind w:left="459" w:hanging="459"/>
              <w:rPr>
                <w:color w:val="000000"/>
                <w:szCs w:val="22"/>
                <w:lang w:val="es-ES"/>
              </w:rPr>
            </w:pPr>
            <w:r w:rsidRPr="003E0B98">
              <w:rPr>
                <w:color w:val="000000"/>
                <w:szCs w:val="22"/>
                <w:lang w:val="es-ES"/>
              </w:rPr>
              <w:t>la cápsula de cierre</w:t>
            </w:r>
            <w:r w:rsidR="008A5ADE" w:rsidRPr="003E0B98">
              <w:rPr>
                <w:color w:val="000000"/>
                <w:szCs w:val="22"/>
                <w:lang w:val="es-ES"/>
              </w:rPr>
              <w:t xml:space="preserve"> de la jeringa no esté </w:t>
            </w:r>
            <w:proofErr w:type="gramStart"/>
            <w:r w:rsidR="008A5ADE" w:rsidRPr="003E0B98">
              <w:rPr>
                <w:color w:val="000000"/>
                <w:szCs w:val="22"/>
                <w:lang w:val="es-ES"/>
              </w:rPr>
              <w:t>separado</w:t>
            </w:r>
            <w:proofErr w:type="gramEnd"/>
            <w:r w:rsidR="008A5ADE" w:rsidRPr="003E0B98">
              <w:rPr>
                <w:color w:val="000000"/>
                <w:szCs w:val="22"/>
                <w:lang w:val="es-ES"/>
              </w:rPr>
              <w:t xml:space="preserve"> del</w:t>
            </w:r>
            <w:r w:rsidR="002B51E2" w:rsidRPr="003E0B98">
              <w:rPr>
                <w:color w:val="000000"/>
                <w:szCs w:val="22"/>
                <w:lang w:val="es-ES"/>
              </w:rPr>
              <w:t xml:space="preserve"> </w:t>
            </w:r>
            <w:proofErr w:type="spellStart"/>
            <w:r w:rsidR="002B51E2" w:rsidRPr="003E0B98">
              <w:rPr>
                <w:color w:val="000000"/>
                <w:szCs w:val="22"/>
                <w:lang w:val="es-ES"/>
              </w:rPr>
              <w:t>Luer</w:t>
            </w:r>
            <w:proofErr w:type="spellEnd"/>
            <w:r w:rsidR="002B51E2" w:rsidRPr="003E0B98">
              <w:rPr>
                <w:color w:val="000000"/>
                <w:szCs w:val="22"/>
                <w:lang w:val="es-ES"/>
              </w:rPr>
              <w:t xml:space="preserve"> </w:t>
            </w:r>
            <w:proofErr w:type="spellStart"/>
            <w:r w:rsidR="002B51E2" w:rsidRPr="003E0B98">
              <w:rPr>
                <w:color w:val="000000"/>
                <w:szCs w:val="22"/>
                <w:lang w:val="es-ES"/>
              </w:rPr>
              <w:t>lock</w:t>
            </w:r>
            <w:proofErr w:type="spellEnd"/>
            <w:r w:rsidR="002B51E2" w:rsidRPr="003E0B98">
              <w:rPr>
                <w:color w:val="000000"/>
                <w:szCs w:val="22"/>
                <w:lang w:val="es-ES"/>
              </w:rPr>
              <w:t>.</w:t>
            </w:r>
          </w:p>
          <w:p w14:paraId="7BD065A0" w14:textId="77777777" w:rsidR="002B51E2" w:rsidRPr="003E0B98" w:rsidRDefault="008A5ADE" w:rsidP="004361AC">
            <w:pPr>
              <w:numPr>
                <w:ilvl w:val="0"/>
                <w:numId w:val="10"/>
              </w:numPr>
              <w:tabs>
                <w:tab w:val="clear" w:pos="357"/>
                <w:tab w:val="clear" w:pos="567"/>
              </w:tabs>
              <w:spacing w:line="240" w:lineRule="auto"/>
              <w:ind w:left="459" w:hanging="459"/>
              <w:rPr>
                <w:color w:val="000000"/>
                <w:szCs w:val="22"/>
                <w:lang w:val="es-ES"/>
              </w:rPr>
            </w:pPr>
            <w:r w:rsidRPr="003E0B98">
              <w:rPr>
                <w:color w:val="000000"/>
                <w:szCs w:val="22"/>
                <w:lang w:val="es-ES"/>
              </w:rPr>
              <w:t>la jeringa no esté deteriorada</w:t>
            </w:r>
            <w:r w:rsidR="002B51E2" w:rsidRPr="003E0B98">
              <w:rPr>
                <w:color w:val="000000"/>
                <w:szCs w:val="22"/>
                <w:lang w:val="es-ES"/>
              </w:rPr>
              <w:t>.</w:t>
            </w:r>
          </w:p>
          <w:p w14:paraId="04D7A197" w14:textId="603C18D3" w:rsidR="002B51E2" w:rsidRPr="003E0B98" w:rsidRDefault="008A5ADE" w:rsidP="004361AC">
            <w:pPr>
              <w:numPr>
                <w:ilvl w:val="0"/>
                <w:numId w:val="10"/>
              </w:numPr>
              <w:tabs>
                <w:tab w:val="clear" w:pos="357"/>
                <w:tab w:val="clear" w:pos="567"/>
              </w:tabs>
              <w:spacing w:line="240" w:lineRule="auto"/>
              <w:ind w:left="459" w:hanging="459"/>
              <w:rPr>
                <w:color w:val="000000"/>
                <w:szCs w:val="22"/>
                <w:lang w:val="es-ES"/>
              </w:rPr>
            </w:pPr>
            <w:r w:rsidRPr="003E0B98">
              <w:rPr>
                <w:color w:val="000000"/>
                <w:szCs w:val="22"/>
                <w:lang w:val="es-ES"/>
              </w:rPr>
              <w:t xml:space="preserve">la solución </w:t>
            </w:r>
            <w:r w:rsidR="00971974" w:rsidRPr="003E0B98">
              <w:rPr>
                <w:color w:val="000000"/>
                <w:szCs w:val="22"/>
                <w:lang w:val="es-ES"/>
              </w:rPr>
              <w:t>tenga un aspecto</w:t>
            </w:r>
            <w:r w:rsidRPr="003E0B98">
              <w:rPr>
                <w:color w:val="000000"/>
                <w:szCs w:val="22"/>
                <w:lang w:val="es-ES"/>
              </w:rPr>
              <w:t xml:space="preserve"> transparente</w:t>
            </w:r>
            <w:r w:rsidR="002B51E2" w:rsidRPr="003E0B98">
              <w:rPr>
                <w:color w:val="000000"/>
                <w:szCs w:val="22"/>
                <w:lang w:val="es-ES"/>
              </w:rPr>
              <w:t xml:space="preserve">, </w:t>
            </w:r>
            <w:r w:rsidRPr="003E0B98">
              <w:rPr>
                <w:color w:val="000000"/>
                <w:szCs w:val="22"/>
                <w:lang w:val="es-ES"/>
              </w:rPr>
              <w:t xml:space="preserve">de incolora a amarillo </w:t>
            </w:r>
            <w:r w:rsidR="00490F86">
              <w:rPr>
                <w:color w:val="000000"/>
                <w:szCs w:val="22"/>
                <w:lang w:val="es-ES"/>
              </w:rPr>
              <w:t xml:space="preserve">pardusco </w:t>
            </w:r>
            <w:r w:rsidRPr="003E0B98">
              <w:rPr>
                <w:color w:val="000000"/>
                <w:szCs w:val="22"/>
                <w:lang w:val="es-ES"/>
              </w:rPr>
              <w:t>pálido y no contenga ninguna partícula</w:t>
            </w:r>
            <w:r w:rsidR="002B51E2" w:rsidRPr="003E0B98">
              <w:rPr>
                <w:color w:val="000000"/>
                <w:szCs w:val="22"/>
                <w:lang w:val="es-ES"/>
              </w:rPr>
              <w:t>.</w:t>
            </w:r>
          </w:p>
          <w:p w14:paraId="5F5ED813" w14:textId="77777777" w:rsidR="002B51E2" w:rsidRPr="003E0B98" w:rsidRDefault="002B51E2" w:rsidP="004361AC">
            <w:pPr>
              <w:tabs>
                <w:tab w:val="clear" w:pos="567"/>
              </w:tabs>
              <w:spacing w:line="240" w:lineRule="auto"/>
              <w:ind w:left="459" w:hanging="459"/>
              <w:rPr>
                <w:color w:val="000000"/>
                <w:szCs w:val="22"/>
                <w:lang w:val="es-ES"/>
              </w:rPr>
            </w:pPr>
            <w:r w:rsidRPr="003E0B98">
              <w:rPr>
                <w:color w:val="000000"/>
                <w:szCs w:val="22"/>
                <w:lang w:val="es-ES"/>
              </w:rPr>
              <w:t>4.</w:t>
            </w:r>
            <w:r w:rsidRPr="003E0B98">
              <w:rPr>
                <w:color w:val="000000"/>
                <w:szCs w:val="22"/>
                <w:lang w:val="es-ES"/>
              </w:rPr>
              <w:tab/>
            </w:r>
            <w:r w:rsidR="00B87183" w:rsidRPr="003E0B98">
              <w:rPr>
                <w:color w:val="000000"/>
                <w:szCs w:val="22"/>
                <w:lang w:val="es-ES"/>
              </w:rPr>
              <w:t>Si alguno de los puntos anteriores no es cierto, desechar la jeringa precargada y usar una nueva</w:t>
            </w:r>
            <w:r w:rsidRPr="003E0B98">
              <w:rPr>
                <w:color w:val="000000"/>
                <w:szCs w:val="22"/>
                <w:lang w:val="es-ES"/>
              </w:rPr>
              <w:t>.</w:t>
            </w:r>
          </w:p>
        </w:tc>
        <w:tc>
          <w:tcPr>
            <w:tcW w:w="3118" w:type="dxa"/>
            <w:vAlign w:val="center"/>
          </w:tcPr>
          <w:p w14:paraId="54942FE9" w14:textId="77777777" w:rsidR="002B51E2" w:rsidRPr="003E0B98" w:rsidRDefault="002B51E2" w:rsidP="004361AC">
            <w:pPr>
              <w:tabs>
                <w:tab w:val="clear" w:pos="567"/>
              </w:tabs>
              <w:spacing w:line="240" w:lineRule="auto"/>
              <w:rPr>
                <w:i/>
                <w:color w:val="000000"/>
                <w:szCs w:val="22"/>
                <w:lang w:val="es-ES"/>
              </w:rPr>
            </w:pPr>
          </w:p>
        </w:tc>
      </w:tr>
      <w:tr w:rsidR="002B51E2" w:rsidRPr="003E0B98" w14:paraId="70B6EA58" w14:textId="77777777" w:rsidTr="00D91B0D">
        <w:trPr>
          <w:trHeight w:val="2665"/>
        </w:trPr>
        <w:tc>
          <w:tcPr>
            <w:tcW w:w="1701" w:type="dxa"/>
          </w:tcPr>
          <w:p w14:paraId="7474EC82" w14:textId="77777777" w:rsidR="002B51E2" w:rsidRPr="003E0B98" w:rsidRDefault="005539BA" w:rsidP="004361AC">
            <w:pPr>
              <w:tabs>
                <w:tab w:val="clear" w:pos="567"/>
              </w:tabs>
              <w:spacing w:line="240" w:lineRule="auto"/>
              <w:rPr>
                <w:b/>
                <w:color w:val="000000"/>
                <w:szCs w:val="22"/>
                <w:lang w:val="es-ES"/>
              </w:rPr>
            </w:pPr>
            <w:r w:rsidRPr="003E0B98">
              <w:rPr>
                <w:b/>
                <w:color w:val="000000"/>
                <w:szCs w:val="22"/>
                <w:lang w:val="es-ES"/>
              </w:rPr>
              <w:t xml:space="preserve">Quitar </w:t>
            </w:r>
            <w:r w:rsidR="00295705" w:rsidRPr="003E0B98">
              <w:rPr>
                <w:b/>
                <w:color w:val="000000"/>
                <w:szCs w:val="22"/>
                <w:lang w:val="es-ES"/>
              </w:rPr>
              <w:t>la cápsula de cierre</w:t>
            </w:r>
            <w:r w:rsidRPr="003E0B98">
              <w:rPr>
                <w:b/>
                <w:color w:val="000000"/>
                <w:szCs w:val="22"/>
                <w:lang w:val="es-ES"/>
              </w:rPr>
              <w:t xml:space="preserve"> de la jeringa</w:t>
            </w:r>
          </w:p>
        </w:tc>
        <w:tc>
          <w:tcPr>
            <w:tcW w:w="4395" w:type="dxa"/>
          </w:tcPr>
          <w:p w14:paraId="44A21F4D" w14:textId="77777777" w:rsidR="002B51E2" w:rsidRPr="003E0B98" w:rsidRDefault="002B51E2" w:rsidP="004361AC">
            <w:pPr>
              <w:tabs>
                <w:tab w:val="clear" w:pos="567"/>
              </w:tabs>
              <w:spacing w:line="240" w:lineRule="auto"/>
              <w:ind w:left="459" w:hanging="459"/>
              <w:rPr>
                <w:color w:val="000000"/>
                <w:szCs w:val="22"/>
                <w:lang w:val="es-ES"/>
              </w:rPr>
            </w:pPr>
            <w:r w:rsidRPr="003E0B98">
              <w:rPr>
                <w:color w:val="000000"/>
                <w:szCs w:val="22"/>
                <w:lang w:val="es-ES"/>
              </w:rPr>
              <w:t>5.</w:t>
            </w:r>
            <w:r w:rsidRPr="003E0B98">
              <w:rPr>
                <w:color w:val="000000"/>
                <w:szCs w:val="22"/>
                <w:lang w:val="es-ES"/>
              </w:rPr>
              <w:tab/>
            </w:r>
            <w:r w:rsidR="00B87183" w:rsidRPr="003E0B98">
              <w:rPr>
                <w:color w:val="000000"/>
                <w:szCs w:val="22"/>
                <w:lang w:val="es-ES"/>
              </w:rPr>
              <w:t xml:space="preserve">Tirar y desprender </w:t>
            </w:r>
            <w:r w:rsidR="00295705" w:rsidRPr="003E0B98">
              <w:rPr>
                <w:color w:val="000000"/>
                <w:szCs w:val="22"/>
                <w:lang w:val="es-ES"/>
              </w:rPr>
              <w:t>la cápsula de cierre</w:t>
            </w:r>
            <w:r w:rsidR="00B87183" w:rsidRPr="003E0B98">
              <w:rPr>
                <w:color w:val="000000"/>
                <w:szCs w:val="22"/>
                <w:lang w:val="es-ES"/>
              </w:rPr>
              <w:t xml:space="preserve"> de la jeringa </w:t>
            </w:r>
            <w:r w:rsidRPr="003E0B98">
              <w:rPr>
                <w:color w:val="000000"/>
                <w:szCs w:val="22"/>
                <w:lang w:val="es-ES"/>
              </w:rPr>
              <w:t>(</w:t>
            </w:r>
            <w:r w:rsidR="00B87183" w:rsidRPr="003E0B98">
              <w:rPr>
                <w:color w:val="000000"/>
                <w:szCs w:val="22"/>
                <w:lang w:val="es-ES"/>
              </w:rPr>
              <w:t>no lo gire ni lo retuerza) (ver Figura</w:t>
            </w:r>
            <w:r w:rsidRPr="003E0B98">
              <w:rPr>
                <w:color w:val="000000"/>
                <w:szCs w:val="22"/>
                <w:lang w:val="es-ES"/>
              </w:rPr>
              <w:t> 2).</w:t>
            </w:r>
          </w:p>
          <w:p w14:paraId="1A97B25A" w14:textId="77777777" w:rsidR="002B51E2" w:rsidRPr="003E0B98" w:rsidRDefault="002B51E2" w:rsidP="004361AC">
            <w:pPr>
              <w:tabs>
                <w:tab w:val="clear" w:pos="567"/>
              </w:tabs>
              <w:spacing w:line="240" w:lineRule="auto"/>
              <w:ind w:left="459" w:hanging="459"/>
              <w:rPr>
                <w:b/>
                <w:bCs/>
                <w:color w:val="000000"/>
                <w:szCs w:val="22"/>
                <w:lang w:val="es-ES"/>
              </w:rPr>
            </w:pPr>
            <w:r w:rsidRPr="003E0B98">
              <w:rPr>
                <w:color w:val="000000"/>
                <w:szCs w:val="22"/>
                <w:lang w:val="es-ES"/>
              </w:rPr>
              <w:t>6.</w:t>
            </w:r>
            <w:r w:rsidRPr="003E0B98">
              <w:rPr>
                <w:color w:val="000000"/>
                <w:szCs w:val="22"/>
                <w:lang w:val="es-ES"/>
              </w:rPr>
              <w:tab/>
            </w:r>
            <w:r w:rsidR="00A57941" w:rsidRPr="003E0B98">
              <w:rPr>
                <w:color w:val="000000"/>
                <w:szCs w:val="22"/>
                <w:lang w:val="es-ES"/>
              </w:rPr>
              <w:t xml:space="preserve">Desechar </w:t>
            </w:r>
            <w:r w:rsidR="00295705" w:rsidRPr="003E0B98">
              <w:rPr>
                <w:color w:val="000000"/>
                <w:szCs w:val="22"/>
                <w:lang w:val="es-ES"/>
              </w:rPr>
              <w:t>la cápsula de cierre</w:t>
            </w:r>
            <w:r w:rsidR="00A57941" w:rsidRPr="003E0B98">
              <w:rPr>
                <w:color w:val="000000"/>
                <w:szCs w:val="22"/>
                <w:lang w:val="es-ES"/>
              </w:rPr>
              <w:t xml:space="preserve"> de la jeringa</w:t>
            </w:r>
            <w:r w:rsidRPr="003E0B98">
              <w:rPr>
                <w:color w:val="000000"/>
                <w:szCs w:val="22"/>
                <w:lang w:val="es-ES"/>
              </w:rPr>
              <w:t xml:space="preserve"> (</w:t>
            </w:r>
            <w:r w:rsidR="00A57941" w:rsidRPr="003E0B98">
              <w:rPr>
                <w:color w:val="000000"/>
                <w:szCs w:val="22"/>
                <w:lang w:val="es-ES"/>
              </w:rPr>
              <w:t>ver</w:t>
            </w:r>
            <w:r w:rsidRPr="003E0B98">
              <w:rPr>
                <w:color w:val="000000"/>
                <w:szCs w:val="22"/>
                <w:lang w:val="es-ES"/>
              </w:rPr>
              <w:t xml:space="preserve"> Figur</w:t>
            </w:r>
            <w:r w:rsidR="005539BA" w:rsidRPr="003E0B98">
              <w:rPr>
                <w:color w:val="000000"/>
                <w:szCs w:val="22"/>
                <w:lang w:val="es-ES"/>
              </w:rPr>
              <w:t>a</w:t>
            </w:r>
            <w:r w:rsidRPr="003E0B98">
              <w:rPr>
                <w:color w:val="000000"/>
                <w:szCs w:val="22"/>
                <w:lang w:val="es-ES"/>
              </w:rPr>
              <w:t> 3).</w:t>
            </w:r>
          </w:p>
        </w:tc>
        <w:tc>
          <w:tcPr>
            <w:tcW w:w="3118" w:type="dxa"/>
          </w:tcPr>
          <w:p w14:paraId="48A1F751" w14:textId="77777777" w:rsidR="002B51E2" w:rsidRPr="003E0B98" w:rsidRDefault="00C240E6" w:rsidP="004361AC">
            <w:pPr>
              <w:tabs>
                <w:tab w:val="clear" w:pos="567"/>
              </w:tabs>
              <w:spacing w:line="240" w:lineRule="auto"/>
              <w:rPr>
                <w:bCs/>
                <w:color w:val="000000"/>
                <w:szCs w:val="22"/>
                <w:lang w:val="en-US"/>
              </w:rPr>
            </w:pPr>
            <w:r w:rsidRPr="003E0B98">
              <w:rPr>
                <w:i/>
                <w:noProof/>
                <w:color w:val="000000"/>
                <w:szCs w:val="22"/>
                <w:lang w:val="es-ES" w:eastAsia="es-ES"/>
              </w:rPr>
              <w:drawing>
                <wp:inline distT="0" distB="0" distL="0" distR="0" wp14:anchorId="4CD6721C" wp14:editId="59E472DD">
                  <wp:extent cx="1762125" cy="1457325"/>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762125" cy="1457325"/>
                          </a:xfrm>
                          <a:prstGeom prst="rect">
                            <a:avLst/>
                          </a:prstGeom>
                          <a:noFill/>
                          <a:ln>
                            <a:noFill/>
                          </a:ln>
                        </pic:spPr>
                      </pic:pic>
                    </a:graphicData>
                  </a:graphic>
                </wp:inline>
              </w:drawing>
            </w:r>
          </w:p>
          <w:p w14:paraId="0899C95A" w14:textId="77777777" w:rsidR="002B51E2" w:rsidRPr="003E0B98" w:rsidRDefault="002B51E2" w:rsidP="004361AC">
            <w:pPr>
              <w:tabs>
                <w:tab w:val="clear" w:pos="567"/>
              </w:tabs>
              <w:spacing w:line="240" w:lineRule="auto"/>
              <w:jc w:val="center"/>
              <w:rPr>
                <w:rFonts w:eastAsia="MS PGothic"/>
                <w:b/>
                <w:color w:val="000000"/>
                <w:kern w:val="24"/>
                <w:szCs w:val="22"/>
                <w:lang w:val="de-CH"/>
              </w:rPr>
            </w:pPr>
            <w:r w:rsidRPr="003E0B98">
              <w:rPr>
                <w:rFonts w:eastAsia="MS PGothic"/>
                <w:b/>
                <w:color w:val="000000"/>
                <w:kern w:val="24"/>
                <w:szCs w:val="22"/>
                <w:lang w:val="de-CH"/>
              </w:rPr>
              <w:t>Figur</w:t>
            </w:r>
            <w:r w:rsidR="005539BA" w:rsidRPr="003E0B98">
              <w:rPr>
                <w:rFonts w:eastAsia="MS PGothic"/>
                <w:b/>
                <w:color w:val="000000"/>
                <w:kern w:val="24"/>
                <w:szCs w:val="22"/>
                <w:lang w:val="de-CH"/>
              </w:rPr>
              <w:t>a</w:t>
            </w:r>
            <w:r w:rsidRPr="003E0B98">
              <w:rPr>
                <w:rFonts w:eastAsia="MS PGothic"/>
                <w:b/>
                <w:color w:val="000000"/>
                <w:kern w:val="24"/>
                <w:szCs w:val="22"/>
                <w:lang w:val="de-CH"/>
              </w:rPr>
              <w:t> 2</w:t>
            </w:r>
          </w:p>
          <w:p w14:paraId="0ECE3CE4" w14:textId="77777777" w:rsidR="002B51E2" w:rsidRPr="003E0B98" w:rsidRDefault="002B51E2" w:rsidP="004361AC">
            <w:pPr>
              <w:tabs>
                <w:tab w:val="clear" w:pos="567"/>
              </w:tabs>
              <w:spacing w:line="240" w:lineRule="auto"/>
              <w:rPr>
                <w:bCs/>
                <w:color w:val="000000"/>
                <w:szCs w:val="22"/>
                <w:lang w:val="en-US"/>
              </w:rPr>
            </w:pPr>
          </w:p>
          <w:p w14:paraId="1902BD57" w14:textId="77777777" w:rsidR="002B51E2" w:rsidRPr="003E0B98" w:rsidRDefault="00C240E6" w:rsidP="004361AC">
            <w:pPr>
              <w:tabs>
                <w:tab w:val="clear" w:pos="567"/>
              </w:tabs>
              <w:spacing w:line="240" w:lineRule="auto"/>
              <w:rPr>
                <w:b/>
                <w:bCs/>
                <w:color w:val="000000"/>
                <w:szCs w:val="22"/>
                <w:lang w:val="en-US"/>
              </w:rPr>
            </w:pPr>
            <w:r w:rsidRPr="003E0B98">
              <w:rPr>
                <w:b/>
                <w:bCs/>
                <w:noProof/>
                <w:color w:val="000000"/>
                <w:szCs w:val="22"/>
                <w:lang w:val="es-ES" w:eastAsia="es-ES"/>
              </w:rPr>
              <w:drawing>
                <wp:inline distT="0" distB="0" distL="0" distR="0" wp14:anchorId="2C176832" wp14:editId="19050CD3">
                  <wp:extent cx="1838325" cy="137160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38325" cy="1371600"/>
                          </a:xfrm>
                          <a:prstGeom prst="rect">
                            <a:avLst/>
                          </a:prstGeom>
                          <a:noFill/>
                          <a:ln>
                            <a:noFill/>
                          </a:ln>
                        </pic:spPr>
                      </pic:pic>
                    </a:graphicData>
                  </a:graphic>
                </wp:inline>
              </w:drawing>
            </w:r>
          </w:p>
          <w:p w14:paraId="19266329" w14:textId="77777777" w:rsidR="002B51E2" w:rsidRPr="003E0B98" w:rsidRDefault="002B51E2" w:rsidP="004361AC">
            <w:pPr>
              <w:tabs>
                <w:tab w:val="clear" w:pos="567"/>
              </w:tabs>
              <w:spacing w:line="240" w:lineRule="auto"/>
              <w:jc w:val="center"/>
              <w:rPr>
                <w:b/>
                <w:bCs/>
                <w:color w:val="000000"/>
                <w:szCs w:val="22"/>
                <w:lang w:val="en-US"/>
              </w:rPr>
            </w:pPr>
            <w:r w:rsidRPr="003E0B98">
              <w:rPr>
                <w:rFonts w:eastAsia="MS PGothic"/>
                <w:b/>
                <w:color w:val="000000"/>
                <w:kern w:val="24"/>
                <w:szCs w:val="22"/>
                <w:lang w:val="de-CH"/>
              </w:rPr>
              <w:t>Figur</w:t>
            </w:r>
            <w:r w:rsidR="005539BA" w:rsidRPr="003E0B98">
              <w:rPr>
                <w:rFonts w:eastAsia="MS PGothic"/>
                <w:b/>
                <w:color w:val="000000"/>
                <w:kern w:val="24"/>
                <w:szCs w:val="22"/>
                <w:lang w:val="de-CH"/>
              </w:rPr>
              <w:t>a</w:t>
            </w:r>
            <w:r w:rsidRPr="003E0B98">
              <w:rPr>
                <w:rFonts w:eastAsia="MS PGothic"/>
                <w:b/>
                <w:color w:val="000000"/>
                <w:kern w:val="24"/>
                <w:szCs w:val="22"/>
                <w:lang w:val="de-CH"/>
              </w:rPr>
              <w:t> 3</w:t>
            </w:r>
          </w:p>
        </w:tc>
      </w:tr>
      <w:tr w:rsidR="002B51E2" w:rsidRPr="003E0B98" w14:paraId="6F10AD6F" w14:textId="77777777" w:rsidTr="00D91B0D">
        <w:trPr>
          <w:trHeight w:val="3235"/>
        </w:trPr>
        <w:tc>
          <w:tcPr>
            <w:tcW w:w="1701" w:type="dxa"/>
          </w:tcPr>
          <w:p w14:paraId="344912A1" w14:textId="77777777" w:rsidR="002B51E2" w:rsidRPr="003E0B98" w:rsidRDefault="004A7EE1" w:rsidP="004361AC">
            <w:pPr>
              <w:tabs>
                <w:tab w:val="clear" w:pos="567"/>
              </w:tabs>
              <w:spacing w:line="240" w:lineRule="auto"/>
              <w:rPr>
                <w:b/>
                <w:color w:val="000000"/>
                <w:szCs w:val="22"/>
                <w:lang w:val="en-US"/>
              </w:rPr>
            </w:pPr>
            <w:proofErr w:type="spellStart"/>
            <w:r w:rsidRPr="003E0B98">
              <w:rPr>
                <w:b/>
                <w:color w:val="000000"/>
                <w:szCs w:val="22"/>
              </w:rPr>
              <w:t>Conecta</w:t>
            </w:r>
            <w:r w:rsidR="003B3DC6" w:rsidRPr="003E0B98">
              <w:rPr>
                <w:b/>
                <w:color w:val="000000"/>
                <w:szCs w:val="22"/>
              </w:rPr>
              <w:t>r</w:t>
            </w:r>
            <w:proofErr w:type="spellEnd"/>
            <w:r w:rsidR="003B3DC6" w:rsidRPr="003E0B98">
              <w:rPr>
                <w:b/>
                <w:color w:val="000000"/>
                <w:szCs w:val="22"/>
              </w:rPr>
              <w:t xml:space="preserve"> la </w:t>
            </w:r>
            <w:proofErr w:type="spellStart"/>
            <w:r w:rsidR="003B3DC6" w:rsidRPr="003E0B98">
              <w:rPr>
                <w:b/>
                <w:color w:val="000000"/>
                <w:szCs w:val="22"/>
              </w:rPr>
              <w:t>aguja</w:t>
            </w:r>
            <w:proofErr w:type="spellEnd"/>
          </w:p>
        </w:tc>
        <w:tc>
          <w:tcPr>
            <w:tcW w:w="4395" w:type="dxa"/>
          </w:tcPr>
          <w:p w14:paraId="725C6A40" w14:textId="77777777" w:rsidR="002B51E2" w:rsidRPr="003E0B98" w:rsidRDefault="002B51E2" w:rsidP="004361AC">
            <w:pPr>
              <w:tabs>
                <w:tab w:val="clear" w:pos="567"/>
              </w:tabs>
              <w:spacing w:line="240" w:lineRule="auto"/>
              <w:ind w:left="459" w:hanging="459"/>
              <w:rPr>
                <w:color w:val="000000"/>
                <w:szCs w:val="22"/>
                <w:lang w:val="es-ES"/>
              </w:rPr>
            </w:pPr>
            <w:r w:rsidRPr="003E0B98">
              <w:rPr>
                <w:color w:val="000000"/>
                <w:szCs w:val="22"/>
                <w:lang w:val="es-ES"/>
              </w:rPr>
              <w:t>7.</w:t>
            </w:r>
            <w:r w:rsidRPr="003E0B98">
              <w:rPr>
                <w:color w:val="000000"/>
                <w:szCs w:val="22"/>
                <w:lang w:val="es-ES"/>
              </w:rPr>
              <w:tab/>
            </w:r>
            <w:r w:rsidR="004A7EE1" w:rsidRPr="003E0B98">
              <w:rPr>
                <w:color w:val="000000"/>
                <w:szCs w:val="22"/>
                <w:lang w:val="es-ES"/>
              </w:rPr>
              <w:t>Conectar</w:t>
            </w:r>
            <w:r w:rsidR="00191D05" w:rsidRPr="003E0B98">
              <w:rPr>
                <w:color w:val="000000"/>
                <w:szCs w:val="22"/>
                <w:lang w:val="es-ES"/>
              </w:rPr>
              <w:t xml:space="preserve"> con firmeza</w:t>
            </w:r>
            <w:r w:rsidR="004A7EE1" w:rsidRPr="003E0B98">
              <w:rPr>
                <w:color w:val="000000"/>
                <w:szCs w:val="22"/>
                <w:lang w:val="es-ES"/>
              </w:rPr>
              <w:t xml:space="preserve"> a la jeringa una aguja para inyección </w:t>
            </w:r>
            <w:r w:rsidR="00191D05" w:rsidRPr="003E0B98">
              <w:rPr>
                <w:color w:val="000000"/>
                <w:szCs w:val="22"/>
                <w:lang w:val="es-ES"/>
              </w:rPr>
              <w:t xml:space="preserve">estéril 30G x ½″, </w:t>
            </w:r>
            <w:r w:rsidR="004E6422" w:rsidRPr="003E0B98">
              <w:rPr>
                <w:color w:val="000000"/>
                <w:szCs w:val="22"/>
                <w:lang w:val="es-ES"/>
              </w:rPr>
              <w:t xml:space="preserve">enroscando bien la aguja </w:t>
            </w:r>
            <w:r w:rsidR="00CA4415" w:rsidRPr="003E0B98">
              <w:rPr>
                <w:color w:val="000000"/>
                <w:szCs w:val="22"/>
                <w:lang w:val="es-ES"/>
              </w:rPr>
              <w:t>en el</w:t>
            </w:r>
            <w:r w:rsidRPr="003E0B98">
              <w:rPr>
                <w:color w:val="000000"/>
                <w:szCs w:val="22"/>
                <w:lang w:val="es-ES"/>
              </w:rPr>
              <w:t xml:space="preserve"> </w:t>
            </w:r>
            <w:proofErr w:type="spellStart"/>
            <w:r w:rsidRPr="003E0B98">
              <w:rPr>
                <w:color w:val="000000"/>
                <w:szCs w:val="22"/>
                <w:lang w:val="es-ES"/>
              </w:rPr>
              <w:t>Luer</w:t>
            </w:r>
            <w:proofErr w:type="spellEnd"/>
            <w:r w:rsidRPr="003E0B98">
              <w:rPr>
                <w:color w:val="000000"/>
                <w:szCs w:val="22"/>
                <w:lang w:val="es-ES"/>
              </w:rPr>
              <w:t xml:space="preserve"> </w:t>
            </w:r>
            <w:proofErr w:type="spellStart"/>
            <w:r w:rsidRPr="003E0B98">
              <w:rPr>
                <w:color w:val="000000"/>
                <w:szCs w:val="22"/>
                <w:lang w:val="es-ES"/>
              </w:rPr>
              <w:t>l</w:t>
            </w:r>
            <w:r w:rsidR="004E6422" w:rsidRPr="003E0B98">
              <w:rPr>
                <w:color w:val="000000"/>
                <w:szCs w:val="22"/>
                <w:lang w:val="es-ES"/>
              </w:rPr>
              <w:t>ock</w:t>
            </w:r>
            <w:proofErr w:type="spellEnd"/>
            <w:r w:rsidR="004E6422" w:rsidRPr="003E0B98">
              <w:rPr>
                <w:color w:val="000000"/>
                <w:szCs w:val="22"/>
                <w:lang w:val="es-ES"/>
              </w:rPr>
              <w:t xml:space="preserve"> (ver</w:t>
            </w:r>
            <w:r w:rsidRPr="003E0B98">
              <w:rPr>
                <w:color w:val="000000"/>
                <w:szCs w:val="22"/>
                <w:lang w:val="es-ES"/>
              </w:rPr>
              <w:t xml:space="preserve"> Figur</w:t>
            </w:r>
            <w:r w:rsidR="004E6422" w:rsidRPr="003E0B98">
              <w:rPr>
                <w:color w:val="000000"/>
                <w:szCs w:val="22"/>
                <w:lang w:val="es-ES"/>
              </w:rPr>
              <w:t>a</w:t>
            </w:r>
            <w:r w:rsidRPr="003E0B98">
              <w:rPr>
                <w:color w:val="000000"/>
                <w:szCs w:val="22"/>
                <w:lang w:val="es-ES"/>
              </w:rPr>
              <w:t> 4).</w:t>
            </w:r>
          </w:p>
          <w:p w14:paraId="5E650931" w14:textId="77777777" w:rsidR="002B51E2" w:rsidRPr="003E0B98" w:rsidRDefault="002B51E2" w:rsidP="004361AC">
            <w:pPr>
              <w:tabs>
                <w:tab w:val="clear" w:pos="567"/>
              </w:tabs>
              <w:spacing w:line="240" w:lineRule="auto"/>
              <w:ind w:left="459" w:hanging="459"/>
              <w:rPr>
                <w:color w:val="000000"/>
                <w:szCs w:val="22"/>
                <w:lang w:val="es-ES"/>
              </w:rPr>
            </w:pPr>
            <w:r w:rsidRPr="003E0B98">
              <w:rPr>
                <w:color w:val="000000"/>
                <w:szCs w:val="22"/>
                <w:lang w:val="es-ES"/>
              </w:rPr>
              <w:t>8.</w:t>
            </w:r>
            <w:r w:rsidRPr="003E0B98">
              <w:rPr>
                <w:color w:val="000000"/>
                <w:szCs w:val="22"/>
                <w:lang w:val="es-ES"/>
              </w:rPr>
              <w:tab/>
            </w:r>
            <w:r w:rsidR="004E6422" w:rsidRPr="003E0B98">
              <w:rPr>
                <w:color w:val="000000"/>
                <w:szCs w:val="22"/>
                <w:lang w:val="es-ES"/>
              </w:rPr>
              <w:t xml:space="preserve">Quitar </w:t>
            </w:r>
            <w:r w:rsidR="008E7E7E" w:rsidRPr="003E0B98">
              <w:rPr>
                <w:color w:val="000000"/>
                <w:szCs w:val="22"/>
                <w:lang w:val="es-ES"/>
              </w:rPr>
              <w:t>la cápsula de cierre</w:t>
            </w:r>
            <w:r w:rsidR="004E6422" w:rsidRPr="003E0B98">
              <w:rPr>
                <w:color w:val="000000"/>
                <w:szCs w:val="22"/>
                <w:lang w:val="es-ES"/>
              </w:rPr>
              <w:t xml:space="preserve"> de la aguja cuidadosamente</w:t>
            </w:r>
            <w:r w:rsidR="00B87B25" w:rsidRPr="003E0B98">
              <w:rPr>
                <w:color w:val="000000"/>
                <w:szCs w:val="22"/>
                <w:lang w:val="es-ES"/>
              </w:rPr>
              <w:t>, tirando directamente de él hacia fuera (ver</w:t>
            </w:r>
            <w:r w:rsidRPr="003E0B98">
              <w:rPr>
                <w:color w:val="000000"/>
                <w:szCs w:val="22"/>
                <w:lang w:val="es-ES"/>
              </w:rPr>
              <w:t xml:space="preserve"> </w:t>
            </w:r>
            <w:r w:rsidRPr="003E0B98">
              <w:rPr>
                <w:lang w:val="es-ES"/>
              </w:rPr>
              <w:t>Figur</w:t>
            </w:r>
            <w:r w:rsidR="005539BA" w:rsidRPr="003E0B98">
              <w:rPr>
                <w:lang w:val="es-ES"/>
              </w:rPr>
              <w:t>a</w:t>
            </w:r>
            <w:r w:rsidRPr="003E0B98">
              <w:rPr>
                <w:lang w:val="es-ES"/>
              </w:rPr>
              <w:t> 5</w:t>
            </w:r>
            <w:r w:rsidRPr="003E0B98">
              <w:rPr>
                <w:color w:val="000000"/>
                <w:szCs w:val="22"/>
                <w:lang w:val="es-ES"/>
              </w:rPr>
              <w:t>).</w:t>
            </w:r>
          </w:p>
          <w:p w14:paraId="651E8506" w14:textId="77777777" w:rsidR="002B51E2" w:rsidRPr="003E0B98" w:rsidRDefault="002B51E2" w:rsidP="004361AC">
            <w:pPr>
              <w:tabs>
                <w:tab w:val="clear" w:pos="567"/>
              </w:tabs>
              <w:spacing w:line="240" w:lineRule="auto"/>
              <w:rPr>
                <w:b/>
                <w:bCs/>
                <w:color w:val="000000"/>
                <w:szCs w:val="22"/>
                <w:lang w:val="es-ES"/>
              </w:rPr>
            </w:pPr>
            <w:r w:rsidRPr="003E0B98">
              <w:rPr>
                <w:b/>
                <w:color w:val="000000"/>
                <w:szCs w:val="22"/>
                <w:lang w:val="es-ES"/>
              </w:rPr>
              <w:t>Not</w:t>
            </w:r>
            <w:r w:rsidR="00B87B25" w:rsidRPr="003E0B98">
              <w:rPr>
                <w:b/>
                <w:color w:val="000000"/>
                <w:szCs w:val="22"/>
                <w:lang w:val="es-ES"/>
              </w:rPr>
              <w:t>a</w:t>
            </w:r>
            <w:r w:rsidRPr="003E0B98">
              <w:rPr>
                <w:b/>
                <w:color w:val="000000"/>
                <w:szCs w:val="22"/>
                <w:lang w:val="es-ES"/>
              </w:rPr>
              <w:t xml:space="preserve">: </w:t>
            </w:r>
            <w:r w:rsidR="00B87B25" w:rsidRPr="003E0B98">
              <w:rPr>
                <w:b/>
                <w:color w:val="000000"/>
                <w:szCs w:val="22"/>
                <w:lang w:val="es-ES"/>
              </w:rPr>
              <w:t>No secar la aguja en ningún momento</w:t>
            </w:r>
            <w:r w:rsidRPr="003E0B98">
              <w:rPr>
                <w:b/>
                <w:color w:val="000000"/>
                <w:szCs w:val="22"/>
                <w:lang w:val="es-ES"/>
              </w:rPr>
              <w:t>.</w:t>
            </w:r>
          </w:p>
        </w:tc>
        <w:tc>
          <w:tcPr>
            <w:tcW w:w="3118" w:type="dxa"/>
          </w:tcPr>
          <w:p w14:paraId="5EE22A6B" w14:textId="77777777" w:rsidR="002B51E2" w:rsidRPr="003E0B98" w:rsidRDefault="002B51E2" w:rsidP="004361AC">
            <w:pPr>
              <w:tabs>
                <w:tab w:val="clear" w:pos="567"/>
              </w:tabs>
              <w:spacing w:line="240" w:lineRule="auto"/>
              <w:rPr>
                <w:rFonts w:eastAsia="MS PGothic"/>
                <w:color w:val="000000"/>
                <w:kern w:val="24"/>
                <w:szCs w:val="22"/>
                <w:lang w:val="es-ES"/>
              </w:rPr>
            </w:pPr>
          </w:p>
          <w:p w14:paraId="258232A6" w14:textId="77777777" w:rsidR="002B51E2" w:rsidRPr="003E0B98" w:rsidRDefault="00C240E6" w:rsidP="004361AC">
            <w:pPr>
              <w:tabs>
                <w:tab w:val="clear" w:pos="567"/>
              </w:tabs>
              <w:spacing w:line="240" w:lineRule="auto"/>
              <w:rPr>
                <w:rFonts w:ascii="Arial" w:eastAsia="MS PGothic" w:hAnsi="Arial"/>
                <w:b/>
                <w:color w:val="000000"/>
                <w:kern w:val="24"/>
                <w:sz w:val="20"/>
                <w:lang w:val="de-CH"/>
              </w:rPr>
            </w:pPr>
            <w:r w:rsidRPr="003E0B98">
              <w:rPr>
                <w:rFonts w:ascii="Arial" w:eastAsia="MS PGothic" w:hAnsi="Arial"/>
                <w:b/>
                <w:noProof/>
                <w:color w:val="000000"/>
                <w:kern w:val="24"/>
                <w:sz w:val="20"/>
                <w:lang w:val="es-ES" w:eastAsia="es-ES"/>
              </w:rPr>
              <w:drawing>
                <wp:inline distT="0" distB="0" distL="0" distR="0" wp14:anchorId="71C9B924" wp14:editId="62D086A6">
                  <wp:extent cx="1838325" cy="1562100"/>
                  <wp:effectExtent l="0" t="0" r="0" b="0"/>
                  <wp:docPr id="36" name="Picture 2"/>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Grp="1"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38325" cy="1562100"/>
                          </a:xfrm>
                          <a:prstGeom prst="rect">
                            <a:avLst/>
                          </a:prstGeom>
                          <a:noFill/>
                          <a:ln>
                            <a:noFill/>
                          </a:ln>
                        </pic:spPr>
                      </pic:pic>
                    </a:graphicData>
                  </a:graphic>
                </wp:inline>
              </w:drawing>
            </w:r>
          </w:p>
          <w:p w14:paraId="0EDDD3BD" w14:textId="77777777" w:rsidR="002B51E2" w:rsidRPr="003E0B98" w:rsidRDefault="002B51E2" w:rsidP="004361AC">
            <w:pPr>
              <w:tabs>
                <w:tab w:val="clear" w:pos="567"/>
              </w:tabs>
              <w:spacing w:line="240" w:lineRule="auto"/>
              <w:jc w:val="center"/>
              <w:rPr>
                <w:rFonts w:eastAsia="MS PGothic"/>
                <w:b/>
                <w:color w:val="000000"/>
                <w:kern w:val="24"/>
                <w:szCs w:val="22"/>
                <w:lang w:val="en-US"/>
              </w:rPr>
            </w:pPr>
            <w:proofErr w:type="spellStart"/>
            <w:r w:rsidRPr="003E0B98">
              <w:rPr>
                <w:rFonts w:eastAsia="MS PGothic"/>
                <w:b/>
                <w:color w:val="000000"/>
                <w:kern w:val="24"/>
                <w:szCs w:val="22"/>
                <w:lang w:val="en-US"/>
              </w:rPr>
              <w:t>Figur</w:t>
            </w:r>
            <w:r w:rsidR="005539BA" w:rsidRPr="003E0B98">
              <w:rPr>
                <w:rFonts w:eastAsia="MS PGothic"/>
                <w:b/>
                <w:color w:val="000000"/>
                <w:kern w:val="24"/>
                <w:szCs w:val="22"/>
                <w:lang w:val="en-US"/>
              </w:rPr>
              <w:t>a</w:t>
            </w:r>
            <w:proofErr w:type="spellEnd"/>
            <w:r w:rsidRPr="003E0B98">
              <w:rPr>
                <w:rFonts w:eastAsia="MS PGothic"/>
                <w:b/>
                <w:color w:val="000000"/>
                <w:kern w:val="24"/>
                <w:szCs w:val="22"/>
                <w:lang w:val="en-US"/>
              </w:rPr>
              <w:t> 4</w:t>
            </w:r>
            <w:r w:rsidRPr="003E0B98">
              <w:rPr>
                <w:rFonts w:eastAsia="MS PGothic"/>
                <w:b/>
                <w:color w:val="000000"/>
                <w:kern w:val="24"/>
                <w:szCs w:val="22"/>
                <w:lang w:val="en-US"/>
              </w:rPr>
              <w:tab/>
            </w:r>
            <w:proofErr w:type="spellStart"/>
            <w:r w:rsidRPr="003E0B98">
              <w:rPr>
                <w:rFonts w:eastAsia="MS PGothic"/>
                <w:b/>
                <w:color w:val="000000"/>
                <w:kern w:val="24"/>
                <w:szCs w:val="22"/>
                <w:lang w:val="en-US"/>
              </w:rPr>
              <w:t>Figur</w:t>
            </w:r>
            <w:r w:rsidR="005539BA" w:rsidRPr="003E0B98">
              <w:rPr>
                <w:rFonts w:eastAsia="MS PGothic"/>
                <w:b/>
                <w:color w:val="000000"/>
                <w:kern w:val="24"/>
                <w:szCs w:val="22"/>
                <w:lang w:val="en-US"/>
              </w:rPr>
              <w:t>a</w:t>
            </w:r>
            <w:proofErr w:type="spellEnd"/>
            <w:r w:rsidRPr="003E0B98">
              <w:rPr>
                <w:rFonts w:eastAsia="MS PGothic"/>
                <w:b/>
                <w:color w:val="000000"/>
                <w:kern w:val="24"/>
                <w:szCs w:val="22"/>
                <w:lang w:val="en-US"/>
              </w:rPr>
              <w:t> 5</w:t>
            </w:r>
          </w:p>
        </w:tc>
      </w:tr>
      <w:tr w:rsidR="002B51E2" w:rsidRPr="003E0B98" w14:paraId="5FFF1B4E" w14:textId="77777777" w:rsidTr="00D91B0D">
        <w:trPr>
          <w:trHeight w:val="3308"/>
        </w:trPr>
        <w:tc>
          <w:tcPr>
            <w:tcW w:w="1701" w:type="dxa"/>
          </w:tcPr>
          <w:p w14:paraId="6DDA68DE" w14:textId="77777777" w:rsidR="002B51E2" w:rsidRPr="003E0B98" w:rsidRDefault="006C24D3" w:rsidP="004361AC">
            <w:pPr>
              <w:tabs>
                <w:tab w:val="clear" w:pos="567"/>
              </w:tabs>
              <w:spacing w:line="240" w:lineRule="auto"/>
              <w:rPr>
                <w:b/>
                <w:color w:val="000000"/>
                <w:szCs w:val="22"/>
                <w:lang w:val="es-ES"/>
              </w:rPr>
            </w:pPr>
            <w:r w:rsidRPr="003E0B98">
              <w:rPr>
                <w:b/>
                <w:color w:val="000000"/>
                <w:szCs w:val="22"/>
                <w:lang w:val="es-ES"/>
              </w:rPr>
              <w:t>Extraer las burbujas de aire</w:t>
            </w:r>
          </w:p>
        </w:tc>
        <w:tc>
          <w:tcPr>
            <w:tcW w:w="4395" w:type="dxa"/>
          </w:tcPr>
          <w:p w14:paraId="6EF5FC10" w14:textId="77777777" w:rsidR="002B51E2" w:rsidRPr="003E0B98" w:rsidRDefault="002B51E2" w:rsidP="004361AC">
            <w:pPr>
              <w:tabs>
                <w:tab w:val="clear" w:pos="567"/>
              </w:tabs>
              <w:spacing w:line="240" w:lineRule="auto"/>
              <w:ind w:left="459" w:hanging="459"/>
              <w:rPr>
                <w:color w:val="000000"/>
                <w:szCs w:val="22"/>
                <w:lang w:val="es-ES"/>
              </w:rPr>
            </w:pPr>
            <w:r w:rsidRPr="003E0B98">
              <w:rPr>
                <w:color w:val="000000"/>
                <w:szCs w:val="22"/>
                <w:lang w:val="es-ES"/>
              </w:rPr>
              <w:t>9.</w:t>
            </w:r>
            <w:r w:rsidRPr="003E0B98">
              <w:rPr>
                <w:color w:val="000000"/>
                <w:szCs w:val="22"/>
                <w:lang w:val="es-ES"/>
              </w:rPr>
              <w:tab/>
            </w:r>
            <w:r w:rsidR="006C24D3" w:rsidRPr="003E0B98">
              <w:rPr>
                <w:color w:val="000000"/>
                <w:szCs w:val="22"/>
                <w:lang w:val="es-ES"/>
              </w:rPr>
              <w:t>Mantener la jeringa en posición vertical</w:t>
            </w:r>
            <w:r w:rsidR="00726210" w:rsidRPr="003E0B98">
              <w:rPr>
                <w:color w:val="000000"/>
                <w:szCs w:val="22"/>
                <w:lang w:val="es-ES"/>
              </w:rPr>
              <w:t xml:space="preserve"> con la aguja dirigida hacia arriba</w:t>
            </w:r>
            <w:r w:rsidR="006C24D3" w:rsidRPr="003E0B98">
              <w:rPr>
                <w:color w:val="000000"/>
                <w:szCs w:val="22"/>
                <w:lang w:val="es-ES"/>
              </w:rPr>
              <w:t>.</w:t>
            </w:r>
          </w:p>
          <w:p w14:paraId="6DD3F5E9" w14:textId="77777777" w:rsidR="002B51E2" w:rsidRPr="003E0B98" w:rsidRDefault="002B51E2" w:rsidP="004361AC">
            <w:pPr>
              <w:tabs>
                <w:tab w:val="clear" w:pos="567"/>
              </w:tabs>
              <w:spacing w:line="240" w:lineRule="auto"/>
              <w:ind w:left="459" w:hanging="459"/>
              <w:rPr>
                <w:color w:val="000000"/>
                <w:szCs w:val="22"/>
                <w:lang w:val="es-ES"/>
              </w:rPr>
            </w:pPr>
            <w:r w:rsidRPr="003E0B98">
              <w:rPr>
                <w:color w:val="000000"/>
                <w:szCs w:val="22"/>
                <w:lang w:val="es-ES"/>
              </w:rPr>
              <w:t>10.</w:t>
            </w:r>
            <w:r w:rsidRPr="003E0B98">
              <w:rPr>
                <w:color w:val="000000"/>
                <w:szCs w:val="22"/>
                <w:lang w:val="es-ES"/>
              </w:rPr>
              <w:tab/>
            </w:r>
            <w:r w:rsidR="00726210" w:rsidRPr="003E0B98">
              <w:rPr>
                <w:color w:val="000000"/>
                <w:szCs w:val="22"/>
                <w:lang w:val="es-ES"/>
              </w:rPr>
              <w:t>Si hay alguna burbuja de aire, golpear suavemente la jeringa con el dedo hasta que las burbujas asciendan a su parte superior</w:t>
            </w:r>
            <w:r w:rsidR="001A46D3" w:rsidRPr="003E0B98">
              <w:rPr>
                <w:color w:val="000000"/>
                <w:szCs w:val="22"/>
                <w:lang w:val="es-ES"/>
              </w:rPr>
              <w:t xml:space="preserve"> (ver</w:t>
            </w:r>
            <w:r w:rsidRPr="003E0B98">
              <w:rPr>
                <w:color w:val="000000"/>
                <w:szCs w:val="22"/>
                <w:lang w:val="es-ES"/>
              </w:rPr>
              <w:t xml:space="preserve"> Figur</w:t>
            </w:r>
            <w:r w:rsidR="005539BA" w:rsidRPr="003E0B98">
              <w:rPr>
                <w:color w:val="000000"/>
                <w:szCs w:val="22"/>
                <w:lang w:val="es-ES"/>
              </w:rPr>
              <w:t>a</w:t>
            </w:r>
            <w:r w:rsidRPr="003E0B98">
              <w:rPr>
                <w:color w:val="000000"/>
                <w:szCs w:val="22"/>
                <w:lang w:val="es-ES"/>
              </w:rPr>
              <w:t> 6).</w:t>
            </w:r>
          </w:p>
        </w:tc>
        <w:tc>
          <w:tcPr>
            <w:tcW w:w="3118" w:type="dxa"/>
          </w:tcPr>
          <w:p w14:paraId="778DCE79" w14:textId="77777777" w:rsidR="002B51E2" w:rsidRPr="003E0B98" w:rsidRDefault="002B51E2" w:rsidP="004361AC">
            <w:pPr>
              <w:tabs>
                <w:tab w:val="clear" w:pos="567"/>
              </w:tabs>
              <w:spacing w:line="240" w:lineRule="auto"/>
              <w:rPr>
                <w:color w:val="000000"/>
                <w:szCs w:val="22"/>
                <w:lang w:val="es-ES"/>
              </w:rPr>
            </w:pPr>
          </w:p>
          <w:p w14:paraId="1636E847" w14:textId="77777777" w:rsidR="002B51E2" w:rsidRPr="003E0B98" w:rsidRDefault="00C240E6" w:rsidP="004361AC">
            <w:pPr>
              <w:tabs>
                <w:tab w:val="clear" w:pos="567"/>
              </w:tabs>
              <w:spacing w:line="240" w:lineRule="auto"/>
              <w:rPr>
                <w:color w:val="000000"/>
                <w:szCs w:val="22"/>
                <w:lang w:val="en-US"/>
              </w:rPr>
            </w:pPr>
            <w:r w:rsidRPr="003E0B98">
              <w:rPr>
                <w:noProof/>
                <w:color w:val="000000"/>
                <w:szCs w:val="22"/>
                <w:lang w:val="es-ES" w:eastAsia="es-ES"/>
              </w:rPr>
              <w:drawing>
                <wp:inline distT="0" distB="0" distL="0" distR="0" wp14:anchorId="74CA6FC9" wp14:editId="152F57ED">
                  <wp:extent cx="1875155" cy="2312670"/>
                  <wp:effectExtent l="0" t="0" r="0" b="0"/>
                  <wp:docPr id="9105" name="Picture 9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0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875155" cy="2312670"/>
                          </a:xfrm>
                          <a:prstGeom prst="rect">
                            <a:avLst/>
                          </a:prstGeom>
                          <a:noFill/>
                        </pic:spPr>
                      </pic:pic>
                    </a:graphicData>
                  </a:graphic>
                </wp:inline>
              </w:drawing>
            </w:r>
          </w:p>
          <w:p w14:paraId="5379AA0F" w14:textId="77777777" w:rsidR="002B51E2" w:rsidRPr="003E0B98" w:rsidRDefault="002B51E2" w:rsidP="004361AC">
            <w:pPr>
              <w:tabs>
                <w:tab w:val="clear" w:pos="567"/>
              </w:tabs>
              <w:spacing w:line="240" w:lineRule="auto"/>
              <w:jc w:val="center"/>
              <w:rPr>
                <w:color w:val="000000"/>
                <w:szCs w:val="22"/>
                <w:lang w:val="en-US"/>
              </w:rPr>
            </w:pPr>
            <w:r w:rsidRPr="003E0B98">
              <w:rPr>
                <w:rFonts w:eastAsia="MS PGothic"/>
                <w:b/>
                <w:color w:val="000000"/>
                <w:kern w:val="24"/>
                <w:szCs w:val="22"/>
                <w:lang w:val="de-CH"/>
              </w:rPr>
              <w:t>Figur</w:t>
            </w:r>
            <w:r w:rsidR="005539BA" w:rsidRPr="003E0B98">
              <w:rPr>
                <w:rFonts w:eastAsia="MS PGothic"/>
                <w:b/>
                <w:color w:val="000000"/>
                <w:kern w:val="24"/>
                <w:szCs w:val="22"/>
                <w:lang w:val="de-CH"/>
              </w:rPr>
              <w:t>a</w:t>
            </w:r>
            <w:r w:rsidRPr="003E0B98">
              <w:rPr>
                <w:rFonts w:eastAsia="MS PGothic"/>
                <w:b/>
                <w:color w:val="000000"/>
                <w:kern w:val="24"/>
                <w:szCs w:val="22"/>
                <w:lang w:val="de-CH"/>
              </w:rPr>
              <w:t> 6</w:t>
            </w:r>
          </w:p>
          <w:p w14:paraId="7D7DD91D" w14:textId="77777777" w:rsidR="002B51E2" w:rsidRPr="003E0B98" w:rsidRDefault="002B51E2" w:rsidP="004361AC">
            <w:pPr>
              <w:tabs>
                <w:tab w:val="clear" w:pos="567"/>
              </w:tabs>
              <w:spacing w:line="240" w:lineRule="auto"/>
              <w:rPr>
                <w:color w:val="000000"/>
                <w:szCs w:val="22"/>
                <w:lang w:val="en-US"/>
              </w:rPr>
            </w:pPr>
          </w:p>
        </w:tc>
      </w:tr>
      <w:tr w:rsidR="002B51E2" w:rsidRPr="003E0B98" w14:paraId="30D51681" w14:textId="77777777" w:rsidTr="00D91B0D">
        <w:trPr>
          <w:trHeight w:val="3449"/>
        </w:trPr>
        <w:tc>
          <w:tcPr>
            <w:tcW w:w="1701" w:type="dxa"/>
          </w:tcPr>
          <w:p w14:paraId="58C75D38" w14:textId="77777777" w:rsidR="002B51E2" w:rsidRPr="003E0B98" w:rsidRDefault="001A46D3" w:rsidP="004361AC">
            <w:pPr>
              <w:tabs>
                <w:tab w:val="clear" w:pos="567"/>
              </w:tabs>
              <w:spacing w:line="240" w:lineRule="auto"/>
              <w:rPr>
                <w:b/>
                <w:color w:val="000000"/>
                <w:szCs w:val="22"/>
                <w:lang w:val="en-US"/>
              </w:rPr>
            </w:pPr>
            <w:proofErr w:type="spellStart"/>
            <w:r w:rsidRPr="003E0B98">
              <w:rPr>
                <w:b/>
                <w:color w:val="000000"/>
                <w:szCs w:val="22"/>
              </w:rPr>
              <w:t>Ajustar</w:t>
            </w:r>
            <w:proofErr w:type="spellEnd"/>
            <w:r w:rsidRPr="003E0B98">
              <w:rPr>
                <w:b/>
                <w:color w:val="000000"/>
                <w:szCs w:val="22"/>
              </w:rPr>
              <w:t xml:space="preserve"> la </w:t>
            </w:r>
            <w:proofErr w:type="spellStart"/>
            <w:r w:rsidRPr="003E0B98">
              <w:rPr>
                <w:b/>
                <w:color w:val="000000"/>
                <w:szCs w:val="22"/>
              </w:rPr>
              <w:t>dosis</w:t>
            </w:r>
            <w:proofErr w:type="spellEnd"/>
          </w:p>
        </w:tc>
        <w:tc>
          <w:tcPr>
            <w:tcW w:w="4395" w:type="dxa"/>
          </w:tcPr>
          <w:p w14:paraId="73501E08" w14:textId="77777777" w:rsidR="002B51E2" w:rsidRPr="003E0B98" w:rsidRDefault="002B51E2" w:rsidP="004361AC">
            <w:pPr>
              <w:tabs>
                <w:tab w:val="clear" w:pos="567"/>
              </w:tabs>
              <w:spacing w:line="240" w:lineRule="auto"/>
              <w:ind w:left="459" w:hanging="459"/>
              <w:rPr>
                <w:color w:val="000000"/>
                <w:szCs w:val="22"/>
                <w:lang w:val="es-ES"/>
              </w:rPr>
            </w:pPr>
            <w:r w:rsidRPr="003E0B98">
              <w:rPr>
                <w:color w:val="000000"/>
                <w:szCs w:val="22"/>
                <w:lang w:val="es-ES"/>
              </w:rPr>
              <w:t>11.</w:t>
            </w:r>
            <w:r w:rsidRPr="003E0B98">
              <w:rPr>
                <w:color w:val="000000"/>
                <w:szCs w:val="22"/>
                <w:lang w:val="es-ES"/>
              </w:rPr>
              <w:tab/>
            </w:r>
            <w:r w:rsidR="001A46D3" w:rsidRPr="003E0B98">
              <w:rPr>
                <w:color w:val="000000"/>
                <w:szCs w:val="22"/>
                <w:lang w:val="es-ES"/>
              </w:rPr>
              <w:t xml:space="preserve">Mantener la jeringa a la altura de los ojos </w:t>
            </w:r>
            <w:r w:rsidR="00C75737" w:rsidRPr="003E0B98">
              <w:rPr>
                <w:color w:val="000000"/>
                <w:szCs w:val="22"/>
                <w:lang w:val="es-ES"/>
              </w:rPr>
              <w:t>y presionar cuidadosamente el émbolo hasta</w:t>
            </w:r>
            <w:r w:rsidR="00884421" w:rsidRPr="003E0B98">
              <w:rPr>
                <w:color w:val="000000"/>
                <w:szCs w:val="22"/>
                <w:lang w:val="es-ES"/>
              </w:rPr>
              <w:t xml:space="preserve"> que el </w:t>
            </w:r>
            <w:r w:rsidR="00884421" w:rsidRPr="003E0B98">
              <w:rPr>
                <w:b/>
                <w:color w:val="000000"/>
                <w:szCs w:val="22"/>
                <w:lang w:val="es-ES"/>
              </w:rPr>
              <w:t xml:space="preserve">borde inferior de la cúpula que </w:t>
            </w:r>
            <w:r w:rsidR="00C429C6" w:rsidRPr="003E0B98">
              <w:rPr>
                <w:b/>
                <w:color w:val="000000"/>
                <w:szCs w:val="22"/>
                <w:lang w:val="es-ES"/>
              </w:rPr>
              <w:t>forma</w:t>
            </w:r>
            <w:r w:rsidR="00884421" w:rsidRPr="003E0B98">
              <w:rPr>
                <w:b/>
                <w:color w:val="000000"/>
                <w:szCs w:val="22"/>
                <w:lang w:val="es-ES"/>
              </w:rPr>
              <w:t xml:space="preserve"> el extremo del </w:t>
            </w:r>
            <w:r w:rsidR="00295705" w:rsidRPr="003E0B98">
              <w:rPr>
                <w:b/>
                <w:color w:val="000000"/>
                <w:szCs w:val="22"/>
                <w:lang w:val="es-ES"/>
              </w:rPr>
              <w:t>tapón</w:t>
            </w:r>
            <w:r w:rsidR="00884421" w:rsidRPr="003E0B98">
              <w:rPr>
                <w:b/>
                <w:color w:val="000000"/>
                <w:szCs w:val="22"/>
                <w:lang w:val="es-ES"/>
              </w:rPr>
              <w:t xml:space="preserve"> de goma</w:t>
            </w:r>
            <w:r w:rsidR="00884421" w:rsidRPr="003E0B98">
              <w:rPr>
                <w:color w:val="000000"/>
                <w:szCs w:val="22"/>
                <w:lang w:val="es-ES"/>
              </w:rPr>
              <w:t xml:space="preserve"> quede alineado con</w:t>
            </w:r>
            <w:r w:rsidR="00C75737" w:rsidRPr="003E0B98">
              <w:rPr>
                <w:color w:val="000000"/>
                <w:szCs w:val="22"/>
                <w:lang w:val="es-ES"/>
              </w:rPr>
              <w:t xml:space="preserve"> </w:t>
            </w:r>
            <w:r w:rsidR="009D656C" w:rsidRPr="003E0B98">
              <w:rPr>
                <w:color w:val="000000"/>
                <w:szCs w:val="22"/>
                <w:lang w:val="es-ES"/>
              </w:rPr>
              <w:t>la marca de dosis (ver</w:t>
            </w:r>
            <w:r w:rsidRPr="003E0B98">
              <w:rPr>
                <w:color w:val="000000"/>
                <w:szCs w:val="22"/>
                <w:lang w:val="es-ES"/>
              </w:rPr>
              <w:t xml:space="preserve"> Figur</w:t>
            </w:r>
            <w:r w:rsidR="005539BA" w:rsidRPr="003E0B98">
              <w:rPr>
                <w:color w:val="000000"/>
                <w:szCs w:val="22"/>
                <w:lang w:val="es-ES"/>
              </w:rPr>
              <w:t>a</w:t>
            </w:r>
            <w:r w:rsidRPr="003E0B98">
              <w:rPr>
                <w:color w:val="000000"/>
                <w:szCs w:val="22"/>
                <w:lang w:val="es-ES"/>
              </w:rPr>
              <w:t xml:space="preserve"> 7). </w:t>
            </w:r>
            <w:r w:rsidR="009D656C" w:rsidRPr="003E0B98">
              <w:rPr>
                <w:color w:val="000000"/>
                <w:szCs w:val="22"/>
                <w:lang w:val="es-ES"/>
              </w:rPr>
              <w:t>Con esto se expulsará el aire y el exceso de solución y se ajustará la dosis a 0,05 ml.</w:t>
            </w:r>
          </w:p>
          <w:p w14:paraId="639D204D" w14:textId="77777777" w:rsidR="002B51E2" w:rsidRPr="003E0B98" w:rsidRDefault="009D656C" w:rsidP="004361AC">
            <w:pPr>
              <w:tabs>
                <w:tab w:val="clear" w:pos="567"/>
              </w:tabs>
              <w:spacing w:line="240" w:lineRule="auto"/>
              <w:rPr>
                <w:b/>
                <w:bCs/>
                <w:color w:val="000000"/>
                <w:szCs w:val="22"/>
                <w:lang w:val="es-ES"/>
              </w:rPr>
            </w:pPr>
            <w:r w:rsidRPr="003E0B98">
              <w:rPr>
                <w:b/>
                <w:color w:val="000000"/>
                <w:szCs w:val="22"/>
                <w:lang w:val="es-ES"/>
              </w:rPr>
              <w:t>Nota</w:t>
            </w:r>
            <w:r w:rsidR="002B51E2" w:rsidRPr="003E0B98">
              <w:rPr>
                <w:b/>
                <w:color w:val="000000"/>
                <w:szCs w:val="22"/>
                <w:lang w:val="es-ES"/>
              </w:rPr>
              <w:t xml:space="preserve">: </w:t>
            </w:r>
            <w:r w:rsidR="00C429C6" w:rsidRPr="003E0B98">
              <w:rPr>
                <w:b/>
                <w:color w:val="000000"/>
                <w:szCs w:val="22"/>
                <w:lang w:val="es-ES"/>
              </w:rPr>
              <w:t>El émbolo no está</w:t>
            </w:r>
            <w:r w:rsidR="006350F2" w:rsidRPr="003E0B98">
              <w:rPr>
                <w:b/>
                <w:color w:val="000000"/>
                <w:szCs w:val="22"/>
                <w:lang w:val="es-ES"/>
              </w:rPr>
              <w:t xml:space="preserve"> unido al </w:t>
            </w:r>
            <w:r w:rsidR="00295705" w:rsidRPr="003E0B98">
              <w:rPr>
                <w:b/>
                <w:color w:val="000000"/>
                <w:szCs w:val="22"/>
                <w:lang w:val="es-ES"/>
              </w:rPr>
              <w:t>tapón</w:t>
            </w:r>
            <w:r w:rsidR="006350F2" w:rsidRPr="003E0B98">
              <w:rPr>
                <w:b/>
                <w:color w:val="000000"/>
                <w:szCs w:val="22"/>
                <w:lang w:val="es-ES"/>
              </w:rPr>
              <w:t xml:space="preserve"> de goma</w:t>
            </w:r>
            <w:r w:rsidR="002B51E2" w:rsidRPr="003E0B98">
              <w:rPr>
                <w:b/>
                <w:color w:val="000000"/>
                <w:szCs w:val="22"/>
                <w:lang w:val="es-ES"/>
              </w:rPr>
              <w:t xml:space="preserve"> – </w:t>
            </w:r>
            <w:r w:rsidR="006350F2" w:rsidRPr="003E0B98">
              <w:rPr>
                <w:b/>
                <w:color w:val="000000"/>
                <w:szCs w:val="22"/>
                <w:lang w:val="es-ES"/>
              </w:rPr>
              <w:t xml:space="preserve">esto es para evitar </w:t>
            </w:r>
            <w:r w:rsidR="003D7A21" w:rsidRPr="003E0B98">
              <w:rPr>
                <w:b/>
                <w:color w:val="000000"/>
                <w:szCs w:val="22"/>
                <w:lang w:val="es-ES"/>
              </w:rPr>
              <w:t>la entrada de aire en la jeringa</w:t>
            </w:r>
            <w:r w:rsidR="002B51E2" w:rsidRPr="003E0B98">
              <w:rPr>
                <w:b/>
                <w:color w:val="000000"/>
                <w:szCs w:val="22"/>
                <w:lang w:val="es-ES"/>
              </w:rPr>
              <w:t>.</w:t>
            </w:r>
          </w:p>
        </w:tc>
        <w:tc>
          <w:tcPr>
            <w:tcW w:w="3118" w:type="dxa"/>
          </w:tcPr>
          <w:p w14:paraId="1DED0C81" w14:textId="77777777" w:rsidR="00175E08" w:rsidRPr="003E0B98" w:rsidRDefault="00175E08" w:rsidP="004361AC">
            <w:pPr>
              <w:tabs>
                <w:tab w:val="clear" w:pos="567"/>
              </w:tabs>
              <w:spacing w:line="240" w:lineRule="auto"/>
              <w:rPr>
                <w:bCs/>
                <w:color w:val="000000"/>
                <w:szCs w:val="22"/>
                <w:lang w:val="es-ES"/>
              </w:rPr>
            </w:pPr>
          </w:p>
          <w:p w14:paraId="2A05853C" w14:textId="77777777" w:rsidR="002B51E2" w:rsidRPr="003E0B98" w:rsidRDefault="00C240E6" w:rsidP="004361AC">
            <w:pPr>
              <w:tabs>
                <w:tab w:val="clear" w:pos="567"/>
              </w:tabs>
              <w:spacing w:line="240" w:lineRule="auto"/>
              <w:jc w:val="center"/>
              <w:rPr>
                <w:b/>
                <w:bCs/>
                <w:color w:val="000000"/>
                <w:szCs w:val="22"/>
                <w:lang w:val="en-US"/>
              </w:rPr>
            </w:pPr>
            <w:r w:rsidRPr="003E0B98">
              <w:rPr>
                <w:noProof/>
                <w:lang w:val="es-ES" w:eastAsia="es-ES"/>
              </w:rPr>
              <w:drawing>
                <wp:inline distT="0" distB="0" distL="0" distR="0" wp14:anchorId="544CD3C5" wp14:editId="22652102">
                  <wp:extent cx="1714500" cy="1724025"/>
                  <wp:effectExtent l="0" t="0" r="0" b="0"/>
                  <wp:docPr id="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714500" cy="1724025"/>
                          </a:xfrm>
                          <a:prstGeom prst="rect">
                            <a:avLst/>
                          </a:prstGeom>
                          <a:noFill/>
                          <a:ln>
                            <a:noFill/>
                          </a:ln>
                        </pic:spPr>
                      </pic:pic>
                    </a:graphicData>
                  </a:graphic>
                </wp:inline>
              </w:drawing>
            </w:r>
            <w:r w:rsidRPr="003E0B98">
              <w:rPr>
                <w:b/>
                <w:bCs/>
                <w:noProof/>
                <w:color w:val="000000"/>
                <w:szCs w:val="22"/>
                <w:lang w:val="es-ES" w:eastAsia="es-ES"/>
              </w:rPr>
              <mc:AlternateContent>
                <mc:Choice Requires="wps">
                  <w:drawing>
                    <wp:inline distT="0" distB="0" distL="0" distR="0" wp14:anchorId="1CB0078B" wp14:editId="281E33B8">
                      <wp:extent cx="1943100" cy="1733550"/>
                      <wp:effectExtent l="0" t="0" r="0" b="0"/>
                      <wp:docPr id="3" name="AutoShape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3100" cy="1733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EA53115" id="AutoShape 10" o:spid="_x0000_s1026" style="width:153pt;height:1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IMb2gEAAKADAAAOAAAAZHJzL2Uyb0RvYy54bWysU9tu2zAMfR+wfxD0vjjOZV2NOEXRosOA&#10;7gJ0/QBFlmxjtqiRSpzs60fJaZKtb8NeBJGUDw8Pj1c3+74TO4PUgitlPplKYZyGqnV1KZ+/P7z7&#10;IAUF5SrVgTOlPBiSN+u3b1aDL8wMGugqg4JBHBWDL2UTgi+yjHRjekUT8MZx0QL2KnCIdVahGhi9&#10;77LZdPo+GwArj6ANEWfvx6JcJ3xrjQ5frSUTRFdK5hbSiencxDNbr1RRo/JNq4801D+w6FXruOkJ&#10;6l4FJbbYvoLqW41AYMNEQ5+Bta02aQaeJp/+Nc1To7xJs7A45E8y0f+D1V92T/4bRurkH0H/IOHg&#10;rlGuNrfkWT5eqjynEGFojKqYQR61ywZPxQkjBsRoYjN8hoq3rbYBkix7i33swQOLfVL/cFLf7IPQ&#10;nMyvF/N8ykvSXMuv5vPlMu0nU8XL5x4pfDTQi3gpJTK/BK92jxQiHVW8PIndHDy0XZdW3Lk/Evww&#10;ZhL9yDj6hYoNVAdmjzDahG3NlwbwlxQDW6SU9HOr0EjRfXKswHW+WERPpWCxvJpxgJeVzWVFOc1Q&#10;pQxSjNe7MPpw67GtmyT0yPGWVbNtmufM6kiWbZDGPFo2+uwyTq/OP9b6NwAAAP//AwBQSwMEFAAG&#10;AAgAAAAhAKfSDSTdAAAABQEAAA8AAABkcnMvZG93bnJldi54bWxMj0FLw0AQhe8F/8MyQi/F7tpC&#10;lZhNkYJYilBMtedtdkyC2dk0u03iv3f0opcHjze89026Hl0jeuxC7UnD7VyBQCq8ranU8HZ4urkH&#10;EaIhaxpPqOELA6yzq0lqEusHesU+j6XgEgqJ0VDF2CZShqJCZ8Lct0icffjOmci2K6XtzMDlrpEL&#10;pVbSmZp4oTItbiosPvOL0zAU+/54eHmW+9lx6+m8PW/y953W0+vx8QFExDH+HcMPPqNDxkwnfyEb&#10;RKOBH4m/ytlSrdieNCzulgpklsr/9Nk3AAAA//8DAFBLAQItABQABgAIAAAAIQC2gziS/gAAAOEB&#10;AAATAAAAAAAAAAAAAAAAAAAAAABbQ29udGVudF9UeXBlc10ueG1sUEsBAi0AFAAGAAgAAAAhADj9&#10;If/WAAAAlAEAAAsAAAAAAAAAAAAAAAAALwEAAF9yZWxzLy5yZWxzUEsBAi0AFAAGAAgAAAAhAMFE&#10;gxvaAQAAoAMAAA4AAAAAAAAAAAAAAAAALgIAAGRycy9lMm9Eb2MueG1sUEsBAi0AFAAGAAgAAAAh&#10;AKfSDSTdAAAABQEAAA8AAAAAAAAAAAAAAAAANAQAAGRycy9kb3ducmV2LnhtbFBLBQYAAAAABAAE&#10;APMAAAA+BQAAAAA=&#10;" filled="f" stroked="f">
                      <o:lock v:ext="edit" aspectratio="t"/>
                      <w10:anchorlock/>
                    </v:rect>
                  </w:pict>
                </mc:Fallback>
              </mc:AlternateContent>
            </w:r>
            <w:proofErr w:type="spellStart"/>
            <w:r w:rsidR="002B51E2" w:rsidRPr="003E0B98">
              <w:rPr>
                <w:rFonts w:eastAsia="MS PGothic"/>
                <w:b/>
                <w:color w:val="000000"/>
                <w:kern w:val="24"/>
                <w:szCs w:val="22"/>
                <w:lang w:val="en-US"/>
              </w:rPr>
              <w:t>Figur</w:t>
            </w:r>
            <w:r w:rsidR="005539BA" w:rsidRPr="003E0B98">
              <w:rPr>
                <w:rFonts w:eastAsia="MS PGothic"/>
                <w:b/>
                <w:color w:val="000000"/>
                <w:kern w:val="24"/>
                <w:szCs w:val="22"/>
                <w:lang w:val="en-US"/>
              </w:rPr>
              <w:t>a</w:t>
            </w:r>
            <w:proofErr w:type="spellEnd"/>
            <w:r w:rsidR="002B51E2" w:rsidRPr="003E0B98">
              <w:rPr>
                <w:rFonts w:eastAsia="MS PGothic"/>
                <w:b/>
                <w:color w:val="000000"/>
                <w:kern w:val="24"/>
                <w:szCs w:val="22"/>
                <w:lang w:val="en-US"/>
              </w:rPr>
              <w:t> 7</w:t>
            </w:r>
          </w:p>
        </w:tc>
      </w:tr>
      <w:tr w:rsidR="002B51E2" w:rsidRPr="005E6AC0" w14:paraId="21462FC2" w14:textId="77777777" w:rsidTr="00D91B0D">
        <w:trPr>
          <w:trHeight w:val="2541"/>
        </w:trPr>
        <w:tc>
          <w:tcPr>
            <w:tcW w:w="1701" w:type="dxa"/>
          </w:tcPr>
          <w:p w14:paraId="79CD262E" w14:textId="77777777" w:rsidR="002B51E2" w:rsidRPr="003E0B98" w:rsidRDefault="003D7A21" w:rsidP="004361AC">
            <w:pPr>
              <w:tabs>
                <w:tab w:val="clear" w:pos="567"/>
              </w:tabs>
              <w:spacing w:line="240" w:lineRule="auto"/>
              <w:rPr>
                <w:b/>
                <w:color w:val="000000"/>
                <w:szCs w:val="22"/>
              </w:rPr>
            </w:pPr>
            <w:proofErr w:type="spellStart"/>
            <w:r w:rsidRPr="003E0B98">
              <w:rPr>
                <w:b/>
                <w:color w:val="000000"/>
                <w:szCs w:val="22"/>
              </w:rPr>
              <w:t>Inyección</w:t>
            </w:r>
            <w:proofErr w:type="spellEnd"/>
          </w:p>
        </w:tc>
        <w:tc>
          <w:tcPr>
            <w:tcW w:w="7513" w:type="dxa"/>
            <w:gridSpan w:val="2"/>
          </w:tcPr>
          <w:p w14:paraId="4E3EB250" w14:textId="77777777" w:rsidR="002B51E2" w:rsidRPr="003E0B98" w:rsidRDefault="003D7A21" w:rsidP="004361AC">
            <w:pPr>
              <w:tabs>
                <w:tab w:val="clear" w:pos="567"/>
              </w:tabs>
              <w:spacing w:line="240" w:lineRule="auto"/>
              <w:ind w:left="459" w:hanging="459"/>
              <w:rPr>
                <w:color w:val="000000"/>
                <w:szCs w:val="22"/>
                <w:lang w:val="es-ES"/>
              </w:rPr>
            </w:pPr>
            <w:r w:rsidRPr="003E0B98">
              <w:rPr>
                <w:color w:val="000000"/>
                <w:szCs w:val="22"/>
                <w:lang w:val="es-ES"/>
              </w:rPr>
              <w:t>El procedimiento de inyección debe llevarse a cabo bajo condiciones asépticas</w:t>
            </w:r>
            <w:r w:rsidR="002B51E2" w:rsidRPr="003E0B98">
              <w:rPr>
                <w:color w:val="000000"/>
                <w:szCs w:val="22"/>
                <w:lang w:val="es-ES"/>
              </w:rPr>
              <w:t>.</w:t>
            </w:r>
          </w:p>
          <w:p w14:paraId="564B8DCA" w14:textId="77777777" w:rsidR="002B51E2" w:rsidRPr="003E0B98" w:rsidRDefault="002B51E2" w:rsidP="004361AC">
            <w:pPr>
              <w:tabs>
                <w:tab w:val="clear" w:pos="567"/>
              </w:tabs>
              <w:spacing w:line="240" w:lineRule="auto"/>
              <w:ind w:left="459" w:hanging="459"/>
              <w:rPr>
                <w:color w:val="000000"/>
                <w:szCs w:val="22"/>
                <w:lang w:val="es-ES"/>
              </w:rPr>
            </w:pPr>
            <w:r w:rsidRPr="003E0B98">
              <w:rPr>
                <w:color w:val="000000"/>
                <w:szCs w:val="22"/>
                <w:lang w:val="es-ES"/>
              </w:rPr>
              <w:t>12.</w:t>
            </w:r>
            <w:r w:rsidRPr="003E0B98">
              <w:rPr>
                <w:color w:val="000000"/>
                <w:szCs w:val="22"/>
                <w:lang w:val="es-ES"/>
              </w:rPr>
              <w:tab/>
            </w:r>
            <w:r w:rsidR="00FA0250" w:rsidRPr="003E0B98">
              <w:rPr>
                <w:color w:val="000000"/>
                <w:szCs w:val="22"/>
                <w:lang w:val="es-ES"/>
              </w:rPr>
              <w:t>La aguja para inyección se debe introducir 3,5</w:t>
            </w:r>
            <w:r w:rsidR="00FA0250" w:rsidRPr="003E0B98">
              <w:rPr>
                <w:color w:val="000000"/>
                <w:szCs w:val="22"/>
                <w:lang w:val="es-ES"/>
              </w:rPr>
              <w:noBreakHyphen/>
              <w:t xml:space="preserve">4,0 mm por detrás del limbo en la cavidad vítrea, </w:t>
            </w:r>
            <w:r w:rsidR="00FA0250" w:rsidRPr="003E0B98">
              <w:rPr>
                <w:color w:val="000000"/>
                <w:lang w:val="es-ES"/>
              </w:rPr>
              <w:t>evitando el meridiano horizontal y en dirección al centro del globo.</w:t>
            </w:r>
          </w:p>
          <w:p w14:paraId="2B8B5959" w14:textId="77777777" w:rsidR="002B51E2" w:rsidRPr="003E0B98" w:rsidRDefault="002B51E2" w:rsidP="004361AC">
            <w:pPr>
              <w:tabs>
                <w:tab w:val="clear" w:pos="567"/>
              </w:tabs>
              <w:spacing w:line="240" w:lineRule="auto"/>
              <w:ind w:left="459" w:hanging="459"/>
              <w:rPr>
                <w:color w:val="000000"/>
                <w:szCs w:val="22"/>
                <w:lang w:val="es-ES"/>
              </w:rPr>
            </w:pPr>
            <w:r w:rsidRPr="003E0B98">
              <w:rPr>
                <w:color w:val="000000"/>
                <w:szCs w:val="22"/>
                <w:lang w:val="es-ES"/>
              </w:rPr>
              <w:t>13.</w:t>
            </w:r>
            <w:r w:rsidRPr="003E0B98">
              <w:rPr>
                <w:color w:val="000000"/>
                <w:szCs w:val="22"/>
                <w:lang w:val="es-ES"/>
              </w:rPr>
              <w:tab/>
            </w:r>
            <w:r w:rsidR="00FA0250" w:rsidRPr="003E0B98">
              <w:rPr>
                <w:color w:val="000000"/>
                <w:szCs w:val="22"/>
                <w:lang w:val="es-ES"/>
              </w:rPr>
              <w:t xml:space="preserve">Inyectar lentamente hasta que el </w:t>
            </w:r>
            <w:r w:rsidR="00295705" w:rsidRPr="003E0B98">
              <w:rPr>
                <w:color w:val="000000"/>
                <w:szCs w:val="22"/>
                <w:lang w:val="es-ES"/>
              </w:rPr>
              <w:t>tapón</w:t>
            </w:r>
            <w:r w:rsidR="00FA0250" w:rsidRPr="003E0B98">
              <w:rPr>
                <w:color w:val="000000"/>
                <w:szCs w:val="22"/>
                <w:lang w:val="es-ES"/>
              </w:rPr>
              <w:t xml:space="preserve"> de goma llegue a la pa</w:t>
            </w:r>
            <w:r w:rsidR="008F4955" w:rsidRPr="003E0B98">
              <w:rPr>
                <w:color w:val="000000"/>
                <w:szCs w:val="22"/>
                <w:lang w:val="es-ES"/>
              </w:rPr>
              <w:t>rte inferior de la jeringa, con el fin de administrar</w:t>
            </w:r>
            <w:r w:rsidRPr="003E0B98">
              <w:rPr>
                <w:color w:val="000000"/>
                <w:szCs w:val="22"/>
                <w:lang w:val="es-ES"/>
              </w:rPr>
              <w:t xml:space="preserve"> </w:t>
            </w:r>
            <w:r w:rsidR="008F4955" w:rsidRPr="003E0B98">
              <w:rPr>
                <w:color w:val="000000"/>
                <w:szCs w:val="22"/>
                <w:lang w:val="es-ES"/>
              </w:rPr>
              <w:t>el volumen de 0,</w:t>
            </w:r>
            <w:r w:rsidRPr="003E0B98">
              <w:rPr>
                <w:color w:val="000000"/>
                <w:szCs w:val="22"/>
                <w:lang w:val="es-ES"/>
              </w:rPr>
              <w:t>05 ml.</w:t>
            </w:r>
          </w:p>
          <w:p w14:paraId="1BEF7271" w14:textId="77777777" w:rsidR="002B51E2" w:rsidRPr="003E0B98" w:rsidRDefault="002B51E2" w:rsidP="004361AC">
            <w:pPr>
              <w:tabs>
                <w:tab w:val="clear" w:pos="567"/>
              </w:tabs>
              <w:spacing w:line="240" w:lineRule="auto"/>
              <w:ind w:left="459" w:hanging="459"/>
              <w:rPr>
                <w:color w:val="000000"/>
                <w:szCs w:val="22"/>
                <w:lang w:val="es-ES"/>
              </w:rPr>
            </w:pPr>
            <w:r w:rsidRPr="003E0B98">
              <w:rPr>
                <w:color w:val="000000"/>
                <w:szCs w:val="22"/>
                <w:lang w:val="es-ES"/>
              </w:rPr>
              <w:t>14.</w:t>
            </w:r>
            <w:r w:rsidRPr="003E0B98">
              <w:rPr>
                <w:color w:val="000000"/>
                <w:szCs w:val="22"/>
                <w:lang w:val="es-ES"/>
              </w:rPr>
              <w:tab/>
            </w:r>
            <w:r w:rsidR="008F4955" w:rsidRPr="003E0B98">
              <w:rPr>
                <w:color w:val="000000"/>
                <w:szCs w:val="22"/>
                <w:lang w:val="es-ES"/>
              </w:rPr>
              <w:t xml:space="preserve">Las inyecciones siguientes se deben aplicar cada vez en un punto </w:t>
            </w:r>
            <w:proofErr w:type="spellStart"/>
            <w:r w:rsidR="008F4955" w:rsidRPr="003E0B98">
              <w:rPr>
                <w:color w:val="000000"/>
                <w:szCs w:val="22"/>
                <w:lang w:val="es-ES"/>
              </w:rPr>
              <w:t>escleral</w:t>
            </w:r>
            <w:proofErr w:type="spellEnd"/>
            <w:r w:rsidR="008F4955" w:rsidRPr="003E0B98">
              <w:rPr>
                <w:color w:val="000000"/>
                <w:szCs w:val="22"/>
                <w:lang w:val="es-ES"/>
              </w:rPr>
              <w:t xml:space="preserve"> distinto</w:t>
            </w:r>
            <w:r w:rsidRPr="003E0B98">
              <w:rPr>
                <w:color w:val="000000"/>
                <w:szCs w:val="22"/>
                <w:lang w:val="es-ES"/>
              </w:rPr>
              <w:t>.</w:t>
            </w:r>
          </w:p>
          <w:p w14:paraId="4C061AFD" w14:textId="77777777" w:rsidR="002B51E2" w:rsidRPr="003E0B98" w:rsidRDefault="002B51E2" w:rsidP="004361AC">
            <w:pPr>
              <w:tabs>
                <w:tab w:val="clear" w:pos="567"/>
              </w:tabs>
              <w:spacing w:line="240" w:lineRule="auto"/>
              <w:ind w:left="459" w:hanging="459"/>
              <w:rPr>
                <w:b/>
                <w:bCs/>
                <w:color w:val="000000"/>
                <w:szCs w:val="22"/>
                <w:lang w:val="es-ES"/>
              </w:rPr>
            </w:pPr>
            <w:r w:rsidRPr="003E0B98">
              <w:rPr>
                <w:color w:val="000000"/>
                <w:szCs w:val="22"/>
                <w:lang w:val="es-ES"/>
              </w:rPr>
              <w:t>15.</w:t>
            </w:r>
            <w:r w:rsidRPr="003E0B98">
              <w:rPr>
                <w:color w:val="000000"/>
                <w:szCs w:val="22"/>
                <w:lang w:val="es-ES"/>
              </w:rPr>
              <w:tab/>
            </w:r>
            <w:r w:rsidR="00307A1C" w:rsidRPr="003E0B98">
              <w:rPr>
                <w:color w:val="000000"/>
                <w:szCs w:val="22"/>
                <w:lang w:val="es-ES"/>
              </w:rPr>
              <w:t xml:space="preserve">Tras la inyección, no </w:t>
            </w:r>
            <w:r w:rsidR="00E10320" w:rsidRPr="003E0B98">
              <w:rPr>
                <w:color w:val="000000"/>
                <w:szCs w:val="22"/>
                <w:lang w:val="es-ES"/>
              </w:rPr>
              <w:t xml:space="preserve">tapar la aguja con </w:t>
            </w:r>
            <w:r w:rsidR="008E7E7E" w:rsidRPr="003E0B98">
              <w:rPr>
                <w:color w:val="000000"/>
                <w:szCs w:val="22"/>
                <w:lang w:val="es-ES"/>
              </w:rPr>
              <w:t>la cápsula de cierre</w:t>
            </w:r>
            <w:r w:rsidR="00307A1C" w:rsidRPr="003E0B98">
              <w:rPr>
                <w:color w:val="000000"/>
                <w:szCs w:val="22"/>
                <w:lang w:val="es-ES"/>
              </w:rPr>
              <w:t xml:space="preserve"> ni separarla de la jeringa.</w:t>
            </w:r>
            <w:r w:rsidRPr="003E0B98">
              <w:rPr>
                <w:color w:val="000000"/>
                <w:szCs w:val="22"/>
                <w:lang w:val="es-ES"/>
              </w:rPr>
              <w:t xml:space="preserve"> </w:t>
            </w:r>
            <w:r w:rsidR="00345CD2" w:rsidRPr="003E0B98">
              <w:rPr>
                <w:color w:val="000000"/>
                <w:szCs w:val="22"/>
                <w:lang w:val="es-ES"/>
              </w:rPr>
              <w:t xml:space="preserve">Eliminar la jeringa usada junto con la aguja en un contenedor para objetos punzantes o </w:t>
            </w:r>
            <w:r w:rsidR="00F00B1A" w:rsidRPr="003E0B98">
              <w:rPr>
                <w:color w:val="000000"/>
                <w:szCs w:val="22"/>
                <w:lang w:val="es-ES"/>
              </w:rPr>
              <w:t xml:space="preserve">eliminar </w:t>
            </w:r>
            <w:r w:rsidR="00345CD2" w:rsidRPr="003E0B98">
              <w:rPr>
                <w:color w:val="000000"/>
                <w:szCs w:val="22"/>
                <w:lang w:val="es-ES"/>
              </w:rPr>
              <w:t>de acuerdo con la normativa local.</w:t>
            </w:r>
          </w:p>
        </w:tc>
      </w:tr>
    </w:tbl>
    <w:p w14:paraId="1CA2E2C5" w14:textId="77777777" w:rsidR="00E36F43" w:rsidRPr="003E0B98" w:rsidRDefault="00E36F43" w:rsidP="004361AC">
      <w:pPr>
        <w:tabs>
          <w:tab w:val="clear" w:pos="567"/>
        </w:tabs>
        <w:spacing w:line="240" w:lineRule="auto"/>
        <w:rPr>
          <w:color w:val="000000"/>
          <w:szCs w:val="22"/>
          <w:lang w:val="es-ES"/>
        </w:rPr>
      </w:pPr>
    </w:p>
    <w:p w14:paraId="2FE2695F" w14:textId="77777777" w:rsidR="00E36F43" w:rsidRPr="003E0B98" w:rsidRDefault="00E36F43" w:rsidP="004361AC">
      <w:pPr>
        <w:tabs>
          <w:tab w:val="clear" w:pos="567"/>
        </w:tabs>
        <w:spacing w:line="240" w:lineRule="auto"/>
        <w:rPr>
          <w:color w:val="000000"/>
          <w:szCs w:val="22"/>
          <w:lang w:val="es-ES"/>
        </w:rPr>
      </w:pPr>
    </w:p>
    <w:p w14:paraId="1BF13822" w14:textId="77777777" w:rsidR="00E36F43" w:rsidRPr="003E0B98" w:rsidRDefault="00E36F43" w:rsidP="004361AC">
      <w:pPr>
        <w:keepNext/>
        <w:tabs>
          <w:tab w:val="clear" w:pos="567"/>
        </w:tabs>
        <w:spacing w:line="240" w:lineRule="auto"/>
        <w:ind w:left="567" w:hanging="567"/>
        <w:rPr>
          <w:color w:val="000000"/>
          <w:szCs w:val="22"/>
          <w:lang w:val="es-ES_tradnl"/>
        </w:rPr>
      </w:pPr>
      <w:r w:rsidRPr="003E0B98">
        <w:rPr>
          <w:b/>
          <w:color w:val="000000"/>
          <w:szCs w:val="22"/>
          <w:lang w:val="es-ES_tradnl"/>
        </w:rPr>
        <w:t>7.</w:t>
      </w:r>
      <w:r w:rsidRPr="003E0B98">
        <w:rPr>
          <w:b/>
          <w:color w:val="000000"/>
          <w:szCs w:val="22"/>
          <w:lang w:val="es-ES_tradnl"/>
        </w:rPr>
        <w:tab/>
      </w:r>
      <w:r w:rsidRPr="003E0B98">
        <w:rPr>
          <w:b/>
          <w:noProof/>
          <w:color w:val="000000"/>
          <w:lang w:val="es-ES_tradnl"/>
        </w:rPr>
        <w:t>TITULAR DE LA AUTORIZACIÓN DE COMERCIALIZACIÓN</w:t>
      </w:r>
    </w:p>
    <w:p w14:paraId="100322EE" w14:textId="77777777" w:rsidR="00E36F43" w:rsidRPr="003E0B98" w:rsidRDefault="00E36F43" w:rsidP="004361AC">
      <w:pPr>
        <w:keepNext/>
        <w:tabs>
          <w:tab w:val="clear" w:pos="567"/>
        </w:tabs>
        <w:spacing w:line="240" w:lineRule="auto"/>
        <w:rPr>
          <w:color w:val="000000"/>
          <w:szCs w:val="22"/>
          <w:lang w:val="es-ES_tradnl"/>
        </w:rPr>
      </w:pPr>
    </w:p>
    <w:p w14:paraId="635FCF3D" w14:textId="77777777" w:rsidR="00E36F43" w:rsidRPr="003E0B98" w:rsidRDefault="00E36F43" w:rsidP="004361AC">
      <w:pPr>
        <w:keepNext/>
        <w:tabs>
          <w:tab w:val="clear" w:pos="567"/>
        </w:tabs>
        <w:spacing w:line="240" w:lineRule="auto"/>
        <w:rPr>
          <w:color w:val="000000"/>
          <w:szCs w:val="22"/>
        </w:rPr>
      </w:pPr>
      <w:r w:rsidRPr="003E0B98">
        <w:rPr>
          <w:color w:val="000000"/>
          <w:szCs w:val="22"/>
        </w:rPr>
        <w:t xml:space="preserve">Novartis </w:t>
      </w:r>
      <w:proofErr w:type="spellStart"/>
      <w:r w:rsidRPr="003E0B98">
        <w:rPr>
          <w:color w:val="000000"/>
          <w:szCs w:val="22"/>
        </w:rPr>
        <w:t>Europharm</w:t>
      </w:r>
      <w:proofErr w:type="spellEnd"/>
      <w:r w:rsidRPr="003E0B98">
        <w:rPr>
          <w:color w:val="000000"/>
          <w:szCs w:val="22"/>
        </w:rPr>
        <w:t xml:space="preserve"> Limited</w:t>
      </w:r>
    </w:p>
    <w:p w14:paraId="6D9E3BA3" w14:textId="77777777" w:rsidR="00442EE6" w:rsidRPr="003E0B98" w:rsidRDefault="00442EE6" w:rsidP="004361AC">
      <w:pPr>
        <w:keepNext/>
        <w:spacing w:line="240" w:lineRule="auto"/>
        <w:rPr>
          <w:color w:val="000000"/>
        </w:rPr>
      </w:pPr>
      <w:r w:rsidRPr="003E0B98">
        <w:rPr>
          <w:color w:val="000000"/>
        </w:rPr>
        <w:t>Vista Building</w:t>
      </w:r>
    </w:p>
    <w:p w14:paraId="6A62CC4E" w14:textId="77777777" w:rsidR="00442EE6" w:rsidRPr="003E0B98" w:rsidRDefault="00442EE6" w:rsidP="004361AC">
      <w:pPr>
        <w:keepNext/>
        <w:spacing w:line="240" w:lineRule="auto"/>
        <w:rPr>
          <w:color w:val="000000"/>
        </w:rPr>
      </w:pPr>
      <w:r w:rsidRPr="003E0B98">
        <w:rPr>
          <w:color w:val="000000"/>
        </w:rPr>
        <w:t>Elm Park, Merrion Road</w:t>
      </w:r>
    </w:p>
    <w:p w14:paraId="6B44C258" w14:textId="77777777" w:rsidR="00442EE6" w:rsidRPr="003E0B98" w:rsidRDefault="00442EE6" w:rsidP="004361AC">
      <w:pPr>
        <w:keepNext/>
        <w:spacing w:line="240" w:lineRule="auto"/>
        <w:rPr>
          <w:color w:val="000000"/>
          <w:lang w:val="es-ES"/>
        </w:rPr>
      </w:pPr>
      <w:proofErr w:type="spellStart"/>
      <w:r w:rsidRPr="003E0B98">
        <w:rPr>
          <w:color w:val="000000"/>
          <w:lang w:val="es-ES"/>
        </w:rPr>
        <w:t>Dublin</w:t>
      </w:r>
      <w:proofErr w:type="spellEnd"/>
      <w:r w:rsidRPr="003E0B98">
        <w:rPr>
          <w:color w:val="000000"/>
          <w:lang w:val="es-ES"/>
        </w:rPr>
        <w:t xml:space="preserve"> 4</w:t>
      </w:r>
    </w:p>
    <w:p w14:paraId="47E0AD65" w14:textId="77777777" w:rsidR="00E36F43" w:rsidRPr="003E0B98" w:rsidRDefault="00442EE6" w:rsidP="004361AC">
      <w:pPr>
        <w:tabs>
          <w:tab w:val="clear" w:pos="567"/>
        </w:tabs>
        <w:spacing w:line="240" w:lineRule="auto"/>
        <w:rPr>
          <w:color w:val="000000"/>
          <w:szCs w:val="22"/>
          <w:lang w:val="es-ES_tradnl"/>
        </w:rPr>
      </w:pPr>
      <w:r w:rsidRPr="003E0B98">
        <w:rPr>
          <w:color w:val="000000"/>
          <w:lang w:val="es-ES"/>
        </w:rPr>
        <w:t>Irlanda</w:t>
      </w:r>
    </w:p>
    <w:p w14:paraId="1168C640" w14:textId="77777777" w:rsidR="00E36F43" w:rsidRPr="003E0B98" w:rsidRDefault="00E36F43" w:rsidP="004361AC">
      <w:pPr>
        <w:tabs>
          <w:tab w:val="clear" w:pos="567"/>
        </w:tabs>
        <w:spacing w:line="240" w:lineRule="auto"/>
        <w:rPr>
          <w:color w:val="000000"/>
          <w:szCs w:val="22"/>
          <w:lang w:val="es-ES_tradnl"/>
        </w:rPr>
      </w:pPr>
    </w:p>
    <w:p w14:paraId="7B8A2E75" w14:textId="77777777" w:rsidR="00E36F43" w:rsidRPr="003E0B98" w:rsidRDefault="00E36F43" w:rsidP="004361AC">
      <w:pPr>
        <w:tabs>
          <w:tab w:val="clear" w:pos="567"/>
        </w:tabs>
        <w:spacing w:line="240" w:lineRule="auto"/>
        <w:rPr>
          <w:color w:val="000000"/>
          <w:szCs w:val="22"/>
          <w:lang w:val="es-ES_tradnl"/>
        </w:rPr>
      </w:pPr>
    </w:p>
    <w:p w14:paraId="7F253AF5" w14:textId="77777777" w:rsidR="00E36F43" w:rsidRPr="003E0B98" w:rsidRDefault="00E36F43" w:rsidP="004361AC">
      <w:pPr>
        <w:keepNext/>
        <w:tabs>
          <w:tab w:val="clear" w:pos="567"/>
        </w:tabs>
        <w:spacing w:line="240" w:lineRule="auto"/>
        <w:ind w:left="567" w:hanging="567"/>
        <w:rPr>
          <w:b/>
          <w:color w:val="000000"/>
          <w:szCs w:val="22"/>
          <w:lang w:val="es-ES_tradnl"/>
        </w:rPr>
      </w:pPr>
      <w:r w:rsidRPr="003E0B98">
        <w:rPr>
          <w:b/>
          <w:color w:val="000000"/>
          <w:szCs w:val="22"/>
          <w:lang w:val="es-ES_tradnl"/>
        </w:rPr>
        <w:t>8.</w:t>
      </w:r>
      <w:r w:rsidRPr="003E0B98">
        <w:rPr>
          <w:b/>
          <w:color w:val="000000"/>
          <w:szCs w:val="22"/>
          <w:lang w:val="es-ES_tradnl"/>
        </w:rPr>
        <w:tab/>
      </w:r>
      <w:r w:rsidRPr="003E0B98">
        <w:rPr>
          <w:b/>
          <w:color w:val="000000"/>
          <w:szCs w:val="22"/>
          <w:lang w:val="es-ES"/>
        </w:rPr>
        <w:t>NÚMERO(S) DE AUTORIZACIÓN DE COMERCIALIZACIÓN</w:t>
      </w:r>
    </w:p>
    <w:p w14:paraId="5253BDF7" w14:textId="77777777" w:rsidR="00E36F43" w:rsidRPr="003E0B98" w:rsidRDefault="00E36F43" w:rsidP="004361AC">
      <w:pPr>
        <w:keepNext/>
        <w:tabs>
          <w:tab w:val="clear" w:pos="567"/>
        </w:tabs>
        <w:spacing w:line="240" w:lineRule="auto"/>
        <w:rPr>
          <w:color w:val="000000"/>
          <w:szCs w:val="22"/>
          <w:lang w:val="es-ES_tradnl"/>
        </w:rPr>
      </w:pPr>
    </w:p>
    <w:p w14:paraId="71AB9B66" w14:textId="77777777" w:rsidR="00E36F43" w:rsidRPr="003E0B98" w:rsidRDefault="00E36F43" w:rsidP="004361AC">
      <w:pPr>
        <w:rPr>
          <w:color w:val="000000"/>
          <w:szCs w:val="22"/>
          <w:lang w:val="es-ES_tradnl"/>
        </w:rPr>
      </w:pPr>
      <w:r w:rsidRPr="003E0B98">
        <w:rPr>
          <w:color w:val="000000"/>
          <w:szCs w:val="22"/>
          <w:lang w:val="es-ES_tradnl"/>
        </w:rPr>
        <w:t>EU/1/06/374/00</w:t>
      </w:r>
      <w:r w:rsidR="00320E58" w:rsidRPr="003E0B98">
        <w:rPr>
          <w:color w:val="000000"/>
          <w:szCs w:val="22"/>
          <w:lang w:val="es-ES_tradnl"/>
        </w:rPr>
        <w:t>3</w:t>
      </w:r>
    </w:p>
    <w:p w14:paraId="5F757CC2" w14:textId="77777777" w:rsidR="00E36F43" w:rsidRPr="003E0B98" w:rsidRDefault="00E36F43" w:rsidP="004361AC">
      <w:pPr>
        <w:tabs>
          <w:tab w:val="clear" w:pos="567"/>
        </w:tabs>
        <w:spacing w:line="240" w:lineRule="auto"/>
        <w:rPr>
          <w:color w:val="000000"/>
          <w:szCs w:val="22"/>
          <w:lang w:val="es-ES_tradnl"/>
        </w:rPr>
      </w:pPr>
    </w:p>
    <w:p w14:paraId="393FFD1D" w14:textId="77777777" w:rsidR="00E36F43" w:rsidRPr="003E0B98" w:rsidRDefault="00E36F43" w:rsidP="004361AC">
      <w:pPr>
        <w:tabs>
          <w:tab w:val="clear" w:pos="567"/>
        </w:tabs>
        <w:spacing w:line="240" w:lineRule="auto"/>
        <w:rPr>
          <w:color w:val="000000"/>
          <w:szCs w:val="22"/>
          <w:lang w:val="es-ES_tradnl"/>
        </w:rPr>
      </w:pPr>
    </w:p>
    <w:p w14:paraId="66DE04D2" w14:textId="77777777" w:rsidR="00E36F43" w:rsidRPr="003E0B98" w:rsidRDefault="00E36F43" w:rsidP="004361AC">
      <w:pPr>
        <w:keepNext/>
        <w:keepLines/>
        <w:tabs>
          <w:tab w:val="clear" w:pos="567"/>
        </w:tabs>
        <w:spacing w:line="240" w:lineRule="auto"/>
        <w:ind w:left="567" w:hanging="567"/>
        <w:rPr>
          <w:color w:val="000000"/>
          <w:szCs w:val="22"/>
          <w:lang w:val="es-ES_tradnl"/>
        </w:rPr>
      </w:pPr>
      <w:r w:rsidRPr="003E0B98">
        <w:rPr>
          <w:b/>
          <w:color w:val="000000"/>
          <w:szCs w:val="22"/>
          <w:lang w:val="es-ES_tradnl"/>
        </w:rPr>
        <w:t>9.</w:t>
      </w:r>
      <w:r w:rsidRPr="003E0B98">
        <w:rPr>
          <w:b/>
          <w:color w:val="000000"/>
          <w:szCs w:val="22"/>
          <w:lang w:val="es-ES_tradnl"/>
        </w:rPr>
        <w:tab/>
      </w:r>
      <w:r w:rsidRPr="003E0B98">
        <w:rPr>
          <w:b/>
          <w:noProof/>
          <w:color w:val="000000"/>
          <w:lang w:val="es-ES_tradnl"/>
        </w:rPr>
        <w:t>FECHA DE LA PRIMERA AUTORIZACIÓN/RENOVACIÓN DE LA AUTORIZACIÓN</w:t>
      </w:r>
    </w:p>
    <w:p w14:paraId="6E6BCA79" w14:textId="77777777" w:rsidR="00E36F43" w:rsidRPr="003E0B98" w:rsidRDefault="00E36F43" w:rsidP="004361AC">
      <w:pPr>
        <w:keepNext/>
        <w:keepLines/>
        <w:tabs>
          <w:tab w:val="clear" w:pos="567"/>
        </w:tabs>
        <w:spacing w:line="240" w:lineRule="auto"/>
        <w:rPr>
          <w:color w:val="000000"/>
          <w:szCs w:val="22"/>
          <w:lang w:val="es-ES_tradnl"/>
        </w:rPr>
      </w:pPr>
    </w:p>
    <w:p w14:paraId="38436A29" w14:textId="23B3E325" w:rsidR="00E36F43" w:rsidRPr="003E0B98" w:rsidRDefault="00E36F43" w:rsidP="004361AC">
      <w:pPr>
        <w:keepNext/>
        <w:keepLines/>
        <w:tabs>
          <w:tab w:val="clear" w:pos="567"/>
        </w:tabs>
        <w:spacing w:line="240" w:lineRule="auto"/>
        <w:rPr>
          <w:color w:val="000000"/>
          <w:szCs w:val="22"/>
          <w:lang w:val="es-ES_tradnl"/>
        </w:rPr>
      </w:pPr>
      <w:r w:rsidRPr="003E0B98">
        <w:rPr>
          <w:color w:val="000000"/>
          <w:szCs w:val="22"/>
          <w:lang w:val="es-ES_tradnl"/>
        </w:rPr>
        <w:t>Fecha de la primera autorización: 22</w:t>
      </w:r>
      <w:r w:rsidR="0001071A" w:rsidRPr="003E0B98">
        <w:rPr>
          <w:color w:val="000000"/>
          <w:szCs w:val="22"/>
          <w:lang w:val="es-ES_tradnl"/>
        </w:rPr>
        <w:t xml:space="preserve"> </w:t>
      </w:r>
      <w:r w:rsidR="00F83361" w:rsidRPr="003E0B98">
        <w:rPr>
          <w:color w:val="000000"/>
          <w:szCs w:val="22"/>
          <w:lang w:val="es-ES_tradnl"/>
        </w:rPr>
        <w:t>e</w:t>
      </w:r>
      <w:r w:rsidRPr="003E0B98">
        <w:rPr>
          <w:color w:val="000000"/>
          <w:szCs w:val="22"/>
          <w:lang w:val="es-ES_tradnl"/>
        </w:rPr>
        <w:t>nero</w:t>
      </w:r>
      <w:r w:rsidR="0001071A" w:rsidRPr="003E0B98">
        <w:rPr>
          <w:color w:val="000000"/>
          <w:szCs w:val="22"/>
          <w:lang w:val="es-ES_tradnl"/>
        </w:rPr>
        <w:t xml:space="preserve"> </w:t>
      </w:r>
      <w:r w:rsidRPr="003E0B98">
        <w:rPr>
          <w:color w:val="000000"/>
          <w:szCs w:val="22"/>
          <w:lang w:val="es-ES_tradnl"/>
        </w:rPr>
        <w:t>2007</w:t>
      </w:r>
    </w:p>
    <w:p w14:paraId="0D4C7772" w14:textId="471DD0AB" w:rsidR="00E36F43" w:rsidRPr="003E0B98" w:rsidRDefault="00E36F43" w:rsidP="004361AC">
      <w:pPr>
        <w:tabs>
          <w:tab w:val="clear" w:pos="567"/>
        </w:tabs>
        <w:spacing w:line="240" w:lineRule="auto"/>
        <w:rPr>
          <w:color w:val="000000"/>
          <w:szCs w:val="22"/>
          <w:lang w:val="es-ES_tradnl"/>
        </w:rPr>
      </w:pPr>
      <w:r w:rsidRPr="003E0B98">
        <w:rPr>
          <w:color w:val="000000"/>
          <w:szCs w:val="22"/>
          <w:lang w:val="es-ES_tradnl"/>
        </w:rPr>
        <w:t xml:space="preserve">Fecha de la última renovación: </w:t>
      </w:r>
      <w:r w:rsidR="0001071A" w:rsidRPr="003E0B98">
        <w:rPr>
          <w:color w:val="000000"/>
          <w:szCs w:val="22"/>
          <w:lang w:val="es-ES_tradnl"/>
        </w:rPr>
        <w:t>11 noviembre 2016</w:t>
      </w:r>
    </w:p>
    <w:p w14:paraId="498F0E01" w14:textId="77777777" w:rsidR="00E36F43" w:rsidRPr="003E0B98" w:rsidRDefault="00E36F43" w:rsidP="004361AC">
      <w:pPr>
        <w:tabs>
          <w:tab w:val="clear" w:pos="567"/>
        </w:tabs>
        <w:spacing w:line="240" w:lineRule="auto"/>
        <w:rPr>
          <w:color w:val="000000"/>
          <w:szCs w:val="22"/>
          <w:lang w:val="es-ES_tradnl"/>
        </w:rPr>
      </w:pPr>
    </w:p>
    <w:p w14:paraId="1019220B" w14:textId="77777777" w:rsidR="00E36F43" w:rsidRPr="003E0B98" w:rsidRDefault="00E36F43" w:rsidP="004361AC">
      <w:pPr>
        <w:tabs>
          <w:tab w:val="clear" w:pos="567"/>
        </w:tabs>
        <w:spacing w:line="240" w:lineRule="auto"/>
        <w:rPr>
          <w:color w:val="000000"/>
          <w:szCs w:val="22"/>
          <w:lang w:val="es-ES_tradnl"/>
        </w:rPr>
      </w:pPr>
    </w:p>
    <w:p w14:paraId="2F3BC621" w14:textId="77777777" w:rsidR="00E36F43" w:rsidRPr="003E0B98" w:rsidRDefault="00E36F43" w:rsidP="004361AC">
      <w:pPr>
        <w:tabs>
          <w:tab w:val="clear" w:pos="567"/>
        </w:tabs>
        <w:spacing w:line="240" w:lineRule="auto"/>
        <w:ind w:left="567" w:hanging="567"/>
        <w:rPr>
          <w:b/>
          <w:color w:val="000000"/>
          <w:szCs w:val="22"/>
          <w:lang w:val="es-ES"/>
        </w:rPr>
      </w:pPr>
      <w:r w:rsidRPr="003E0B98">
        <w:rPr>
          <w:b/>
          <w:color w:val="000000"/>
          <w:szCs w:val="22"/>
          <w:lang w:val="es-ES_tradnl"/>
        </w:rPr>
        <w:t>10.</w:t>
      </w:r>
      <w:r w:rsidRPr="003E0B98">
        <w:rPr>
          <w:b/>
          <w:color w:val="000000"/>
          <w:szCs w:val="22"/>
          <w:lang w:val="es-ES_tradnl"/>
        </w:rPr>
        <w:tab/>
      </w:r>
      <w:r w:rsidRPr="003E0B98">
        <w:rPr>
          <w:b/>
          <w:color w:val="000000"/>
          <w:szCs w:val="22"/>
          <w:lang w:val="es-ES"/>
        </w:rPr>
        <w:t>FECHA DE LA REVISIÓN DEL TEXTO</w:t>
      </w:r>
    </w:p>
    <w:p w14:paraId="232CBA6E" w14:textId="77777777" w:rsidR="00E36F43" w:rsidRPr="003E0B98" w:rsidRDefault="00E36F43" w:rsidP="004361AC">
      <w:pPr>
        <w:tabs>
          <w:tab w:val="clear" w:pos="567"/>
        </w:tabs>
        <w:spacing w:line="240" w:lineRule="auto"/>
        <w:ind w:left="567" w:hanging="567"/>
        <w:rPr>
          <w:color w:val="000000"/>
          <w:szCs w:val="22"/>
          <w:lang w:val="es-ES"/>
        </w:rPr>
      </w:pPr>
    </w:p>
    <w:p w14:paraId="05F8CAA8" w14:textId="77777777" w:rsidR="00E36F43" w:rsidRPr="003E0B98" w:rsidRDefault="00E36F43" w:rsidP="004361AC">
      <w:pPr>
        <w:tabs>
          <w:tab w:val="clear" w:pos="567"/>
        </w:tabs>
        <w:spacing w:line="240" w:lineRule="auto"/>
        <w:ind w:left="567" w:hanging="567"/>
        <w:rPr>
          <w:color w:val="000000"/>
          <w:szCs w:val="22"/>
          <w:lang w:val="es-ES"/>
        </w:rPr>
      </w:pPr>
    </w:p>
    <w:p w14:paraId="34834774" w14:textId="77777777" w:rsidR="00E36F43" w:rsidRPr="003E0B98" w:rsidRDefault="00E36F43" w:rsidP="004361AC">
      <w:pPr>
        <w:tabs>
          <w:tab w:val="clear" w:pos="567"/>
        </w:tabs>
        <w:spacing w:line="240" w:lineRule="auto"/>
        <w:rPr>
          <w:color w:val="000000"/>
          <w:szCs w:val="22"/>
          <w:lang w:val="es-ES_tradnl"/>
        </w:rPr>
      </w:pPr>
      <w:r w:rsidRPr="003E0B98">
        <w:rPr>
          <w:color w:val="000000"/>
          <w:szCs w:val="22"/>
          <w:lang w:val="es-ES"/>
        </w:rPr>
        <w:t xml:space="preserve">La información detallada de este medicamento está disponible en la página web de la Agencia Europea de Medicamentos </w:t>
      </w:r>
      <w:hyperlink r:id="rId24" w:history="1">
        <w:r w:rsidR="00F23C9B" w:rsidRPr="003E0B98">
          <w:rPr>
            <w:rStyle w:val="Hyperlink"/>
            <w:szCs w:val="22"/>
            <w:lang w:val="es-ES_tradnl"/>
          </w:rPr>
          <w:t>http://www.ema.europa.eu</w:t>
        </w:r>
      </w:hyperlink>
    </w:p>
    <w:p w14:paraId="2B58FE5D" w14:textId="77777777" w:rsidR="00F23C9B" w:rsidRPr="003E0B98" w:rsidRDefault="00F23C9B" w:rsidP="004361AC">
      <w:pPr>
        <w:tabs>
          <w:tab w:val="clear" w:pos="567"/>
        </w:tabs>
        <w:spacing w:line="240" w:lineRule="auto"/>
        <w:rPr>
          <w:color w:val="000000"/>
          <w:szCs w:val="22"/>
          <w:lang w:val="es-ES_tradnl"/>
        </w:rPr>
      </w:pPr>
    </w:p>
    <w:p w14:paraId="10230BBB" w14:textId="77777777" w:rsidR="00FA2D95" w:rsidRPr="003E0B98" w:rsidRDefault="00E36F43" w:rsidP="004361AC">
      <w:pPr>
        <w:tabs>
          <w:tab w:val="clear" w:pos="567"/>
        </w:tabs>
        <w:spacing w:line="240" w:lineRule="auto"/>
        <w:rPr>
          <w:color w:val="000000"/>
          <w:szCs w:val="22"/>
          <w:lang w:val="es-ES"/>
        </w:rPr>
      </w:pPr>
      <w:r w:rsidRPr="003E0B98">
        <w:rPr>
          <w:b/>
          <w:color w:val="000000"/>
          <w:szCs w:val="22"/>
          <w:lang w:val="es-ES"/>
        </w:rPr>
        <w:br w:type="page"/>
      </w:r>
    </w:p>
    <w:p w14:paraId="2B85C586" w14:textId="77777777" w:rsidR="00FA2D95" w:rsidRPr="003E0B98" w:rsidRDefault="00FA2D95" w:rsidP="004361AC">
      <w:pPr>
        <w:tabs>
          <w:tab w:val="clear" w:pos="567"/>
        </w:tabs>
        <w:spacing w:line="240" w:lineRule="auto"/>
        <w:rPr>
          <w:color w:val="000000"/>
          <w:szCs w:val="22"/>
          <w:lang w:val="es-ES"/>
        </w:rPr>
      </w:pPr>
    </w:p>
    <w:p w14:paraId="45F76F2F" w14:textId="77777777" w:rsidR="00FA2D95" w:rsidRPr="003E0B98" w:rsidRDefault="00FA2D95" w:rsidP="004361AC">
      <w:pPr>
        <w:tabs>
          <w:tab w:val="clear" w:pos="567"/>
        </w:tabs>
        <w:spacing w:line="240" w:lineRule="auto"/>
        <w:rPr>
          <w:color w:val="000000"/>
          <w:szCs w:val="22"/>
          <w:lang w:val="es-ES"/>
        </w:rPr>
      </w:pPr>
    </w:p>
    <w:p w14:paraId="40713F2E" w14:textId="77777777" w:rsidR="00FA2D95" w:rsidRPr="003E0B98" w:rsidRDefault="00FA2D95" w:rsidP="004361AC">
      <w:pPr>
        <w:tabs>
          <w:tab w:val="clear" w:pos="567"/>
        </w:tabs>
        <w:spacing w:line="240" w:lineRule="auto"/>
        <w:rPr>
          <w:color w:val="000000"/>
          <w:szCs w:val="22"/>
          <w:lang w:val="es-ES"/>
        </w:rPr>
      </w:pPr>
    </w:p>
    <w:p w14:paraId="5391B122" w14:textId="77777777" w:rsidR="00FA2D95" w:rsidRPr="003E0B98" w:rsidRDefault="00FA2D95" w:rsidP="004361AC">
      <w:pPr>
        <w:tabs>
          <w:tab w:val="clear" w:pos="567"/>
        </w:tabs>
        <w:spacing w:line="240" w:lineRule="auto"/>
        <w:rPr>
          <w:color w:val="000000"/>
          <w:szCs w:val="22"/>
          <w:lang w:val="es-ES"/>
        </w:rPr>
      </w:pPr>
    </w:p>
    <w:p w14:paraId="174554FF" w14:textId="77777777" w:rsidR="00FA2D95" w:rsidRPr="003E0B98" w:rsidRDefault="00FA2D95" w:rsidP="004361AC">
      <w:pPr>
        <w:tabs>
          <w:tab w:val="clear" w:pos="567"/>
        </w:tabs>
        <w:spacing w:line="240" w:lineRule="auto"/>
        <w:rPr>
          <w:color w:val="000000"/>
          <w:szCs w:val="22"/>
          <w:lang w:val="es-ES"/>
        </w:rPr>
      </w:pPr>
    </w:p>
    <w:p w14:paraId="59DA86D6" w14:textId="77777777" w:rsidR="00FA2D95" w:rsidRPr="003E0B98" w:rsidRDefault="00FA2D95" w:rsidP="004361AC">
      <w:pPr>
        <w:tabs>
          <w:tab w:val="clear" w:pos="567"/>
        </w:tabs>
        <w:spacing w:line="240" w:lineRule="auto"/>
        <w:rPr>
          <w:color w:val="000000"/>
          <w:szCs w:val="22"/>
          <w:lang w:val="es-ES"/>
        </w:rPr>
      </w:pPr>
    </w:p>
    <w:p w14:paraId="2F73B588" w14:textId="77777777" w:rsidR="00FA2D95" w:rsidRPr="003E0B98" w:rsidRDefault="00FA2D95" w:rsidP="004361AC">
      <w:pPr>
        <w:tabs>
          <w:tab w:val="clear" w:pos="567"/>
        </w:tabs>
        <w:spacing w:line="240" w:lineRule="auto"/>
        <w:rPr>
          <w:color w:val="000000"/>
          <w:szCs w:val="22"/>
          <w:lang w:val="es-ES"/>
        </w:rPr>
      </w:pPr>
    </w:p>
    <w:p w14:paraId="0507EA91" w14:textId="77777777" w:rsidR="00FA2D95" w:rsidRPr="003E0B98" w:rsidRDefault="00FA2D95" w:rsidP="004361AC">
      <w:pPr>
        <w:tabs>
          <w:tab w:val="clear" w:pos="567"/>
        </w:tabs>
        <w:spacing w:line="240" w:lineRule="auto"/>
        <w:rPr>
          <w:color w:val="000000"/>
          <w:szCs w:val="22"/>
          <w:lang w:val="es-ES"/>
        </w:rPr>
      </w:pPr>
    </w:p>
    <w:p w14:paraId="1BBE6D15" w14:textId="77777777" w:rsidR="00FA2D95" w:rsidRPr="003E0B98" w:rsidRDefault="00FA2D95" w:rsidP="004361AC">
      <w:pPr>
        <w:tabs>
          <w:tab w:val="clear" w:pos="567"/>
        </w:tabs>
        <w:spacing w:line="240" w:lineRule="auto"/>
        <w:rPr>
          <w:color w:val="000000"/>
          <w:szCs w:val="22"/>
          <w:lang w:val="es-ES"/>
        </w:rPr>
      </w:pPr>
    </w:p>
    <w:p w14:paraId="736B7F24" w14:textId="77777777" w:rsidR="00FA2D95" w:rsidRPr="003E0B98" w:rsidRDefault="00FA2D95" w:rsidP="004361AC">
      <w:pPr>
        <w:tabs>
          <w:tab w:val="clear" w:pos="567"/>
        </w:tabs>
        <w:spacing w:line="240" w:lineRule="auto"/>
        <w:rPr>
          <w:color w:val="000000"/>
          <w:szCs w:val="22"/>
          <w:lang w:val="es-ES"/>
        </w:rPr>
      </w:pPr>
    </w:p>
    <w:p w14:paraId="7DF970F9" w14:textId="77777777" w:rsidR="00FA2D95" w:rsidRPr="003E0B98" w:rsidRDefault="00FA2D95" w:rsidP="004361AC">
      <w:pPr>
        <w:tabs>
          <w:tab w:val="clear" w:pos="567"/>
        </w:tabs>
        <w:spacing w:line="240" w:lineRule="auto"/>
        <w:rPr>
          <w:color w:val="000000"/>
          <w:szCs w:val="22"/>
          <w:lang w:val="es-ES"/>
        </w:rPr>
      </w:pPr>
    </w:p>
    <w:p w14:paraId="65700C0C" w14:textId="77777777" w:rsidR="00FA2D95" w:rsidRPr="003E0B98" w:rsidRDefault="00FA2D95" w:rsidP="004361AC">
      <w:pPr>
        <w:tabs>
          <w:tab w:val="clear" w:pos="567"/>
        </w:tabs>
        <w:spacing w:line="240" w:lineRule="auto"/>
        <w:rPr>
          <w:color w:val="000000"/>
          <w:szCs w:val="22"/>
          <w:lang w:val="es-ES"/>
        </w:rPr>
      </w:pPr>
    </w:p>
    <w:p w14:paraId="168B117D" w14:textId="77777777" w:rsidR="00FA2D95" w:rsidRPr="003E0B98" w:rsidRDefault="00FA2D95" w:rsidP="004361AC">
      <w:pPr>
        <w:tabs>
          <w:tab w:val="clear" w:pos="567"/>
        </w:tabs>
        <w:spacing w:line="240" w:lineRule="auto"/>
        <w:rPr>
          <w:color w:val="000000"/>
          <w:szCs w:val="22"/>
          <w:lang w:val="es-ES"/>
        </w:rPr>
      </w:pPr>
    </w:p>
    <w:p w14:paraId="702A95D0" w14:textId="77777777" w:rsidR="00FA2D95" w:rsidRPr="003E0B98" w:rsidRDefault="00FA2D95" w:rsidP="004361AC">
      <w:pPr>
        <w:tabs>
          <w:tab w:val="clear" w:pos="567"/>
        </w:tabs>
        <w:spacing w:line="240" w:lineRule="auto"/>
        <w:rPr>
          <w:color w:val="000000"/>
          <w:szCs w:val="22"/>
          <w:lang w:val="es-ES"/>
        </w:rPr>
      </w:pPr>
    </w:p>
    <w:p w14:paraId="2CC24F9D" w14:textId="77777777" w:rsidR="00FA2D95" w:rsidRPr="003E0B98" w:rsidRDefault="00FA2D95" w:rsidP="004361AC">
      <w:pPr>
        <w:tabs>
          <w:tab w:val="clear" w:pos="567"/>
        </w:tabs>
        <w:spacing w:line="240" w:lineRule="auto"/>
        <w:rPr>
          <w:color w:val="000000"/>
          <w:szCs w:val="22"/>
          <w:lang w:val="es-ES"/>
        </w:rPr>
      </w:pPr>
    </w:p>
    <w:p w14:paraId="35750809" w14:textId="77777777" w:rsidR="00FA2D95" w:rsidRPr="003E0B98" w:rsidRDefault="00FA2D95" w:rsidP="004361AC">
      <w:pPr>
        <w:tabs>
          <w:tab w:val="clear" w:pos="567"/>
        </w:tabs>
        <w:spacing w:line="240" w:lineRule="auto"/>
        <w:rPr>
          <w:color w:val="000000"/>
          <w:szCs w:val="22"/>
          <w:lang w:val="es-ES"/>
        </w:rPr>
      </w:pPr>
    </w:p>
    <w:p w14:paraId="65C21E7A" w14:textId="77777777" w:rsidR="00FA2D95" w:rsidRPr="003E0B98" w:rsidRDefault="00FA2D95" w:rsidP="004361AC">
      <w:pPr>
        <w:tabs>
          <w:tab w:val="clear" w:pos="567"/>
        </w:tabs>
        <w:spacing w:line="240" w:lineRule="auto"/>
        <w:rPr>
          <w:color w:val="000000"/>
          <w:szCs w:val="22"/>
          <w:lang w:val="es-ES"/>
        </w:rPr>
      </w:pPr>
    </w:p>
    <w:p w14:paraId="63182D06" w14:textId="77777777" w:rsidR="00FA2D95" w:rsidRPr="003E0B98" w:rsidRDefault="00FA2D95" w:rsidP="004361AC">
      <w:pPr>
        <w:tabs>
          <w:tab w:val="clear" w:pos="567"/>
        </w:tabs>
        <w:spacing w:line="240" w:lineRule="auto"/>
        <w:rPr>
          <w:color w:val="000000"/>
          <w:szCs w:val="22"/>
          <w:lang w:val="es-ES"/>
        </w:rPr>
      </w:pPr>
    </w:p>
    <w:p w14:paraId="31841EF0" w14:textId="77777777" w:rsidR="00FA2D95" w:rsidRPr="003E0B98" w:rsidRDefault="00FA2D95" w:rsidP="004361AC">
      <w:pPr>
        <w:tabs>
          <w:tab w:val="clear" w:pos="567"/>
        </w:tabs>
        <w:spacing w:line="240" w:lineRule="auto"/>
        <w:rPr>
          <w:color w:val="000000"/>
          <w:szCs w:val="22"/>
          <w:lang w:val="es-ES"/>
        </w:rPr>
      </w:pPr>
    </w:p>
    <w:p w14:paraId="34A3BC46" w14:textId="77777777" w:rsidR="00FA2D95" w:rsidRPr="003E0B98" w:rsidRDefault="00FA2D95" w:rsidP="004361AC">
      <w:pPr>
        <w:tabs>
          <w:tab w:val="clear" w:pos="567"/>
        </w:tabs>
        <w:spacing w:line="240" w:lineRule="auto"/>
        <w:rPr>
          <w:color w:val="000000"/>
          <w:szCs w:val="22"/>
          <w:lang w:val="es-ES"/>
        </w:rPr>
      </w:pPr>
    </w:p>
    <w:p w14:paraId="087A902A" w14:textId="77777777" w:rsidR="00FA2D95" w:rsidRPr="003E0B98" w:rsidRDefault="00FA2D95" w:rsidP="004361AC">
      <w:pPr>
        <w:tabs>
          <w:tab w:val="clear" w:pos="567"/>
        </w:tabs>
        <w:spacing w:line="240" w:lineRule="auto"/>
        <w:rPr>
          <w:color w:val="000000"/>
          <w:szCs w:val="22"/>
          <w:lang w:val="es-ES"/>
        </w:rPr>
      </w:pPr>
    </w:p>
    <w:p w14:paraId="60F960B7" w14:textId="77777777" w:rsidR="00FA2D95" w:rsidRPr="003E0B98" w:rsidRDefault="00FA2D95" w:rsidP="004361AC">
      <w:pPr>
        <w:rPr>
          <w:noProof/>
          <w:color w:val="000000"/>
          <w:lang w:val="es-ES_tradnl"/>
        </w:rPr>
      </w:pPr>
    </w:p>
    <w:p w14:paraId="5A0034EE" w14:textId="77777777" w:rsidR="00FA2D95" w:rsidRPr="003E0B98" w:rsidRDefault="00FA2D95" w:rsidP="004361AC">
      <w:pPr>
        <w:jc w:val="center"/>
        <w:rPr>
          <w:b/>
          <w:noProof/>
          <w:color w:val="000000"/>
          <w:lang w:val="es-ES_tradnl"/>
        </w:rPr>
      </w:pPr>
      <w:r w:rsidRPr="003E0B98">
        <w:rPr>
          <w:b/>
          <w:noProof/>
          <w:color w:val="000000"/>
          <w:lang w:val="es-ES_tradnl"/>
        </w:rPr>
        <w:t>ANEXO II</w:t>
      </w:r>
    </w:p>
    <w:p w14:paraId="54FB703E" w14:textId="77777777" w:rsidR="00FA2D95" w:rsidRPr="003E0B98" w:rsidRDefault="00FA2D95" w:rsidP="004361AC">
      <w:pPr>
        <w:tabs>
          <w:tab w:val="clear" w:pos="567"/>
        </w:tabs>
        <w:spacing w:line="240" w:lineRule="auto"/>
        <w:rPr>
          <w:noProof/>
          <w:color w:val="000000"/>
          <w:lang w:val="es-ES_tradnl"/>
        </w:rPr>
      </w:pPr>
    </w:p>
    <w:p w14:paraId="4D0DD5EF" w14:textId="70CA5ABB" w:rsidR="00FA2D95" w:rsidRPr="003E0B98" w:rsidRDefault="00FA2D95" w:rsidP="004361AC">
      <w:pPr>
        <w:tabs>
          <w:tab w:val="clear" w:pos="567"/>
        </w:tabs>
        <w:ind w:left="1701" w:right="1416" w:hanging="567"/>
        <w:rPr>
          <w:b/>
          <w:noProof/>
          <w:color w:val="000000"/>
          <w:lang w:val="es-ES_tradnl"/>
        </w:rPr>
      </w:pPr>
      <w:r w:rsidRPr="003E0B98">
        <w:rPr>
          <w:b/>
          <w:noProof/>
          <w:color w:val="000000"/>
          <w:lang w:val="es-ES_tradnl"/>
        </w:rPr>
        <w:t>A.</w:t>
      </w:r>
      <w:r w:rsidRPr="003E0B98">
        <w:rPr>
          <w:b/>
          <w:noProof/>
          <w:color w:val="000000"/>
          <w:lang w:val="es-ES_tradnl"/>
        </w:rPr>
        <w:tab/>
        <w:t xml:space="preserve">FABRICANTE DEL PRINCIPIO ACTIVO BIOLÓGICO Y </w:t>
      </w:r>
      <w:r w:rsidR="00A66617" w:rsidRPr="003E0B98">
        <w:rPr>
          <w:b/>
          <w:noProof/>
          <w:color w:val="000000"/>
          <w:lang w:val="es-ES_tradnl"/>
        </w:rPr>
        <w:t>FABRICANTE</w:t>
      </w:r>
      <w:r w:rsidRPr="003E0B98">
        <w:rPr>
          <w:b/>
          <w:noProof/>
          <w:color w:val="000000"/>
          <w:lang w:val="es-ES_tradnl"/>
        </w:rPr>
        <w:t xml:space="preserve"> RESPONSABLE DE LA LIBERACIÓN DE LOS LOTES</w:t>
      </w:r>
    </w:p>
    <w:p w14:paraId="26D522BE" w14:textId="77777777" w:rsidR="00FA2D95" w:rsidRPr="003E0B98" w:rsidRDefault="00FA2D95" w:rsidP="004361AC">
      <w:pPr>
        <w:tabs>
          <w:tab w:val="clear" w:pos="567"/>
        </w:tabs>
        <w:rPr>
          <w:noProof/>
          <w:color w:val="000000"/>
          <w:lang w:val="es-ES_tradnl"/>
        </w:rPr>
      </w:pPr>
    </w:p>
    <w:p w14:paraId="59A2A299" w14:textId="77777777" w:rsidR="00FA2D95" w:rsidRPr="003E0B98" w:rsidRDefault="00FA2D95" w:rsidP="004361AC">
      <w:pPr>
        <w:tabs>
          <w:tab w:val="clear" w:pos="567"/>
        </w:tabs>
        <w:ind w:left="1701" w:right="1416" w:hanging="567"/>
        <w:rPr>
          <w:b/>
          <w:noProof/>
          <w:color w:val="000000"/>
          <w:lang w:val="es-ES_tradnl"/>
        </w:rPr>
      </w:pPr>
      <w:r w:rsidRPr="003E0B98">
        <w:rPr>
          <w:b/>
          <w:noProof/>
          <w:color w:val="000000"/>
          <w:lang w:val="es-ES_tradnl"/>
        </w:rPr>
        <w:t>B.</w:t>
      </w:r>
      <w:r w:rsidRPr="003E0B98">
        <w:rPr>
          <w:b/>
          <w:noProof/>
          <w:color w:val="000000"/>
          <w:lang w:val="es-ES_tradnl"/>
        </w:rPr>
        <w:tab/>
        <w:t xml:space="preserve">CONDICIONES </w:t>
      </w:r>
      <w:r w:rsidR="00A66617" w:rsidRPr="003E0B98">
        <w:rPr>
          <w:b/>
          <w:noProof/>
          <w:color w:val="000000"/>
          <w:lang w:val="es-ES_tradnl"/>
        </w:rPr>
        <w:t>O RESTRICCIONES DE SUMINISTRO Y USO</w:t>
      </w:r>
    </w:p>
    <w:p w14:paraId="4F449DAD" w14:textId="77777777" w:rsidR="004D6A1A" w:rsidRPr="003E0B98" w:rsidRDefault="004D6A1A" w:rsidP="004361AC">
      <w:pPr>
        <w:tabs>
          <w:tab w:val="clear" w:pos="567"/>
        </w:tabs>
        <w:ind w:right="1416"/>
        <w:rPr>
          <w:noProof/>
          <w:color w:val="000000"/>
          <w:lang w:val="es-ES_tradnl"/>
        </w:rPr>
      </w:pPr>
    </w:p>
    <w:p w14:paraId="1661C460" w14:textId="77777777" w:rsidR="004D6A1A" w:rsidRPr="003E0B98" w:rsidRDefault="004D6A1A" w:rsidP="004361AC">
      <w:pPr>
        <w:tabs>
          <w:tab w:val="clear" w:pos="567"/>
        </w:tabs>
        <w:ind w:left="1701" w:right="1416" w:hanging="567"/>
        <w:rPr>
          <w:b/>
          <w:lang w:val="es-ES_tradnl"/>
        </w:rPr>
      </w:pPr>
      <w:r w:rsidRPr="003E0B98">
        <w:rPr>
          <w:b/>
          <w:lang w:val="es-ES_tradnl"/>
        </w:rPr>
        <w:t>C.</w:t>
      </w:r>
      <w:r w:rsidRPr="003E0B98">
        <w:rPr>
          <w:b/>
          <w:lang w:val="es-ES_tradnl"/>
        </w:rPr>
        <w:tab/>
        <w:t>OTRAS CONDICIONES Y REQUISITOS DE LA AUTORIZACIÓN DE COMERCIALIZACIÓN</w:t>
      </w:r>
    </w:p>
    <w:p w14:paraId="3FB75823" w14:textId="77777777" w:rsidR="00FE7966" w:rsidRPr="003E0B98" w:rsidRDefault="00FE7966" w:rsidP="004361AC">
      <w:pPr>
        <w:tabs>
          <w:tab w:val="clear" w:pos="567"/>
        </w:tabs>
        <w:ind w:right="1416"/>
        <w:rPr>
          <w:noProof/>
          <w:color w:val="000000"/>
          <w:lang w:val="es-ES_tradnl"/>
        </w:rPr>
      </w:pPr>
    </w:p>
    <w:p w14:paraId="77BD1891" w14:textId="77777777" w:rsidR="00FE7966" w:rsidRPr="003E0B98" w:rsidRDefault="00FE7966" w:rsidP="004361AC">
      <w:pPr>
        <w:tabs>
          <w:tab w:val="clear" w:pos="567"/>
        </w:tabs>
        <w:ind w:left="1701" w:right="1416" w:hanging="567"/>
        <w:rPr>
          <w:b/>
          <w:noProof/>
          <w:color w:val="000000"/>
          <w:lang w:val="es-ES_tradnl"/>
        </w:rPr>
      </w:pPr>
      <w:r w:rsidRPr="003E0B98">
        <w:rPr>
          <w:b/>
          <w:noProof/>
          <w:szCs w:val="24"/>
          <w:lang w:val="es-ES_tradnl"/>
        </w:rPr>
        <w:t>D.</w:t>
      </w:r>
      <w:r w:rsidRPr="003E0B98">
        <w:rPr>
          <w:b/>
          <w:szCs w:val="24"/>
          <w:lang w:val="es-ES_tradnl"/>
        </w:rPr>
        <w:tab/>
      </w:r>
      <w:r w:rsidRPr="003E0B98">
        <w:rPr>
          <w:b/>
          <w:noProof/>
          <w:szCs w:val="24"/>
          <w:lang w:val="es-ES_tradnl"/>
        </w:rPr>
        <w:t>CONDICIONES O RESTRICCIONES EN RELACIÓN CON LA UTILIZACIÓN SEGURA Y EFICAZ DEL MEDICAMENTO</w:t>
      </w:r>
    </w:p>
    <w:p w14:paraId="2C647B6C" w14:textId="77777777" w:rsidR="00FA2D95" w:rsidRPr="003E0B98" w:rsidRDefault="00FA2D95" w:rsidP="004361AC">
      <w:pPr>
        <w:tabs>
          <w:tab w:val="clear" w:pos="567"/>
        </w:tabs>
        <w:rPr>
          <w:noProof/>
          <w:color w:val="000000"/>
          <w:lang w:val="es-ES_tradnl"/>
        </w:rPr>
      </w:pPr>
    </w:p>
    <w:p w14:paraId="3BEF74F7" w14:textId="77777777" w:rsidR="005E47B4" w:rsidRPr="003E0B98" w:rsidRDefault="00FA2D95" w:rsidP="004361AC">
      <w:pPr>
        <w:tabs>
          <w:tab w:val="clear" w:pos="567"/>
        </w:tabs>
        <w:ind w:left="567" w:hanging="567"/>
        <w:outlineLvl w:val="0"/>
        <w:rPr>
          <w:noProof/>
          <w:color w:val="000000"/>
          <w:lang w:val="es-ES_tradnl"/>
        </w:rPr>
      </w:pPr>
      <w:r w:rsidRPr="003E0B98">
        <w:rPr>
          <w:b/>
          <w:color w:val="000000"/>
          <w:szCs w:val="22"/>
          <w:lang w:val="es-ES_tradnl"/>
        </w:rPr>
        <w:br w:type="page"/>
      </w:r>
      <w:r w:rsidR="005E47B4" w:rsidRPr="003E0B98">
        <w:rPr>
          <w:b/>
          <w:noProof/>
          <w:color w:val="000000"/>
          <w:lang w:val="es-ES_tradnl"/>
        </w:rPr>
        <w:t>A.</w:t>
      </w:r>
      <w:r w:rsidR="005E47B4" w:rsidRPr="003E0B98">
        <w:rPr>
          <w:b/>
          <w:noProof/>
          <w:color w:val="000000"/>
          <w:lang w:val="es-ES_tradnl"/>
        </w:rPr>
        <w:tab/>
        <w:t>FABRICANTE DEL PRINCIPIO ACTIVO BIOLÓGICO Y FABRICANTES RESPONSABLES DE LA LIBERACIÓN DE LOS LOTES</w:t>
      </w:r>
    </w:p>
    <w:p w14:paraId="6C66F2BB" w14:textId="77777777" w:rsidR="005E47B4" w:rsidRPr="003E0B98" w:rsidRDefault="005E47B4" w:rsidP="004361AC">
      <w:pPr>
        <w:ind w:right="1416"/>
        <w:rPr>
          <w:noProof/>
          <w:color w:val="000000"/>
          <w:lang w:val="es-ES_tradnl"/>
        </w:rPr>
      </w:pPr>
    </w:p>
    <w:p w14:paraId="447AE951" w14:textId="77777777" w:rsidR="005E47B4" w:rsidRPr="003E0B98" w:rsidRDefault="005E47B4" w:rsidP="004361AC">
      <w:pPr>
        <w:keepNext/>
        <w:spacing w:line="240" w:lineRule="auto"/>
        <w:rPr>
          <w:noProof/>
          <w:color w:val="000000"/>
          <w:u w:val="single"/>
          <w:lang w:val="es-ES_tradnl"/>
        </w:rPr>
      </w:pPr>
      <w:r w:rsidRPr="003E0B98">
        <w:rPr>
          <w:noProof/>
          <w:color w:val="000000"/>
          <w:u w:val="single"/>
          <w:lang w:val="es-ES_tradnl"/>
        </w:rPr>
        <w:t>Nombre y dirección del fabricante del principio activo biológico</w:t>
      </w:r>
    </w:p>
    <w:p w14:paraId="3A55AC28" w14:textId="77777777" w:rsidR="005E47B4" w:rsidRPr="003E0B98" w:rsidRDefault="005E47B4" w:rsidP="004361AC">
      <w:pPr>
        <w:keepNext/>
        <w:spacing w:line="240" w:lineRule="auto"/>
        <w:rPr>
          <w:noProof/>
          <w:color w:val="000000"/>
          <w:lang w:val="es-ES_tradnl"/>
        </w:rPr>
      </w:pPr>
    </w:p>
    <w:p w14:paraId="03BA4B4F" w14:textId="77777777" w:rsidR="005E47B4" w:rsidRPr="000267EA" w:rsidRDefault="005E47B4" w:rsidP="004361AC">
      <w:pPr>
        <w:keepNext/>
        <w:spacing w:line="240" w:lineRule="auto"/>
        <w:rPr>
          <w:lang w:val="fr-CH"/>
        </w:rPr>
      </w:pPr>
      <w:r w:rsidRPr="000267EA">
        <w:rPr>
          <w:lang w:val="fr-CH"/>
        </w:rPr>
        <w:t xml:space="preserve">Roche Singapore </w:t>
      </w:r>
      <w:proofErr w:type="spellStart"/>
      <w:r w:rsidRPr="000267EA">
        <w:rPr>
          <w:lang w:val="fr-CH"/>
        </w:rPr>
        <w:t>Technical</w:t>
      </w:r>
      <w:proofErr w:type="spellEnd"/>
      <w:r w:rsidRPr="000267EA">
        <w:rPr>
          <w:lang w:val="fr-CH"/>
        </w:rPr>
        <w:t xml:space="preserve"> Operations </w:t>
      </w:r>
      <w:proofErr w:type="spellStart"/>
      <w:r w:rsidRPr="000267EA">
        <w:rPr>
          <w:lang w:val="fr-CH"/>
        </w:rPr>
        <w:t>Pte</w:t>
      </w:r>
      <w:proofErr w:type="spellEnd"/>
      <w:r w:rsidRPr="000267EA">
        <w:rPr>
          <w:lang w:val="fr-CH"/>
        </w:rPr>
        <w:t>. Ltd.</w:t>
      </w:r>
    </w:p>
    <w:p w14:paraId="1CE7C1D6" w14:textId="77777777" w:rsidR="005E47B4" w:rsidRPr="003E0B98" w:rsidRDefault="005E47B4" w:rsidP="004361AC">
      <w:pPr>
        <w:keepNext/>
        <w:spacing w:line="240" w:lineRule="auto"/>
        <w:rPr>
          <w:lang w:val="es-ES"/>
        </w:rPr>
      </w:pPr>
      <w:r w:rsidRPr="003E0B98">
        <w:rPr>
          <w:lang w:val="es-ES"/>
        </w:rPr>
        <w:t xml:space="preserve">10 </w:t>
      </w:r>
      <w:proofErr w:type="spellStart"/>
      <w:r w:rsidRPr="003E0B98">
        <w:rPr>
          <w:lang w:val="es-ES"/>
        </w:rPr>
        <w:t>Tuas</w:t>
      </w:r>
      <w:proofErr w:type="spellEnd"/>
      <w:r w:rsidRPr="003E0B98">
        <w:rPr>
          <w:lang w:val="es-ES"/>
        </w:rPr>
        <w:t xml:space="preserve"> Bay </w:t>
      </w:r>
      <w:proofErr w:type="gramStart"/>
      <w:r w:rsidRPr="003E0B98">
        <w:rPr>
          <w:lang w:val="es-ES"/>
        </w:rPr>
        <w:t>Link</w:t>
      </w:r>
      <w:proofErr w:type="gramEnd"/>
    </w:p>
    <w:p w14:paraId="0203E1B3" w14:textId="77777777" w:rsidR="005E47B4" w:rsidRPr="003E0B98" w:rsidRDefault="005E47B4" w:rsidP="004361AC">
      <w:pPr>
        <w:keepNext/>
        <w:spacing w:line="240" w:lineRule="auto"/>
        <w:rPr>
          <w:lang w:val="es-ES"/>
        </w:rPr>
      </w:pPr>
      <w:proofErr w:type="spellStart"/>
      <w:r w:rsidRPr="003E0B98">
        <w:rPr>
          <w:lang w:val="es-ES"/>
        </w:rPr>
        <w:t>Singapore</w:t>
      </w:r>
      <w:proofErr w:type="spellEnd"/>
      <w:r w:rsidRPr="003E0B98">
        <w:rPr>
          <w:lang w:val="es-ES"/>
        </w:rPr>
        <w:t xml:space="preserve"> 637394</w:t>
      </w:r>
    </w:p>
    <w:p w14:paraId="69F630EB" w14:textId="77777777" w:rsidR="005E47B4" w:rsidRPr="003E0B98" w:rsidRDefault="005E47B4" w:rsidP="004361AC">
      <w:pPr>
        <w:tabs>
          <w:tab w:val="clear" w:pos="567"/>
        </w:tabs>
        <w:spacing w:line="240" w:lineRule="auto"/>
        <w:ind w:left="567" w:hanging="567"/>
        <w:rPr>
          <w:color w:val="000000"/>
          <w:szCs w:val="22"/>
          <w:lang w:val="es-ES_tradnl"/>
        </w:rPr>
      </w:pPr>
      <w:r w:rsidRPr="003E0B98">
        <w:rPr>
          <w:lang w:val="es-ES"/>
        </w:rPr>
        <w:t>Singapur</w:t>
      </w:r>
    </w:p>
    <w:p w14:paraId="46688319" w14:textId="1654528C" w:rsidR="00FA2D95" w:rsidRPr="003E0B98" w:rsidRDefault="00FA2D95" w:rsidP="004361AC">
      <w:pPr>
        <w:tabs>
          <w:tab w:val="clear" w:pos="567"/>
        </w:tabs>
        <w:rPr>
          <w:color w:val="000000"/>
          <w:szCs w:val="22"/>
          <w:lang w:val="es-ES_tradnl"/>
        </w:rPr>
      </w:pPr>
    </w:p>
    <w:p w14:paraId="327A3205" w14:textId="77777777" w:rsidR="00FA2D95" w:rsidRPr="003E0B98" w:rsidRDefault="00FA2D95" w:rsidP="004361AC">
      <w:pPr>
        <w:keepNext/>
        <w:tabs>
          <w:tab w:val="clear" w:pos="567"/>
        </w:tabs>
        <w:spacing w:line="240" w:lineRule="auto"/>
        <w:ind w:left="567" w:hanging="567"/>
        <w:rPr>
          <w:noProof/>
          <w:color w:val="000000"/>
          <w:u w:val="single"/>
          <w:lang w:val="es-ES_tradnl"/>
        </w:rPr>
      </w:pPr>
      <w:r w:rsidRPr="003E0B98">
        <w:rPr>
          <w:noProof/>
          <w:color w:val="000000"/>
          <w:u w:val="single"/>
          <w:lang w:val="es-ES_tradnl"/>
        </w:rPr>
        <w:t>Nombre y dirección de</w:t>
      </w:r>
      <w:r w:rsidR="00C31896" w:rsidRPr="003E0B98">
        <w:rPr>
          <w:noProof/>
          <w:color w:val="000000"/>
          <w:u w:val="single"/>
          <w:lang w:val="es-ES_tradnl"/>
        </w:rPr>
        <w:t xml:space="preserve"> </w:t>
      </w:r>
      <w:r w:rsidRPr="003E0B98">
        <w:rPr>
          <w:noProof/>
          <w:color w:val="000000"/>
          <w:u w:val="single"/>
          <w:lang w:val="es-ES_tradnl"/>
        </w:rPr>
        <w:t>l</w:t>
      </w:r>
      <w:r w:rsidR="00C31896" w:rsidRPr="003E0B98">
        <w:rPr>
          <w:noProof/>
          <w:color w:val="000000"/>
          <w:u w:val="single"/>
          <w:lang w:val="es-ES_tradnl"/>
        </w:rPr>
        <w:t>os</w:t>
      </w:r>
      <w:r w:rsidRPr="003E0B98">
        <w:rPr>
          <w:noProof/>
          <w:color w:val="000000"/>
          <w:u w:val="single"/>
          <w:lang w:val="es-ES_tradnl"/>
        </w:rPr>
        <w:t xml:space="preserve"> fabricante</w:t>
      </w:r>
      <w:r w:rsidR="00C31896" w:rsidRPr="003E0B98">
        <w:rPr>
          <w:noProof/>
          <w:color w:val="000000"/>
          <w:u w:val="single"/>
          <w:lang w:val="es-ES_tradnl"/>
        </w:rPr>
        <w:t>s</w:t>
      </w:r>
      <w:r w:rsidRPr="003E0B98">
        <w:rPr>
          <w:noProof/>
          <w:color w:val="000000"/>
          <w:u w:val="single"/>
          <w:lang w:val="es-ES_tradnl"/>
        </w:rPr>
        <w:t xml:space="preserve"> responsable</w:t>
      </w:r>
      <w:r w:rsidR="00C31896" w:rsidRPr="003E0B98">
        <w:rPr>
          <w:noProof/>
          <w:color w:val="000000"/>
          <w:u w:val="single"/>
          <w:lang w:val="es-ES_tradnl"/>
        </w:rPr>
        <w:t>s</w:t>
      </w:r>
      <w:r w:rsidRPr="003E0B98">
        <w:rPr>
          <w:noProof/>
          <w:color w:val="000000"/>
          <w:u w:val="single"/>
          <w:lang w:val="es-ES_tradnl"/>
        </w:rPr>
        <w:t xml:space="preserve"> de la liberación de los lotes</w:t>
      </w:r>
    </w:p>
    <w:p w14:paraId="14DDBECA" w14:textId="77777777" w:rsidR="00FA2D95" w:rsidRPr="003E0B98" w:rsidRDefault="00FA2D95" w:rsidP="004361AC">
      <w:pPr>
        <w:keepNext/>
        <w:tabs>
          <w:tab w:val="clear" w:pos="567"/>
        </w:tabs>
        <w:spacing w:line="240" w:lineRule="auto"/>
        <w:rPr>
          <w:color w:val="000000"/>
          <w:szCs w:val="22"/>
          <w:lang w:val="es-ES_tradnl"/>
        </w:rPr>
      </w:pPr>
    </w:p>
    <w:p w14:paraId="19ECFE1D" w14:textId="77777777" w:rsidR="008463E3" w:rsidRPr="003E0B98" w:rsidRDefault="00C31896" w:rsidP="004361AC">
      <w:pPr>
        <w:keepNext/>
        <w:spacing w:line="240" w:lineRule="auto"/>
        <w:rPr>
          <w:b/>
          <w:color w:val="000000"/>
          <w:lang w:val="es-ES"/>
        </w:rPr>
      </w:pPr>
      <w:r w:rsidRPr="003E0B98">
        <w:rPr>
          <w:b/>
          <w:color w:val="000000"/>
          <w:lang w:val="es-ES"/>
        </w:rPr>
        <w:t>S</w:t>
      </w:r>
      <w:r w:rsidR="008463E3" w:rsidRPr="003E0B98">
        <w:rPr>
          <w:b/>
          <w:color w:val="000000"/>
          <w:lang w:val="es-ES"/>
        </w:rPr>
        <w:t>olución inyectable</w:t>
      </w:r>
    </w:p>
    <w:p w14:paraId="1FB81F67" w14:textId="77777777" w:rsidR="005E6AC0" w:rsidRDefault="005E6AC0" w:rsidP="004361AC">
      <w:pPr>
        <w:keepNext/>
        <w:tabs>
          <w:tab w:val="left" w:pos="1650"/>
        </w:tabs>
        <w:spacing w:line="240" w:lineRule="auto"/>
        <w:rPr>
          <w:lang w:val="fr-FR"/>
        </w:rPr>
      </w:pPr>
      <w:r w:rsidRPr="009902DA">
        <w:rPr>
          <w:lang w:val="fr-FR"/>
        </w:rPr>
        <w:t xml:space="preserve">Novartis </w:t>
      </w:r>
      <w:proofErr w:type="spellStart"/>
      <w:r w:rsidRPr="009902DA">
        <w:rPr>
          <w:lang w:val="fr-FR"/>
        </w:rPr>
        <w:t>Farmacéutica</w:t>
      </w:r>
      <w:proofErr w:type="spellEnd"/>
      <w:r w:rsidRPr="009902DA">
        <w:rPr>
          <w:lang w:val="fr-FR"/>
        </w:rPr>
        <w:t>, S.A.</w:t>
      </w:r>
    </w:p>
    <w:p w14:paraId="75996CA2" w14:textId="77777777" w:rsidR="005E6AC0" w:rsidRDefault="005E6AC0" w:rsidP="004361AC">
      <w:pPr>
        <w:keepNext/>
        <w:tabs>
          <w:tab w:val="left" w:pos="1650"/>
        </w:tabs>
        <w:spacing w:line="240" w:lineRule="auto"/>
        <w:rPr>
          <w:lang w:val="fr-FR"/>
        </w:rPr>
      </w:pPr>
      <w:r w:rsidRPr="009902DA">
        <w:rPr>
          <w:lang w:val="fr-FR"/>
        </w:rPr>
        <w:t xml:space="preserve">Gran Via de les </w:t>
      </w:r>
      <w:proofErr w:type="spellStart"/>
      <w:r w:rsidRPr="009902DA">
        <w:rPr>
          <w:lang w:val="fr-FR"/>
        </w:rPr>
        <w:t>Corts</w:t>
      </w:r>
      <w:proofErr w:type="spellEnd"/>
      <w:r w:rsidRPr="009902DA">
        <w:rPr>
          <w:lang w:val="fr-FR"/>
        </w:rPr>
        <w:t xml:space="preserve"> Catalanes, 764</w:t>
      </w:r>
    </w:p>
    <w:p w14:paraId="19E9883A" w14:textId="77777777" w:rsidR="005E6AC0" w:rsidRDefault="005E6AC0" w:rsidP="004361AC">
      <w:pPr>
        <w:keepNext/>
        <w:tabs>
          <w:tab w:val="left" w:pos="1650"/>
        </w:tabs>
        <w:spacing w:line="240" w:lineRule="auto"/>
        <w:rPr>
          <w:lang w:val="fr-FR"/>
        </w:rPr>
      </w:pPr>
      <w:r w:rsidRPr="009902DA">
        <w:rPr>
          <w:lang w:val="fr-FR"/>
        </w:rPr>
        <w:t>08013 Barcelona</w:t>
      </w:r>
    </w:p>
    <w:p w14:paraId="2F1BD8D6" w14:textId="77777777" w:rsidR="005E6AC0" w:rsidRDefault="005E6AC0" w:rsidP="004361AC">
      <w:pPr>
        <w:numPr>
          <w:ilvl w:val="12"/>
          <w:numId w:val="0"/>
        </w:numPr>
        <w:ind w:right="-2"/>
        <w:rPr>
          <w:noProof/>
          <w:color w:val="000000"/>
          <w:szCs w:val="22"/>
          <w:lang w:val="es-ES"/>
        </w:rPr>
      </w:pPr>
      <w:r>
        <w:rPr>
          <w:noProof/>
          <w:color w:val="000000"/>
          <w:szCs w:val="22"/>
          <w:lang w:val="es-ES"/>
        </w:rPr>
        <w:t>España</w:t>
      </w:r>
    </w:p>
    <w:p w14:paraId="5A5A5352" w14:textId="77777777" w:rsidR="005E6AC0" w:rsidRPr="009902DA" w:rsidRDefault="005E6AC0" w:rsidP="004361AC">
      <w:pPr>
        <w:tabs>
          <w:tab w:val="left" w:pos="1650"/>
        </w:tabs>
        <w:spacing w:line="240" w:lineRule="auto"/>
        <w:rPr>
          <w:iCs/>
          <w:color w:val="000000"/>
          <w:szCs w:val="22"/>
          <w:lang w:val="fr-FR"/>
        </w:rPr>
      </w:pPr>
    </w:p>
    <w:p w14:paraId="563B58DD" w14:textId="77777777" w:rsidR="005E6AC0" w:rsidRDefault="005E6AC0" w:rsidP="004361AC">
      <w:pPr>
        <w:keepNext/>
        <w:tabs>
          <w:tab w:val="left" w:pos="1650"/>
        </w:tabs>
        <w:spacing w:line="240" w:lineRule="auto"/>
        <w:rPr>
          <w:lang w:val="fr-FR"/>
        </w:rPr>
      </w:pPr>
      <w:r w:rsidRPr="009902DA">
        <w:rPr>
          <w:lang w:val="fr-FR"/>
        </w:rPr>
        <w:t xml:space="preserve">Lek Pharmaceuticals </w:t>
      </w:r>
      <w:proofErr w:type="spellStart"/>
      <w:r w:rsidRPr="009902DA">
        <w:rPr>
          <w:lang w:val="fr-FR"/>
        </w:rPr>
        <w:t>d.d.</w:t>
      </w:r>
      <w:proofErr w:type="spellEnd"/>
    </w:p>
    <w:p w14:paraId="3DCCFB97" w14:textId="77777777" w:rsidR="005E6AC0" w:rsidRDefault="005E6AC0" w:rsidP="004361AC">
      <w:pPr>
        <w:keepNext/>
        <w:tabs>
          <w:tab w:val="left" w:pos="1650"/>
        </w:tabs>
        <w:spacing w:line="240" w:lineRule="auto"/>
        <w:rPr>
          <w:lang w:val="fr-FR"/>
        </w:rPr>
      </w:pPr>
      <w:proofErr w:type="spellStart"/>
      <w:r w:rsidRPr="009902DA">
        <w:rPr>
          <w:lang w:val="fr-FR"/>
        </w:rPr>
        <w:t>Verovškova</w:t>
      </w:r>
      <w:proofErr w:type="spellEnd"/>
      <w:r w:rsidRPr="009902DA">
        <w:rPr>
          <w:lang w:val="fr-FR"/>
        </w:rPr>
        <w:t xml:space="preserve"> </w:t>
      </w:r>
      <w:proofErr w:type="spellStart"/>
      <w:r w:rsidRPr="009902DA">
        <w:rPr>
          <w:lang w:val="fr-FR"/>
        </w:rPr>
        <w:t>ulica</w:t>
      </w:r>
      <w:proofErr w:type="spellEnd"/>
      <w:r w:rsidRPr="009902DA">
        <w:rPr>
          <w:lang w:val="fr-FR"/>
        </w:rPr>
        <w:t xml:space="preserve"> 57</w:t>
      </w:r>
    </w:p>
    <w:p w14:paraId="7BDC9982" w14:textId="77777777" w:rsidR="005E6AC0" w:rsidRDefault="005E6AC0" w:rsidP="004361AC">
      <w:pPr>
        <w:keepNext/>
        <w:tabs>
          <w:tab w:val="left" w:pos="1650"/>
        </w:tabs>
        <w:spacing w:line="240" w:lineRule="auto"/>
        <w:rPr>
          <w:lang w:val="fr-FR"/>
        </w:rPr>
      </w:pPr>
      <w:r w:rsidRPr="009902DA">
        <w:rPr>
          <w:lang w:val="fr-FR"/>
        </w:rPr>
        <w:t>Ljubljana, 1526</w:t>
      </w:r>
    </w:p>
    <w:p w14:paraId="58F9FF45" w14:textId="77777777" w:rsidR="005E6AC0" w:rsidRPr="00D57A06" w:rsidRDefault="005E6AC0" w:rsidP="004361AC">
      <w:pPr>
        <w:spacing w:line="240" w:lineRule="auto"/>
        <w:rPr>
          <w:lang w:val="es-ES"/>
        </w:rPr>
      </w:pPr>
      <w:r w:rsidRPr="00D57A06">
        <w:rPr>
          <w:lang w:val="es-ES"/>
        </w:rPr>
        <w:t>Eslovenia</w:t>
      </w:r>
    </w:p>
    <w:p w14:paraId="09C2DB67" w14:textId="77777777" w:rsidR="005E6AC0" w:rsidRPr="009902DA" w:rsidRDefault="005E6AC0" w:rsidP="004361AC">
      <w:pPr>
        <w:tabs>
          <w:tab w:val="left" w:pos="1650"/>
        </w:tabs>
        <w:spacing w:line="240" w:lineRule="auto"/>
        <w:rPr>
          <w:iCs/>
          <w:color w:val="000000"/>
          <w:szCs w:val="22"/>
          <w:lang w:val="fr-FR"/>
        </w:rPr>
      </w:pPr>
    </w:p>
    <w:p w14:paraId="33DD50E3" w14:textId="484D66E1" w:rsidR="008D7C78" w:rsidRPr="003E0B98" w:rsidDel="00C42161" w:rsidRDefault="008D7C78" w:rsidP="004361AC">
      <w:pPr>
        <w:keepNext/>
        <w:numPr>
          <w:ilvl w:val="12"/>
          <w:numId w:val="0"/>
        </w:numPr>
        <w:spacing w:line="240" w:lineRule="auto"/>
        <w:rPr>
          <w:del w:id="1" w:author="Author"/>
          <w:szCs w:val="22"/>
          <w:lang w:val="es-ES"/>
        </w:rPr>
      </w:pPr>
      <w:del w:id="2" w:author="Author">
        <w:r w:rsidRPr="003E0B98" w:rsidDel="00C42161">
          <w:rPr>
            <w:szCs w:val="22"/>
            <w:lang w:val="es-ES"/>
          </w:rPr>
          <w:delText>Novartis Pharma GmbH</w:delText>
        </w:r>
      </w:del>
    </w:p>
    <w:p w14:paraId="4C74F0B3" w14:textId="66D7CBBF" w:rsidR="008D7C78" w:rsidRPr="003E0B98" w:rsidDel="00C42161" w:rsidRDefault="008D7C78" w:rsidP="004361AC">
      <w:pPr>
        <w:keepNext/>
        <w:numPr>
          <w:ilvl w:val="12"/>
          <w:numId w:val="0"/>
        </w:numPr>
        <w:spacing w:line="240" w:lineRule="auto"/>
        <w:rPr>
          <w:del w:id="3" w:author="Author"/>
          <w:szCs w:val="22"/>
          <w:lang w:val="es-ES"/>
        </w:rPr>
      </w:pPr>
      <w:del w:id="4" w:author="Author">
        <w:r w:rsidRPr="003E0B98" w:rsidDel="00C42161">
          <w:rPr>
            <w:szCs w:val="22"/>
            <w:lang w:val="es-ES"/>
          </w:rPr>
          <w:delText>Roonstrasse 25</w:delText>
        </w:r>
      </w:del>
    </w:p>
    <w:p w14:paraId="3D42F3DF" w14:textId="2A916AE5" w:rsidR="008D7C78" w:rsidRPr="003E0B98" w:rsidDel="00C42161" w:rsidRDefault="008D7C78" w:rsidP="004361AC">
      <w:pPr>
        <w:keepNext/>
        <w:numPr>
          <w:ilvl w:val="12"/>
          <w:numId w:val="0"/>
        </w:numPr>
        <w:spacing w:line="240" w:lineRule="auto"/>
        <w:rPr>
          <w:del w:id="5" w:author="Author"/>
          <w:szCs w:val="22"/>
          <w:lang w:val="es-ES"/>
        </w:rPr>
      </w:pPr>
      <w:del w:id="6" w:author="Author">
        <w:r w:rsidRPr="003E0B98" w:rsidDel="00C42161">
          <w:rPr>
            <w:szCs w:val="22"/>
            <w:lang w:val="es-ES"/>
          </w:rPr>
          <w:delText>90429 Nuremberg</w:delText>
        </w:r>
      </w:del>
    </w:p>
    <w:p w14:paraId="4C927A9E" w14:textId="54A58FC1" w:rsidR="00FA2D95" w:rsidRPr="003E0B98" w:rsidDel="00C42161" w:rsidRDefault="008D7C78" w:rsidP="004361AC">
      <w:pPr>
        <w:tabs>
          <w:tab w:val="clear" w:pos="567"/>
        </w:tabs>
        <w:spacing w:line="240" w:lineRule="auto"/>
        <w:ind w:left="567" w:hanging="567"/>
        <w:rPr>
          <w:del w:id="7" w:author="Author"/>
          <w:color w:val="000000"/>
          <w:szCs w:val="22"/>
          <w:lang w:val="es-ES"/>
        </w:rPr>
      </w:pPr>
      <w:del w:id="8" w:author="Author">
        <w:r w:rsidRPr="003E0B98" w:rsidDel="00C42161">
          <w:rPr>
            <w:szCs w:val="22"/>
            <w:lang w:val="es-ES"/>
          </w:rPr>
          <w:delText>Alemania</w:delText>
        </w:r>
      </w:del>
    </w:p>
    <w:p w14:paraId="2A76D99D" w14:textId="3306D49C" w:rsidR="00FA2D95" w:rsidDel="00C42161" w:rsidRDefault="00FA2D95" w:rsidP="004361AC">
      <w:pPr>
        <w:tabs>
          <w:tab w:val="clear" w:pos="567"/>
        </w:tabs>
        <w:spacing w:line="240" w:lineRule="auto"/>
        <w:ind w:left="567" w:hanging="567"/>
        <w:rPr>
          <w:del w:id="9" w:author="Author"/>
          <w:color w:val="000000"/>
          <w:szCs w:val="22"/>
          <w:lang w:val="es-ES"/>
        </w:rPr>
      </w:pPr>
    </w:p>
    <w:p w14:paraId="0C80C50D" w14:textId="77777777" w:rsidR="004361AC" w:rsidRPr="002923E2" w:rsidRDefault="004361AC" w:rsidP="004361AC">
      <w:pPr>
        <w:keepNext/>
        <w:rPr>
          <w:rFonts w:eastAsia="Aptos"/>
          <w:szCs w:val="22"/>
          <w:lang w:val="en-US" w:eastAsia="de-CH"/>
        </w:rPr>
      </w:pPr>
      <w:r w:rsidRPr="002923E2">
        <w:rPr>
          <w:rFonts w:eastAsia="Aptos"/>
          <w:szCs w:val="22"/>
          <w:lang w:val="en-US" w:eastAsia="de-CH"/>
        </w:rPr>
        <w:t>Novartis Pharma GmbH</w:t>
      </w:r>
    </w:p>
    <w:p w14:paraId="4314340D" w14:textId="77777777" w:rsidR="004361AC" w:rsidRPr="002923E2" w:rsidRDefault="004361AC" w:rsidP="004361AC">
      <w:pPr>
        <w:keepNext/>
        <w:rPr>
          <w:rFonts w:eastAsia="Aptos"/>
          <w:szCs w:val="22"/>
          <w:lang w:val="en-US" w:eastAsia="de-CH"/>
        </w:rPr>
      </w:pPr>
      <w:r w:rsidRPr="002923E2">
        <w:rPr>
          <w:rFonts w:eastAsia="Aptos"/>
          <w:szCs w:val="22"/>
          <w:lang w:val="en-US" w:eastAsia="de-CH"/>
        </w:rPr>
        <w:t>Sophie-Germain-Strasse 10</w:t>
      </w:r>
    </w:p>
    <w:p w14:paraId="791DB6A1" w14:textId="77777777" w:rsidR="004361AC" w:rsidRPr="002923E2" w:rsidRDefault="004361AC" w:rsidP="004361AC">
      <w:pPr>
        <w:keepNext/>
        <w:rPr>
          <w:rFonts w:eastAsia="Aptos"/>
          <w:szCs w:val="22"/>
          <w:lang w:val="en-US" w:eastAsia="de-CH"/>
        </w:rPr>
      </w:pPr>
      <w:r w:rsidRPr="002923E2">
        <w:rPr>
          <w:rFonts w:eastAsia="Aptos"/>
          <w:szCs w:val="22"/>
          <w:lang w:val="en-US" w:eastAsia="de-CH"/>
        </w:rPr>
        <w:t>90443 Nürnberg</w:t>
      </w:r>
    </w:p>
    <w:p w14:paraId="04F128F3" w14:textId="03F42B83" w:rsidR="004361AC" w:rsidRDefault="004361AC" w:rsidP="004361AC">
      <w:pPr>
        <w:tabs>
          <w:tab w:val="clear" w:pos="567"/>
        </w:tabs>
        <w:spacing w:line="240" w:lineRule="auto"/>
        <w:ind w:left="567" w:hanging="567"/>
        <w:rPr>
          <w:color w:val="000000"/>
          <w:szCs w:val="22"/>
          <w:lang w:val="es-ES"/>
        </w:rPr>
      </w:pPr>
      <w:r>
        <w:rPr>
          <w:szCs w:val="22"/>
          <w:lang w:val="de-CH"/>
        </w:rPr>
        <w:t>Alemania</w:t>
      </w:r>
    </w:p>
    <w:p w14:paraId="71A822DE" w14:textId="77777777" w:rsidR="004361AC" w:rsidRPr="003E0B98" w:rsidRDefault="004361AC" w:rsidP="004361AC">
      <w:pPr>
        <w:tabs>
          <w:tab w:val="clear" w:pos="567"/>
        </w:tabs>
        <w:spacing w:line="240" w:lineRule="auto"/>
        <w:ind w:left="567" w:hanging="567"/>
        <w:rPr>
          <w:color w:val="000000"/>
          <w:szCs w:val="22"/>
          <w:lang w:val="es-ES"/>
        </w:rPr>
      </w:pPr>
    </w:p>
    <w:p w14:paraId="2C872A30" w14:textId="77777777" w:rsidR="008463E3" w:rsidRPr="003E0B98" w:rsidRDefault="00C31896" w:rsidP="004361AC">
      <w:pPr>
        <w:keepNext/>
        <w:spacing w:line="240" w:lineRule="auto"/>
        <w:rPr>
          <w:b/>
          <w:color w:val="000000"/>
          <w:lang w:val="es-ES"/>
        </w:rPr>
      </w:pPr>
      <w:r w:rsidRPr="003E0B98">
        <w:rPr>
          <w:b/>
          <w:color w:val="000000"/>
          <w:lang w:val="es-ES"/>
        </w:rPr>
        <w:t>S</w:t>
      </w:r>
      <w:r w:rsidR="008463E3" w:rsidRPr="003E0B98">
        <w:rPr>
          <w:b/>
          <w:color w:val="000000"/>
          <w:lang w:val="es-ES"/>
        </w:rPr>
        <w:t>olución inyectable en jeringa precargada</w:t>
      </w:r>
    </w:p>
    <w:p w14:paraId="586A3838" w14:textId="3F720219" w:rsidR="00C31896" w:rsidRPr="003E0B98" w:rsidDel="00C42161" w:rsidRDefault="00C31896" w:rsidP="004361AC">
      <w:pPr>
        <w:keepNext/>
        <w:numPr>
          <w:ilvl w:val="12"/>
          <w:numId w:val="0"/>
        </w:numPr>
        <w:spacing w:line="240" w:lineRule="auto"/>
        <w:rPr>
          <w:del w:id="10" w:author="Author"/>
          <w:szCs w:val="22"/>
          <w:lang w:val="fr-CH"/>
        </w:rPr>
      </w:pPr>
      <w:del w:id="11" w:author="Author">
        <w:r w:rsidRPr="003E0B98" w:rsidDel="00C42161">
          <w:rPr>
            <w:szCs w:val="22"/>
            <w:lang w:val="fr-CH"/>
          </w:rPr>
          <w:delText>Novartis Pharma GmbH</w:delText>
        </w:r>
      </w:del>
    </w:p>
    <w:p w14:paraId="7DFBB2CD" w14:textId="63123EE5" w:rsidR="00C31896" w:rsidRPr="003E0B98" w:rsidDel="00C42161" w:rsidRDefault="00C31896" w:rsidP="004361AC">
      <w:pPr>
        <w:keepNext/>
        <w:numPr>
          <w:ilvl w:val="12"/>
          <w:numId w:val="0"/>
        </w:numPr>
        <w:spacing w:line="240" w:lineRule="auto"/>
        <w:rPr>
          <w:del w:id="12" w:author="Author"/>
          <w:szCs w:val="22"/>
          <w:lang w:val="fr-CH"/>
        </w:rPr>
      </w:pPr>
      <w:del w:id="13" w:author="Author">
        <w:r w:rsidRPr="003E0B98" w:rsidDel="00C42161">
          <w:rPr>
            <w:szCs w:val="22"/>
            <w:lang w:val="fr-CH"/>
          </w:rPr>
          <w:delText>Roonstrasse 25</w:delText>
        </w:r>
      </w:del>
    </w:p>
    <w:p w14:paraId="3C076958" w14:textId="7E7A73C6" w:rsidR="00C31896" w:rsidRPr="003E0B98" w:rsidDel="00C42161" w:rsidRDefault="00C31896" w:rsidP="004361AC">
      <w:pPr>
        <w:keepNext/>
        <w:numPr>
          <w:ilvl w:val="12"/>
          <w:numId w:val="0"/>
        </w:numPr>
        <w:spacing w:line="240" w:lineRule="auto"/>
        <w:rPr>
          <w:del w:id="14" w:author="Author"/>
          <w:szCs w:val="22"/>
          <w:lang w:val="fr-CH"/>
        </w:rPr>
      </w:pPr>
      <w:del w:id="15" w:author="Author">
        <w:r w:rsidRPr="003E0B98" w:rsidDel="00C42161">
          <w:rPr>
            <w:szCs w:val="22"/>
            <w:lang w:val="fr-CH"/>
          </w:rPr>
          <w:delText>90429 Nuremberg</w:delText>
        </w:r>
      </w:del>
    </w:p>
    <w:p w14:paraId="03612D03" w14:textId="50149D4F" w:rsidR="00C31896" w:rsidRPr="003E0B98" w:rsidDel="00C42161" w:rsidRDefault="00C31896" w:rsidP="004361AC">
      <w:pPr>
        <w:tabs>
          <w:tab w:val="clear" w:pos="567"/>
        </w:tabs>
        <w:spacing w:line="240" w:lineRule="auto"/>
        <w:ind w:left="567" w:hanging="567"/>
        <w:rPr>
          <w:del w:id="16" w:author="Author"/>
          <w:color w:val="000000"/>
          <w:szCs w:val="22"/>
          <w:lang w:val="fr-CH"/>
        </w:rPr>
      </w:pPr>
      <w:del w:id="17" w:author="Author">
        <w:r w:rsidRPr="003E0B98" w:rsidDel="00C42161">
          <w:rPr>
            <w:szCs w:val="22"/>
            <w:lang w:val="fr-CH"/>
          </w:rPr>
          <w:delText>Alemania</w:delText>
        </w:r>
      </w:del>
    </w:p>
    <w:p w14:paraId="42088FFA" w14:textId="2E0E65C8" w:rsidR="00C31896" w:rsidRPr="003E0B98" w:rsidDel="00C42161" w:rsidRDefault="00C31896" w:rsidP="004361AC">
      <w:pPr>
        <w:numPr>
          <w:ilvl w:val="12"/>
          <w:numId w:val="0"/>
        </w:numPr>
        <w:tabs>
          <w:tab w:val="clear" w:pos="567"/>
          <w:tab w:val="left" w:pos="720"/>
        </w:tabs>
        <w:spacing w:line="240" w:lineRule="auto"/>
        <w:ind w:left="567" w:hanging="567"/>
        <w:rPr>
          <w:del w:id="18" w:author="Author"/>
          <w:szCs w:val="22"/>
          <w:lang w:val="fr-CH"/>
        </w:rPr>
      </w:pPr>
    </w:p>
    <w:p w14:paraId="281753A8" w14:textId="77777777" w:rsidR="004361AC" w:rsidRPr="00160101" w:rsidRDefault="004361AC" w:rsidP="004361AC">
      <w:pPr>
        <w:keepNext/>
        <w:rPr>
          <w:rFonts w:eastAsia="Aptos"/>
          <w:szCs w:val="22"/>
          <w:lang w:val="en-US" w:eastAsia="de-CH"/>
        </w:rPr>
      </w:pPr>
      <w:r w:rsidRPr="00160101">
        <w:rPr>
          <w:rFonts w:eastAsia="Aptos"/>
          <w:szCs w:val="22"/>
          <w:lang w:val="en-US" w:eastAsia="de-CH"/>
        </w:rPr>
        <w:t>Novartis Manufacturing NV</w:t>
      </w:r>
    </w:p>
    <w:p w14:paraId="21F112C0" w14:textId="77777777" w:rsidR="004361AC" w:rsidRPr="00160101" w:rsidRDefault="004361AC" w:rsidP="004361AC">
      <w:pPr>
        <w:keepNext/>
        <w:rPr>
          <w:rFonts w:eastAsia="Aptos"/>
          <w:szCs w:val="22"/>
          <w:lang w:val="en-US" w:eastAsia="de-CH"/>
        </w:rPr>
      </w:pPr>
      <w:proofErr w:type="spellStart"/>
      <w:r w:rsidRPr="00160101">
        <w:rPr>
          <w:rFonts w:eastAsia="Aptos"/>
          <w:szCs w:val="22"/>
          <w:lang w:val="en-US" w:eastAsia="de-CH"/>
        </w:rPr>
        <w:t>Rijksweg</w:t>
      </w:r>
      <w:proofErr w:type="spellEnd"/>
      <w:r w:rsidRPr="00160101">
        <w:rPr>
          <w:rFonts w:eastAsia="Aptos"/>
          <w:szCs w:val="22"/>
          <w:lang w:val="en-US" w:eastAsia="de-CH"/>
        </w:rPr>
        <w:t xml:space="preserve"> 14</w:t>
      </w:r>
    </w:p>
    <w:p w14:paraId="38690480" w14:textId="77777777" w:rsidR="004361AC" w:rsidRPr="00160101" w:rsidRDefault="004361AC" w:rsidP="004361AC">
      <w:pPr>
        <w:keepNext/>
        <w:rPr>
          <w:rFonts w:eastAsia="Aptos"/>
          <w:szCs w:val="22"/>
          <w:lang w:val="en-US" w:eastAsia="de-CH"/>
        </w:rPr>
      </w:pPr>
      <w:r w:rsidRPr="00160101">
        <w:rPr>
          <w:rFonts w:eastAsia="Aptos"/>
          <w:szCs w:val="22"/>
          <w:lang w:val="en-US" w:eastAsia="de-CH"/>
        </w:rPr>
        <w:t xml:space="preserve">2870 </w:t>
      </w:r>
      <w:proofErr w:type="spellStart"/>
      <w:r w:rsidRPr="00160101">
        <w:rPr>
          <w:rFonts w:eastAsia="Aptos"/>
          <w:szCs w:val="22"/>
          <w:lang w:val="en-US" w:eastAsia="de-CH"/>
        </w:rPr>
        <w:t>Puurs</w:t>
      </w:r>
      <w:proofErr w:type="spellEnd"/>
      <w:r w:rsidRPr="00160101">
        <w:rPr>
          <w:rFonts w:eastAsia="Aptos"/>
          <w:szCs w:val="22"/>
          <w:lang w:val="en-US" w:eastAsia="de-CH"/>
        </w:rPr>
        <w:t>-Sint-</w:t>
      </w:r>
      <w:proofErr w:type="spellStart"/>
      <w:r w:rsidRPr="00160101">
        <w:rPr>
          <w:rFonts w:eastAsia="Aptos"/>
          <w:szCs w:val="22"/>
          <w:lang w:val="en-US" w:eastAsia="de-CH"/>
        </w:rPr>
        <w:t>Amands</w:t>
      </w:r>
      <w:proofErr w:type="spellEnd"/>
    </w:p>
    <w:p w14:paraId="72D008E2" w14:textId="23EC7CA5" w:rsidR="00C31896" w:rsidRPr="003E0B98" w:rsidRDefault="004361AC" w:rsidP="004361AC">
      <w:pPr>
        <w:numPr>
          <w:ilvl w:val="12"/>
          <w:numId w:val="0"/>
        </w:numPr>
        <w:tabs>
          <w:tab w:val="clear" w:pos="567"/>
          <w:tab w:val="left" w:pos="720"/>
        </w:tabs>
        <w:spacing w:line="240" w:lineRule="auto"/>
        <w:ind w:left="567" w:hanging="567"/>
        <w:rPr>
          <w:szCs w:val="22"/>
          <w:lang w:val="es-ES"/>
        </w:rPr>
      </w:pPr>
      <w:r w:rsidRPr="00E8387A">
        <w:rPr>
          <w:rFonts w:eastAsia="Aptos"/>
          <w:szCs w:val="22"/>
          <w:lang w:val="de-CH" w:eastAsia="de-CH"/>
        </w:rPr>
        <w:t>Bélgica</w:t>
      </w:r>
    </w:p>
    <w:p w14:paraId="31F1C6C1" w14:textId="77777777" w:rsidR="008463E3" w:rsidRDefault="008463E3" w:rsidP="004361AC">
      <w:pPr>
        <w:tabs>
          <w:tab w:val="clear" w:pos="567"/>
        </w:tabs>
        <w:spacing w:line="240" w:lineRule="auto"/>
        <w:ind w:left="567" w:hanging="567"/>
        <w:rPr>
          <w:color w:val="000000"/>
          <w:szCs w:val="22"/>
          <w:lang w:val="es-ES"/>
        </w:rPr>
      </w:pPr>
    </w:p>
    <w:p w14:paraId="753D3E72" w14:textId="77777777" w:rsidR="004361AC" w:rsidRPr="002923E2" w:rsidRDefault="004361AC" w:rsidP="004361AC">
      <w:pPr>
        <w:keepNext/>
        <w:rPr>
          <w:rFonts w:eastAsia="Aptos"/>
          <w:szCs w:val="22"/>
          <w:lang w:val="en-US" w:eastAsia="de-CH"/>
        </w:rPr>
      </w:pPr>
      <w:r w:rsidRPr="002923E2">
        <w:rPr>
          <w:rFonts w:eastAsia="Aptos"/>
          <w:szCs w:val="22"/>
          <w:lang w:val="en-US" w:eastAsia="de-CH"/>
        </w:rPr>
        <w:t>Novartis Pharma GmbH</w:t>
      </w:r>
    </w:p>
    <w:p w14:paraId="4991855D" w14:textId="77777777" w:rsidR="004361AC" w:rsidRPr="002923E2" w:rsidRDefault="004361AC" w:rsidP="004361AC">
      <w:pPr>
        <w:keepNext/>
        <w:rPr>
          <w:rFonts w:eastAsia="Aptos"/>
          <w:szCs w:val="22"/>
          <w:lang w:val="en-US" w:eastAsia="de-CH"/>
        </w:rPr>
      </w:pPr>
      <w:r w:rsidRPr="002923E2">
        <w:rPr>
          <w:rFonts w:eastAsia="Aptos"/>
          <w:szCs w:val="22"/>
          <w:lang w:val="en-US" w:eastAsia="de-CH"/>
        </w:rPr>
        <w:t>Sophie-Germain-Strasse 10</w:t>
      </w:r>
    </w:p>
    <w:p w14:paraId="6EB614A1" w14:textId="77777777" w:rsidR="004361AC" w:rsidRPr="002923E2" w:rsidRDefault="004361AC" w:rsidP="004361AC">
      <w:pPr>
        <w:keepNext/>
        <w:rPr>
          <w:rFonts w:eastAsia="Aptos"/>
          <w:szCs w:val="22"/>
          <w:lang w:val="en-US" w:eastAsia="de-CH"/>
        </w:rPr>
      </w:pPr>
      <w:r w:rsidRPr="002923E2">
        <w:rPr>
          <w:rFonts w:eastAsia="Aptos"/>
          <w:szCs w:val="22"/>
          <w:lang w:val="en-US" w:eastAsia="de-CH"/>
        </w:rPr>
        <w:t>90443 Nürnberg</w:t>
      </w:r>
    </w:p>
    <w:p w14:paraId="3CB5B59A" w14:textId="5A424824" w:rsidR="004361AC" w:rsidRDefault="004361AC" w:rsidP="004361AC">
      <w:pPr>
        <w:tabs>
          <w:tab w:val="clear" w:pos="567"/>
        </w:tabs>
        <w:spacing w:line="240" w:lineRule="auto"/>
        <w:ind w:left="567" w:hanging="567"/>
        <w:rPr>
          <w:color w:val="000000"/>
          <w:szCs w:val="22"/>
          <w:lang w:val="es-ES"/>
        </w:rPr>
      </w:pPr>
      <w:r>
        <w:rPr>
          <w:szCs w:val="22"/>
          <w:lang w:val="de-CH"/>
        </w:rPr>
        <w:t>Alemania</w:t>
      </w:r>
    </w:p>
    <w:p w14:paraId="77967348" w14:textId="77777777" w:rsidR="004361AC" w:rsidRPr="003E0B98" w:rsidRDefault="004361AC" w:rsidP="004361AC">
      <w:pPr>
        <w:tabs>
          <w:tab w:val="clear" w:pos="567"/>
        </w:tabs>
        <w:spacing w:line="240" w:lineRule="auto"/>
        <w:ind w:left="567" w:hanging="567"/>
        <w:rPr>
          <w:color w:val="000000"/>
          <w:szCs w:val="22"/>
          <w:lang w:val="es-ES"/>
        </w:rPr>
      </w:pPr>
    </w:p>
    <w:p w14:paraId="2362AF4F" w14:textId="77777777" w:rsidR="00C31896" w:rsidRPr="003E0B98" w:rsidRDefault="00C31896" w:rsidP="004361AC">
      <w:pPr>
        <w:tabs>
          <w:tab w:val="clear" w:pos="567"/>
        </w:tabs>
        <w:spacing w:line="240" w:lineRule="auto"/>
        <w:rPr>
          <w:color w:val="000000"/>
          <w:szCs w:val="22"/>
          <w:lang w:val="es-ES"/>
        </w:rPr>
      </w:pPr>
      <w:r w:rsidRPr="003E0B98">
        <w:rPr>
          <w:lang w:val="es-ES"/>
        </w:rPr>
        <w:t>El prospecto impreso del medicamento debe especificar el nombre y dirección del fabricante responsable de la liberación del lote en cuestión.</w:t>
      </w:r>
    </w:p>
    <w:p w14:paraId="1BEC3155" w14:textId="77777777" w:rsidR="008463E3" w:rsidRPr="003E0B98" w:rsidRDefault="008463E3" w:rsidP="004361AC">
      <w:pPr>
        <w:tabs>
          <w:tab w:val="clear" w:pos="567"/>
        </w:tabs>
        <w:spacing w:line="240" w:lineRule="auto"/>
        <w:ind w:left="567" w:hanging="567"/>
        <w:rPr>
          <w:color w:val="000000"/>
          <w:szCs w:val="22"/>
          <w:lang w:val="es-ES"/>
        </w:rPr>
      </w:pPr>
    </w:p>
    <w:p w14:paraId="4F2D563B" w14:textId="77777777" w:rsidR="00FA2D95" w:rsidRPr="003E0B98" w:rsidRDefault="00FA2D95" w:rsidP="004361AC">
      <w:pPr>
        <w:tabs>
          <w:tab w:val="clear" w:pos="567"/>
        </w:tabs>
        <w:spacing w:line="240" w:lineRule="auto"/>
        <w:ind w:left="567" w:hanging="567"/>
        <w:rPr>
          <w:color w:val="000000"/>
          <w:szCs w:val="22"/>
          <w:lang w:val="es-ES"/>
        </w:rPr>
      </w:pPr>
    </w:p>
    <w:p w14:paraId="1951F2CC" w14:textId="77777777" w:rsidR="00FA2D95" w:rsidRPr="003E0B98" w:rsidRDefault="00FA2D95" w:rsidP="004361AC">
      <w:pPr>
        <w:keepNext/>
        <w:spacing w:line="240" w:lineRule="auto"/>
        <w:ind w:left="567" w:hanging="567"/>
        <w:outlineLvl w:val="0"/>
        <w:rPr>
          <w:b/>
          <w:noProof/>
          <w:color w:val="000000"/>
          <w:lang w:val="es-ES_tradnl"/>
        </w:rPr>
      </w:pPr>
      <w:r w:rsidRPr="003E0B98">
        <w:rPr>
          <w:b/>
          <w:noProof/>
          <w:color w:val="000000"/>
          <w:lang w:val="es-ES_tradnl"/>
        </w:rPr>
        <w:t>B.</w:t>
      </w:r>
      <w:r w:rsidRPr="003E0B98">
        <w:rPr>
          <w:b/>
          <w:noProof/>
          <w:color w:val="000000"/>
          <w:lang w:val="es-ES_tradnl"/>
        </w:rPr>
        <w:tab/>
        <w:t xml:space="preserve">CONDICIONES </w:t>
      </w:r>
      <w:r w:rsidR="00A66617" w:rsidRPr="003E0B98">
        <w:rPr>
          <w:b/>
          <w:noProof/>
          <w:color w:val="000000"/>
          <w:lang w:val="es-ES_tradnl"/>
        </w:rPr>
        <w:t xml:space="preserve">O RESTRICCIONES </w:t>
      </w:r>
      <w:r w:rsidRPr="003E0B98">
        <w:rPr>
          <w:b/>
          <w:noProof/>
          <w:color w:val="000000"/>
          <w:lang w:val="es-ES_tradnl"/>
        </w:rPr>
        <w:t xml:space="preserve">DE </w:t>
      </w:r>
      <w:r w:rsidR="00A66617" w:rsidRPr="003E0B98">
        <w:rPr>
          <w:b/>
          <w:noProof/>
          <w:color w:val="000000"/>
          <w:lang w:val="es-ES_tradnl"/>
        </w:rPr>
        <w:t>SUMINISTRO Y USO</w:t>
      </w:r>
    </w:p>
    <w:p w14:paraId="77DC3C05" w14:textId="77777777" w:rsidR="00FA2D95" w:rsidRPr="003E0B98" w:rsidRDefault="00FA2D95" w:rsidP="004361AC">
      <w:pPr>
        <w:keepNext/>
        <w:spacing w:line="240" w:lineRule="auto"/>
        <w:rPr>
          <w:noProof/>
          <w:color w:val="000000"/>
          <w:lang w:val="es-ES_tradnl"/>
        </w:rPr>
      </w:pPr>
    </w:p>
    <w:p w14:paraId="56F789B2" w14:textId="77777777" w:rsidR="00FA2D95" w:rsidRPr="003E0B98" w:rsidRDefault="00FA2D95" w:rsidP="004361AC">
      <w:pPr>
        <w:numPr>
          <w:ilvl w:val="12"/>
          <w:numId w:val="0"/>
        </w:numPr>
        <w:spacing w:line="240" w:lineRule="auto"/>
        <w:rPr>
          <w:noProof/>
          <w:color w:val="000000"/>
          <w:lang w:val="es-ES_tradnl"/>
        </w:rPr>
      </w:pPr>
      <w:r w:rsidRPr="003E0B98">
        <w:rPr>
          <w:noProof/>
          <w:color w:val="000000"/>
          <w:lang w:val="es-ES_tradnl"/>
        </w:rPr>
        <w:t>Medicamento sujeto a prescripción médica restringida (</w:t>
      </w:r>
      <w:r w:rsidR="00A66617" w:rsidRPr="003E0B98">
        <w:rPr>
          <w:noProof/>
          <w:color w:val="000000"/>
          <w:lang w:val="es-ES_tradnl"/>
        </w:rPr>
        <w:t>v</w:t>
      </w:r>
      <w:r w:rsidR="008F4C93" w:rsidRPr="003E0B98">
        <w:rPr>
          <w:noProof/>
          <w:color w:val="000000"/>
          <w:lang w:val="es-ES_tradnl"/>
        </w:rPr>
        <w:t>er</w:t>
      </w:r>
      <w:r w:rsidRPr="003E0B98">
        <w:rPr>
          <w:noProof/>
          <w:color w:val="000000"/>
          <w:lang w:val="es-ES_tradnl"/>
        </w:rPr>
        <w:t xml:space="preserve"> Anexo I: Ficha Técnica o Resumen de las Características del Producto, sección</w:t>
      </w:r>
      <w:r w:rsidR="00453D88" w:rsidRPr="003E0B98">
        <w:rPr>
          <w:noProof/>
          <w:color w:val="000000"/>
          <w:lang w:val="es-ES_tradnl"/>
        </w:rPr>
        <w:t> </w:t>
      </w:r>
      <w:r w:rsidRPr="003E0B98">
        <w:rPr>
          <w:noProof/>
          <w:color w:val="000000"/>
          <w:lang w:val="es-ES_tradnl"/>
        </w:rPr>
        <w:t>4.2)</w:t>
      </w:r>
    </w:p>
    <w:p w14:paraId="716A517F" w14:textId="77777777" w:rsidR="00FA2D95" w:rsidRPr="003E0B98" w:rsidRDefault="00FA2D95" w:rsidP="004361AC">
      <w:pPr>
        <w:numPr>
          <w:ilvl w:val="12"/>
          <w:numId w:val="0"/>
        </w:numPr>
        <w:spacing w:line="240" w:lineRule="auto"/>
        <w:rPr>
          <w:noProof/>
          <w:color w:val="000000"/>
          <w:lang w:val="es-ES_tradnl"/>
        </w:rPr>
      </w:pPr>
    </w:p>
    <w:p w14:paraId="16C55B31" w14:textId="77777777" w:rsidR="00463366" w:rsidRPr="003E0B98" w:rsidRDefault="00463366" w:rsidP="004361AC">
      <w:pPr>
        <w:numPr>
          <w:ilvl w:val="12"/>
          <w:numId w:val="0"/>
        </w:numPr>
        <w:tabs>
          <w:tab w:val="clear" w:pos="567"/>
        </w:tabs>
        <w:spacing w:line="240" w:lineRule="auto"/>
        <w:rPr>
          <w:noProof/>
          <w:color w:val="000000"/>
          <w:lang w:val="es-ES_tradnl"/>
        </w:rPr>
      </w:pPr>
    </w:p>
    <w:p w14:paraId="2C482990" w14:textId="77777777" w:rsidR="00A66617" w:rsidRPr="003E0B98" w:rsidRDefault="00C11B46" w:rsidP="004361AC">
      <w:pPr>
        <w:keepNext/>
        <w:numPr>
          <w:ilvl w:val="12"/>
          <w:numId w:val="0"/>
        </w:numPr>
        <w:spacing w:line="240" w:lineRule="auto"/>
        <w:ind w:left="567" w:hanging="567"/>
        <w:outlineLvl w:val="0"/>
        <w:rPr>
          <w:b/>
          <w:noProof/>
          <w:color w:val="000000"/>
          <w:lang w:val="es-ES_tradnl"/>
        </w:rPr>
      </w:pPr>
      <w:r w:rsidRPr="003E0B98">
        <w:rPr>
          <w:b/>
          <w:noProof/>
          <w:color w:val="000000"/>
          <w:lang w:val="es-ES_tradnl"/>
        </w:rPr>
        <w:t>C.</w:t>
      </w:r>
      <w:r w:rsidRPr="003E0B98">
        <w:rPr>
          <w:b/>
          <w:noProof/>
          <w:color w:val="000000"/>
          <w:lang w:val="es-ES_tradnl"/>
        </w:rPr>
        <w:tab/>
        <w:t>OTRAS CONDICIONES Y REQUISITOS DE LA AUTORIZACIÓN DE COMERCIALIZACIÓN</w:t>
      </w:r>
    </w:p>
    <w:p w14:paraId="676F4D15" w14:textId="77777777" w:rsidR="00FA2D95" w:rsidRPr="003E0B98" w:rsidRDefault="00FA2D95" w:rsidP="004361AC">
      <w:pPr>
        <w:keepNext/>
        <w:tabs>
          <w:tab w:val="clear" w:pos="567"/>
        </w:tabs>
        <w:spacing w:line="240" w:lineRule="auto"/>
        <w:rPr>
          <w:noProof/>
          <w:color w:val="000000"/>
          <w:lang w:val="es-ES"/>
        </w:rPr>
      </w:pPr>
    </w:p>
    <w:p w14:paraId="33ECFB51" w14:textId="4EFE675D" w:rsidR="008A6026" w:rsidRPr="003E0B98" w:rsidRDefault="00363466" w:rsidP="004361AC">
      <w:pPr>
        <w:keepNext/>
        <w:numPr>
          <w:ilvl w:val="0"/>
          <w:numId w:val="7"/>
        </w:numPr>
        <w:spacing w:line="240" w:lineRule="auto"/>
        <w:rPr>
          <w:b/>
          <w:iCs/>
          <w:color w:val="000000"/>
          <w:lang w:val="es-ES"/>
        </w:rPr>
      </w:pPr>
      <w:r w:rsidRPr="003E0B98">
        <w:rPr>
          <w:b/>
          <w:iCs/>
          <w:color w:val="000000"/>
          <w:lang w:val="es-ES"/>
        </w:rPr>
        <w:t>Informes periódicos de seguridad</w:t>
      </w:r>
      <w:r w:rsidR="00DC5620" w:rsidRPr="003E0B98">
        <w:rPr>
          <w:b/>
          <w:iCs/>
          <w:color w:val="000000"/>
          <w:lang w:val="es-ES"/>
        </w:rPr>
        <w:t xml:space="preserve"> (</w:t>
      </w:r>
      <w:proofErr w:type="spellStart"/>
      <w:r w:rsidR="00DC5620" w:rsidRPr="003E0B98">
        <w:rPr>
          <w:b/>
          <w:iCs/>
          <w:color w:val="000000"/>
          <w:lang w:val="es-ES"/>
        </w:rPr>
        <w:t>IPSs</w:t>
      </w:r>
      <w:proofErr w:type="spellEnd"/>
      <w:r w:rsidR="00DC5620" w:rsidRPr="003E0B98">
        <w:rPr>
          <w:b/>
          <w:iCs/>
          <w:color w:val="000000"/>
          <w:lang w:val="es-ES"/>
        </w:rPr>
        <w:t>)</w:t>
      </w:r>
    </w:p>
    <w:p w14:paraId="2572205A" w14:textId="77777777" w:rsidR="00453D88" w:rsidRPr="003E0B98" w:rsidRDefault="00453D88" w:rsidP="004361AC">
      <w:pPr>
        <w:keepNext/>
        <w:tabs>
          <w:tab w:val="clear" w:pos="567"/>
        </w:tabs>
        <w:spacing w:line="240" w:lineRule="auto"/>
        <w:rPr>
          <w:iCs/>
          <w:color w:val="000000"/>
          <w:lang w:val="es-ES_tradnl"/>
        </w:rPr>
      </w:pPr>
    </w:p>
    <w:p w14:paraId="264FF2F1" w14:textId="433D5B2D" w:rsidR="008A6026" w:rsidRPr="003E0B98" w:rsidRDefault="00453D88" w:rsidP="004361AC">
      <w:pPr>
        <w:spacing w:line="240" w:lineRule="auto"/>
        <w:rPr>
          <w:iCs/>
          <w:color w:val="000000"/>
          <w:lang w:val="es-ES_tradnl"/>
        </w:rPr>
      </w:pPr>
      <w:r w:rsidRPr="003E0B98">
        <w:rPr>
          <w:iCs/>
          <w:color w:val="000000"/>
          <w:lang w:val="es-ES_tradnl"/>
        </w:rPr>
        <w:t>Los requerimientos para la presentación de</w:t>
      </w:r>
      <w:r w:rsidR="008A6026" w:rsidRPr="003E0B98">
        <w:rPr>
          <w:iCs/>
          <w:color w:val="000000"/>
          <w:lang w:val="es-ES_tradnl"/>
        </w:rPr>
        <w:t xml:space="preserve"> los </w:t>
      </w:r>
      <w:proofErr w:type="spellStart"/>
      <w:r w:rsidR="00726D8E" w:rsidRPr="003E0B98">
        <w:rPr>
          <w:iCs/>
          <w:color w:val="000000"/>
          <w:lang w:val="es-ES_tradnl"/>
        </w:rPr>
        <w:t>IPSs</w:t>
      </w:r>
      <w:proofErr w:type="spellEnd"/>
      <w:r w:rsidR="008A6026" w:rsidRPr="003E0B98">
        <w:rPr>
          <w:iCs/>
          <w:color w:val="000000"/>
          <w:lang w:val="es-ES_tradnl"/>
        </w:rPr>
        <w:t xml:space="preserve"> para este medicamento </w:t>
      </w:r>
      <w:r w:rsidR="00070A73" w:rsidRPr="003E0B98">
        <w:rPr>
          <w:iCs/>
          <w:color w:val="000000"/>
          <w:lang w:val="es-ES_tradnl"/>
        </w:rPr>
        <w:t>se establecen</w:t>
      </w:r>
      <w:r w:rsidR="008A6026" w:rsidRPr="003E0B98">
        <w:rPr>
          <w:iCs/>
          <w:color w:val="000000"/>
          <w:lang w:val="es-ES_tradnl"/>
        </w:rPr>
        <w:t xml:space="preserve"> en la lista de fechas de referencia de la Unión (lista EURD) prevista en el artículo 107 </w:t>
      </w:r>
      <w:proofErr w:type="spellStart"/>
      <w:r w:rsidR="00070A73" w:rsidRPr="003E0B98">
        <w:rPr>
          <w:iCs/>
          <w:color w:val="000000"/>
          <w:lang w:val="es-ES_tradnl"/>
        </w:rPr>
        <w:t>qua</w:t>
      </w:r>
      <w:r w:rsidR="008A6026" w:rsidRPr="003E0B98">
        <w:rPr>
          <w:iCs/>
          <w:color w:val="000000"/>
          <w:lang w:val="es-ES_tradnl"/>
        </w:rPr>
        <w:t>ter</w:t>
      </w:r>
      <w:proofErr w:type="spellEnd"/>
      <w:r w:rsidR="008A6026" w:rsidRPr="003E0B98">
        <w:rPr>
          <w:iCs/>
          <w:color w:val="000000"/>
          <w:lang w:val="es-ES_tradnl"/>
        </w:rPr>
        <w:t xml:space="preserve">, </w:t>
      </w:r>
      <w:r w:rsidR="00070A73" w:rsidRPr="003E0B98">
        <w:rPr>
          <w:iCs/>
          <w:color w:val="000000"/>
          <w:lang w:val="es-ES_tradnl"/>
        </w:rPr>
        <w:t>apartado</w:t>
      </w:r>
      <w:r w:rsidR="008A6026" w:rsidRPr="003E0B98">
        <w:rPr>
          <w:iCs/>
          <w:color w:val="000000"/>
          <w:lang w:val="es-ES_tradnl"/>
        </w:rPr>
        <w:t xml:space="preserve"> 7, de la Directiva 2001/83/CE y </w:t>
      </w:r>
      <w:r w:rsidR="00070A73" w:rsidRPr="003E0B98">
        <w:rPr>
          <w:iCs/>
          <w:color w:val="000000"/>
          <w:lang w:val="es-ES_tradnl"/>
        </w:rPr>
        <w:t xml:space="preserve">cualquier actualización posterior </w:t>
      </w:r>
      <w:r w:rsidR="008A6026" w:rsidRPr="003E0B98">
        <w:rPr>
          <w:iCs/>
          <w:color w:val="000000"/>
          <w:lang w:val="es-ES_tradnl"/>
        </w:rPr>
        <w:t>publicada en el portal web europeo sobre medicamentos.</w:t>
      </w:r>
    </w:p>
    <w:p w14:paraId="6427BDA6" w14:textId="77777777" w:rsidR="008A6026" w:rsidRPr="003E0B98" w:rsidRDefault="008A6026" w:rsidP="004361AC">
      <w:pPr>
        <w:spacing w:line="240" w:lineRule="auto"/>
        <w:rPr>
          <w:iCs/>
          <w:color w:val="000000"/>
          <w:lang w:val="es-ES_tradnl"/>
        </w:rPr>
      </w:pPr>
    </w:p>
    <w:p w14:paraId="63A368B0" w14:textId="77777777" w:rsidR="008A6026" w:rsidRPr="003E0B98" w:rsidRDefault="008A6026" w:rsidP="004361AC">
      <w:pPr>
        <w:spacing w:line="240" w:lineRule="auto"/>
        <w:rPr>
          <w:iCs/>
          <w:color w:val="000000"/>
          <w:lang w:val="es-ES_tradnl"/>
        </w:rPr>
      </w:pPr>
    </w:p>
    <w:p w14:paraId="0EF40A8C" w14:textId="77777777" w:rsidR="009E105D" w:rsidRPr="003E0B98" w:rsidRDefault="008A6026" w:rsidP="004361AC">
      <w:pPr>
        <w:keepNext/>
        <w:keepLines/>
        <w:spacing w:line="240" w:lineRule="auto"/>
        <w:ind w:left="567" w:hanging="567"/>
        <w:outlineLvl w:val="0"/>
        <w:rPr>
          <w:b/>
          <w:iCs/>
          <w:color w:val="000000"/>
          <w:lang w:val="es-ES_tradnl"/>
        </w:rPr>
      </w:pPr>
      <w:r w:rsidRPr="003E0B98">
        <w:rPr>
          <w:b/>
          <w:iCs/>
          <w:color w:val="000000"/>
          <w:lang w:val="es-ES"/>
        </w:rPr>
        <w:t>D.</w:t>
      </w:r>
      <w:r w:rsidRPr="003E0B98">
        <w:rPr>
          <w:b/>
          <w:iCs/>
          <w:color w:val="000000"/>
          <w:lang w:val="es-ES"/>
        </w:rPr>
        <w:tab/>
      </w:r>
      <w:r w:rsidRPr="003E0B98">
        <w:rPr>
          <w:b/>
          <w:iCs/>
          <w:color w:val="000000"/>
          <w:lang w:val="es-ES_tradnl"/>
        </w:rPr>
        <w:t>CONDICIONES O RESTRICCIONES EN RELACIÓN CON LA UTILIZACIÓN SEGURA Y EFICAZ DEL MEDICAMENTO</w:t>
      </w:r>
    </w:p>
    <w:p w14:paraId="434551D5" w14:textId="77777777" w:rsidR="009E105D" w:rsidRPr="003E0B98" w:rsidRDefault="009E105D" w:rsidP="004361AC">
      <w:pPr>
        <w:keepNext/>
        <w:keepLines/>
        <w:tabs>
          <w:tab w:val="clear" w:pos="567"/>
        </w:tabs>
        <w:spacing w:line="240" w:lineRule="auto"/>
        <w:rPr>
          <w:iCs/>
          <w:color w:val="000000"/>
          <w:lang w:val="es-ES_tradnl"/>
        </w:rPr>
      </w:pPr>
    </w:p>
    <w:p w14:paraId="55614254" w14:textId="53B969A8" w:rsidR="002F7799" w:rsidRPr="003E0B98" w:rsidRDefault="002F7799" w:rsidP="004361AC">
      <w:pPr>
        <w:keepNext/>
        <w:keepLines/>
        <w:numPr>
          <w:ilvl w:val="0"/>
          <w:numId w:val="7"/>
        </w:numPr>
        <w:spacing w:line="240" w:lineRule="auto"/>
        <w:ind w:left="567" w:hanging="567"/>
        <w:rPr>
          <w:b/>
          <w:iCs/>
          <w:color w:val="000000"/>
          <w:lang w:val="es-ES_tradnl"/>
        </w:rPr>
      </w:pPr>
      <w:r w:rsidRPr="003E0B98">
        <w:rPr>
          <w:b/>
          <w:iCs/>
          <w:color w:val="000000"/>
          <w:lang w:val="es-ES_tradnl"/>
        </w:rPr>
        <w:t xml:space="preserve">Plan de </w:t>
      </w:r>
      <w:r w:rsidR="00726D8E" w:rsidRPr="003E0B98">
        <w:rPr>
          <w:b/>
          <w:iCs/>
          <w:color w:val="000000"/>
          <w:lang w:val="es-ES_tradnl"/>
        </w:rPr>
        <w:t>g</w:t>
      </w:r>
      <w:r w:rsidRPr="003E0B98">
        <w:rPr>
          <w:b/>
          <w:iCs/>
          <w:color w:val="000000"/>
          <w:lang w:val="es-ES_tradnl"/>
        </w:rPr>
        <w:t xml:space="preserve">estión de </w:t>
      </w:r>
      <w:r w:rsidR="00726D8E" w:rsidRPr="003E0B98">
        <w:rPr>
          <w:b/>
          <w:iCs/>
          <w:color w:val="000000"/>
          <w:lang w:val="es-ES_tradnl"/>
        </w:rPr>
        <w:t>r</w:t>
      </w:r>
      <w:r w:rsidRPr="003E0B98">
        <w:rPr>
          <w:b/>
          <w:iCs/>
          <w:color w:val="000000"/>
          <w:lang w:val="es-ES_tradnl"/>
        </w:rPr>
        <w:t>iesgos</w:t>
      </w:r>
      <w:r w:rsidR="00C11B46" w:rsidRPr="003E0B98">
        <w:rPr>
          <w:b/>
          <w:iCs/>
          <w:color w:val="000000"/>
          <w:lang w:val="es-ES_tradnl"/>
        </w:rPr>
        <w:t xml:space="preserve"> (PGR)</w:t>
      </w:r>
    </w:p>
    <w:p w14:paraId="0F3A6437" w14:textId="77777777" w:rsidR="00453D88" w:rsidRPr="003E0B98" w:rsidRDefault="00453D88" w:rsidP="004361AC">
      <w:pPr>
        <w:keepNext/>
        <w:keepLines/>
        <w:tabs>
          <w:tab w:val="clear" w:pos="567"/>
        </w:tabs>
        <w:spacing w:line="240" w:lineRule="auto"/>
        <w:rPr>
          <w:iCs/>
          <w:color w:val="000000"/>
          <w:lang w:val="es-ES_tradnl"/>
        </w:rPr>
      </w:pPr>
    </w:p>
    <w:p w14:paraId="4E234156" w14:textId="123A445A" w:rsidR="002F7799" w:rsidRPr="003E0B98" w:rsidRDefault="002F7799" w:rsidP="004361AC">
      <w:pPr>
        <w:spacing w:line="240" w:lineRule="auto"/>
        <w:rPr>
          <w:iCs/>
          <w:color w:val="000000"/>
          <w:lang w:val="es-ES_tradnl"/>
        </w:rPr>
      </w:pPr>
      <w:r w:rsidRPr="003E0B98">
        <w:rPr>
          <w:iCs/>
          <w:color w:val="000000"/>
          <w:lang w:val="es-ES_tradnl"/>
        </w:rPr>
        <w:t xml:space="preserve">El </w:t>
      </w:r>
      <w:r w:rsidR="00726D8E" w:rsidRPr="003E0B98">
        <w:rPr>
          <w:iCs/>
          <w:color w:val="000000"/>
          <w:lang w:val="es-ES_tradnl"/>
        </w:rPr>
        <w:t>titular de la autorización de comercialización (</w:t>
      </w:r>
      <w:r w:rsidRPr="003E0B98">
        <w:rPr>
          <w:iCs/>
          <w:color w:val="000000"/>
          <w:lang w:val="es-ES_tradnl"/>
        </w:rPr>
        <w:t>TAC</w:t>
      </w:r>
      <w:r w:rsidR="00726D8E" w:rsidRPr="003E0B98">
        <w:rPr>
          <w:iCs/>
          <w:color w:val="000000"/>
          <w:lang w:val="es-ES_tradnl"/>
        </w:rPr>
        <w:t>)</w:t>
      </w:r>
      <w:r w:rsidRPr="003E0B98">
        <w:rPr>
          <w:iCs/>
          <w:color w:val="000000"/>
          <w:lang w:val="es-ES_tradnl"/>
        </w:rPr>
        <w:t xml:space="preserve"> </w:t>
      </w:r>
      <w:r w:rsidR="00C7423A" w:rsidRPr="003E0B98">
        <w:rPr>
          <w:iCs/>
          <w:color w:val="000000"/>
          <w:lang w:val="es-ES_tradnl"/>
        </w:rPr>
        <w:t xml:space="preserve">realizará </w:t>
      </w:r>
      <w:r w:rsidRPr="003E0B98">
        <w:rPr>
          <w:iCs/>
          <w:color w:val="000000"/>
          <w:lang w:val="es-ES_tradnl"/>
        </w:rPr>
        <w:t xml:space="preserve">las actividades </w:t>
      </w:r>
      <w:r w:rsidR="00C7423A" w:rsidRPr="003E0B98">
        <w:rPr>
          <w:iCs/>
          <w:color w:val="000000"/>
          <w:lang w:val="es-ES_tradnl"/>
        </w:rPr>
        <w:t>e intervenciones</w:t>
      </w:r>
      <w:r w:rsidRPr="003E0B98">
        <w:rPr>
          <w:iCs/>
          <w:color w:val="000000"/>
          <w:lang w:val="es-ES_tradnl"/>
        </w:rPr>
        <w:t xml:space="preserve"> de farmacovigilancia</w:t>
      </w:r>
      <w:r w:rsidR="00C7423A" w:rsidRPr="003E0B98">
        <w:rPr>
          <w:iCs/>
          <w:color w:val="000000"/>
          <w:lang w:val="es-ES_tradnl"/>
        </w:rPr>
        <w:t xml:space="preserve"> necesarias</w:t>
      </w:r>
      <w:r w:rsidR="00D53E14" w:rsidRPr="003E0B98">
        <w:rPr>
          <w:iCs/>
          <w:color w:val="000000"/>
          <w:lang w:val="es-ES_tradnl"/>
        </w:rPr>
        <w:t xml:space="preserve"> según lo acordado en la versión</w:t>
      </w:r>
      <w:r w:rsidR="00055201" w:rsidRPr="003E0B98">
        <w:rPr>
          <w:iCs/>
          <w:szCs w:val="22"/>
          <w:lang w:val="es-ES_tradnl"/>
        </w:rPr>
        <w:t xml:space="preserve"> </w:t>
      </w:r>
      <w:r w:rsidR="00D53E14" w:rsidRPr="003E0B98">
        <w:rPr>
          <w:iCs/>
          <w:szCs w:val="22"/>
          <w:lang w:val="es-ES_tradnl"/>
        </w:rPr>
        <w:t>d</w:t>
      </w:r>
      <w:r w:rsidRPr="003E0B98">
        <w:rPr>
          <w:iCs/>
          <w:color w:val="000000"/>
          <w:lang w:val="es-ES_tradnl"/>
        </w:rPr>
        <w:t xml:space="preserve">el PGR incluido en el Módulo 1.8.2 de la </w:t>
      </w:r>
      <w:r w:rsidR="00726D8E" w:rsidRPr="003E0B98">
        <w:rPr>
          <w:iCs/>
          <w:color w:val="000000"/>
          <w:lang w:val="es-ES_tradnl"/>
        </w:rPr>
        <w:t>a</w:t>
      </w:r>
      <w:r w:rsidRPr="003E0B98">
        <w:rPr>
          <w:iCs/>
          <w:color w:val="000000"/>
          <w:lang w:val="es-ES_tradnl"/>
        </w:rPr>
        <w:t xml:space="preserve">utorización de </w:t>
      </w:r>
      <w:r w:rsidR="00726D8E" w:rsidRPr="003E0B98">
        <w:rPr>
          <w:iCs/>
          <w:color w:val="000000"/>
          <w:lang w:val="es-ES_tradnl"/>
        </w:rPr>
        <w:t>c</w:t>
      </w:r>
      <w:r w:rsidRPr="003E0B98">
        <w:rPr>
          <w:iCs/>
          <w:color w:val="000000"/>
          <w:lang w:val="es-ES_tradnl"/>
        </w:rPr>
        <w:t xml:space="preserve">omercialización y </w:t>
      </w:r>
      <w:r w:rsidR="006E5881" w:rsidRPr="003E0B98">
        <w:rPr>
          <w:iCs/>
          <w:color w:val="000000"/>
          <w:lang w:val="es-ES_tradnl"/>
        </w:rPr>
        <w:t xml:space="preserve">en </w:t>
      </w:r>
      <w:r w:rsidRPr="003E0B98">
        <w:rPr>
          <w:iCs/>
          <w:color w:val="000000"/>
          <w:lang w:val="es-ES_tradnl"/>
        </w:rPr>
        <w:t xml:space="preserve">cualquier actualización del PGR </w:t>
      </w:r>
      <w:r w:rsidR="006E5881" w:rsidRPr="003E0B98">
        <w:rPr>
          <w:iCs/>
          <w:color w:val="000000"/>
          <w:lang w:val="es-ES_tradnl"/>
        </w:rPr>
        <w:t>que se acuerde posteriormente</w:t>
      </w:r>
      <w:r w:rsidRPr="003E0B98">
        <w:rPr>
          <w:iCs/>
          <w:color w:val="000000"/>
          <w:lang w:val="es-ES_tradnl"/>
        </w:rPr>
        <w:t>.</w:t>
      </w:r>
    </w:p>
    <w:p w14:paraId="398E524A" w14:textId="77777777" w:rsidR="002F7799" w:rsidRPr="003E0B98" w:rsidRDefault="002F7799" w:rsidP="004361AC">
      <w:pPr>
        <w:spacing w:line="240" w:lineRule="auto"/>
        <w:rPr>
          <w:iCs/>
          <w:color w:val="000000"/>
          <w:lang w:val="es-ES_tradnl"/>
        </w:rPr>
      </w:pPr>
    </w:p>
    <w:p w14:paraId="23F7B6C1" w14:textId="77777777" w:rsidR="002F7799" w:rsidRPr="003E0B98" w:rsidRDefault="00607541" w:rsidP="004361AC">
      <w:pPr>
        <w:keepNext/>
        <w:spacing w:line="240" w:lineRule="auto"/>
        <w:rPr>
          <w:iCs/>
          <w:noProof/>
          <w:lang w:val="es-ES_tradnl"/>
        </w:rPr>
      </w:pPr>
      <w:r w:rsidRPr="003E0B98">
        <w:rPr>
          <w:iCs/>
          <w:noProof/>
          <w:lang w:val="es-ES_tradnl"/>
        </w:rPr>
        <w:t>S</w:t>
      </w:r>
      <w:r w:rsidR="002F7799" w:rsidRPr="003E0B98">
        <w:rPr>
          <w:iCs/>
          <w:noProof/>
          <w:lang w:val="es-ES_tradnl"/>
        </w:rPr>
        <w:t xml:space="preserve">e </w:t>
      </w:r>
      <w:r w:rsidR="00751FCF" w:rsidRPr="003E0B98">
        <w:rPr>
          <w:iCs/>
          <w:szCs w:val="22"/>
          <w:lang w:val="es-ES_tradnl"/>
        </w:rPr>
        <w:t>debe presentar</w:t>
      </w:r>
      <w:r w:rsidR="00751FCF" w:rsidRPr="003E0B98">
        <w:rPr>
          <w:iCs/>
          <w:noProof/>
          <w:lang w:val="es-ES_tradnl"/>
        </w:rPr>
        <w:t xml:space="preserve"> </w:t>
      </w:r>
      <w:r w:rsidR="002F7799" w:rsidRPr="003E0B98">
        <w:rPr>
          <w:iCs/>
          <w:noProof/>
          <w:lang w:val="es-ES_tradnl"/>
        </w:rPr>
        <w:t>un PGR actualizado:</w:t>
      </w:r>
    </w:p>
    <w:p w14:paraId="712AC3BB" w14:textId="605CEB4A" w:rsidR="00EE3E03" w:rsidRPr="003E0B98" w:rsidRDefault="00EE3E03" w:rsidP="004361AC">
      <w:pPr>
        <w:numPr>
          <w:ilvl w:val="0"/>
          <w:numId w:val="8"/>
        </w:numPr>
        <w:tabs>
          <w:tab w:val="clear" w:pos="567"/>
        </w:tabs>
        <w:ind w:left="567" w:right="-1" w:hanging="567"/>
        <w:rPr>
          <w:color w:val="000000"/>
          <w:lang w:val="es-ES"/>
        </w:rPr>
      </w:pPr>
      <w:r w:rsidRPr="003E0B98">
        <w:rPr>
          <w:iCs/>
          <w:noProof/>
          <w:lang w:val="es-ES_tradnl"/>
        </w:rPr>
        <w:t>A petición de la Agencia Europea de Medicamentos</w:t>
      </w:r>
      <w:r w:rsidR="00726D8E" w:rsidRPr="003E0B98">
        <w:rPr>
          <w:iCs/>
          <w:noProof/>
          <w:lang w:val="es-ES_tradnl"/>
        </w:rPr>
        <w:t>.</w:t>
      </w:r>
    </w:p>
    <w:p w14:paraId="10A3D0ED" w14:textId="77777777" w:rsidR="00EE3E03" w:rsidRPr="003E0B98" w:rsidRDefault="00EE3E03" w:rsidP="004361AC">
      <w:pPr>
        <w:numPr>
          <w:ilvl w:val="0"/>
          <w:numId w:val="7"/>
        </w:numPr>
        <w:ind w:left="567" w:right="-1" w:hanging="567"/>
        <w:rPr>
          <w:color w:val="000000"/>
          <w:lang w:val="es-ES"/>
        </w:rPr>
      </w:pPr>
      <w:r w:rsidRPr="003E0B98">
        <w:rPr>
          <w:color w:val="000000"/>
          <w:lang w:val="es-ES_tradnl"/>
        </w:rPr>
        <w:t>Cuando se modifique el sistema de gestión de riesgos, especialmente como resultado de nueva información disponible que pueda conllevar cambios relevantes en el perfil beneficio/riesgo, o como resultado de la consecución de un hito importante (farmacovigilancia o minimización de riesgos).</w:t>
      </w:r>
    </w:p>
    <w:p w14:paraId="7792CE77" w14:textId="77777777" w:rsidR="00D63D2E" w:rsidRPr="003E0B98" w:rsidRDefault="00D63D2E" w:rsidP="004361AC">
      <w:pPr>
        <w:ind w:right="-1"/>
        <w:rPr>
          <w:iCs/>
          <w:noProof/>
          <w:lang w:val="es-ES_tradnl"/>
        </w:rPr>
      </w:pPr>
    </w:p>
    <w:p w14:paraId="5607982D" w14:textId="77777777" w:rsidR="00C11B46" w:rsidRPr="003E0B98" w:rsidRDefault="00116638" w:rsidP="004361AC">
      <w:pPr>
        <w:keepNext/>
        <w:numPr>
          <w:ilvl w:val="0"/>
          <w:numId w:val="5"/>
        </w:numPr>
        <w:tabs>
          <w:tab w:val="clear" w:pos="0"/>
          <w:tab w:val="clear" w:pos="567"/>
        </w:tabs>
        <w:spacing w:line="240" w:lineRule="auto"/>
        <w:ind w:left="567" w:hanging="567"/>
        <w:rPr>
          <w:noProof/>
          <w:color w:val="000000"/>
          <w:lang w:val="es-ES_tradnl"/>
        </w:rPr>
      </w:pPr>
      <w:r w:rsidRPr="003E0B98">
        <w:rPr>
          <w:b/>
          <w:noProof/>
          <w:szCs w:val="24"/>
          <w:lang w:val="es-ES_tradnl"/>
        </w:rPr>
        <w:t>Medidas adicionales de minimización de riesgos</w:t>
      </w:r>
    </w:p>
    <w:p w14:paraId="7C65D461" w14:textId="77777777" w:rsidR="00453D88" w:rsidRPr="003E0B98" w:rsidRDefault="00453D88" w:rsidP="004361AC">
      <w:pPr>
        <w:keepNext/>
        <w:tabs>
          <w:tab w:val="clear" w:pos="567"/>
        </w:tabs>
        <w:spacing w:line="240" w:lineRule="auto"/>
        <w:ind w:right="567"/>
        <w:rPr>
          <w:noProof/>
          <w:color w:val="000000"/>
          <w:lang w:val="es-ES_tradnl"/>
        </w:rPr>
      </w:pPr>
    </w:p>
    <w:p w14:paraId="69918BDD" w14:textId="77777777" w:rsidR="00E1392C" w:rsidRPr="003E0B98" w:rsidRDefault="003C74D7" w:rsidP="004361AC">
      <w:pPr>
        <w:spacing w:line="240" w:lineRule="auto"/>
        <w:ind w:right="567"/>
        <w:rPr>
          <w:noProof/>
          <w:color w:val="000000"/>
          <w:lang w:val="es-ES_tradnl"/>
        </w:rPr>
      </w:pPr>
      <w:r w:rsidRPr="003E0B98">
        <w:rPr>
          <w:noProof/>
          <w:color w:val="000000"/>
          <w:lang w:val="es-ES_tradnl"/>
        </w:rPr>
        <w:t>El TAC debe</w:t>
      </w:r>
      <w:r w:rsidR="00666A70" w:rsidRPr="003E0B98">
        <w:rPr>
          <w:noProof/>
          <w:color w:val="000000"/>
          <w:lang w:val="es-ES_tradnl"/>
        </w:rPr>
        <w:t xml:space="preserve"> acordar el material informativo</w:t>
      </w:r>
      <w:r w:rsidRPr="003E0B98">
        <w:rPr>
          <w:noProof/>
          <w:color w:val="000000"/>
          <w:lang w:val="es-ES_tradnl"/>
        </w:rPr>
        <w:t xml:space="preserve"> final</w:t>
      </w:r>
      <w:r w:rsidR="00666A70" w:rsidRPr="003E0B98">
        <w:rPr>
          <w:noProof/>
          <w:color w:val="000000"/>
          <w:lang w:val="es-ES_tradnl"/>
        </w:rPr>
        <w:t xml:space="preserve"> con la Autoridad Nacional </w:t>
      </w:r>
      <w:r w:rsidR="0041487A" w:rsidRPr="003E0B98">
        <w:rPr>
          <w:noProof/>
          <w:color w:val="000000"/>
          <w:lang w:val="es-ES_tradnl"/>
        </w:rPr>
        <w:t xml:space="preserve">Competente </w:t>
      </w:r>
      <w:r w:rsidR="00E115D0" w:rsidRPr="003E0B98">
        <w:rPr>
          <w:noProof/>
          <w:color w:val="000000"/>
          <w:lang w:val="es-ES_tradnl"/>
        </w:rPr>
        <w:t xml:space="preserve">en cada Estado Miembro </w:t>
      </w:r>
      <w:r w:rsidR="00666A70" w:rsidRPr="003E0B98">
        <w:rPr>
          <w:noProof/>
          <w:color w:val="000000"/>
          <w:lang w:val="es-ES_tradnl"/>
        </w:rPr>
        <w:t>antes del lanzamiento.</w:t>
      </w:r>
    </w:p>
    <w:p w14:paraId="0FAF9C97" w14:textId="77777777" w:rsidR="00E1392C" w:rsidRPr="003E0B98" w:rsidRDefault="00E1392C" w:rsidP="004361AC">
      <w:pPr>
        <w:spacing w:line="240" w:lineRule="auto"/>
        <w:ind w:right="567"/>
        <w:rPr>
          <w:noProof/>
          <w:color w:val="000000"/>
          <w:lang w:val="es-ES_tradnl"/>
        </w:rPr>
      </w:pPr>
    </w:p>
    <w:p w14:paraId="5F1717A2" w14:textId="77777777" w:rsidR="00C11B46" w:rsidRPr="003E0B98" w:rsidRDefault="00C11B46" w:rsidP="004361AC">
      <w:pPr>
        <w:tabs>
          <w:tab w:val="clear" w:pos="567"/>
        </w:tabs>
        <w:autoSpaceDE w:val="0"/>
        <w:autoSpaceDN w:val="0"/>
        <w:adjustRightInd w:val="0"/>
        <w:spacing w:line="240" w:lineRule="auto"/>
        <w:rPr>
          <w:rFonts w:eastAsia="SimSun"/>
          <w:color w:val="000000"/>
          <w:szCs w:val="22"/>
          <w:lang w:val="es-ES_tradnl" w:eastAsia="zh-CN"/>
        </w:rPr>
      </w:pPr>
      <w:r w:rsidRPr="003E0B98">
        <w:rPr>
          <w:color w:val="000000"/>
          <w:lang w:val="es-ES_tradnl"/>
        </w:rPr>
        <w:t>El TAC debe asegurar</w:t>
      </w:r>
      <w:r w:rsidR="007B22E3" w:rsidRPr="003E0B98">
        <w:rPr>
          <w:color w:val="000000"/>
          <w:lang w:val="es-ES_tradnl"/>
        </w:rPr>
        <w:t xml:space="preserve"> que</w:t>
      </w:r>
      <w:r w:rsidR="00074E3B" w:rsidRPr="003E0B98">
        <w:rPr>
          <w:color w:val="000000"/>
          <w:lang w:val="es-ES_tradnl"/>
        </w:rPr>
        <w:t>,</w:t>
      </w:r>
      <w:r w:rsidRPr="003E0B98">
        <w:rPr>
          <w:color w:val="000000"/>
          <w:lang w:val="es-ES_tradnl"/>
        </w:rPr>
        <w:t xml:space="preserve"> </w:t>
      </w:r>
      <w:r w:rsidR="00074E3B" w:rsidRPr="003E0B98">
        <w:rPr>
          <w:color w:val="000000"/>
          <w:lang w:val="es-ES_tradnl"/>
        </w:rPr>
        <w:t xml:space="preserve">tras las conversaciones y acuerdos con las Autoridades Nacionales </w:t>
      </w:r>
      <w:r w:rsidR="0041487A" w:rsidRPr="003E0B98">
        <w:rPr>
          <w:color w:val="000000"/>
          <w:lang w:val="es-ES_tradnl"/>
        </w:rPr>
        <w:t xml:space="preserve">Competentes </w:t>
      </w:r>
      <w:r w:rsidR="00074E3B" w:rsidRPr="003E0B98">
        <w:rPr>
          <w:color w:val="000000"/>
          <w:lang w:val="es-ES_tradnl"/>
        </w:rPr>
        <w:t xml:space="preserve">en cada Estado Miembro donde se comercializa </w:t>
      </w:r>
      <w:proofErr w:type="spellStart"/>
      <w:r w:rsidR="00074E3B" w:rsidRPr="003E0B98">
        <w:rPr>
          <w:color w:val="000000"/>
          <w:lang w:val="es-ES_tradnl"/>
        </w:rPr>
        <w:t>Lucentis</w:t>
      </w:r>
      <w:proofErr w:type="spellEnd"/>
      <w:r w:rsidR="007B22E3" w:rsidRPr="003E0B98">
        <w:rPr>
          <w:color w:val="000000"/>
          <w:lang w:val="es-ES_tradnl"/>
        </w:rPr>
        <w:t>, se entregue durante y despu</w:t>
      </w:r>
      <w:r w:rsidR="00F6409B" w:rsidRPr="003E0B98">
        <w:rPr>
          <w:color w:val="000000"/>
          <w:lang w:val="es-ES_tradnl"/>
        </w:rPr>
        <w:t>és del lanzamiento</w:t>
      </w:r>
      <w:r w:rsidRPr="003E0B98">
        <w:rPr>
          <w:color w:val="000000"/>
          <w:lang w:val="es-ES_tradnl"/>
        </w:rPr>
        <w:t xml:space="preserve"> a todas las unidades oftalmológicas donde se espera que se use </w:t>
      </w:r>
      <w:proofErr w:type="spellStart"/>
      <w:r w:rsidRPr="003E0B98">
        <w:rPr>
          <w:color w:val="000000"/>
          <w:lang w:val="es-ES_tradnl"/>
        </w:rPr>
        <w:t>Lucentis</w:t>
      </w:r>
      <w:proofErr w:type="spellEnd"/>
      <w:r w:rsidR="007B22E3" w:rsidRPr="003E0B98">
        <w:rPr>
          <w:color w:val="000000"/>
          <w:lang w:val="es-ES_tradnl"/>
        </w:rPr>
        <w:t>,</w:t>
      </w:r>
      <w:r w:rsidRPr="003E0B98">
        <w:rPr>
          <w:color w:val="000000"/>
          <w:lang w:val="es-ES_tradnl"/>
        </w:rPr>
        <w:t xml:space="preserve"> </w:t>
      </w:r>
      <w:r w:rsidR="00771004" w:rsidRPr="003E0B98">
        <w:rPr>
          <w:rFonts w:eastAsia="SimSun"/>
          <w:color w:val="000000"/>
          <w:szCs w:val="22"/>
          <w:lang w:val="es-ES_tradnl" w:eastAsia="zh-CN"/>
        </w:rPr>
        <w:t>un p</w:t>
      </w:r>
      <w:r w:rsidRPr="003E0B98">
        <w:rPr>
          <w:rFonts w:eastAsia="SimSun"/>
          <w:color w:val="000000"/>
          <w:szCs w:val="22"/>
          <w:lang w:val="es-ES_tradnl" w:eastAsia="zh-CN"/>
        </w:rPr>
        <w:t>aquete de información para el paciente</w:t>
      </w:r>
      <w:r w:rsidR="00985EA0" w:rsidRPr="003E0B98">
        <w:rPr>
          <w:rFonts w:eastAsia="SimSun"/>
          <w:color w:val="000000"/>
          <w:szCs w:val="22"/>
          <w:lang w:val="es-ES_tradnl" w:eastAsia="zh-CN"/>
        </w:rPr>
        <w:t xml:space="preserve"> actualizado</w:t>
      </w:r>
      <w:r w:rsidR="00771004" w:rsidRPr="003E0B98">
        <w:rPr>
          <w:rFonts w:eastAsia="SimSun"/>
          <w:color w:val="000000"/>
          <w:szCs w:val="22"/>
          <w:lang w:val="es-ES_tradnl" w:eastAsia="zh-CN"/>
        </w:rPr>
        <w:t>.</w:t>
      </w:r>
    </w:p>
    <w:p w14:paraId="13F28655" w14:textId="77777777" w:rsidR="00C11B46" w:rsidRPr="003E0B98" w:rsidRDefault="00C11B46" w:rsidP="004361AC">
      <w:pPr>
        <w:numPr>
          <w:ilvl w:val="12"/>
          <w:numId w:val="0"/>
        </w:numPr>
        <w:spacing w:line="240" w:lineRule="auto"/>
        <w:rPr>
          <w:rFonts w:eastAsia="SimSun"/>
          <w:color w:val="000000"/>
          <w:szCs w:val="22"/>
          <w:lang w:val="es-ES_tradnl" w:eastAsia="zh-CN"/>
        </w:rPr>
      </w:pPr>
    </w:p>
    <w:p w14:paraId="5A18349B" w14:textId="77777777" w:rsidR="00C11B46" w:rsidRPr="003E0B98" w:rsidRDefault="00C11B46" w:rsidP="004361AC">
      <w:pPr>
        <w:keepNext/>
        <w:numPr>
          <w:ilvl w:val="12"/>
          <w:numId w:val="0"/>
        </w:numPr>
        <w:spacing w:line="240" w:lineRule="auto"/>
        <w:rPr>
          <w:rFonts w:eastAsia="SimSun"/>
          <w:color w:val="000000"/>
          <w:szCs w:val="22"/>
          <w:lang w:val="es-ES_tradnl" w:eastAsia="zh-CN"/>
        </w:rPr>
      </w:pPr>
      <w:r w:rsidRPr="003E0B98">
        <w:rPr>
          <w:rFonts w:eastAsia="SimSun"/>
          <w:color w:val="000000"/>
          <w:szCs w:val="22"/>
          <w:lang w:val="es-ES_tradnl" w:eastAsia="zh-CN"/>
        </w:rPr>
        <w:t xml:space="preserve">El </w:t>
      </w:r>
      <w:r w:rsidRPr="003E0B98">
        <w:rPr>
          <w:noProof/>
          <w:color w:val="000000"/>
          <w:lang w:val="es-ES_tradnl"/>
        </w:rPr>
        <w:t>paquete</w:t>
      </w:r>
      <w:r w:rsidRPr="003E0B98">
        <w:rPr>
          <w:rFonts w:eastAsia="SimSun"/>
          <w:color w:val="000000"/>
          <w:szCs w:val="22"/>
          <w:lang w:val="es-ES_tradnl" w:eastAsia="zh-CN"/>
        </w:rPr>
        <w:t xml:space="preserve"> de información para el paciente se debe proporcionar</w:t>
      </w:r>
      <w:r w:rsidR="00930310" w:rsidRPr="003E0B98">
        <w:rPr>
          <w:rFonts w:eastAsia="SimSun"/>
          <w:color w:val="000000"/>
          <w:szCs w:val="22"/>
          <w:lang w:val="es-ES_tradnl" w:eastAsia="zh-CN"/>
        </w:rPr>
        <w:t xml:space="preserve"> tanto</w:t>
      </w:r>
      <w:r w:rsidRPr="003E0B98">
        <w:rPr>
          <w:rFonts w:eastAsia="SimSun"/>
          <w:color w:val="000000"/>
          <w:szCs w:val="22"/>
          <w:lang w:val="es-ES_tradnl" w:eastAsia="zh-CN"/>
        </w:rPr>
        <w:t xml:space="preserve"> en</w:t>
      </w:r>
      <w:r w:rsidR="00930310" w:rsidRPr="003E0B98">
        <w:rPr>
          <w:rFonts w:eastAsia="SimSun"/>
          <w:color w:val="000000"/>
          <w:szCs w:val="22"/>
          <w:lang w:val="es-ES_tradnl" w:eastAsia="zh-CN"/>
        </w:rPr>
        <w:t xml:space="preserve"> la</w:t>
      </w:r>
      <w:r w:rsidRPr="003E0B98">
        <w:rPr>
          <w:rFonts w:eastAsia="SimSun"/>
          <w:color w:val="000000"/>
          <w:szCs w:val="22"/>
          <w:lang w:val="es-ES_tradnl" w:eastAsia="zh-CN"/>
        </w:rPr>
        <w:t xml:space="preserve"> forma de folletos con </w:t>
      </w:r>
      <w:r w:rsidRPr="003E0B98">
        <w:rPr>
          <w:color w:val="000000"/>
          <w:lang w:val="es-ES_tradnl"/>
        </w:rPr>
        <w:t>información</w:t>
      </w:r>
      <w:r w:rsidRPr="003E0B98">
        <w:rPr>
          <w:rFonts w:eastAsia="SimSun"/>
          <w:color w:val="000000"/>
          <w:szCs w:val="22"/>
          <w:lang w:val="es-ES_tradnl" w:eastAsia="zh-CN"/>
        </w:rPr>
        <w:t xml:space="preserve"> para el paciente </w:t>
      </w:r>
      <w:r w:rsidR="00930310" w:rsidRPr="003E0B98">
        <w:rPr>
          <w:rFonts w:eastAsia="SimSun"/>
          <w:color w:val="000000"/>
          <w:szCs w:val="22"/>
          <w:lang w:val="es-ES_tradnl" w:eastAsia="zh-CN"/>
        </w:rPr>
        <w:t>como</w:t>
      </w:r>
      <w:r w:rsidRPr="003E0B98">
        <w:rPr>
          <w:rFonts w:eastAsia="SimSun"/>
          <w:color w:val="000000"/>
          <w:szCs w:val="22"/>
          <w:lang w:val="es-ES_tradnl" w:eastAsia="zh-CN"/>
        </w:rPr>
        <w:t xml:space="preserve"> en</w:t>
      </w:r>
      <w:r w:rsidR="00930310" w:rsidRPr="003E0B98">
        <w:rPr>
          <w:rFonts w:eastAsia="SimSun"/>
          <w:color w:val="000000"/>
          <w:szCs w:val="22"/>
          <w:lang w:val="es-ES_tradnl" w:eastAsia="zh-CN"/>
        </w:rPr>
        <w:t xml:space="preserve"> un</w:t>
      </w:r>
      <w:r w:rsidRPr="003E0B98">
        <w:rPr>
          <w:rFonts w:eastAsia="SimSun"/>
          <w:color w:val="000000"/>
          <w:szCs w:val="22"/>
          <w:lang w:val="es-ES_tradnl" w:eastAsia="zh-CN"/>
        </w:rPr>
        <w:t xml:space="preserve"> audio-CD, que contendrán</w:t>
      </w:r>
      <w:r w:rsidRPr="003E0B98">
        <w:rPr>
          <w:color w:val="000000"/>
          <w:lang w:val="es-ES_tradnl"/>
        </w:rPr>
        <w:t xml:space="preserve"> los siguientes elementos básicos:</w:t>
      </w:r>
    </w:p>
    <w:p w14:paraId="6DA71451" w14:textId="77777777" w:rsidR="00C11B46" w:rsidRPr="003E0B98" w:rsidRDefault="00C11B46" w:rsidP="004361AC">
      <w:pPr>
        <w:numPr>
          <w:ilvl w:val="0"/>
          <w:numId w:val="4"/>
        </w:numPr>
        <w:tabs>
          <w:tab w:val="clear" w:pos="567"/>
        </w:tabs>
        <w:autoSpaceDE w:val="0"/>
        <w:autoSpaceDN w:val="0"/>
        <w:adjustRightInd w:val="0"/>
        <w:spacing w:line="240" w:lineRule="auto"/>
        <w:ind w:left="567" w:hanging="567"/>
        <w:rPr>
          <w:rFonts w:eastAsia="SimSun"/>
          <w:color w:val="000000"/>
          <w:szCs w:val="22"/>
          <w:lang w:val="es-ES_tradnl" w:eastAsia="zh-CN"/>
        </w:rPr>
      </w:pPr>
      <w:r w:rsidRPr="003E0B98">
        <w:rPr>
          <w:rFonts w:eastAsia="SimSun"/>
          <w:color w:val="000000"/>
          <w:szCs w:val="22"/>
          <w:lang w:val="es-ES_tradnl" w:eastAsia="zh-CN"/>
        </w:rPr>
        <w:t>Prospecto o información para el usuario</w:t>
      </w:r>
    </w:p>
    <w:p w14:paraId="3DC36ADA" w14:textId="77777777" w:rsidR="00C11B46" w:rsidRPr="003E0B98" w:rsidRDefault="00C11B46" w:rsidP="004361AC">
      <w:pPr>
        <w:numPr>
          <w:ilvl w:val="0"/>
          <w:numId w:val="4"/>
        </w:numPr>
        <w:tabs>
          <w:tab w:val="clear" w:pos="567"/>
        </w:tabs>
        <w:autoSpaceDE w:val="0"/>
        <w:autoSpaceDN w:val="0"/>
        <w:adjustRightInd w:val="0"/>
        <w:spacing w:line="240" w:lineRule="auto"/>
        <w:ind w:left="567" w:hanging="567"/>
        <w:rPr>
          <w:rFonts w:eastAsia="SimSun"/>
          <w:color w:val="000000"/>
          <w:szCs w:val="22"/>
          <w:lang w:val="es-ES_tradnl" w:eastAsia="zh-CN"/>
        </w:rPr>
      </w:pPr>
      <w:r w:rsidRPr="003E0B98">
        <w:rPr>
          <w:rFonts w:eastAsia="SimSun"/>
          <w:color w:val="000000"/>
          <w:szCs w:val="22"/>
          <w:lang w:val="es-ES_tradnl" w:eastAsia="zh-CN"/>
        </w:rPr>
        <w:t xml:space="preserve">Cómo prepararse para el tratamiento con </w:t>
      </w:r>
      <w:proofErr w:type="spellStart"/>
      <w:r w:rsidRPr="003E0B98">
        <w:rPr>
          <w:rFonts w:eastAsia="SimSun"/>
          <w:color w:val="000000"/>
          <w:szCs w:val="22"/>
          <w:lang w:val="es-ES_tradnl" w:eastAsia="zh-CN"/>
        </w:rPr>
        <w:t>Lucentis</w:t>
      </w:r>
      <w:proofErr w:type="spellEnd"/>
    </w:p>
    <w:p w14:paraId="0CE6F7C1" w14:textId="77777777" w:rsidR="00C11B46" w:rsidRPr="003E0B98" w:rsidRDefault="00C11B46" w:rsidP="004361AC">
      <w:pPr>
        <w:numPr>
          <w:ilvl w:val="0"/>
          <w:numId w:val="4"/>
        </w:numPr>
        <w:tabs>
          <w:tab w:val="clear" w:pos="567"/>
        </w:tabs>
        <w:autoSpaceDE w:val="0"/>
        <w:autoSpaceDN w:val="0"/>
        <w:adjustRightInd w:val="0"/>
        <w:spacing w:line="240" w:lineRule="auto"/>
        <w:ind w:left="567" w:hanging="567"/>
        <w:rPr>
          <w:rFonts w:eastAsia="SimSun"/>
          <w:color w:val="000000"/>
          <w:szCs w:val="22"/>
          <w:lang w:val="es-ES_tradnl" w:eastAsia="zh-CN"/>
        </w:rPr>
      </w:pPr>
      <w:proofErr w:type="gramStart"/>
      <w:r w:rsidRPr="003E0B98">
        <w:rPr>
          <w:rFonts w:eastAsia="SimSun"/>
          <w:color w:val="000000"/>
          <w:szCs w:val="22"/>
          <w:lang w:val="es-ES_tradnl" w:eastAsia="zh-CN"/>
        </w:rPr>
        <w:t>Pasos a seguir después</w:t>
      </w:r>
      <w:proofErr w:type="gramEnd"/>
      <w:r w:rsidRPr="003E0B98">
        <w:rPr>
          <w:rFonts w:eastAsia="SimSun"/>
          <w:color w:val="000000"/>
          <w:szCs w:val="22"/>
          <w:lang w:val="es-ES_tradnl" w:eastAsia="zh-CN"/>
        </w:rPr>
        <w:t xml:space="preserve"> del tratamiento con </w:t>
      </w:r>
      <w:proofErr w:type="spellStart"/>
      <w:r w:rsidRPr="003E0B98">
        <w:rPr>
          <w:rFonts w:eastAsia="SimSun"/>
          <w:color w:val="000000"/>
          <w:szCs w:val="22"/>
          <w:lang w:val="es-ES_tradnl" w:eastAsia="zh-CN"/>
        </w:rPr>
        <w:t>Lucentis</w:t>
      </w:r>
      <w:proofErr w:type="spellEnd"/>
    </w:p>
    <w:p w14:paraId="13BB5054" w14:textId="77777777" w:rsidR="00C11B46" w:rsidRPr="003E0B98" w:rsidRDefault="00C11B46" w:rsidP="004361AC">
      <w:pPr>
        <w:numPr>
          <w:ilvl w:val="0"/>
          <w:numId w:val="4"/>
        </w:numPr>
        <w:tabs>
          <w:tab w:val="clear" w:pos="567"/>
        </w:tabs>
        <w:autoSpaceDE w:val="0"/>
        <w:autoSpaceDN w:val="0"/>
        <w:adjustRightInd w:val="0"/>
        <w:spacing w:line="240" w:lineRule="auto"/>
        <w:ind w:left="567" w:hanging="567"/>
        <w:rPr>
          <w:rFonts w:eastAsia="SimSun"/>
          <w:color w:val="000000"/>
          <w:szCs w:val="22"/>
          <w:lang w:val="es-ES_tradnl" w:eastAsia="zh-CN"/>
        </w:rPr>
      </w:pPr>
      <w:r w:rsidRPr="003E0B98">
        <w:rPr>
          <w:rFonts w:eastAsia="SimSun"/>
          <w:color w:val="000000"/>
          <w:szCs w:val="22"/>
          <w:lang w:val="es-ES_tradnl" w:eastAsia="zh-CN"/>
        </w:rPr>
        <w:t>Signos y síntomas clave de los efectos adversos graves</w:t>
      </w:r>
      <w:r w:rsidR="00930310" w:rsidRPr="003E0B98">
        <w:rPr>
          <w:rFonts w:eastAsia="SimSun"/>
          <w:color w:val="000000"/>
          <w:szCs w:val="22"/>
          <w:lang w:val="es-ES_tradnl" w:eastAsia="zh-CN"/>
        </w:rPr>
        <w:t xml:space="preserve"> incluyendo aumento de la presión intraocular, </w:t>
      </w:r>
      <w:r w:rsidR="00691D7B" w:rsidRPr="003E0B98">
        <w:rPr>
          <w:color w:val="000000"/>
          <w:szCs w:val="22"/>
          <w:lang w:val="es-ES"/>
        </w:rPr>
        <w:t>inflamación intraocular, desprendimiento de retina y desgarro retiniano</w:t>
      </w:r>
      <w:r w:rsidR="00930310" w:rsidRPr="003E0B98">
        <w:rPr>
          <w:rFonts w:eastAsia="SimSun"/>
          <w:color w:val="000000"/>
          <w:szCs w:val="22"/>
          <w:lang w:val="es-ES_tradnl" w:eastAsia="zh-CN"/>
        </w:rPr>
        <w:t xml:space="preserve"> y </w:t>
      </w:r>
      <w:proofErr w:type="spellStart"/>
      <w:r w:rsidR="00930310" w:rsidRPr="003E0B98">
        <w:rPr>
          <w:rFonts w:eastAsia="SimSun"/>
          <w:color w:val="000000"/>
          <w:szCs w:val="22"/>
          <w:lang w:val="es-ES_tradnl" w:eastAsia="zh-CN"/>
        </w:rPr>
        <w:t>endoftalmitis</w:t>
      </w:r>
      <w:proofErr w:type="spellEnd"/>
      <w:r w:rsidR="006651B6" w:rsidRPr="003E0B98">
        <w:rPr>
          <w:rFonts w:eastAsia="SimSun"/>
          <w:color w:val="000000"/>
          <w:szCs w:val="22"/>
          <w:lang w:val="es-ES_tradnl" w:eastAsia="zh-CN"/>
        </w:rPr>
        <w:t xml:space="preserve"> infecciosa</w:t>
      </w:r>
    </w:p>
    <w:p w14:paraId="1405563F" w14:textId="77777777" w:rsidR="00C11B46" w:rsidRPr="003E0B98" w:rsidRDefault="00C11B46" w:rsidP="004361AC">
      <w:pPr>
        <w:numPr>
          <w:ilvl w:val="0"/>
          <w:numId w:val="4"/>
        </w:numPr>
        <w:tabs>
          <w:tab w:val="clear" w:pos="567"/>
        </w:tabs>
        <w:autoSpaceDE w:val="0"/>
        <w:autoSpaceDN w:val="0"/>
        <w:adjustRightInd w:val="0"/>
        <w:spacing w:line="240" w:lineRule="auto"/>
        <w:ind w:left="567" w:hanging="567"/>
        <w:rPr>
          <w:rFonts w:eastAsia="SimSun"/>
          <w:color w:val="000000"/>
          <w:szCs w:val="22"/>
          <w:lang w:val="es-ES_tradnl" w:eastAsia="zh-CN"/>
        </w:rPr>
      </w:pPr>
      <w:proofErr w:type="gramStart"/>
      <w:r w:rsidRPr="003E0B98">
        <w:rPr>
          <w:rFonts w:eastAsia="SimSun"/>
          <w:color w:val="000000"/>
          <w:szCs w:val="22"/>
          <w:lang w:val="es-ES_tradnl" w:eastAsia="zh-CN"/>
        </w:rPr>
        <w:t>Cuándo</w:t>
      </w:r>
      <w:proofErr w:type="gramEnd"/>
      <w:r w:rsidRPr="003E0B98">
        <w:rPr>
          <w:rFonts w:eastAsia="SimSun"/>
          <w:color w:val="000000"/>
          <w:szCs w:val="22"/>
          <w:lang w:val="es-ES_tradnl" w:eastAsia="zh-CN"/>
        </w:rPr>
        <w:t xml:space="preserve"> deben requerir atención médica urgente</w:t>
      </w:r>
    </w:p>
    <w:p w14:paraId="2BCA7D6A" w14:textId="77777777" w:rsidR="00C11B46" w:rsidRPr="003E0B98" w:rsidRDefault="00C11B46" w:rsidP="004361AC">
      <w:pPr>
        <w:numPr>
          <w:ilvl w:val="12"/>
          <w:numId w:val="0"/>
        </w:numPr>
        <w:spacing w:line="240" w:lineRule="auto"/>
        <w:rPr>
          <w:rFonts w:eastAsia="SimSun"/>
          <w:szCs w:val="22"/>
          <w:lang w:val="es-ES_tradnl" w:eastAsia="zh-CN"/>
        </w:rPr>
      </w:pPr>
    </w:p>
    <w:p w14:paraId="3BABC1C0" w14:textId="77777777" w:rsidR="00C11B46" w:rsidRPr="003E0B98" w:rsidRDefault="00C11B46" w:rsidP="004361AC">
      <w:pPr>
        <w:numPr>
          <w:ilvl w:val="12"/>
          <w:numId w:val="0"/>
        </w:numPr>
        <w:spacing w:line="240" w:lineRule="auto"/>
        <w:rPr>
          <w:szCs w:val="22"/>
          <w:lang w:val="es-ES"/>
        </w:rPr>
      </w:pPr>
    </w:p>
    <w:p w14:paraId="4734A968" w14:textId="77777777" w:rsidR="00FA2D95" w:rsidRPr="003E0B98" w:rsidRDefault="00FA2D95" w:rsidP="004361AC">
      <w:pPr>
        <w:tabs>
          <w:tab w:val="clear" w:pos="567"/>
        </w:tabs>
        <w:spacing w:line="240" w:lineRule="auto"/>
        <w:rPr>
          <w:szCs w:val="22"/>
          <w:lang w:val="es-ES"/>
        </w:rPr>
      </w:pPr>
      <w:r w:rsidRPr="003E0B98">
        <w:rPr>
          <w:szCs w:val="22"/>
          <w:lang w:val="es-ES"/>
        </w:rPr>
        <w:br w:type="page"/>
      </w:r>
    </w:p>
    <w:p w14:paraId="4A53DFA2" w14:textId="77777777" w:rsidR="00FA2D95" w:rsidRPr="003E0B98" w:rsidRDefault="00FA2D95" w:rsidP="004361AC">
      <w:pPr>
        <w:tabs>
          <w:tab w:val="clear" w:pos="567"/>
        </w:tabs>
        <w:spacing w:line="240" w:lineRule="auto"/>
        <w:rPr>
          <w:color w:val="000000"/>
          <w:szCs w:val="22"/>
          <w:lang w:val="es-ES"/>
        </w:rPr>
      </w:pPr>
    </w:p>
    <w:p w14:paraId="0EB7366D" w14:textId="77777777" w:rsidR="00FA2D95" w:rsidRPr="003E0B98" w:rsidRDefault="00FA2D95" w:rsidP="004361AC">
      <w:pPr>
        <w:tabs>
          <w:tab w:val="clear" w:pos="567"/>
        </w:tabs>
        <w:spacing w:line="240" w:lineRule="auto"/>
        <w:rPr>
          <w:color w:val="000000"/>
          <w:szCs w:val="22"/>
          <w:lang w:val="es-ES"/>
        </w:rPr>
      </w:pPr>
    </w:p>
    <w:p w14:paraId="25AFAEA5" w14:textId="77777777" w:rsidR="00FA2D95" w:rsidRPr="003E0B98" w:rsidRDefault="00FA2D95" w:rsidP="004361AC">
      <w:pPr>
        <w:tabs>
          <w:tab w:val="clear" w:pos="567"/>
        </w:tabs>
        <w:spacing w:line="240" w:lineRule="auto"/>
        <w:rPr>
          <w:color w:val="000000"/>
          <w:szCs w:val="22"/>
          <w:lang w:val="es-ES"/>
        </w:rPr>
      </w:pPr>
    </w:p>
    <w:p w14:paraId="5FCBA883" w14:textId="77777777" w:rsidR="00FA2D95" w:rsidRPr="003E0B98" w:rsidRDefault="00FA2D95" w:rsidP="004361AC">
      <w:pPr>
        <w:tabs>
          <w:tab w:val="clear" w:pos="567"/>
        </w:tabs>
        <w:spacing w:line="240" w:lineRule="auto"/>
        <w:rPr>
          <w:color w:val="000000"/>
          <w:szCs w:val="22"/>
          <w:lang w:val="es-ES"/>
        </w:rPr>
      </w:pPr>
    </w:p>
    <w:p w14:paraId="230C88C0" w14:textId="77777777" w:rsidR="00FA2D95" w:rsidRPr="003E0B98" w:rsidRDefault="00FA2D95" w:rsidP="004361AC">
      <w:pPr>
        <w:tabs>
          <w:tab w:val="clear" w:pos="567"/>
        </w:tabs>
        <w:spacing w:line="240" w:lineRule="auto"/>
        <w:rPr>
          <w:color w:val="000000"/>
          <w:szCs w:val="22"/>
          <w:lang w:val="es-ES"/>
        </w:rPr>
      </w:pPr>
    </w:p>
    <w:p w14:paraId="32E6FB74" w14:textId="77777777" w:rsidR="00FA2D95" w:rsidRPr="003E0B98" w:rsidRDefault="00FA2D95" w:rsidP="004361AC">
      <w:pPr>
        <w:tabs>
          <w:tab w:val="clear" w:pos="567"/>
        </w:tabs>
        <w:spacing w:line="240" w:lineRule="auto"/>
        <w:rPr>
          <w:color w:val="000000"/>
          <w:szCs w:val="22"/>
          <w:lang w:val="es-ES"/>
        </w:rPr>
      </w:pPr>
    </w:p>
    <w:p w14:paraId="6249527A" w14:textId="77777777" w:rsidR="00F23C9B" w:rsidRPr="003E0B98" w:rsidRDefault="00F23C9B" w:rsidP="004361AC">
      <w:pPr>
        <w:tabs>
          <w:tab w:val="clear" w:pos="567"/>
        </w:tabs>
        <w:spacing w:line="240" w:lineRule="auto"/>
        <w:rPr>
          <w:color w:val="000000"/>
          <w:szCs w:val="22"/>
          <w:lang w:val="es-ES"/>
        </w:rPr>
      </w:pPr>
    </w:p>
    <w:p w14:paraId="31EDFB25" w14:textId="77777777" w:rsidR="00FA2D95" w:rsidRPr="003E0B98" w:rsidRDefault="00FA2D95" w:rsidP="004361AC">
      <w:pPr>
        <w:tabs>
          <w:tab w:val="clear" w:pos="567"/>
        </w:tabs>
        <w:spacing w:line="240" w:lineRule="auto"/>
        <w:rPr>
          <w:color w:val="000000"/>
          <w:szCs w:val="22"/>
          <w:lang w:val="es-ES"/>
        </w:rPr>
      </w:pPr>
    </w:p>
    <w:p w14:paraId="11C898B4" w14:textId="77777777" w:rsidR="00FA2D95" w:rsidRPr="003E0B98" w:rsidRDefault="00FA2D95" w:rsidP="004361AC">
      <w:pPr>
        <w:tabs>
          <w:tab w:val="clear" w:pos="567"/>
        </w:tabs>
        <w:spacing w:line="240" w:lineRule="auto"/>
        <w:rPr>
          <w:color w:val="000000"/>
          <w:szCs w:val="22"/>
          <w:lang w:val="es-ES"/>
        </w:rPr>
      </w:pPr>
    </w:p>
    <w:p w14:paraId="5796F832" w14:textId="77777777" w:rsidR="00FA2D95" w:rsidRPr="003E0B98" w:rsidRDefault="00FA2D95" w:rsidP="004361AC">
      <w:pPr>
        <w:tabs>
          <w:tab w:val="clear" w:pos="567"/>
        </w:tabs>
        <w:spacing w:line="240" w:lineRule="auto"/>
        <w:rPr>
          <w:color w:val="000000"/>
          <w:szCs w:val="22"/>
          <w:lang w:val="es-ES"/>
        </w:rPr>
      </w:pPr>
    </w:p>
    <w:p w14:paraId="55BC88F4" w14:textId="77777777" w:rsidR="00FA2D95" w:rsidRPr="003E0B98" w:rsidRDefault="00FA2D95" w:rsidP="004361AC">
      <w:pPr>
        <w:tabs>
          <w:tab w:val="clear" w:pos="567"/>
        </w:tabs>
        <w:spacing w:line="240" w:lineRule="auto"/>
        <w:rPr>
          <w:color w:val="000000"/>
          <w:szCs w:val="22"/>
          <w:lang w:val="es-ES"/>
        </w:rPr>
      </w:pPr>
    </w:p>
    <w:p w14:paraId="3CDEDCF8" w14:textId="77777777" w:rsidR="00FA2D95" w:rsidRPr="003E0B98" w:rsidRDefault="00FA2D95" w:rsidP="004361AC">
      <w:pPr>
        <w:tabs>
          <w:tab w:val="clear" w:pos="567"/>
        </w:tabs>
        <w:spacing w:line="240" w:lineRule="auto"/>
        <w:rPr>
          <w:color w:val="000000"/>
          <w:szCs w:val="22"/>
          <w:lang w:val="es-ES"/>
        </w:rPr>
      </w:pPr>
    </w:p>
    <w:p w14:paraId="4CCFF840" w14:textId="77777777" w:rsidR="00FA2D95" w:rsidRPr="003E0B98" w:rsidRDefault="00FA2D95" w:rsidP="004361AC">
      <w:pPr>
        <w:tabs>
          <w:tab w:val="clear" w:pos="567"/>
        </w:tabs>
        <w:spacing w:line="240" w:lineRule="auto"/>
        <w:rPr>
          <w:color w:val="000000"/>
          <w:szCs w:val="22"/>
          <w:lang w:val="es-ES"/>
        </w:rPr>
      </w:pPr>
    </w:p>
    <w:p w14:paraId="61738724" w14:textId="77777777" w:rsidR="00FA2D95" w:rsidRPr="003E0B98" w:rsidRDefault="00FA2D95" w:rsidP="004361AC">
      <w:pPr>
        <w:tabs>
          <w:tab w:val="clear" w:pos="567"/>
        </w:tabs>
        <w:spacing w:line="240" w:lineRule="auto"/>
        <w:rPr>
          <w:color w:val="000000"/>
          <w:szCs w:val="22"/>
          <w:lang w:val="es-ES"/>
        </w:rPr>
      </w:pPr>
    </w:p>
    <w:p w14:paraId="28144C64" w14:textId="77777777" w:rsidR="00FA2D95" w:rsidRPr="003E0B98" w:rsidRDefault="00FA2D95" w:rsidP="004361AC">
      <w:pPr>
        <w:tabs>
          <w:tab w:val="clear" w:pos="567"/>
        </w:tabs>
        <w:spacing w:line="240" w:lineRule="auto"/>
        <w:rPr>
          <w:color w:val="000000"/>
          <w:szCs w:val="22"/>
          <w:lang w:val="es-ES"/>
        </w:rPr>
      </w:pPr>
    </w:p>
    <w:p w14:paraId="2DC369C7" w14:textId="77777777" w:rsidR="00FA2D95" w:rsidRPr="003E0B98" w:rsidRDefault="00FA2D95" w:rsidP="004361AC">
      <w:pPr>
        <w:tabs>
          <w:tab w:val="clear" w:pos="567"/>
        </w:tabs>
        <w:spacing w:line="240" w:lineRule="auto"/>
        <w:rPr>
          <w:color w:val="000000"/>
          <w:szCs w:val="22"/>
          <w:lang w:val="es-ES"/>
        </w:rPr>
      </w:pPr>
    </w:p>
    <w:p w14:paraId="3CBDBBC7" w14:textId="77777777" w:rsidR="00FA2D95" w:rsidRPr="003E0B98" w:rsidRDefault="00FA2D95" w:rsidP="004361AC">
      <w:pPr>
        <w:tabs>
          <w:tab w:val="clear" w:pos="567"/>
        </w:tabs>
        <w:spacing w:line="240" w:lineRule="auto"/>
        <w:rPr>
          <w:color w:val="000000"/>
          <w:szCs w:val="22"/>
          <w:lang w:val="es-ES"/>
        </w:rPr>
      </w:pPr>
    </w:p>
    <w:p w14:paraId="55D99BE1" w14:textId="77777777" w:rsidR="00FA2D95" w:rsidRPr="003E0B98" w:rsidRDefault="00FA2D95" w:rsidP="004361AC">
      <w:pPr>
        <w:tabs>
          <w:tab w:val="clear" w:pos="567"/>
        </w:tabs>
        <w:spacing w:line="240" w:lineRule="auto"/>
        <w:rPr>
          <w:color w:val="000000"/>
          <w:szCs w:val="22"/>
          <w:lang w:val="es-ES"/>
        </w:rPr>
      </w:pPr>
    </w:p>
    <w:p w14:paraId="183DF7BC" w14:textId="77777777" w:rsidR="00FA2D95" w:rsidRPr="003E0B98" w:rsidRDefault="00FA2D95" w:rsidP="004361AC">
      <w:pPr>
        <w:tabs>
          <w:tab w:val="clear" w:pos="567"/>
        </w:tabs>
        <w:spacing w:line="240" w:lineRule="auto"/>
        <w:rPr>
          <w:color w:val="000000"/>
          <w:szCs w:val="22"/>
          <w:lang w:val="es-ES"/>
        </w:rPr>
      </w:pPr>
    </w:p>
    <w:p w14:paraId="1C55977A" w14:textId="77777777" w:rsidR="00FA2D95" w:rsidRPr="003E0B98" w:rsidRDefault="00FA2D95" w:rsidP="004361AC">
      <w:pPr>
        <w:tabs>
          <w:tab w:val="clear" w:pos="567"/>
        </w:tabs>
        <w:spacing w:line="240" w:lineRule="auto"/>
        <w:rPr>
          <w:color w:val="000000"/>
          <w:szCs w:val="22"/>
          <w:lang w:val="es-ES"/>
        </w:rPr>
      </w:pPr>
    </w:p>
    <w:p w14:paraId="1AA0F54B" w14:textId="77777777" w:rsidR="00FA2D95" w:rsidRPr="003E0B98" w:rsidRDefault="00FA2D95" w:rsidP="004361AC">
      <w:pPr>
        <w:tabs>
          <w:tab w:val="clear" w:pos="567"/>
        </w:tabs>
        <w:spacing w:line="240" w:lineRule="auto"/>
        <w:rPr>
          <w:color w:val="000000"/>
          <w:szCs w:val="22"/>
          <w:lang w:val="es-ES"/>
        </w:rPr>
      </w:pPr>
    </w:p>
    <w:p w14:paraId="2BEF0D26" w14:textId="77777777" w:rsidR="00FA2D95" w:rsidRPr="003E0B98" w:rsidRDefault="00FA2D95" w:rsidP="004361AC">
      <w:pPr>
        <w:tabs>
          <w:tab w:val="clear" w:pos="567"/>
        </w:tabs>
        <w:spacing w:line="240" w:lineRule="auto"/>
        <w:rPr>
          <w:color w:val="000000"/>
          <w:szCs w:val="22"/>
          <w:lang w:val="es-ES"/>
        </w:rPr>
      </w:pPr>
    </w:p>
    <w:p w14:paraId="0CD8288D" w14:textId="77777777" w:rsidR="00FA2D95" w:rsidRPr="003E0B98" w:rsidRDefault="00FA2D95" w:rsidP="004361AC">
      <w:pPr>
        <w:tabs>
          <w:tab w:val="clear" w:pos="567"/>
        </w:tabs>
        <w:spacing w:line="240" w:lineRule="auto"/>
        <w:rPr>
          <w:color w:val="000000"/>
          <w:szCs w:val="22"/>
          <w:lang w:val="es-ES"/>
        </w:rPr>
      </w:pPr>
    </w:p>
    <w:p w14:paraId="5B98501C" w14:textId="77777777" w:rsidR="00FA2D95" w:rsidRPr="003E0B98" w:rsidRDefault="00FA2D95" w:rsidP="004361AC">
      <w:pPr>
        <w:tabs>
          <w:tab w:val="clear" w:pos="567"/>
        </w:tabs>
        <w:spacing w:line="240" w:lineRule="auto"/>
        <w:jc w:val="center"/>
        <w:rPr>
          <w:b/>
          <w:color w:val="000000"/>
          <w:szCs w:val="22"/>
          <w:lang w:val="es-ES_tradnl"/>
        </w:rPr>
      </w:pPr>
      <w:r w:rsidRPr="003E0B98">
        <w:rPr>
          <w:b/>
          <w:noProof/>
          <w:color w:val="000000"/>
          <w:lang w:val="pt-PT"/>
        </w:rPr>
        <w:t>ANEXO III</w:t>
      </w:r>
    </w:p>
    <w:p w14:paraId="7D46266C" w14:textId="77777777" w:rsidR="00FA2D95" w:rsidRPr="003E0B98" w:rsidRDefault="00FA2D95" w:rsidP="004361AC">
      <w:pPr>
        <w:tabs>
          <w:tab w:val="clear" w:pos="567"/>
        </w:tabs>
        <w:spacing w:line="240" w:lineRule="auto"/>
        <w:jc w:val="center"/>
        <w:rPr>
          <w:color w:val="000000"/>
          <w:szCs w:val="22"/>
          <w:lang w:val="es-ES_tradnl"/>
        </w:rPr>
      </w:pPr>
    </w:p>
    <w:p w14:paraId="073CFECA" w14:textId="77777777" w:rsidR="00FA2D95" w:rsidRPr="003E0B98" w:rsidRDefault="00FA2D95" w:rsidP="004361AC">
      <w:pPr>
        <w:tabs>
          <w:tab w:val="clear" w:pos="567"/>
        </w:tabs>
        <w:spacing w:line="240" w:lineRule="auto"/>
        <w:jc w:val="center"/>
        <w:rPr>
          <w:b/>
          <w:color w:val="000000"/>
          <w:szCs w:val="22"/>
          <w:lang w:val="es-ES_tradnl"/>
        </w:rPr>
      </w:pPr>
      <w:r w:rsidRPr="003E0B98">
        <w:rPr>
          <w:b/>
          <w:noProof/>
          <w:color w:val="000000"/>
          <w:lang w:val="es-ES_tradnl"/>
        </w:rPr>
        <w:t>ETIQUETADO Y PROSPECTO</w:t>
      </w:r>
    </w:p>
    <w:p w14:paraId="4A07411B" w14:textId="77777777" w:rsidR="00FA2D95" w:rsidRPr="003E0B98" w:rsidRDefault="00FA2D95" w:rsidP="004361AC">
      <w:pPr>
        <w:tabs>
          <w:tab w:val="clear" w:pos="567"/>
        </w:tabs>
        <w:spacing w:line="240" w:lineRule="auto"/>
        <w:rPr>
          <w:color w:val="000000"/>
          <w:szCs w:val="22"/>
          <w:lang w:val="es-ES_tradnl"/>
        </w:rPr>
      </w:pPr>
      <w:r w:rsidRPr="003E0B98">
        <w:rPr>
          <w:color w:val="000000"/>
          <w:szCs w:val="22"/>
          <w:lang w:val="es-ES_tradnl"/>
        </w:rPr>
        <w:br w:type="page"/>
      </w:r>
    </w:p>
    <w:p w14:paraId="13598BB8" w14:textId="77777777" w:rsidR="00FA2D95" w:rsidRPr="003E0B98" w:rsidRDefault="00FA2D95" w:rsidP="004361AC">
      <w:pPr>
        <w:tabs>
          <w:tab w:val="clear" w:pos="567"/>
        </w:tabs>
        <w:spacing w:line="240" w:lineRule="auto"/>
        <w:rPr>
          <w:color w:val="000000"/>
          <w:szCs w:val="22"/>
          <w:lang w:val="es-ES_tradnl"/>
        </w:rPr>
      </w:pPr>
    </w:p>
    <w:p w14:paraId="6D51BC53" w14:textId="77777777" w:rsidR="00F23C9B" w:rsidRPr="003E0B98" w:rsidRDefault="00F23C9B" w:rsidP="004361AC">
      <w:pPr>
        <w:tabs>
          <w:tab w:val="clear" w:pos="567"/>
        </w:tabs>
        <w:spacing w:line="240" w:lineRule="auto"/>
        <w:rPr>
          <w:color w:val="000000"/>
          <w:szCs w:val="22"/>
          <w:lang w:val="es-ES_tradnl"/>
        </w:rPr>
      </w:pPr>
    </w:p>
    <w:p w14:paraId="73B2BBFA" w14:textId="77777777" w:rsidR="00FA2D95" w:rsidRPr="003E0B98" w:rsidRDefault="00FA2D95" w:rsidP="004361AC">
      <w:pPr>
        <w:tabs>
          <w:tab w:val="clear" w:pos="567"/>
        </w:tabs>
        <w:spacing w:line="240" w:lineRule="auto"/>
        <w:rPr>
          <w:color w:val="000000"/>
          <w:szCs w:val="22"/>
          <w:lang w:val="es-ES_tradnl"/>
        </w:rPr>
      </w:pPr>
    </w:p>
    <w:p w14:paraId="2AE26187" w14:textId="77777777" w:rsidR="00FA2D95" w:rsidRPr="003E0B98" w:rsidRDefault="00FA2D95" w:rsidP="004361AC">
      <w:pPr>
        <w:tabs>
          <w:tab w:val="clear" w:pos="567"/>
        </w:tabs>
        <w:spacing w:line="240" w:lineRule="auto"/>
        <w:rPr>
          <w:color w:val="000000"/>
          <w:szCs w:val="22"/>
          <w:lang w:val="es-ES_tradnl"/>
        </w:rPr>
      </w:pPr>
    </w:p>
    <w:p w14:paraId="49C44DB0" w14:textId="77777777" w:rsidR="00FA2D95" w:rsidRPr="003E0B98" w:rsidRDefault="00FA2D95" w:rsidP="004361AC">
      <w:pPr>
        <w:tabs>
          <w:tab w:val="clear" w:pos="567"/>
        </w:tabs>
        <w:spacing w:line="240" w:lineRule="auto"/>
        <w:rPr>
          <w:color w:val="000000"/>
          <w:szCs w:val="22"/>
          <w:lang w:val="es-ES_tradnl"/>
        </w:rPr>
      </w:pPr>
    </w:p>
    <w:p w14:paraId="0AE52405" w14:textId="77777777" w:rsidR="00FA2D95" w:rsidRPr="003E0B98" w:rsidRDefault="00FA2D95" w:rsidP="004361AC">
      <w:pPr>
        <w:tabs>
          <w:tab w:val="clear" w:pos="567"/>
        </w:tabs>
        <w:spacing w:line="240" w:lineRule="auto"/>
        <w:rPr>
          <w:color w:val="000000"/>
          <w:szCs w:val="22"/>
          <w:lang w:val="es-ES_tradnl"/>
        </w:rPr>
      </w:pPr>
    </w:p>
    <w:p w14:paraId="13A38772" w14:textId="77777777" w:rsidR="00FA2D95" w:rsidRPr="003E0B98" w:rsidRDefault="00FA2D95" w:rsidP="004361AC">
      <w:pPr>
        <w:tabs>
          <w:tab w:val="clear" w:pos="567"/>
        </w:tabs>
        <w:spacing w:line="240" w:lineRule="auto"/>
        <w:rPr>
          <w:color w:val="000000"/>
          <w:szCs w:val="22"/>
          <w:lang w:val="es-ES_tradnl"/>
        </w:rPr>
      </w:pPr>
    </w:p>
    <w:p w14:paraId="038FD9AA" w14:textId="77777777" w:rsidR="00FA2D95" w:rsidRPr="003E0B98" w:rsidRDefault="00FA2D95" w:rsidP="004361AC">
      <w:pPr>
        <w:tabs>
          <w:tab w:val="clear" w:pos="567"/>
        </w:tabs>
        <w:spacing w:line="240" w:lineRule="auto"/>
        <w:rPr>
          <w:color w:val="000000"/>
          <w:szCs w:val="22"/>
          <w:lang w:val="es-ES_tradnl"/>
        </w:rPr>
      </w:pPr>
    </w:p>
    <w:p w14:paraId="409DF98B" w14:textId="77777777" w:rsidR="00FA2D95" w:rsidRPr="003E0B98" w:rsidRDefault="00FA2D95" w:rsidP="004361AC">
      <w:pPr>
        <w:tabs>
          <w:tab w:val="clear" w:pos="567"/>
        </w:tabs>
        <w:spacing w:line="240" w:lineRule="auto"/>
        <w:rPr>
          <w:color w:val="000000"/>
          <w:szCs w:val="22"/>
          <w:lang w:val="es-ES_tradnl"/>
        </w:rPr>
      </w:pPr>
    </w:p>
    <w:p w14:paraId="077B1879" w14:textId="77777777" w:rsidR="00FA2D95" w:rsidRPr="003E0B98" w:rsidRDefault="00FA2D95" w:rsidP="004361AC">
      <w:pPr>
        <w:tabs>
          <w:tab w:val="clear" w:pos="567"/>
        </w:tabs>
        <w:spacing w:line="240" w:lineRule="auto"/>
        <w:rPr>
          <w:color w:val="000000"/>
          <w:szCs w:val="22"/>
          <w:lang w:val="es-ES_tradnl"/>
        </w:rPr>
      </w:pPr>
    </w:p>
    <w:p w14:paraId="18669EAB" w14:textId="77777777" w:rsidR="00FA2D95" w:rsidRPr="003E0B98" w:rsidRDefault="00FA2D95" w:rsidP="004361AC">
      <w:pPr>
        <w:tabs>
          <w:tab w:val="clear" w:pos="567"/>
        </w:tabs>
        <w:spacing w:line="240" w:lineRule="auto"/>
        <w:rPr>
          <w:color w:val="000000"/>
          <w:szCs w:val="22"/>
          <w:lang w:val="es-ES_tradnl"/>
        </w:rPr>
      </w:pPr>
    </w:p>
    <w:p w14:paraId="33E1CF41" w14:textId="77777777" w:rsidR="00FA2D95" w:rsidRPr="003E0B98" w:rsidRDefault="00FA2D95" w:rsidP="004361AC">
      <w:pPr>
        <w:tabs>
          <w:tab w:val="clear" w:pos="567"/>
        </w:tabs>
        <w:spacing w:line="240" w:lineRule="auto"/>
        <w:rPr>
          <w:color w:val="000000"/>
          <w:szCs w:val="22"/>
          <w:lang w:val="es-ES_tradnl"/>
        </w:rPr>
      </w:pPr>
    </w:p>
    <w:p w14:paraId="78D8AEE0" w14:textId="77777777" w:rsidR="00FA2D95" w:rsidRPr="003E0B98" w:rsidRDefault="00FA2D95" w:rsidP="004361AC">
      <w:pPr>
        <w:tabs>
          <w:tab w:val="clear" w:pos="567"/>
        </w:tabs>
        <w:spacing w:line="240" w:lineRule="auto"/>
        <w:rPr>
          <w:color w:val="000000"/>
          <w:szCs w:val="22"/>
          <w:lang w:val="es-ES_tradnl"/>
        </w:rPr>
      </w:pPr>
    </w:p>
    <w:p w14:paraId="2BB9C568" w14:textId="77777777" w:rsidR="00FA2D95" w:rsidRPr="003E0B98" w:rsidRDefault="00FA2D95" w:rsidP="004361AC">
      <w:pPr>
        <w:tabs>
          <w:tab w:val="clear" w:pos="567"/>
        </w:tabs>
        <w:spacing w:line="240" w:lineRule="auto"/>
        <w:rPr>
          <w:color w:val="000000"/>
          <w:szCs w:val="22"/>
          <w:lang w:val="es-ES_tradnl"/>
        </w:rPr>
      </w:pPr>
    </w:p>
    <w:p w14:paraId="10D6EE57" w14:textId="77777777" w:rsidR="00FA2D95" w:rsidRPr="003E0B98" w:rsidRDefault="00FA2D95" w:rsidP="004361AC">
      <w:pPr>
        <w:tabs>
          <w:tab w:val="clear" w:pos="567"/>
        </w:tabs>
        <w:spacing w:line="240" w:lineRule="auto"/>
        <w:rPr>
          <w:color w:val="000000"/>
          <w:szCs w:val="22"/>
          <w:lang w:val="es-ES_tradnl"/>
        </w:rPr>
      </w:pPr>
    </w:p>
    <w:p w14:paraId="208244FE" w14:textId="77777777" w:rsidR="00FA2D95" w:rsidRPr="003E0B98" w:rsidRDefault="00FA2D95" w:rsidP="004361AC">
      <w:pPr>
        <w:tabs>
          <w:tab w:val="clear" w:pos="567"/>
        </w:tabs>
        <w:spacing w:line="240" w:lineRule="auto"/>
        <w:rPr>
          <w:color w:val="000000"/>
          <w:szCs w:val="22"/>
          <w:lang w:val="es-ES_tradnl"/>
        </w:rPr>
      </w:pPr>
    </w:p>
    <w:p w14:paraId="409D7F64" w14:textId="77777777" w:rsidR="00FA2D95" w:rsidRPr="003E0B98" w:rsidRDefault="00FA2D95" w:rsidP="004361AC">
      <w:pPr>
        <w:tabs>
          <w:tab w:val="clear" w:pos="567"/>
        </w:tabs>
        <w:spacing w:line="240" w:lineRule="auto"/>
        <w:rPr>
          <w:color w:val="000000"/>
          <w:szCs w:val="22"/>
          <w:lang w:val="es-ES_tradnl"/>
        </w:rPr>
      </w:pPr>
    </w:p>
    <w:p w14:paraId="752D053A" w14:textId="77777777" w:rsidR="00FA2D95" w:rsidRPr="003E0B98" w:rsidRDefault="00FA2D95" w:rsidP="004361AC">
      <w:pPr>
        <w:tabs>
          <w:tab w:val="clear" w:pos="567"/>
        </w:tabs>
        <w:spacing w:line="240" w:lineRule="auto"/>
        <w:rPr>
          <w:color w:val="000000"/>
          <w:szCs w:val="22"/>
          <w:lang w:val="es-ES_tradnl"/>
        </w:rPr>
      </w:pPr>
    </w:p>
    <w:p w14:paraId="5B2E8378" w14:textId="77777777" w:rsidR="00FA2D95" w:rsidRPr="003E0B98" w:rsidRDefault="00FA2D95" w:rsidP="004361AC">
      <w:pPr>
        <w:tabs>
          <w:tab w:val="clear" w:pos="567"/>
        </w:tabs>
        <w:spacing w:line="240" w:lineRule="auto"/>
        <w:rPr>
          <w:color w:val="000000"/>
          <w:szCs w:val="22"/>
          <w:lang w:val="es-ES_tradnl"/>
        </w:rPr>
      </w:pPr>
    </w:p>
    <w:p w14:paraId="2276871C" w14:textId="77777777" w:rsidR="00FA2D95" w:rsidRPr="003E0B98" w:rsidRDefault="00FA2D95" w:rsidP="004361AC">
      <w:pPr>
        <w:tabs>
          <w:tab w:val="clear" w:pos="567"/>
        </w:tabs>
        <w:spacing w:line="240" w:lineRule="auto"/>
        <w:rPr>
          <w:color w:val="000000"/>
          <w:szCs w:val="22"/>
          <w:lang w:val="es-ES_tradnl"/>
        </w:rPr>
      </w:pPr>
    </w:p>
    <w:p w14:paraId="382A01F5" w14:textId="77777777" w:rsidR="00FA2D95" w:rsidRPr="003E0B98" w:rsidRDefault="00FA2D95" w:rsidP="004361AC">
      <w:pPr>
        <w:tabs>
          <w:tab w:val="clear" w:pos="567"/>
        </w:tabs>
        <w:spacing w:line="240" w:lineRule="auto"/>
        <w:rPr>
          <w:color w:val="000000"/>
          <w:szCs w:val="22"/>
          <w:lang w:val="es-ES_tradnl"/>
        </w:rPr>
      </w:pPr>
    </w:p>
    <w:p w14:paraId="3E99E41A" w14:textId="77777777" w:rsidR="00FA2D95" w:rsidRPr="003E0B98" w:rsidRDefault="00FA2D95" w:rsidP="004361AC">
      <w:pPr>
        <w:tabs>
          <w:tab w:val="clear" w:pos="567"/>
        </w:tabs>
        <w:spacing w:line="240" w:lineRule="auto"/>
        <w:rPr>
          <w:color w:val="000000"/>
          <w:szCs w:val="22"/>
          <w:lang w:val="es-ES_tradnl"/>
        </w:rPr>
      </w:pPr>
    </w:p>
    <w:p w14:paraId="30D099F4" w14:textId="77777777" w:rsidR="00FA2D95" w:rsidRPr="003E0B98" w:rsidRDefault="00FA2D95" w:rsidP="004361AC">
      <w:pPr>
        <w:tabs>
          <w:tab w:val="clear" w:pos="567"/>
        </w:tabs>
        <w:spacing w:line="240" w:lineRule="auto"/>
        <w:rPr>
          <w:color w:val="000000"/>
          <w:szCs w:val="22"/>
          <w:lang w:val="es-ES_tradnl"/>
        </w:rPr>
      </w:pPr>
    </w:p>
    <w:p w14:paraId="4DAEFDAE" w14:textId="77777777" w:rsidR="00FA2D95" w:rsidRPr="003E0B98" w:rsidRDefault="00FA2D95" w:rsidP="004361AC">
      <w:pPr>
        <w:tabs>
          <w:tab w:val="clear" w:pos="567"/>
        </w:tabs>
        <w:spacing w:line="240" w:lineRule="auto"/>
        <w:jc w:val="center"/>
        <w:outlineLvl w:val="0"/>
        <w:rPr>
          <w:color w:val="000000"/>
          <w:szCs w:val="22"/>
          <w:lang w:val="es-ES_tradnl"/>
        </w:rPr>
      </w:pPr>
      <w:r w:rsidRPr="003E0B98">
        <w:rPr>
          <w:b/>
          <w:noProof/>
          <w:color w:val="000000"/>
          <w:lang w:val="es-ES_tradnl"/>
        </w:rPr>
        <w:t>A. ETIQUETADO</w:t>
      </w:r>
    </w:p>
    <w:p w14:paraId="4D46E675" w14:textId="77777777" w:rsidR="002E5034" w:rsidRPr="003E0B98" w:rsidRDefault="00FA2D95" w:rsidP="004361AC">
      <w:pPr>
        <w:shd w:val="clear" w:color="auto" w:fill="FFFFFF"/>
        <w:tabs>
          <w:tab w:val="clear" w:pos="567"/>
        </w:tabs>
        <w:spacing w:line="240" w:lineRule="auto"/>
        <w:rPr>
          <w:color w:val="000000"/>
          <w:szCs w:val="22"/>
          <w:lang w:val="es-ES_tradnl"/>
        </w:rPr>
      </w:pPr>
      <w:r w:rsidRPr="003E0B98">
        <w:rPr>
          <w:color w:val="000000"/>
          <w:szCs w:val="22"/>
          <w:lang w:val="es-ES_tradnl"/>
        </w:rPr>
        <w:br w:type="page"/>
      </w:r>
    </w:p>
    <w:p w14:paraId="48A84AE0" w14:textId="77777777" w:rsidR="00F23C9B" w:rsidRPr="003E0B98" w:rsidRDefault="00F23C9B" w:rsidP="004361AC">
      <w:pPr>
        <w:tabs>
          <w:tab w:val="clear" w:pos="567"/>
        </w:tabs>
        <w:spacing w:line="240" w:lineRule="auto"/>
        <w:rPr>
          <w:color w:val="000000"/>
          <w:szCs w:val="22"/>
          <w:lang w:val="es-ES_tradnl"/>
        </w:rPr>
      </w:pPr>
    </w:p>
    <w:p w14:paraId="7B4D5587" w14:textId="77777777" w:rsidR="00FA2D95" w:rsidRPr="003E0B98" w:rsidRDefault="00FA2D95" w:rsidP="004361AC">
      <w:pPr>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es-ES_tradnl"/>
        </w:rPr>
      </w:pPr>
      <w:r w:rsidRPr="003E0B98">
        <w:rPr>
          <w:b/>
          <w:color w:val="000000"/>
          <w:szCs w:val="22"/>
          <w:lang w:val="es-ES"/>
        </w:rPr>
        <w:t>INFORMACIÓN QUE DEBE FIGURAR EN EL EMBALAJE EXTERIOR</w:t>
      </w:r>
    </w:p>
    <w:p w14:paraId="60D71A4C" w14:textId="77777777" w:rsidR="00FA2D95" w:rsidRPr="003E0B98" w:rsidRDefault="00FA2D95" w:rsidP="004361A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color w:val="000000"/>
          <w:szCs w:val="22"/>
          <w:lang w:val="es-ES_tradnl"/>
        </w:rPr>
      </w:pPr>
    </w:p>
    <w:p w14:paraId="3718B1FF" w14:textId="77777777" w:rsidR="00FA2D95" w:rsidRPr="003E0B98" w:rsidRDefault="00FA2D95" w:rsidP="004361AC">
      <w:pPr>
        <w:pBdr>
          <w:top w:val="single" w:sz="4" w:space="1" w:color="auto"/>
          <w:left w:val="single" w:sz="4" w:space="4" w:color="auto"/>
          <w:bottom w:val="single" w:sz="4" w:space="1" w:color="auto"/>
          <w:right w:val="single" w:sz="4" w:space="4" w:color="auto"/>
        </w:pBdr>
        <w:tabs>
          <w:tab w:val="clear" w:pos="567"/>
        </w:tabs>
        <w:spacing w:line="240" w:lineRule="auto"/>
        <w:rPr>
          <w:b/>
          <w:color w:val="000000"/>
          <w:lang w:val="es-ES_tradnl"/>
        </w:rPr>
      </w:pPr>
      <w:r w:rsidRPr="003E0B98">
        <w:rPr>
          <w:b/>
          <w:color w:val="000000"/>
          <w:lang w:val="es-ES_tradnl"/>
        </w:rPr>
        <w:t>CAJA</w:t>
      </w:r>
    </w:p>
    <w:p w14:paraId="49715C0D" w14:textId="77777777" w:rsidR="00B240C3" w:rsidRPr="003E0B98" w:rsidRDefault="00B240C3" w:rsidP="004361AC">
      <w:pPr>
        <w:pBdr>
          <w:top w:val="single" w:sz="4" w:space="1" w:color="auto"/>
          <w:left w:val="single" w:sz="4" w:space="4" w:color="auto"/>
          <w:bottom w:val="single" w:sz="4" w:space="1" w:color="auto"/>
          <w:right w:val="single" w:sz="4" w:space="4" w:color="auto"/>
        </w:pBdr>
        <w:tabs>
          <w:tab w:val="clear" w:pos="567"/>
        </w:tabs>
        <w:spacing w:line="240" w:lineRule="auto"/>
        <w:rPr>
          <w:color w:val="000000"/>
          <w:lang w:val="es-ES_tradnl"/>
        </w:rPr>
      </w:pPr>
    </w:p>
    <w:p w14:paraId="1CE54574" w14:textId="77777777" w:rsidR="00B240C3" w:rsidRPr="003E0B98" w:rsidRDefault="00B240C3" w:rsidP="004361AC">
      <w:pPr>
        <w:pBdr>
          <w:top w:val="single" w:sz="4" w:space="1" w:color="auto"/>
          <w:left w:val="single" w:sz="4" w:space="4" w:color="auto"/>
          <w:bottom w:val="single" w:sz="4" w:space="1" w:color="auto"/>
          <w:right w:val="single" w:sz="4" w:space="4" w:color="auto"/>
        </w:pBdr>
        <w:tabs>
          <w:tab w:val="clear" w:pos="567"/>
        </w:tabs>
        <w:spacing w:line="240" w:lineRule="auto"/>
        <w:rPr>
          <w:bCs/>
          <w:color w:val="000000"/>
          <w:szCs w:val="22"/>
          <w:lang w:val="es-ES_tradnl"/>
        </w:rPr>
      </w:pPr>
      <w:r w:rsidRPr="003E0B98">
        <w:rPr>
          <w:b/>
          <w:color w:val="000000"/>
          <w:lang w:val="es-ES_tradnl"/>
        </w:rPr>
        <w:t>VIAL</w:t>
      </w:r>
    </w:p>
    <w:p w14:paraId="22A627BE" w14:textId="77777777" w:rsidR="00FA2D95" w:rsidRPr="003E0B98" w:rsidRDefault="00FA2D95" w:rsidP="004361AC">
      <w:pPr>
        <w:tabs>
          <w:tab w:val="clear" w:pos="567"/>
        </w:tabs>
        <w:spacing w:line="240" w:lineRule="auto"/>
        <w:rPr>
          <w:color w:val="000000"/>
          <w:szCs w:val="22"/>
          <w:lang w:val="es-ES_tradnl"/>
        </w:rPr>
      </w:pPr>
    </w:p>
    <w:p w14:paraId="5B4F6B21" w14:textId="77777777" w:rsidR="00FA2D95" w:rsidRPr="003E0B98" w:rsidRDefault="00FA2D95" w:rsidP="004361AC">
      <w:pPr>
        <w:tabs>
          <w:tab w:val="clear" w:pos="567"/>
        </w:tabs>
        <w:spacing w:line="240" w:lineRule="auto"/>
        <w:rPr>
          <w:color w:val="000000"/>
          <w:szCs w:val="22"/>
          <w:lang w:val="es-ES_tradnl"/>
        </w:rPr>
      </w:pPr>
    </w:p>
    <w:p w14:paraId="10CDB94B" w14:textId="77777777" w:rsidR="00FA2D95" w:rsidRPr="003E0B98" w:rsidRDefault="00FA2D95" w:rsidP="004361A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es-ES_tradnl"/>
        </w:rPr>
      </w:pPr>
      <w:r w:rsidRPr="003E0B98">
        <w:rPr>
          <w:b/>
          <w:color w:val="000000"/>
          <w:szCs w:val="22"/>
          <w:lang w:val="es-ES_tradnl"/>
        </w:rPr>
        <w:t>1.</w:t>
      </w:r>
      <w:r w:rsidRPr="003E0B98">
        <w:rPr>
          <w:b/>
          <w:color w:val="000000"/>
          <w:szCs w:val="22"/>
          <w:lang w:val="es-ES_tradnl"/>
        </w:rPr>
        <w:tab/>
      </w:r>
      <w:r w:rsidRPr="003E0B98">
        <w:rPr>
          <w:b/>
          <w:color w:val="000000"/>
          <w:szCs w:val="22"/>
          <w:lang w:val="es-ES"/>
        </w:rPr>
        <w:t>NOMBRE DEL MEDICAMENTO</w:t>
      </w:r>
    </w:p>
    <w:p w14:paraId="3F4A1FBA" w14:textId="77777777" w:rsidR="00FA2D95" w:rsidRPr="003E0B98" w:rsidRDefault="00FA2D95" w:rsidP="004361AC">
      <w:pPr>
        <w:tabs>
          <w:tab w:val="clear" w:pos="567"/>
        </w:tabs>
        <w:spacing w:line="240" w:lineRule="auto"/>
        <w:rPr>
          <w:color w:val="000000"/>
          <w:szCs w:val="22"/>
          <w:lang w:val="es-ES_tradnl"/>
        </w:rPr>
      </w:pPr>
    </w:p>
    <w:p w14:paraId="19B0063A" w14:textId="77777777" w:rsidR="00FA2D95" w:rsidRPr="003E0B98" w:rsidRDefault="00FA2D95" w:rsidP="004361AC">
      <w:pPr>
        <w:tabs>
          <w:tab w:val="clear" w:pos="567"/>
        </w:tabs>
        <w:spacing w:line="240" w:lineRule="auto"/>
        <w:rPr>
          <w:color w:val="000000"/>
          <w:szCs w:val="22"/>
          <w:lang w:val="es-ES_tradnl"/>
        </w:rPr>
      </w:pPr>
      <w:proofErr w:type="spellStart"/>
      <w:r w:rsidRPr="003E0B98">
        <w:rPr>
          <w:color w:val="000000"/>
          <w:szCs w:val="22"/>
          <w:lang w:val="es-ES_tradnl"/>
        </w:rPr>
        <w:t>Lucentis</w:t>
      </w:r>
      <w:proofErr w:type="spellEnd"/>
      <w:r w:rsidRPr="003E0B98">
        <w:rPr>
          <w:color w:val="000000"/>
          <w:szCs w:val="22"/>
          <w:lang w:val="es-ES_tradnl"/>
        </w:rPr>
        <w:t xml:space="preserve"> 10 mg/ml solución inyectable</w:t>
      </w:r>
    </w:p>
    <w:p w14:paraId="10EBA8E1" w14:textId="77777777" w:rsidR="00FA2D95" w:rsidRPr="003E0B98" w:rsidRDefault="00103CF6" w:rsidP="004361AC">
      <w:pPr>
        <w:tabs>
          <w:tab w:val="clear" w:pos="567"/>
        </w:tabs>
        <w:spacing w:line="240" w:lineRule="auto"/>
        <w:rPr>
          <w:color w:val="000000"/>
          <w:szCs w:val="22"/>
          <w:lang w:val="es-ES_tradnl"/>
        </w:rPr>
      </w:pPr>
      <w:proofErr w:type="spellStart"/>
      <w:r w:rsidRPr="003E0B98">
        <w:rPr>
          <w:color w:val="000000"/>
          <w:szCs w:val="22"/>
          <w:lang w:val="es-ES_tradnl"/>
        </w:rPr>
        <w:t>r</w:t>
      </w:r>
      <w:r w:rsidR="00FA2D95" w:rsidRPr="003E0B98">
        <w:rPr>
          <w:color w:val="000000"/>
          <w:szCs w:val="22"/>
          <w:lang w:val="es-ES_tradnl"/>
        </w:rPr>
        <w:t>anibizumab</w:t>
      </w:r>
      <w:proofErr w:type="spellEnd"/>
    </w:p>
    <w:p w14:paraId="3BBA6FFE" w14:textId="77777777" w:rsidR="00FA2D95" w:rsidRPr="003E0B98" w:rsidRDefault="00FA2D95" w:rsidP="004361AC">
      <w:pPr>
        <w:tabs>
          <w:tab w:val="clear" w:pos="567"/>
        </w:tabs>
        <w:spacing w:line="240" w:lineRule="auto"/>
        <w:rPr>
          <w:color w:val="000000"/>
          <w:szCs w:val="22"/>
          <w:lang w:val="es-ES_tradnl"/>
        </w:rPr>
      </w:pPr>
    </w:p>
    <w:p w14:paraId="7A673C36" w14:textId="77777777" w:rsidR="00FA2D95" w:rsidRPr="003E0B98" w:rsidRDefault="00FA2D95" w:rsidP="004361AC">
      <w:pPr>
        <w:tabs>
          <w:tab w:val="clear" w:pos="567"/>
        </w:tabs>
        <w:rPr>
          <w:color w:val="000000"/>
          <w:szCs w:val="22"/>
          <w:lang w:val="es-ES_tradnl"/>
        </w:rPr>
      </w:pPr>
    </w:p>
    <w:p w14:paraId="657DD4C2" w14:textId="77777777" w:rsidR="00FA2D95" w:rsidRPr="003E0B98" w:rsidRDefault="00FA2D95" w:rsidP="004361A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olor w:val="000000"/>
          <w:szCs w:val="22"/>
          <w:lang w:val="es-ES_tradnl"/>
        </w:rPr>
      </w:pPr>
      <w:r w:rsidRPr="003E0B98">
        <w:rPr>
          <w:b/>
          <w:color w:val="000000"/>
          <w:szCs w:val="22"/>
          <w:lang w:val="es-ES_tradnl"/>
        </w:rPr>
        <w:t>2.</w:t>
      </w:r>
      <w:r w:rsidRPr="003E0B98">
        <w:rPr>
          <w:b/>
          <w:color w:val="000000"/>
          <w:szCs w:val="22"/>
          <w:lang w:val="es-ES_tradnl"/>
        </w:rPr>
        <w:tab/>
      </w:r>
      <w:r w:rsidRPr="003E0B98">
        <w:rPr>
          <w:b/>
          <w:color w:val="000000"/>
          <w:szCs w:val="22"/>
          <w:lang w:val="es-ES"/>
        </w:rPr>
        <w:t>PRINCIPIO(S) ACTIVO(S)</w:t>
      </w:r>
    </w:p>
    <w:p w14:paraId="2757FB1B" w14:textId="77777777" w:rsidR="00FA2D95" w:rsidRPr="003E0B98" w:rsidRDefault="00FA2D95" w:rsidP="004361AC">
      <w:pPr>
        <w:tabs>
          <w:tab w:val="clear" w:pos="567"/>
        </w:tabs>
        <w:spacing w:line="240" w:lineRule="auto"/>
        <w:rPr>
          <w:color w:val="000000"/>
          <w:szCs w:val="22"/>
          <w:lang w:val="es-ES_tradnl"/>
        </w:rPr>
      </w:pPr>
    </w:p>
    <w:p w14:paraId="75491279" w14:textId="77777777" w:rsidR="00FA2D95" w:rsidRPr="003E0B98" w:rsidRDefault="00FA2D95" w:rsidP="004361AC">
      <w:pPr>
        <w:tabs>
          <w:tab w:val="clear" w:pos="567"/>
        </w:tabs>
        <w:spacing w:line="240" w:lineRule="auto"/>
        <w:rPr>
          <w:color w:val="000000"/>
          <w:szCs w:val="22"/>
          <w:lang w:val="es-ES_tradnl"/>
        </w:rPr>
      </w:pPr>
      <w:r w:rsidRPr="003E0B98">
        <w:rPr>
          <w:color w:val="000000"/>
          <w:szCs w:val="22"/>
          <w:lang w:val="es-ES_tradnl"/>
        </w:rPr>
        <w:t xml:space="preserve">Un ml contiene 10 mg de </w:t>
      </w:r>
      <w:proofErr w:type="spellStart"/>
      <w:r w:rsidRPr="003E0B98">
        <w:rPr>
          <w:color w:val="000000"/>
          <w:szCs w:val="22"/>
          <w:lang w:val="es-ES_tradnl"/>
        </w:rPr>
        <w:t>ranibizumab</w:t>
      </w:r>
      <w:proofErr w:type="spellEnd"/>
      <w:r w:rsidRPr="003E0B98">
        <w:rPr>
          <w:color w:val="000000"/>
          <w:szCs w:val="22"/>
          <w:lang w:val="es-ES_tradnl"/>
        </w:rPr>
        <w:t xml:space="preserve">. El vial contiene </w:t>
      </w:r>
      <w:r w:rsidR="00FA1F9A" w:rsidRPr="003E0B98">
        <w:rPr>
          <w:color w:val="000000"/>
          <w:szCs w:val="22"/>
          <w:lang w:val="es-ES_tradnl"/>
        </w:rPr>
        <w:t>2,</w:t>
      </w:r>
      <w:r w:rsidRPr="003E0B98">
        <w:rPr>
          <w:color w:val="000000"/>
          <w:szCs w:val="22"/>
          <w:lang w:val="es-ES_tradnl"/>
        </w:rPr>
        <w:t xml:space="preserve">3 mg de </w:t>
      </w:r>
      <w:proofErr w:type="spellStart"/>
      <w:r w:rsidRPr="003E0B98">
        <w:rPr>
          <w:color w:val="000000"/>
          <w:szCs w:val="22"/>
          <w:lang w:val="es-ES_tradnl"/>
        </w:rPr>
        <w:t>ranibizumab</w:t>
      </w:r>
      <w:proofErr w:type="spellEnd"/>
      <w:r w:rsidRPr="003E0B98">
        <w:rPr>
          <w:color w:val="000000"/>
          <w:szCs w:val="22"/>
          <w:lang w:val="es-ES_tradnl"/>
        </w:rPr>
        <w:t>.</w:t>
      </w:r>
    </w:p>
    <w:p w14:paraId="0F5699BB" w14:textId="77777777" w:rsidR="00FA2D95" w:rsidRPr="003E0B98" w:rsidRDefault="00FA2D95" w:rsidP="004361AC">
      <w:pPr>
        <w:tabs>
          <w:tab w:val="clear" w:pos="567"/>
        </w:tabs>
        <w:spacing w:line="240" w:lineRule="auto"/>
        <w:rPr>
          <w:color w:val="000000"/>
          <w:szCs w:val="22"/>
          <w:lang w:val="es-ES_tradnl"/>
        </w:rPr>
      </w:pPr>
    </w:p>
    <w:p w14:paraId="08545276" w14:textId="77777777" w:rsidR="00FA2D95" w:rsidRPr="003E0B98" w:rsidRDefault="00FA2D95" w:rsidP="004361AC">
      <w:pPr>
        <w:tabs>
          <w:tab w:val="clear" w:pos="567"/>
        </w:tabs>
        <w:spacing w:line="240" w:lineRule="auto"/>
        <w:rPr>
          <w:color w:val="000000"/>
          <w:szCs w:val="22"/>
          <w:lang w:val="es-ES_tradnl"/>
        </w:rPr>
      </w:pPr>
    </w:p>
    <w:p w14:paraId="25EC1CD6" w14:textId="77777777" w:rsidR="00FA2D95" w:rsidRPr="003E0B98" w:rsidRDefault="00FA2D95" w:rsidP="004361A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es-ES_tradnl"/>
        </w:rPr>
      </w:pPr>
      <w:r w:rsidRPr="003E0B98">
        <w:rPr>
          <w:b/>
          <w:color w:val="000000"/>
          <w:szCs w:val="22"/>
          <w:lang w:val="es-ES_tradnl"/>
        </w:rPr>
        <w:t>3.</w:t>
      </w:r>
      <w:r w:rsidRPr="003E0B98">
        <w:rPr>
          <w:b/>
          <w:color w:val="000000"/>
          <w:szCs w:val="22"/>
          <w:lang w:val="es-ES_tradnl"/>
        </w:rPr>
        <w:tab/>
      </w:r>
      <w:r w:rsidRPr="003E0B98">
        <w:rPr>
          <w:b/>
          <w:noProof/>
          <w:color w:val="000000"/>
          <w:lang w:val="es-ES_tradnl"/>
        </w:rPr>
        <w:t>LISTA DE EXCIPIENTES</w:t>
      </w:r>
    </w:p>
    <w:p w14:paraId="6E1AF869" w14:textId="77777777" w:rsidR="00FA2D95" w:rsidRPr="003E0B98" w:rsidRDefault="00FA2D95" w:rsidP="004361AC">
      <w:pPr>
        <w:tabs>
          <w:tab w:val="clear" w:pos="567"/>
        </w:tabs>
        <w:spacing w:line="240" w:lineRule="auto"/>
        <w:rPr>
          <w:color w:val="000000"/>
          <w:szCs w:val="22"/>
          <w:lang w:val="es-ES_tradnl"/>
        </w:rPr>
      </w:pPr>
    </w:p>
    <w:p w14:paraId="1BB8B69A" w14:textId="77777777" w:rsidR="00FA2D95" w:rsidRPr="003E0B98" w:rsidRDefault="00FA2D95" w:rsidP="004361AC">
      <w:pPr>
        <w:tabs>
          <w:tab w:val="clear" w:pos="567"/>
        </w:tabs>
        <w:spacing w:line="240" w:lineRule="auto"/>
        <w:rPr>
          <w:color w:val="000000"/>
          <w:szCs w:val="22"/>
          <w:lang w:val="es-ES_tradnl"/>
        </w:rPr>
      </w:pPr>
      <w:r w:rsidRPr="003E0B98">
        <w:rPr>
          <w:color w:val="000000"/>
          <w:szCs w:val="22"/>
          <w:lang w:val="es-ES_tradnl"/>
        </w:rPr>
        <w:t xml:space="preserve">También contiene: </w:t>
      </w:r>
      <w:proofErr w:type="gramStart"/>
      <w:r w:rsidRPr="003E0B98">
        <w:rPr>
          <w:iCs/>
          <w:color w:val="000000"/>
          <w:szCs w:val="22"/>
        </w:rPr>
        <w:t>α</w:t>
      </w:r>
      <w:r w:rsidRPr="003E0B98">
        <w:rPr>
          <w:iCs/>
          <w:color w:val="000000"/>
          <w:szCs w:val="22"/>
          <w:lang w:val="es-ES_tradnl"/>
        </w:rPr>
        <w:t>,</w:t>
      </w:r>
      <w:r w:rsidRPr="003E0B98">
        <w:rPr>
          <w:iCs/>
          <w:color w:val="000000"/>
          <w:szCs w:val="22"/>
        </w:rPr>
        <w:t>α</w:t>
      </w:r>
      <w:proofErr w:type="gramEnd"/>
      <w:r w:rsidRPr="003E0B98">
        <w:rPr>
          <w:iCs/>
          <w:color w:val="000000"/>
          <w:szCs w:val="22"/>
          <w:lang w:val="es-ES_tradnl"/>
        </w:rPr>
        <w:t>-</w:t>
      </w:r>
      <w:proofErr w:type="spellStart"/>
      <w:r w:rsidRPr="003E0B98">
        <w:rPr>
          <w:iCs/>
          <w:color w:val="000000"/>
          <w:szCs w:val="22"/>
          <w:lang w:val="es-ES_tradnl"/>
        </w:rPr>
        <w:t>trehalosa</w:t>
      </w:r>
      <w:proofErr w:type="spellEnd"/>
      <w:r w:rsidRPr="003E0B98">
        <w:rPr>
          <w:iCs/>
          <w:color w:val="000000"/>
          <w:szCs w:val="22"/>
          <w:lang w:val="es-ES_tradnl"/>
        </w:rPr>
        <w:t xml:space="preserve"> </w:t>
      </w:r>
      <w:proofErr w:type="spellStart"/>
      <w:r w:rsidRPr="003E0B98">
        <w:rPr>
          <w:iCs/>
          <w:color w:val="000000"/>
          <w:szCs w:val="22"/>
          <w:lang w:val="es-ES_tradnl"/>
        </w:rPr>
        <w:t>dihidrato</w:t>
      </w:r>
      <w:proofErr w:type="spellEnd"/>
      <w:r w:rsidRPr="003E0B98">
        <w:rPr>
          <w:iCs/>
          <w:color w:val="000000"/>
          <w:szCs w:val="22"/>
          <w:lang w:val="es-ES_tradnl"/>
        </w:rPr>
        <w:t xml:space="preserve">; hidrocloruro de histidina </w:t>
      </w:r>
      <w:proofErr w:type="spellStart"/>
      <w:r w:rsidRPr="003E0B98">
        <w:rPr>
          <w:iCs/>
          <w:color w:val="000000"/>
          <w:szCs w:val="22"/>
          <w:lang w:val="es-ES_tradnl"/>
        </w:rPr>
        <w:t>monohidrato</w:t>
      </w:r>
      <w:proofErr w:type="spellEnd"/>
      <w:r w:rsidRPr="003E0B98">
        <w:rPr>
          <w:iCs/>
          <w:color w:val="000000"/>
          <w:szCs w:val="22"/>
          <w:lang w:val="es-ES_tradnl"/>
        </w:rPr>
        <w:t>; histidina; polisorbato 20; agua para inyectables</w:t>
      </w:r>
      <w:r w:rsidRPr="003E0B98">
        <w:rPr>
          <w:color w:val="000000"/>
          <w:szCs w:val="22"/>
          <w:lang w:val="es-ES_tradnl"/>
        </w:rPr>
        <w:t>.</w:t>
      </w:r>
    </w:p>
    <w:p w14:paraId="1841FF80" w14:textId="77777777" w:rsidR="00FA2D95" w:rsidRPr="003E0B98" w:rsidRDefault="00FA2D95" w:rsidP="004361AC">
      <w:pPr>
        <w:tabs>
          <w:tab w:val="clear" w:pos="567"/>
        </w:tabs>
        <w:spacing w:line="240" w:lineRule="auto"/>
        <w:rPr>
          <w:color w:val="000000"/>
          <w:szCs w:val="22"/>
          <w:lang w:val="es-ES_tradnl"/>
        </w:rPr>
      </w:pPr>
    </w:p>
    <w:p w14:paraId="36F384E7" w14:textId="77777777" w:rsidR="00FA2D95" w:rsidRPr="003E0B98" w:rsidRDefault="00FA2D95" w:rsidP="004361AC">
      <w:pPr>
        <w:tabs>
          <w:tab w:val="clear" w:pos="567"/>
        </w:tabs>
        <w:spacing w:line="240" w:lineRule="auto"/>
        <w:rPr>
          <w:color w:val="000000"/>
          <w:szCs w:val="22"/>
          <w:lang w:val="es-ES_tradnl"/>
        </w:rPr>
      </w:pPr>
    </w:p>
    <w:p w14:paraId="373E5C9F" w14:textId="77777777" w:rsidR="00FA2D95" w:rsidRPr="003E0B98" w:rsidRDefault="00FA2D95" w:rsidP="004361A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es-ES_tradnl"/>
        </w:rPr>
      </w:pPr>
      <w:r w:rsidRPr="003E0B98">
        <w:rPr>
          <w:b/>
          <w:color w:val="000000"/>
          <w:szCs w:val="22"/>
          <w:lang w:val="es-ES_tradnl"/>
        </w:rPr>
        <w:t>4.</w:t>
      </w:r>
      <w:r w:rsidRPr="003E0B98">
        <w:rPr>
          <w:b/>
          <w:color w:val="000000"/>
          <w:szCs w:val="22"/>
          <w:lang w:val="es-ES_tradnl"/>
        </w:rPr>
        <w:tab/>
      </w:r>
      <w:r w:rsidRPr="003E0B98">
        <w:rPr>
          <w:b/>
          <w:noProof/>
          <w:color w:val="000000"/>
          <w:lang w:val="es-ES_tradnl"/>
        </w:rPr>
        <w:t>FORMA FARMACÉUTICA Y CONTENIDO DEL ENVASE</w:t>
      </w:r>
    </w:p>
    <w:p w14:paraId="6E741D45" w14:textId="77777777" w:rsidR="00FA2D95" w:rsidRPr="003E0B98" w:rsidRDefault="00FA2D95" w:rsidP="004361AC">
      <w:pPr>
        <w:tabs>
          <w:tab w:val="clear" w:pos="567"/>
        </w:tabs>
        <w:spacing w:line="240" w:lineRule="auto"/>
        <w:rPr>
          <w:color w:val="000000"/>
          <w:szCs w:val="22"/>
          <w:lang w:val="es-ES_tradnl"/>
        </w:rPr>
      </w:pPr>
    </w:p>
    <w:p w14:paraId="7793D447" w14:textId="77777777" w:rsidR="00103CF6" w:rsidRPr="003E0B98" w:rsidRDefault="00103CF6" w:rsidP="004361AC">
      <w:pPr>
        <w:tabs>
          <w:tab w:val="clear" w:pos="567"/>
        </w:tabs>
        <w:spacing w:line="240" w:lineRule="auto"/>
        <w:rPr>
          <w:color w:val="000000"/>
          <w:szCs w:val="22"/>
          <w:lang w:val="es-ES_tradnl"/>
        </w:rPr>
      </w:pPr>
      <w:r w:rsidRPr="003E0B98">
        <w:rPr>
          <w:shd w:val="pct15" w:color="auto" w:fill="auto"/>
          <w:lang w:val="es-ES"/>
        </w:rPr>
        <w:t>Solución inyectable</w:t>
      </w:r>
    </w:p>
    <w:p w14:paraId="7D439D80" w14:textId="77777777" w:rsidR="00103CF6" w:rsidRPr="003E0B98" w:rsidRDefault="00103CF6" w:rsidP="004361AC">
      <w:pPr>
        <w:tabs>
          <w:tab w:val="clear" w:pos="567"/>
        </w:tabs>
        <w:spacing w:line="240" w:lineRule="auto"/>
        <w:rPr>
          <w:color w:val="000000"/>
          <w:szCs w:val="22"/>
          <w:lang w:val="es-ES_tradnl"/>
        </w:rPr>
      </w:pPr>
    </w:p>
    <w:p w14:paraId="25FE457E" w14:textId="77777777" w:rsidR="00FA2D95" w:rsidRPr="003E0B98" w:rsidRDefault="00FA2D95" w:rsidP="004361AC">
      <w:pPr>
        <w:tabs>
          <w:tab w:val="clear" w:pos="567"/>
        </w:tabs>
        <w:spacing w:line="240" w:lineRule="auto"/>
        <w:rPr>
          <w:color w:val="000000"/>
          <w:szCs w:val="22"/>
          <w:lang w:val="es-ES_tradnl"/>
        </w:rPr>
      </w:pPr>
      <w:r w:rsidRPr="003E0B98">
        <w:rPr>
          <w:color w:val="000000"/>
          <w:szCs w:val="22"/>
          <w:lang w:val="es-ES_tradnl"/>
        </w:rPr>
        <w:t>1</w:t>
      </w:r>
      <w:r w:rsidR="00103CF6" w:rsidRPr="003E0B98">
        <w:rPr>
          <w:color w:val="000000"/>
          <w:szCs w:val="22"/>
          <w:lang w:val="es-ES"/>
        </w:rPr>
        <w:t>x</w:t>
      </w:r>
      <w:r w:rsidRPr="003E0B98">
        <w:rPr>
          <w:color w:val="000000"/>
          <w:szCs w:val="22"/>
          <w:lang w:val="es-ES_tradnl"/>
        </w:rPr>
        <w:t> vial con 0,</w:t>
      </w:r>
      <w:r w:rsidR="00FA1F9A" w:rsidRPr="003E0B98">
        <w:rPr>
          <w:color w:val="000000"/>
          <w:szCs w:val="22"/>
          <w:lang w:val="es-ES_tradnl"/>
        </w:rPr>
        <w:t>2</w:t>
      </w:r>
      <w:r w:rsidRPr="003E0B98">
        <w:rPr>
          <w:color w:val="000000"/>
          <w:szCs w:val="22"/>
          <w:lang w:val="es-ES_tradnl"/>
        </w:rPr>
        <w:t>3 ml</w:t>
      </w:r>
    </w:p>
    <w:p w14:paraId="26BCAE58" w14:textId="77777777" w:rsidR="00FA2D95" w:rsidRPr="003E0B98" w:rsidRDefault="00670186" w:rsidP="004361AC">
      <w:pPr>
        <w:tabs>
          <w:tab w:val="clear" w:pos="567"/>
        </w:tabs>
        <w:spacing w:line="240" w:lineRule="auto"/>
        <w:rPr>
          <w:color w:val="000000"/>
          <w:szCs w:val="22"/>
          <w:lang w:val="es-ES_tradnl"/>
        </w:rPr>
      </w:pPr>
      <w:r w:rsidRPr="003E0B98">
        <w:rPr>
          <w:color w:val="000000"/>
          <w:szCs w:val="22"/>
          <w:lang w:val="es-ES"/>
        </w:rPr>
        <w:t>Dosis única</w:t>
      </w:r>
      <w:r w:rsidR="00287A49" w:rsidRPr="003E0B98">
        <w:rPr>
          <w:color w:val="000000"/>
          <w:szCs w:val="22"/>
          <w:lang w:val="es-ES"/>
        </w:rPr>
        <w:t xml:space="preserve"> para adultos</w:t>
      </w:r>
      <w:r w:rsidRPr="003E0B98">
        <w:rPr>
          <w:color w:val="000000"/>
          <w:szCs w:val="22"/>
          <w:lang w:val="es-ES"/>
        </w:rPr>
        <w:t>: 0,5 mg/0,05 ml. Expulsar el exceso de volumen.</w:t>
      </w:r>
    </w:p>
    <w:p w14:paraId="2F7928F5" w14:textId="77777777" w:rsidR="00287A49" w:rsidRPr="003E0B98" w:rsidRDefault="00287A49" w:rsidP="004361AC">
      <w:pPr>
        <w:tabs>
          <w:tab w:val="clear" w:pos="567"/>
        </w:tabs>
        <w:spacing w:line="240" w:lineRule="auto"/>
        <w:rPr>
          <w:color w:val="000000"/>
          <w:szCs w:val="22"/>
          <w:lang w:val="es-ES_tradnl"/>
        </w:rPr>
      </w:pPr>
      <w:r w:rsidRPr="003E0B98">
        <w:rPr>
          <w:color w:val="000000"/>
          <w:szCs w:val="22"/>
          <w:lang w:val="es-ES_tradnl"/>
        </w:rPr>
        <w:t xml:space="preserve">Dosis única para bebés nacidos prematuramente: 0,2 mg/0,02 ml. </w:t>
      </w:r>
      <w:r w:rsidRPr="003E0B98">
        <w:rPr>
          <w:color w:val="000000"/>
          <w:szCs w:val="22"/>
          <w:lang w:val="es-ES"/>
        </w:rPr>
        <w:t>Expulsar el exceso de volumen.</w:t>
      </w:r>
    </w:p>
    <w:p w14:paraId="56250150" w14:textId="77777777" w:rsidR="00670186" w:rsidRPr="003E0B98" w:rsidRDefault="00670186" w:rsidP="004361AC">
      <w:pPr>
        <w:tabs>
          <w:tab w:val="clear" w:pos="567"/>
        </w:tabs>
        <w:spacing w:line="240" w:lineRule="auto"/>
        <w:rPr>
          <w:color w:val="000000"/>
          <w:szCs w:val="22"/>
          <w:lang w:val="es-ES_tradnl"/>
        </w:rPr>
      </w:pPr>
    </w:p>
    <w:p w14:paraId="64B050BF" w14:textId="77777777" w:rsidR="00FA2D95" w:rsidRPr="003E0B98" w:rsidRDefault="00FA2D95" w:rsidP="004361AC">
      <w:pPr>
        <w:tabs>
          <w:tab w:val="clear" w:pos="567"/>
        </w:tabs>
        <w:spacing w:line="240" w:lineRule="auto"/>
        <w:rPr>
          <w:color w:val="000000"/>
          <w:szCs w:val="22"/>
          <w:lang w:val="es-ES_tradnl"/>
        </w:rPr>
      </w:pPr>
    </w:p>
    <w:p w14:paraId="5B16A4CC" w14:textId="77777777" w:rsidR="00FA2D95" w:rsidRPr="003E0B98" w:rsidRDefault="00FA2D95" w:rsidP="004361A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es-ES_tradnl"/>
        </w:rPr>
      </w:pPr>
      <w:r w:rsidRPr="003E0B98">
        <w:rPr>
          <w:b/>
          <w:color w:val="000000"/>
          <w:szCs w:val="22"/>
          <w:lang w:val="es-ES_tradnl"/>
        </w:rPr>
        <w:t>5.</w:t>
      </w:r>
      <w:r w:rsidRPr="003E0B98">
        <w:rPr>
          <w:b/>
          <w:color w:val="000000"/>
          <w:szCs w:val="22"/>
          <w:lang w:val="es-ES_tradnl"/>
        </w:rPr>
        <w:tab/>
      </w:r>
      <w:r w:rsidRPr="003E0B98">
        <w:rPr>
          <w:b/>
          <w:noProof/>
          <w:color w:val="000000"/>
          <w:lang w:val="es-ES_tradnl"/>
        </w:rPr>
        <w:t>FORMA Y VÍA(S) DE ADMINISTRACIÓN</w:t>
      </w:r>
    </w:p>
    <w:p w14:paraId="0EBD1827" w14:textId="77777777" w:rsidR="00FA2D95" w:rsidRPr="003E0B98" w:rsidRDefault="00FA2D95" w:rsidP="004361AC">
      <w:pPr>
        <w:tabs>
          <w:tab w:val="clear" w:pos="567"/>
        </w:tabs>
        <w:spacing w:line="240" w:lineRule="auto"/>
        <w:rPr>
          <w:i/>
          <w:color w:val="000000"/>
          <w:szCs w:val="22"/>
          <w:lang w:val="es-ES_tradnl"/>
        </w:rPr>
      </w:pPr>
    </w:p>
    <w:p w14:paraId="0754552E" w14:textId="77777777" w:rsidR="00FA2D95" w:rsidRPr="003E0B98" w:rsidRDefault="00FA2D95" w:rsidP="004361AC">
      <w:pPr>
        <w:tabs>
          <w:tab w:val="clear" w:pos="567"/>
        </w:tabs>
        <w:spacing w:line="240" w:lineRule="auto"/>
        <w:rPr>
          <w:color w:val="000000"/>
          <w:szCs w:val="22"/>
          <w:lang w:val="es-ES_tradnl"/>
        </w:rPr>
      </w:pPr>
      <w:r w:rsidRPr="003E0B98">
        <w:rPr>
          <w:color w:val="000000"/>
          <w:szCs w:val="22"/>
          <w:lang w:val="es-ES_tradnl"/>
        </w:rPr>
        <w:t>Vía intravítrea.</w:t>
      </w:r>
    </w:p>
    <w:p w14:paraId="4954845A" w14:textId="77777777" w:rsidR="00FA2D95" w:rsidRPr="003E0B98" w:rsidRDefault="00FA2D95" w:rsidP="004361AC">
      <w:pPr>
        <w:tabs>
          <w:tab w:val="clear" w:pos="567"/>
        </w:tabs>
        <w:spacing w:line="240" w:lineRule="auto"/>
        <w:rPr>
          <w:color w:val="000000"/>
          <w:szCs w:val="22"/>
          <w:lang w:val="es-ES_tradnl"/>
        </w:rPr>
      </w:pPr>
      <w:r w:rsidRPr="003E0B98">
        <w:rPr>
          <w:color w:val="000000"/>
          <w:szCs w:val="22"/>
          <w:lang w:val="es-ES_tradnl"/>
        </w:rPr>
        <w:t>Vial para un solo uso.</w:t>
      </w:r>
    </w:p>
    <w:p w14:paraId="4A6644D7" w14:textId="77777777" w:rsidR="00FA2D95" w:rsidRPr="003E0B98" w:rsidRDefault="00FA2D95" w:rsidP="004361AC">
      <w:pPr>
        <w:tabs>
          <w:tab w:val="clear" w:pos="567"/>
        </w:tabs>
        <w:spacing w:line="240" w:lineRule="auto"/>
        <w:rPr>
          <w:color w:val="000000"/>
          <w:szCs w:val="22"/>
          <w:lang w:val="es-ES_tradnl"/>
        </w:rPr>
      </w:pPr>
      <w:r w:rsidRPr="003E0B98">
        <w:rPr>
          <w:noProof/>
          <w:color w:val="000000"/>
          <w:lang w:val="es-ES_tradnl"/>
        </w:rPr>
        <w:t>Leer el prospecto antes de utilizar este medicamento.</w:t>
      </w:r>
    </w:p>
    <w:p w14:paraId="506BC545" w14:textId="77777777" w:rsidR="00FB3AA1" w:rsidRPr="003E0B98" w:rsidRDefault="00FB3AA1" w:rsidP="004361AC">
      <w:pPr>
        <w:tabs>
          <w:tab w:val="clear" w:pos="567"/>
        </w:tabs>
        <w:spacing w:line="240" w:lineRule="auto"/>
        <w:rPr>
          <w:color w:val="000000"/>
          <w:szCs w:val="22"/>
          <w:lang w:val="es-ES_tradnl"/>
        </w:rPr>
      </w:pPr>
    </w:p>
    <w:p w14:paraId="517BC7C0" w14:textId="77777777" w:rsidR="00FA2D95" w:rsidRPr="003E0B98" w:rsidRDefault="00FA2D95" w:rsidP="004361AC">
      <w:pPr>
        <w:tabs>
          <w:tab w:val="clear" w:pos="567"/>
        </w:tabs>
        <w:spacing w:line="240" w:lineRule="auto"/>
        <w:rPr>
          <w:color w:val="000000"/>
          <w:szCs w:val="22"/>
          <w:lang w:val="es-ES_tradnl"/>
        </w:rPr>
      </w:pPr>
    </w:p>
    <w:p w14:paraId="14AAE8DE" w14:textId="77777777" w:rsidR="00FA2D95" w:rsidRPr="003E0B98" w:rsidRDefault="00FA2D95" w:rsidP="004361A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es-ES_tradnl"/>
        </w:rPr>
      </w:pPr>
      <w:r w:rsidRPr="003E0B98">
        <w:rPr>
          <w:b/>
          <w:color w:val="000000"/>
          <w:szCs w:val="22"/>
          <w:lang w:val="es-ES_tradnl"/>
        </w:rPr>
        <w:t>6.</w:t>
      </w:r>
      <w:r w:rsidRPr="003E0B98">
        <w:rPr>
          <w:b/>
          <w:color w:val="000000"/>
          <w:szCs w:val="22"/>
          <w:lang w:val="es-ES_tradnl"/>
        </w:rPr>
        <w:tab/>
      </w:r>
      <w:r w:rsidRPr="003E0B98">
        <w:rPr>
          <w:b/>
          <w:noProof/>
          <w:color w:val="000000"/>
          <w:lang w:val="es-ES_tradnl"/>
        </w:rPr>
        <w:t>ADVERTENCIA ESPECIAL DE QUE EL MEDICAMENTO DEBE MANTENERSE FUERA DE LA VISTA Y DEL ALCANCE DE LOS NIÑOS</w:t>
      </w:r>
    </w:p>
    <w:p w14:paraId="7BB45780" w14:textId="77777777" w:rsidR="00FA2D95" w:rsidRPr="003E0B98" w:rsidRDefault="00FA2D95" w:rsidP="004361AC">
      <w:pPr>
        <w:tabs>
          <w:tab w:val="clear" w:pos="567"/>
        </w:tabs>
        <w:spacing w:line="240" w:lineRule="auto"/>
        <w:rPr>
          <w:color w:val="000000"/>
          <w:szCs w:val="22"/>
          <w:lang w:val="es-ES_tradnl"/>
        </w:rPr>
      </w:pPr>
    </w:p>
    <w:p w14:paraId="508DB4F2" w14:textId="77777777" w:rsidR="00FA2D95" w:rsidRPr="003E0B98" w:rsidRDefault="00FA2D95" w:rsidP="004361AC">
      <w:pPr>
        <w:tabs>
          <w:tab w:val="clear" w:pos="567"/>
        </w:tabs>
        <w:spacing w:line="240" w:lineRule="auto"/>
        <w:rPr>
          <w:color w:val="000000"/>
          <w:szCs w:val="22"/>
          <w:lang w:val="es-ES_tradnl"/>
        </w:rPr>
      </w:pPr>
      <w:r w:rsidRPr="003E0B98">
        <w:rPr>
          <w:noProof/>
          <w:color w:val="000000"/>
          <w:lang w:val="es-ES_tradnl"/>
        </w:rPr>
        <w:t xml:space="preserve">Mantener fuera </w:t>
      </w:r>
      <w:r w:rsidR="0059057F" w:rsidRPr="003E0B98">
        <w:rPr>
          <w:noProof/>
          <w:color w:val="000000"/>
          <w:lang w:val="es-ES_tradnl"/>
        </w:rPr>
        <w:t xml:space="preserve">de la vista y </w:t>
      </w:r>
      <w:r w:rsidRPr="003E0B98">
        <w:rPr>
          <w:noProof/>
          <w:color w:val="000000"/>
          <w:lang w:val="es-ES_tradnl"/>
        </w:rPr>
        <w:t>del alcance de los niños.</w:t>
      </w:r>
    </w:p>
    <w:p w14:paraId="67639409" w14:textId="77777777" w:rsidR="00FA2D95" w:rsidRPr="003E0B98" w:rsidRDefault="00FA2D95" w:rsidP="004361AC">
      <w:pPr>
        <w:tabs>
          <w:tab w:val="clear" w:pos="567"/>
        </w:tabs>
        <w:spacing w:line="240" w:lineRule="auto"/>
        <w:rPr>
          <w:color w:val="000000"/>
          <w:szCs w:val="22"/>
          <w:lang w:val="es-ES_tradnl"/>
        </w:rPr>
      </w:pPr>
    </w:p>
    <w:p w14:paraId="7232FB3A" w14:textId="77777777" w:rsidR="00FA2D95" w:rsidRPr="003E0B98" w:rsidRDefault="00FA2D95" w:rsidP="004361AC">
      <w:pPr>
        <w:tabs>
          <w:tab w:val="clear" w:pos="567"/>
        </w:tabs>
        <w:spacing w:line="240" w:lineRule="auto"/>
        <w:rPr>
          <w:color w:val="000000"/>
          <w:szCs w:val="22"/>
          <w:lang w:val="es-ES_tradnl"/>
        </w:rPr>
      </w:pPr>
    </w:p>
    <w:p w14:paraId="28DCD7BC" w14:textId="77777777" w:rsidR="00FA2D95" w:rsidRPr="003E0B98" w:rsidRDefault="00FA2D95" w:rsidP="004361A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es-ES_tradnl"/>
        </w:rPr>
      </w:pPr>
      <w:r w:rsidRPr="003E0B98">
        <w:rPr>
          <w:b/>
          <w:color w:val="000000"/>
          <w:szCs w:val="22"/>
          <w:lang w:val="es-ES_tradnl"/>
        </w:rPr>
        <w:t>7.</w:t>
      </w:r>
      <w:r w:rsidRPr="003E0B98">
        <w:rPr>
          <w:b/>
          <w:color w:val="000000"/>
          <w:szCs w:val="22"/>
          <w:lang w:val="es-ES_tradnl"/>
        </w:rPr>
        <w:tab/>
      </w:r>
      <w:r w:rsidRPr="003E0B98">
        <w:rPr>
          <w:b/>
          <w:noProof/>
          <w:color w:val="000000"/>
          <w:lang w:val="es-ES_tradnl"/>
        </w:rPr>
        <w:t>OTRA(S) ADVERTENCIA(S) ESPECIAL(ES), SI ES NECESARIO</w:t>
      </w:r>
    </w:p>
    <w:p w14:paraId="3B4CFDEC" w14:textId="77777777" w:rsidR="00523333" w:rsidRPr="003E0B98" w:rsidRDefault="00523333" w:rsidP="004361AC">
      <w:pPr>
        <w:tabs>
          <w:tab w:val="clear" w:pos="567"/>
        </w:tabs>
        <w:spacing w:line="240" w:lineRule="auto"/>
        <w:rPr>
          <w:color w:val="000000"/>
          <w:szCs w:val="22"/>
          <w:lang w:val="es-ES_tradnl"/>
        </w:rPr>
      </w:pPr>
    </w:p>
    <w:p w14:paraId="13B60A2C" w14:textId="77777777" w:rsidR="00FA2D95" w:rsidRPr="003E0B98" w:rsidRDefault="00FA2D95" w:rsidP="004361AC">
      <w:pPr>
        <w:tabs>
          <w:tab w:val="clear" w:pos="567"/>
        </w:tabs>
        <w:spacing w:line="240" w:lineRule="auto"/>
        <w:rPr>
          <w:color w:val="000000"/>
          <w:szCs w:val="22"/>
          <w:lang w:val="es-ES_tradnl"/>
        </w:rPr>
      </w:pPr>
    </w:p>
    <w:p w14:paraId="49B0FFBE" w14:textId="77777777" w:rsidR="00FA2D95" w:rsidRPr="003E0B98" w:rsidRDefault="00FA2D95" w:rsidP="004361A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es-ES_tradnl"/>
        </w:rPr>
      </w:pPr>
      <w:r w:rsidRPr="003E0B98">
        <w:rPr>
          <w:b/>
          <w:color w:val="000000"/>
          <w:szCs w:val="22"/>
          <w:lang w:val="es-ES_tradnl"/>
        </w:rPr>
        <w:t>8.</w:t>
      </w:r>
      <w:r w:rsidRPr="003E0B98">
        <w:rPr>
          <w:b/>
          <w:color w:val="000000"/>
          <w:szCs w:val="22"/>
          <w:lang w:val="es-ES_tradnl"/>
        </w:rPr>
        <w:tab/>
      </w:r>
      <w:r w:rsidRPr="003E0B98">
        <w:rPr>
          <w:b/>
          <w:noProof/>
          <w:color w:val="000000"/>
          <w:lang w:val="es-ES_tradnl"/>
        </w:rPr>
        <w:t>FECHA DE CADUCIDAD</w:t>
      </w:r>
    </w:p>
    <w:p w14:paraId="264FF9FC" w14:textId="77777777" w:rsidR="00FA2D95" w:rsidRPr="003E0B98" w:rsidRDefault="00FA2D95" w:rsidP="004361AC">
      <w:pPr>
        <w:tabs>
          <w:tab w:val="clear" w:pos="567"/>
        </w:tabs>
        <w:spacing w:line="240" w:lineRule="auto"/>
        <w:rPr>
          <w:color w:val="000000"/>
          <w:szCs w:val="22"/>
          <w:lang w:val="es-ES_tradnl"/>
        </w:rPr>
      </w:pPr>
    </w:p>
    <w:p w14:paraId="653609D8" w14:textId="77777777" w:rsidR="00FA2D95" w:rsidRPr="003E0B98" w:rsidRDefault="00FA2D95" w:rsidP="004361AC">
      <w:pPr>
        <w:tabs>
          <w:tab w:val="clear" w:pos="567"/>
        </w:tabs>
        <w:spacing w:line="240" w:lineRule="auto"/>
        <w:rPr>
          <w:color w:val="000000"/>
          <w:szCs w:val="22"/>
          <w:lang w:val="es-ES_tradnl"/>
        </w:rPr>
      </w:pPr>
      <w:r w:rsidRPr="003E0B98">
        <w:rPr>
          <w:color w:val="000000"/>
          <w:szCs w:val="22"/>
          <w:lang w:val="es-ES_tradnl"/>
        </w:rPr>
        <w:t>CAD</w:t>
      </w:r>
    </w:p>
    <w:p w14:paraId="65248061" w14:textId="77777777" w:rsidR="00FA2D95" w:rsidRPr="003E0B98" w:rsidRDefault="00FA2D95" w:rsidP="004361AC">
      <w:pPr>
        <w:tabs>
          <w:tab w:val="clear" w:pos="567"/>
        </w:tabs>
        <w:spacing w:line="240" w:lineRule="auto"/>
        <w:rPr>
          <w:color w:val="000000"/>
          <w:szCs w:val="22"/>
          <w:lang w:val="es-ES_tradnl"/>
        </w:rPr>
      </w:pPr>
    </w:p>
    <w:p w14:paraId="445DEC12" w14:textId="77777777" w:rsidR="00FA2D95" w:rsidRPr="003E0B98" w:rsidRDefault="00FA2D95" w:rsidP="004361AC">
      <w:pPr>
        <w:tabs>
          <w:tab w:val="clear" w:pos="567"/>
        </w:tabs>
        <w:spacing w:line="240" w:lineRule="auto"/>
        <w:rPr>
          <w:color w:val="000000"/>
          <w:szCs w:val="22"/>
          <w:lang w:val="es-ES_tradnl"/>
        </w:rPr>
      </w:pPr>
    </w:p>
    <w:p w14:paraId="6236386B" w14:textId="77777777" w:rsidR="00FA2D95" w:rsidRPr="003E0B98" w:rsidRDefault="00FA2D95" w:rsidP="004361A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es-ES_tradnl"/>
        </w:rPr>
      </w:pPr>
      <w:r w:rsidRPr="003E0B98">
        <w:rPr>
          <w:b/>
          <w:color w:val="000000"/>
          <w:szCs w:val="22"/>
          <w:lang w:val="es-ES_tradnl"/>
        </w:rPr>
        <w:t>9.</w:t>
      </w:r>
      <w:r w:rsidRPr="003E0B98">
        <w:rPr>
          <w:b/>
          <w:color w:val="000000"/>
          <w:szCs w:val="22"/>
          <w:lang w:val="es-ES_tradnl"/>
        </w:rPr>
        <w:tab/>
      </w:r>
      <w:r w:rsidRPr="003E0B98">
        <w:rPr>
          <w:b/>
          <w:noProof/>
          <w:color w:val="000000"/>
          <w:lang w:val="es-ES_tradnl"/>
        </w:rPr>
        <w:t>CONDICIONES ESPECIALES DE CONSERVACIÓN</w:t>
      </w:r>
    </w:p>
    <w:p w14:paraId="551F3E75" w14:textId="77777777" w:rsidR="00FA2D95" w:rsidRPr="003E0B98" w:rsidRDefault="00FA2D95" w:rsidP="004361AC">
      <w:pPr>
        <w:tabs>
          <w:tab w:val="clear" w:pos="567"/>
        </w:tabs>
        <w:spacing w:line="240" w:lineRule="auto"/>
        <w:rPr>
          <w:color w:val="000000"/>
          <w:szCs w:val="22"/>
          <w:lang w:val="es-ES_tradnl"/>
        </w:rPr>
      </w:pPr>
    </w:p>
    <w:p w14:paraId="2AABE353" w14:textId="77777777" w:rsidR="00FA2D95" w:rsidRPr="003E0B98" w:rsidRDefault="00FA2D95" w:rsidP="004361AC">
      <w:pPr>
        <w:tabs>
          <w:tab w:val="clear" w:pos="567"/>
        </w:tabs>
        <w:spacing w:line="240" w:lineRule="auto"/>
        <w:rPr>
          <w:color w:val="000000"/>
          <w:szCs w:val="22"/>
          <w:lang w:val="es-ES_tradnl"/>
        </w:rPr>
      </w:pPr>
      <w:r w:rsidRPr="003E0B98">
        <w:rPr>
          <w:color w:val="000000"/>
          <w:szCs w:val="22"/>
          <w:lang w:val="es-ES_tradnl"/>
        </w:rPr>
        <w:t>Conservar en nevera</w:t>
      </w:r>
      <w:r w:rsidR="00980F37" w:rsidRPr="003E0B98">
        <w:rPr>
          <w:color w:val="000000"/>
          <w:szCs w:val="22"/>
          <w:lang w:val="es-ES_tradnl"/>
        </w:rPr>
        <w:t xml:space="preserve"> </w:t>
      </w:r>
      <w:r w:rsidR="00980F37" w:rsidRPr="003E0B98">
        <w:rPr>
          <w:color w:val="000000"/>
          <w:szCs w:val="22"/>
          <w:lang w:val="es-ES"/>
        </w:rPr>
        <w:t>(</w:t>
      </w:r>
      <w:r w:rsidR="00870CC1" w:rsidRPr="003E0B98">
        <w:rPr>
          <w:color w:val="000000"/>
          <w:szCs w:val="22"/>
          <w:lang w:val="es-ES_tradnl"/>
        </w:rPr>
        <w:t xml:space="preserve">entre </w:t>
      </w:r>
      <w:r w:rsidR="00980F37" w:rsidRPr="003E0B98">
        <w:rPr>
          <w:color w:val="000000"/>
          <w:szCs w:val="22"/>
          <w:lang w:val="es-ES"/>
        </w:rPr>
        <w:t>2</w:t>
      </w:r>
      <w:r w:rsidR="00980F37" w:rsidRPr="003E0B98">
        <w:rPr>
          <w:color w:val="000000"/>
          <w:szCs w:val="22"/>
        </w:rPr>
        <w:sym w:font="Symbol" w:char="F0B0"/>
      </w:r>
      <w:r w:rsidR="00870CC1" w:rsidRPr="003E0B98">
        <w:rPr>
          <w:color w:val="000000"/>
          <w:szCs w:val="22"/>
          <w:lang w:val="es-ES"/>
        </w:rPr>
        <w:t>C y</w:t>
      </w:r>
      <w:r w:rsidR="00980F37" w:rsidRPr="003E0B98">
        <w:rPr>
          <w:color w:val="000000"/>
          <w:szCs w:val="22"/>
          <w:lang w:val="es-ES"/>
        </w:rPr>
        <w:t xml:space="preserve"> 8</w:t>
      </w:r>
      <w:r w:rsidR="00980F37" w:rsidRPr="003E0B98">
        <w:rPr>
          <w:color w:val="000000"/>
          <w:szCs w:val="22"/>
        </w:rPr>
        <w:sym w:font="Symbol" w:char="F0B0"/>
      </w:r>
      <w:r w:rsidR="00980F37" w:rsidRPr="003E0B98">
        <w:rPr>
          <w:color w:val="000000"/>
          <w:szCs w:val="22"/>
          <w:lang w:val="es-ES"/>
        </w:rPr>
        <w:t>C)</w:t>
      </w:r>
      <w:r w:rsidRPr="003E0B98">
        <w:rPr>
          <w:color w:val="000000"/>
          <w:szCs w:val="22"/>
          <w:lang w:val="es-ES_tradnl"/>
        </w:rPr>
        <w:t>.</w:t>
      </w:r>
    </w:p>
    <w:p w14:paraId="1F3CB24F" w14:textId="77777777" w:rsidR="00FA2D95" w:rsidRPr="003E0B98" w:rsidRDefault="00FA2D95" w:rsidP="004361AC">
      <w:pPr>
        <w:tabs>
          <w:tab w:val="clear" w:pos="567"/>
        </w:tabs>
        <w:spacing w:line="240" w:lineRule="auto"/>
        <w:rPr>
          <w:color w:val="000000"/>
          <w:szCs w:val="22"/>
          <w:lang w:val="es-ES_tradnl"/>
        </w:rPr>
      </w:pPr>
      <w:r w:rsidRPr="003E0B98">
        <w:rPr>
          <w:color w:val="000000"/>
          <w:szCs w:val="22"/>
          <w:lang w:val="es-ES_tradnl"/>
        </w:rPr>
        <w:t>No congelar.</w:t>
      </w:r>
    </w:p>
    <w:p w14:paraId="76913B4A" w14:textId="77777777" w:rsidR="00FA2D95" w:rsidRPr="003E0B98" w:rsidRDefault="00FA2D95" w:rsidP="004361AC">
      <w:pPr>
        <w:tabs>
          <w:tab w:val="clear" w:pos="567"/>
        </w:tabs>
        <w:spacing w:line="240" w:lineRule="auto"/>
        <w:rPr>
          <w:color w:val="000000"/>
          <w:szCs w:val="22"/>
          <w:lang w:val="es-ES_tradnl"/>
        </w:rPr>
      </w:pPr>
      <w:r w:rsidRPr="003E0B98">
        <w:rPr>
          <w:color w:val="000000"/>
          <w:szCs w:val="22"/>
          <w:lang w:val="es-ES_tradnl"/>
        </w:rPr>
        <w:t>Conservar el vial en el embalaje exterior para protegerlo de la luz.</w:t>
      </w:r>
    </w:p>
    <w:p w14:paraId="3C9C87BC" w14:textId="77777777" w:rsidR="00FA2D95" w:rsidRPr="003E0B98" w:rsidRDefault="00FA2D95" w:rsidP="004361AC">
      <w:pPr>
        <w:tabs>
          <w:tab w:val="clear" w:pos="567"/>
        </w:tabs>
        <w:spacing w:line="240" w:lineRule="auto"/>
        <w:rPr>
          <w:color w:val="000000"/>
          <w:szCs w:val="22"/>
          <w:lang w:val="es-ES_tradnl"/>
        </w:rPr>
      </w:pPr>
    </w:p>
    <w:p w14:paraId="5C1008E4" w14:textId="77777777" w:rsidR="00FA2D95" w:rsidRPr="003E0B98" w:rsidRDefault="00FA2D95" w:rsidP="004361AC">
      <w:pPr>
        <w:tabs>
          <w:tab w:val="clear" w:pos="567"/>
        </w:tabs>
        <w:spacing w:line="240" w:lineRule="auto"/>
        <w:ind w:left="567" w:hanging="567"/>
        <w:rPr>
          <w:color w:val="000000"/>
          <w:szCs w:val="22"/>
          <w:lang w:val="es-ES_tradnl"/>
        </w:rPr>
      </w:pPr>
    </w:p>
    <w:p w14:paraId="6E320B9C" w14:textId="77777777" w:rsidR="00FA2D95" w:rsidRPr="003E0B98" w:rsidRDefault="00FA2D95" w:rsidP="004361A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olor w:val="000000"/>
          <w:szCs w:val="22"/>
          <w:lang w:val="es-ES_tradnl"/>
        </w:rPr>
      </w:pPr>
      <w:r w:rsidRPr="003E0B98">
        <w:rPr>
          <w:b/>
          <w:color w:val="000000"/>
          <w:szCs w:val="22"/>
          <w:lang w:val="es-ES_tradnl"/>
        </w:rPr>
        <w:t>10.</w:t>
      </w:r>
      <w:r w:rsidRPr="003E0B98">
        <w:rPr>
          <w:b/>
          <w:color w:val="000000"/>
          <w:szCs w:val="22"/>
          <w:lang w:val="es-ES_tradnl"/>
        </w:rPr>
        <w:tab/>
      </w:r>
      <w:r w:rsidRPr="003E0B98">
        <w:rPr>
          <w:b/>
          <w:noProof/>
          <w:color w:val="000000"/>
          <w:lang w:val="es-ES_tradnl"/>
        </w:rPr>
        <w:t>PRECAUCIONES ESPECIALES DE ELIMINACIÓN DEL MEDICAMENTO NO UTILIZADO Y DE LOS MATERIALES DERIVADOS DE SU USO</w:t>
      </w:r>
      <w:r w:rsidR="00CD1E05" w:rsidRPr="003E0B98">
        <w:rPr>
          <w:b/>
          <w:noProof/>
          <w:color w:val="000000"/>
          <w:lang w:val="es-ES_tradnl"/>
        </w:rPr>
        <w:t>,</w:t>
      </w:r>
      <w:r w:rsidRPr="003E0B98">
        <w:rPr>
          <w:b/>
          <w:noProof/>
          <w:color w:val="000000"/>
          <w:lang w:val="es-ES_tradnl"/>
        </w:rPr>
        <w:t xml:space="preserve"> CUANDO CORRESPONDA</w:t>
      </w:r>
    </w:p>
    <w:p w14:paraId="10F45862" w14:textId="77777777" w:rsidR="00FA2D95" w:rsidRPr="003E0B98" w:rsidRDefault="00FA2D95" w:rsidP="004361AC">
      <w:pPr>
        <w:tabs>
          <w:tab w:val="clear" w:pos="567"/>
        </w:tabs>
        <w:spacing w:line="240" w:lineRule="auto"/>
        <w:rPr>
          <w:color w:val="000000"/>
          <w:szCs w:val="22"/>
          <w:lang w:val="es-ES_tradnl"/>
        </w:rPr>
      </w:pPr>
    </w:p>
    <w:p w14:paraId="08EF730F" w14:textId="77777777" w:rsidR="00FA2D95" w:rsidRPr="003E0B98" w:rsidRDefault="00FA2D95" w:rsidP="004361AC">
      <w:pPr>
        <w:tabs>
          <w:tab w:val="clear" w:pos="567"/>
        </w:tabs>
        <w:spacing w:line="240" w:lineRule="auto"/>
        <w:rPr>
          <w:color w:val="000000"/>
          <w:szCs w:val="22"/>
          <w:lang w:val="es-ES_tradnl"/>
        </w:rPr>
      </w:pPr>
    </w:p>
    <w:p w14:paraId="651DB68D" w14:textId="77777777" w:rsidR="00FA2D95" w:rsidRPr="003E0B98" w:rsidRDefault="00FA2D95" w:rsidP="004361A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olor w:val="000000"/>
          <w:szCs w:val="22"/>
          <w:lang w:val="es-ES_tradnl"/>
        </w:rPr>
      </w:pPr>
      <w:r w:rsidRPr="003E0B98">
        <w:rPr>
          <w:b/>
          <w:color w:val="000000"/>
          <w:szCs w:val="22"/>
          <w:lang w:val="es-ES_tradnl"/>
        </w:rPr>
        <w:t>11.</w:t>
      </w:r>
      <w:r w:rsidRPr="003E0B98">
        <w:rPr>
          <w:b/>
          <w:color w:val="000000"/>
          <w:szCs w:val="22"/>
          <w:lang w:val="es-ES_tradnl"/>
        </w:rPr>
        <w:tab/>
      </w:r>
      <w:r w:rsidRPr="003E0B98">
        <w:rPr>
          <w:b/>
          <w:noProof/>
          <w:color w:val="000000"/>
          <w:lang w:val="es-ES_tradnl"/>
        </w:rPr>
        <w:t>NOMBRE Y DIRECCIÓN DEL TITULAR DE LA AUTORIZACIÓN DE COMERCIALIZACIÓN</w:t>
      </w:r>
    </w:p>
    <w:p w14:paraId="3FF13097" w14:textId="77777777" w:rsidR="00FA2D95" w:rsidRPr="003E0B98" w:rsidRDefault="00FA2D95" w:rsidP="004361AC">
      <w:pPr>
        <w:tabs>
          <w:tab w:val="clear" w:pos="567"/>
        </w:tabs>
        <w:spacing w:line="240" w:lineRule="auto"/>
        <w:rPr>
          <w:color w:val="000000"/>
          <w:szCs w:val="22"/>
          <w:lang w:val="es-ES_tradnl"/>
        </w:rPr>
      </w:pPr>
    </w:p>
    <w:p w14:paraId="22E1E3E1" w14:textId="77777777" w:rsidR="00FA2D95" w:rsidRPr="003E0B98" w:rsidRDefault="00FA2D95" w:rsidP="004361AC">
      <w:pPr>
        <w:tabs>
          <w:tab w:val="clear" w:pos="567"/>
        </w:tabs>
        <w:spacing w:line="240" w:lineRule="auto"/>
        <w:rPr>
          <w:color w:val="000000"/>
          <w:szCs w:val="22"/>
        </w:rPr>
      </w:pPr>
      <w:r w:rsidRPr="003E0B98">
        <w:rPr>
          <w:color w:val="000000"/>
          <w:szCs w:val="22"/>
        </w:rPr>
        <w:t xml:space="preserve">Novartis </w:t>
      </w:r>
      <w:proofErr w:type="spellStart"/>
      <w:r w:rsidRPr="003E0B98">
        <w:rPr>
          <w:color w:val="000000"/>
          <w:szCs w:val="22"/>
        </w:rPr>
        <w:t>Europharm</w:t>
      </w:r>
      <w:proofErr w:type="spellEnd"/>
      <w:r w:rsidRPr="003E0B98">
        <w:rPr>
          <w:color w:val="000000"/>
          <w:szCs w:val="22"/>
        </w:rPr>
        <w:t xml:space="preserve"> Limited</w:t>
      </w:r>
    </w:p>
    <w:p w14:paraId="4EEFEC1B" w14:textId="77777777" w:rsidR="00442EE6" w:rsidRPr="003E0B98" w:rsidRDefault="00442EE6" w:rsidP="004361AC">
      <w:pPr>
        <w:keepNext/>
        <w:spacing w:line="240" w:lineRule="auto"/>
        <w:rPr>
          <w:color w:val="000000"/>
        </w:rPr>
      </w:pPr>
      <w:r w:rsidRPr="003E0B98">
        <w:rPr>
          <w:color w:val="000000"/>
        </w:rPr>
        <w:t>Vista Building</w:t>
      </w:r>
    </w:p>
    <w:p w14:paraId="65419894" w14:textId="77777777" w:rsidR="00442EE6" w:rsidRPr="003E0B98" w:rsidRDefault="00442EE6" w:rsidP="004361AC">
      <w:pPr>
        <w:keepNext/>
        <w:spacing w:line="240" w:lineRule="auto"/>
        <w:rPr>
          <w:color w:val="000000"/>
        </w:rPr>
      </w:pPr>
      <w:r w:rsidRPr="003E0B98">
        <w:rPr>
          <w:color w:val="000000"/>
        </w:rPr>
        <w:t>Elm Park, Merrion Road</w:t>
      </w:r>
    </w:p>
    <w:p w14:paraId="20875EA1" w14:textId="77777777" w:rsidR="00442EE6" w:rsidRPr="003E0B98" w:rsidRDefault="00442EE6" w:rsidP="004361AC">
      <w:pPr>
        <w:keepNext/>
        <w:spacing w:line="240" w:lineRule="auto"/>
        <w:rPr>
          <w:color w:val="000000"/>
          <w:lang w:val="es-ES"/>
        </w:rPr>
      </w:pPr>
      <w:proofErr w:type="spellStart"/>
      <w:r w:rsidRPr="003E0B98">
        <w:rPr>
          <w:color w:val="000000"/>
          <w:lang w:val="es-ES"/>
        </w:rPr>
        <w:t>Dublin</w:t>
      </w:r>
      <w:proofErr w:type="spellEnd"/>
      <w:r w:rsidRPr="003E0B98">
        <w:rPr>
          <w:color w:val="000000"/>
          <w:lang w:val="es-ES"/>
        </w:rPr>
        <w:t xml:space="preserve"> 4</w:t>
      </w:r>
    </w:p>
    <w:p w14:paraId="0445F972" w14:textId="77777777" w:rsidR="00FA2D95" w:rsidRPr="003E0B98" w:rsidRDefault="00442EE6" w:rsidP="004361AC">
      <w:pPr>
        <w:tabs>
          <w:tab w:val="clear" w:pos="567"/>
        </w:tabs>
        <w:spacing w:line="240" w:lineRule="auto"/>
        <w:rPr>
          <w:color w:val="000000"/>
          <w:szCs w:val="22"/>
          <w:lang w:val="es-ES_tradnl"/>
        </w:rPr>
      </w:pPr>
      <w:r w:rsidRPr="003E0B98">
        <w:rPr>
          <w:color w:val="000000"/>
          <w:lang w:val="es-ES"/>
        </w:rPr>
        <w:t>Irlanda</w:t>
      </w:r>
    </w:p>
    <w:p w14:paraId="0B7F2B50" w14:textId="77777777" w:rsidR="00FA2D95" w:rsidRPr="003E0B98" w:rsidRDefault="00FA2D95" w:rsidP="004361AC">
      <w:pPr>
        <w:tabs>
          <w:tab w:val="clear" w:pos="567"/>
        </w:tabs>
        <w:spacing w:line="240" w:lineRule="auto"/>
        <w:rPr>
          <w:color w:val="000000"/>
          <w:szCs w:val="22"/>
          <w:lang w:val="es-ES_tradnl"/>
        </w:rPr>
      </w:pPr>
    </w:p>
    <w:p w14:paraId="28AD4593" w14:textId="77777777" w:rsidR="00FA2D95" w:rsidRPr="003E0B98" w:rsidRDefault="00FA2D95" w:rsidP="004361AC">
      <w:pPr>
        <w:tabs>
          <w:tab w:val="clear" w:pos="567"/>
        </w:tabs>
        <w:spacing w:line="240" w:lineRule="auto"/>
        <w:rPr>
          <w:color w:val="000000"/>
          <w:szCs w:val="22"/>
          <w:lang w:val="es-ES_tradnl"/>
        </w:rPr>
      </w:pPr>
    </w:p>
    <w:p w14:paraId="1A52E402" w14:textId="77777777" w:rsidR="00FA2D95" w:rsidRPr="003E0B98" w:rsidRDefault="00FA2D95" w:rsidP="004361AC">
      <w:pPr>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es-ES_tradnl"/>
        </w:rPr>
      </w:pPr>
      <w:r w:rsidRPr="003E0B98">
        <w:rPr>
          <w:b/>
          <w:color w:val="000000"/>
          <w:szCs w:val="22"/>
          <w:lang w:val="es-ES_tradnl"/>
        </w:rPr>
        <w:t>12.</w:t>
      </w:r>
      <w:r w:rsidRPr="003E0B98">
        <w:rPr>
          <w:b/>
          <w:color w:val="000000"/>
          <w:szCs w:val="22"/>
          <w:lang w:val="es-ES_tradnl"/>
        </w:rPr>
        <w:tab/>
      </w:r>
      <w:r w:rsidRPr="003E0B98">
        <w:rPr>
          <w:b/>
          <w:noProof/>
          <w:color w:val="000000"/>
          <w:lang w:val="es-ES_tradnl"/>
        </w:rPr>
        <w:t>NÚMERO(S) DE AUTORIZACIÓN DE COMERCIALIZACIÓN</w:t>
      </w:r>
    </w:p>
    <w:p w14:paraId="7901DEC4" w14:textId="77777777" w:rsidR="00FA2D95" w:rsidRPr="003E0B98" w:rsidRDefault="00FA2D95" w:rsidP="004361AC">
      <w:pPr>
        <w:tabs>
          <w:tab w:val="clear" w:pos="567"/>
        </w:tabs>
        <w:spacing w:line="240" w:lineRule="auto"/>
        <w:rPr>
          <w:color w:val="000000"/>
          <w:szCs w:val="22"/>
          <w:lang w:val="es-ES_tradnl"/>
        </w:rPr>
      </w:pPr>
    </w:p>
    <w:p w14:paraId="57CBEE54" w14:textId="77777777" w:rsidR="002E5034" w:rsidRPr="003E0B98" w:rsidRDefault="002E5034" w:rsidP="004361AC">
      <w:pPr>
        <w:tabs>
          <w:tab w:val="clear" w:pos="567"/>
        </w:tabs>
        <w:spacing w:line="240" w:lineRule="auto"/>
        <w:rPr>
          <w:color w:val="000000"/>
          <w:szCs w:val="22"/>
          <w:lang w:val="es-ES_tradnl"/>
        </w:rPr>
      </w:pPr>
      <w:r w:rsidRPr="003E0B98">
        <w:rPr>
          <w:color w:val="000000"/>
          <w:szCs w:val="22"/>
          <w:lang w:val="es-ES_tradnl"/>
        </w:rPr>
        <w:t>EU/1/06/374/002</w:t>
      </w:r>
    </w:p>
    <w:p w14:paraId="4582E05C" w14:textId="77777777" w:rsidR="002E5034" w:rsidRPr="003E0B98" w:rsidRDefault="002E5034" w:rsidP="004361AC">
      <w:pPr>
        <w:tabs>
          <w:tab w:val="clear" w:pos="567"/>
        </w:tabs>
        <w:spacing w:line="240" w:lineRule="auto"/>
        <w:rPr>
          <w:color w:val="000000"/>
          <w:szCs w:val="22"/>
          <w:lang w:val="es-ES_tradnl"/>
        </w:rPr>
      </w:pPr>
    </w:p>
    <w:p w14:paraId="48E60D14" w14:textId="77777777" w:rsidR="00FA2D95" w:rsidRPr="003E0B98" w:rsidRDefault="00FA2D95" w:rsidP="004361AC">
      <w:pPr>
        <w:tabs>
          <w:tab w:val="clear" w:pos="567"/>
        </w:tabs>
        <w:spacing w:line="240" w:lineRule="auto"/>
        <w:rPr>
          <w:color w:val="000000"/>
          <w:szCs w:val="22"/>
          <w:lang w:val="es-ES_tradnl"/>
        </w:rPr>
      </w:pPr>
    </w:p>
    <w:p w14:paraId="3C908212" w14:textId="77777777" w:rsidR="00FA2D95" w:rsidRPr="003E0B98" w:rsidRDefault="00FA2D95" w:rsidP="004361AC">
      <w:pPr>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es-ES_tradnl"/>
        </w:rPr>
      </w:pPr>
      <w:r w:rsidRPr="003E0B98">
        <w:rPr>
          <w:b/>
          <w:color w:val="000000"/>
          <w:szCs w:val="22"/>
          <w:lang w:val="es-ES_tradnl"/>
        </w:rPr>
        <w:t>13.</w:t>
      </w:r>
      <w:r w:rsidRPr="003E0B98">
        <w:rPr>
          <w:b/>
          <w:color w:val="000000"/>
          <w:szCs w:val="22"/>
          <w:lang w:val="es-ES_tradnl"/>
        </w:rPr>
        <w:tab/>
      </w:r>
      <w:r w:rsidRPr="003E0B98">
        <w:rPr>
          <w:b/>
          <w:noProof/>
          <w:color w:val="000000"/>
          <w:lang w:val="pt-PT"/>
        </w:rPr>
        <w:t>NÚMERO DE LOTE</w:t>
      </w:r>
    </w:p>
    <w:p w14:paraId="0EDAC329" w14:textId="77777777" w:rsidR="00FA2D95" w:rsidRPr="003E0B98" w:rsidRDefault="00FA2D95" w:rsidP="004361AC">
      <w:pPr>
        <w:tabs>
          <w:tab w:val="clear" w:pos="567"/>
        </w:tabs>
        <w:spacing w:line="240" w:lineRule="auto"/>
        <w:rPr>
          <w:color w:val="000000"/>
          <w:szCs w:val="22"/>
          <w:lang w:val="es-ES_tradnl"/>
        </w:rPr>
      </w:pPr>
    </w:p>
    <w:p w14:paraId="797DAE78" w14:textId="77777777" w:rsidR="00FA2D95" w:rsidRPr="003E0B98" w:rsidRDefault="00FA2D95" w:rsidP="004361AC">
      <w:pPr>
        <w:tabs>
          <w:tab w:val="clear" w:pos="567"/>
        </w:tabs>
        <w:spacing w:line="240" w:lineRule="auto"/>
        <w:rPr>
          <w:color w:val="000000"/>
          <w:szCs w:val="22"/>
          <w:lang w:val="es-ES_tradnl"/>
        </w:rPr>
      </w:pPr>
      <w:r w:rsidRPr="003E0B98">
        <w:rPr>
          <w:color w:val="000000"/>
          <w:szCs w:val="22"/>
          <w:lang w:val="es-ES_tradnl"/>
        </w:rPr>
        <w:t>Lote</w:t>
      </w:r>
    </w:p>
    <w:p w14:paraId="659B22BC" w14:textId="77777777" w:rsidR="00FA2D95" w:rsidRPr="003E0B98" w:rsidRDefault="00FA2D95" w:rsidP="004361AC">
      <w:pPr>
        <w:tabs>
          <w:tab w:val="clear" w:pos="567"/>
        </w:tabs>
        <w:spacing w:line="240" w:lineRule="auto"/>
        <w:rPr>
          <w:color w:val="000000"/>
          <w:szCs w:val="22"/>
          <w:lang w:val="es-ES_tradnl"/>
        </w:rPr>
      </w:pPr>
    </w:p>
    <w:p w14:paraId="0B906AEE" w14:textId="77777777" w:rsidR="00FA2D95" w:rsidRPr="003E0B98" w:rsidRDefault="00FA2D95" w:rsidP="004361AC">
      <w:pPr>
        <w:tabs>
          <w:tab w:val="clear" w:pos="567"/>
        </w:tabs>
        <w:spacing w:line="240" w:lineRule="auto"/>
        <w:rPr>
          <w:color w:val="000000"/>
          <w:szCs w:val="22"/>
          <w:lang w:val="es-ES_tradnl"/>
        </w:rPr>
      </w:pPr>
    </w:p>
    <w:p w14:paraId="3E62DDC4" w14:textId="77777777" w:rsidR="00FA2D95" w:rsidRPr="003E0B98" w:rsidRDefault="00FA2D95" w:rsidP="004361AC">
      <w:pPr>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es-ES_tradnl"/>
        </w:rPr>
      </w:pPr>
      <w:r w:rsidRPr="003E0B98">
        <w:rPr>
          <w:b/>
          <w:color w:val="000000"/>
          <w:szCs w:val="22"/>
          <w:lang w:val="es-ES_tradnl"/>
        </w:rPr>
        <w:t>14.</w:t>
      </w:r>
      <w:r w:rsidRPr="003E0B98">
        <w:rPr>
          <w:b/>
          <w:color w:val="000000"/>
          <w:szCs w:val="22"/>
          <w:lang w:val="es-ES_tradnl"/>
        </w:rPr>
        <w:tab/>
      </w:r>
      <w:r w:rsidRPr="003E0B98">
        <w:rPr>
          <w:b/>
          <w:noProof/>
          <w:color w:val="000000"/>
          <w:lang w:val="es-ES_tradnl"/>
        </w:rPr>
        <w:t>CONDICIONES GENERALES DE DISPENSACIÓN</w:t>
      </w:r>
    </w:p>
    <w:p w14:paraId="71E26F9B" w14:textId="77777777" w:rsidR="00FA2D95" w:rsidRPr="003E0B98" w:rsidRDefault="00FA2D95" w:rsidP="004361AC">
      <w:pPr>
        <w:tabs>
          <w:tab w:val="clear" w:pos="567"/>
        </w:tabs>
        <w:spacing w:line="240" w:lineRule="auto"/>
        <w:rPr>
          <w:color w:val="000000"/>
          <w:szCs w:val="22"/>
          <w:lang w:val="es-ES_tradnl"/>
        </w:rPr>
      </w:pPr>
    </w:p>
    <w:p w14:paraId="16E0917C" w14:textId="77777777" w:rsidR="00FA2D95" w:rsidRPr="003E0B98" w:rsidRDefault="00FA2D95" w:rsidP="004361AC">
      <w:pPr>
        <w:tabs>
          <w:tab w:val="clear" w:pos="567"/>
        </w:tabs>
        <w:spacing w:line="240" w:lineRule="auto"/>
        <w:rPr>
          <w:color w:val="000000"/>
          <w:szCs w:val="22"/>
          <w:lang w:val="es-ES_tradnl"/>
        </w:rPr>
      </w:pPr>
    </w:p>
    <w:p w14:paraId="403A0568" w14:textId="77777777" w:rsidR="00FA2D95" w:rsidRPr="003E0B98" w:rsidRDefault="00FA2D95" w:rsidP="004361AC">
      <w:pPr>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es-ES_tradnl"/>
        </w:rPr>
      </w:pPr>
      <w:r w:rsidRPr="003E0B98">
        <w:rPr>
          <w:b/>
          <w:color w:val="000000"/>
          <w:szCs w:val="22"/>
          <w:lang w:val="es-ES_tradnl"/>
        </w:rPr>
        <w:t>15.</w:t>
      </w:r>
      <w:r w:rsidRPr="003E0B98">
        <w:rPr>
          <w:b/>
          <w:color w:val="000000"/>
          <w:szCs w:val="22"/>
          <w:lang w:val="es-ES_tradnl"/>
        </w:rPr>
        <w:tab/>
      </w:r>
      <w:r w:rsidRPr="003E0B98">
        <w:rPr>
          <w:b/>
          <w:noProof/>
          <w:color w:val="000000"/>
          <w:lang w:val="es-ES_tradnl"/>
        </w:rPr>
        <w:t>INSTRUCCIONES DE USO</w:t>
      </w:r>
    </w:p>
    <w:p w14:paraId="0CEE4BF0" w14:textId="77777777" w:rsidR="00DC6745" w:rsidRPr="003E0B98" w:rsidRDefault="00DC6745" w:rsidP="004361AC">
      <w:pPr>
        <w:tabs>
          <w:tab w:val="clear" w:pos="567"/>
        </w:tabs>
        <w:spacing w:line="240" w:lineRule="auto"/>
        <w:rPr>
          <w:color w:val="000000"/>
          <w:szCs w:val="22"/>
          <w:lang w:val="es-ES_tradnl"/>
        </w:rPr>
      </w:pPr>
    </w:p>
    <w:p w14:paraId="2CE3F1E8" w14:textId="77777777" w:rsidR="00FA2D95" w:rsidRPr="003E0B98" w:rsidRDefault="00FA2D95" w:rsidP="004361AC">
      <w:pPr>
        <w:tabs>
          <w:tab w:val="clear" w:pos="567"/>
        </w:tabs>
        <w:spacing w:line="240" w:lineRule="auto"/>
        <w:rPr>
          <w:color w:val="000000"/>
          <w:szCs w:val="22"/>
          <w:lang w:val="es-ES_tradnl"/>
        </w:rPr>
      </w:pPr>
    </w:p>
    <w:p w14:paraId="3FC42234" w14:textId="77777777" w:rsidR="00FA2D95" w:rsidRPr="003E0B98" w:rsidRDefault="00FA2D95" w:rsidP="004361AC">
      <w:pPr>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es-ES_tradnl"/>
        </w:rPr>
      </w:pPr>
      <w:r w:rsidRPr="003E0B98">
        <w:rPr>
          <w:b/>
          <w:color w:val="000000"/>
          <w:szCs w:val="22"/>
          <w:lang w:val="es-ES_tradnl"/>
        </w:rPr>
        <w:t>16.</w:t>
      </w:r>
      <w:r w:rsidRPr="003E0B98">
        <w:rPr>
          <w:b/>
          <w:color w:val="000000"/>
          <w:szCs w:val="22"/>
          <w:lang w:val="es-ES_tradnl"/>
        </w:rPr>
        <w:tab/>
      </w:r>
      <w:r w:rsidRPr="003E0B98">
        <w:rPr>
          <w:b/>
          <w:noProof/>
          <w:color w:val="000000"/>
          <w:lang w:val="es-ES_tradnl"/>
        </w:rPr>
        <w:t>INFORMACIÓN EN BRAILLE</w:t>
      </w:r>
    </w:p>
    <w:p w14:paraId="62610552" w14:textId="77777777" w:rsidR="00FA2D95" w:rsidRPr="003E0B98" w:rsidRDefault="00FA2D95" w:rsidP="004361AC">
      <w:pPr>
        <w:tabs>
          <w:tab w:val="clear" w:pos="567"/>
        </w:tabs>
        <w:spacing w:line="240" w:lineRule="auto"/>
        <w:rPr>
          <w:color w:val="000000"/>
          <w:szCs w:val="22"/>
          <w:lang w:val="es-ES_tradnl"/>
        </w:rPr>
      </w:pPr>
    </w:p>
    <w:p w14:paraId="3F16123A" w14:textId="77777777" w:rsidR="00FA2D95" w:rsidRPr="003E0B98" w:rsidRDefault="0059057F" w:rsidP="004361AC">
      <w:pPr>
        <w:tabs>
          <w:tab w:val="clear" w:pos="567"/>
        </w:tabs>
        <w:spacing w:line="240" w:lineRule="auto"/>
        <w:rPr>
          <w:color w:val="000000"/>
          <w:szCs w:val="22"/>
          <w:lang w:val="es-ES"/>
        </w:rPr>
      </w:pPr>
      <w:r w:rsidRPr="003E0B98">
        <w:rPr>
          <w:shd w:val="pct15" w:color="auto" w:fill="auto"/>
          <w:lang w:val="es-ES_tradnl"/>
        </w:rPr>
        <w:t>Se acepta la justificación para no incluir la información en Braille</w:t>
      </w:r>
      <w:r w:rsidR="00103CF6" w:rsidRPr="003E0B98">
        <w:rPr>
          <w:shd w:val="pct15" w:color="auto" w:fill="auto"/>
          <w:lang w:val="es-ES_tradnl"/>
        </w:rPr>
        <w:t>.</w:t>
      </w:r>
    </w:p>
    <w:p w14:paraId="4CC60313" w14:textId="77777777" w:rsidR="00103CF6" w:rsidRPr="003E0B98" w:rsidRDefault="00103CF6" w:rsidP="004361AC">
      <w:pPr>
        <w:tabs>
          <w:tab w:val="clear" w:pos="567"/>
        </w:tabs>
        <w:spacing w:line="240" w:lineRule="auto"/>
        <w:rPr>
          <w:color w:val="000000"/>
          <w:szCs w:val="22"/>
          <w:lang w:val="es-ES_tradnl"/>
        </w:rPr>
      </w:pPr>
    </w:p>
    <w:p w14:paraId="6370DF18" w14:textId="77777777" w:rsidR="00103CF6" w:rsidRPr="003E0B98" w:rsidRDefault="00103CF6" w:rsidP="004361AC">
      <w:pPr>
        <w:tabs>
          <w:tab w:val="clear" w:pos="567"/>
        </w:tabs>
        <w:spacing w:line="240" w:lineRule="auto"/>
        <w:rPr>
          <w:color w:val="000000"/>
          <w:szCs w:val="22"/>
          <w:lang w:val="es-ES_tradnl"/>
        </w:rPr>
      </w:pPr>
    </w:p>
    <w:p w14:paraId="7C2B8AD6" w14:textId="77777777" w:rsidR="00103CF6" w:rsidRPr="003E0B98" w:rsidRDefault="00103CF6" w:rsidP="004361AC">
      <w:pPr>
        <w:keepNext/>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es-ES_tradnl"/>
        </w:rPr>
      </w:pPr>
      <w:r w:rsidRPr="003E0B98">
        <w:rPr>
          <w:b/>
          <w:color w:val="000000"/>
          <w:szCs w:val="22"/>
          <w:lang w:val="es-ES_tradnl"/>
        </w:rPr>
        <w:t>17.</w:t>
      </w:r>
      <w:r w:rsidRPr="003E0B98">
        <w:rPr>
          <w:b/>
          <w:color w:val="000000"/>
          <w:szCs w:val="22"/>
          <w:lang w:val="es-ES_tradnl"/>
        </w:rPr>
        <w:tab/>
      </w:r>
      <w:r w:rsidRPr="003E0B98">
        <w:rPr>
          <w:b/>
          <w:noProof/>
          <w:color w:val="000000"/>
          <w:lang w:val="es-ES_tradnl"/>
        </w:rPr>
        <w:t>IDENTIFICADOR ÚNICO – CÓDIGO DE BARRAS 2D</w:t>
      </w:r>
    </w:p>
    <w:p w14:paraId="2D7A1BE5" w14:textId="77777777" w:rsidR="00103CF6" w:rsidRPr="003E0B98" w:rsidRDefault="00103CF6" w:rsidP="004361AC">
      <w:pPr>
        <w:keepNext/>
        <w:tabs>
          <w:tab w:val="clear" w:pos="567"/>
        </w:tabs>
        <w:spacing w:line="240" w:lineRule="auto"/>
        <w:rPr>
          <w:color w:val="000000"/>
          <w:szCs w:val="22"/>
          <w:lang w:val="es-ES_tradnl"/>
        </w:rPr>
      </w:pPr>
    </w:p>
    <w:p w14:paraId="408CE640" w14:textId="77777777" w:rsidR="00103CF6" w:rsidRPr="003E0B98" w:rsidRDefault="00103CF6" w:rsidP="004361AC">
      <w:pPr>
        <w:tabs>
          <w:tab w:val="clear" w:pos="567"/>
        </w:tabs>
        <w:spacing w:line="240" w:lineRule="auto"/>
        <w:rPr>
          <w:color w:val="000000"/>
          <w:szCs w:val="22"/>
          <w:lang w:val="es-ES"/>
        </w:rPr>
      </w:pPr>
      <w:r w:rsidRPr="003E0B98">
        <w:rPr>
          <w:shd w:val="pct15" w:color="auto" w:fill="auto"/>
          <w:lang w:val="es-ES_tradnl"/>
        </w:rPr>
        <w:t>Incluido el código de barras 2D que lleva el identificador único.</w:t>
      </w:r>
    </w:p>
    <w:p w14:paraId="7869F8B8" w14:textId="77777777" w:rsidR="00103CF6" w:rsidRPr="003E0B98" w:rsidRDefault="00103CF6" w:rsidP="004361AC">
      <w:pPr>
        <w:tabs>
          <w:tab w:val="clear" w:pos="567"/>
        </w:tabs>
        <w:spacing w:line="240" w:lineRule="auto"/>
        <w:rPr>
          <w:noProof/>
          <w:szCs w:val="22"/>
          <w:lang w:val="es-ES"/>
        </w:rPr>
      </w:pPr>
    </w:p>
    <w:p w14:paraId="14779206" w14:textId="77777777" w:rsidR="00103CF6" w:rsidRPr="003E0B98" w:rsidRDefault="00103CF6" w:rsidP="004361AC">
      <w:pPr>
        <w:tabs>
          <w:tab w:val="clear" w:pos="567"/>
        </w:tabs>
        <w:spacing w:line="240" w:lineRule="auto"/>
        <w:rPr>
          <w:color w:val="000000"/>
          <w:szCs w:val="22"/>
          <w:lang w:val="es-ES_tradnl"/>
        </w:rPr>
      </w:pPr>
    </w:p>
    <w:p w14:paraId="4A29A84D" w14:textId="77777777" w:rsidR="00103CF6" w:rsidRPr="003E0B98" w:rsidRDefault="00103CF6" w:rsidP="004361AC">
      <w:pPr>
        <w:keepNext/>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es-ES_tradnl"/>
        </w:rPr>
      </w:pPr>
      <w:r w:rsidRPr="003E0B98">
        <w:rPr>
          <w:b/>
          <w:color w:val="000000"/>
          <w:szCs w:val="22"/>
          <w:lang w:val="es-ES_tradnl"/>
        </w:rPr>
        <w:t>18.</w:t>
      </w:r>
      <w:r w:rsidRPr="003E0B98">
        <w:rPr>
          <w:b/>
          <w:color w:val="000000"/>
          <w:szCs w:val="22"/>
          <w:lang w:val="es-ES_tradnl"/>
        </w:rPr>
        <w:tab/>
      </w:r>
      <w:r w:rsidRPr="003E0B98">
        <w:rPr>
          <w:b/>
          <w:noProof/>
          <w:color w:val="000000"/>
          <w:lang w:val="es-ES_tradnl"/>
        </w:rPr>
        <w:t>IDENTIFICADOR ÚNICO – INFORMACIÓN EN CARACTERES VISUALES</w:t>
      </w:r>
    </w:p>
    <w:p w14:paraId="3B2A6DAF" w14:textId="77777777" w:rsidR="00103CF6" w:rsidRPr="003E0B98" w:rsidRDefault="00103CF6" w:rsidP="004361AC">
      <w:pPr>
        <w:keepNext/>
        <w:tabs>
          <w:tab w:val="clear" w:pos="567"/>
        </w:tabs>
        <w:spacing w:line="240" w:lineRule="auto"/>
        <w:rPr>
          <w:color w:val="000000"/>
          <w:szCs w:val="22"/>
          <w:lang w:val="es-ES_tradnl"/>
        </w:rPr>
      </w:pPr>
    </w:p>
    <w:p w14:paraId="65BEB900" w14:textId="23D5D3B9" w:rsidR="00103CF6" w:rsidRPr="003E0B98" w:rsidRDefault="00103CF6" w:rsidP="004361AC">
      <w:pPr>
        <w:keepNext/>
        <w:tabs>
          <w:tab w:val="clear" w:pos="567"/>
        </w:tabs>
        <w:spacing w:line="240" w:lineRule="auto"/>
        <w:ind w:right="113"/>
        <w:rPr>
          <w:color w:val="000000"/>
          <w:szCs w:val="22"/>
          <w:lang w:val="es-ES"/>
        </w:rPr>
      </w:pPr>
      <w:r w:rsidRPr="003E0B98">
        <w:rPr>
          <w:color w:val="000000"/>
          <w:szCs w:val="22"/>
          <w:lang w:val="es-ES"/>
        </w:rPr>
        <w:t>PC</w:t>
      </w:r>
    </w:p>
    <w:p w14:paraId="60CC1A74" w14:textId="5D2836AC" w:rsidR="00103CF6" w:rsidRPr="003E0B98" w:rsidRDefault="00103CF6" w:rsidP="004361AC">
      <w:pPr>
        <w:keepNext/>
        <w:tabs>
          <w:tab w:val="clear" w:pos="567"/>
        </w:tabs>
        <w:spacing w:line="240" w:lineRule="auto"/>
        <w:ind w:right="113"/>
        <w:rPr>
          <w:color w:val="000000"/>
          <w:szCs w:val="22"/>
          <w:lang w:val="es-ES"/>
        </w:rPr>
      </w:pPr>
      <w:r w:rsidRPr="003E0B98">
        <w:rPr>
          <w:color w:val="000000"/>
          <w:szCs w:val="22"/>
          <w:lang w:val="es-ES"/>
        </w:rPr>
        <w:t>SN</w:t>
      </w:r>
    </w:p>
    <w:p w14:paraId="111FABBC" w14:textId="6AC655D9" w:rsidR="00103CF6" w:rsidRPr="003E0B98" w:rsidRDefault="00103CF6" w:rsidP="004361AC">
      <w:pPr>
        <w:tabs>
          <w:tab w:val="clear" w:pos="567"/>
        </w:tabs>
        <w:spacing w:line="240" w:lineRule="auto"/>
        <w:ind w:right="113"/>
        <w:rPr>
          <w:color w:val="000000"/>
          <w:szCs w:val="22"/>
          <w:lang w:val="es-ES"/>
        </w:rPr>
      </w:pPr>
      <w:r w:rsidRPr="003E0B98">
        <w:rPr>
          <w:color w:val="000000"/>
          <w:szCs w:val="22"/>
          <w:lang w:val="es-ES"/>
        </w:rPr>
        <w:t>NN</w:t>
      </w:r>
    </w:p>
    <w:p w14:paraId="070C0BBD" w14:textId="77777777" w:rsidR="00FA2D95" w:rsidRPr="003E0B98" w:rsidRDefault="00FA2D95" w:rsidP="004361AC">
      <w:pPr>
        <w:tabs>
          <w:tab w:val="clear" w:pos="567"/>
        </w:tabs>
        <w:spacing w:line="240" w:lineRule="auto"/>
        <w:ind w:right="113"/>
        <w:rPr>
          <w:color w:val="000000"/>
          <w:szCs w:val="22"/>
          <w:lang w:val="es-ES_tradnl"/>
        </w:rPr>
      </w:pPr>
      <w:r w:rsidRPr="003E0B98">
        <w:rPr>
          <w:b/>
          <w:color w:val="000000"/>
          <w:szCs w:val="22"/>
          <w:lang w:val="es-ES_tradnl"/>
        </w:rPr>
        <w:br w:type="page"/>
      </w:r>
    </w:p>
    <w:p w14:paraId="742B0D3A" w14:textId="77777777" w:rsidR="00F23C9B" w:rsidRPr="003E0B98" w:rsidRDefault="00F23C9B" w:rsidP="004361AC">
      <w:pPr>
        <w:tabs>
          <w:tab w:val="clear" w:pos="567"/>
        </w:tabs>
        <w:spacing w:line="240" w:lineRule="auto"/>
        <w:rPr>
          <w:color w:val="000000"/>
          <w:szCs w:val="22"/>
          <w:lang w:val="es-ES_tradnl"/>
        </w:rPr>
      </w:pPr>
    </w:p>
    <w:p w14:paraId="32A7536C" w14:textId="77777777" w:rsidR="00FA2D95" w:rsidRPr="003E0B98" w:rsidRDefault="00FA2D95" w:rsidP="004361AC">
      <w:pPr>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es-ES_tradnl"/>
        </w:rPr>
      </w:pPr>
      <w:r w:rsidRPr="003E0B98">
        <w:rPr>
          <w:b/>
          <w:noProof/>
          <w:color w:val="000000"/>
          <w:lang w:val="es-ES_tradnl"/>
        </w:rPr>
        <w:t>INFORMACIÓN MÍNIMA QUE DEBE INCLUIRSE EN PEQUEÑOS ACONDICIONAMIENTOS PRIMARIOS</w:t>
      </w:r>
    </w:p>
    <w:p w14:paraId="583818B2" w14:textId="77777777" w:rsidR="00FA2D95" w:rsidRPr="003E0B98" w:rsidRDefault="00FA2D95" w:rsidP="004361AC">
      <w:pPr>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es-ES_tradnl"/>
        </w:rPr>
      </w:pPr>
    </w:p>
    <w:p w14:paraId="7B1842EC" w14:textId="77777777" w:rsidR="00FA2D95" w:rsidRPr="003E0B98" w:rsidRDefault="00FA2D95" w:rsidP="004361AC">
      <w:pPr>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es-ES_tradnl"/>
        </w:rPr>
      </w:pPr>
      <w:r w:rsidRPr="003E0B98">
        <w:rPr>
          <w:b/>
          <w:color w:val="000000"/>
          <w:szCs w:val="22"/>
          <w:lang w:val="es-ES_tradnl"/>
        </w:rPr>
        <w:t>ETIQUETA</w:t>
      </w:r>
    </w:p>
    <w:p w14:paraId="6CCC44E7" w14:textId="77777777" w:rsidR="00B240C3" w:rsidRPr="003E0B98" w:rsidRDefault="00B240C3" w:rsidP="004361AC">
      <w:pPr>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es-ES_tradnl"/>
        </w:rPr>
      </w:pPr>
    </w:p>
    <w:p w14:paraId="737C44C8" w14:textId="77777777" w:rsidR="00B240C3" w:rsidRPr="003E0B98" w:rsidRDefault="00B240C3" w:rsidP="004361AC">
      <w:pPr>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es-ES_tradnl"/>
        </w:rPr>
      </w:pPr>
      <w:r w:rsidRPr="003E0B98">
        <w:rPr>
          <w:b/>
          <w:color w:val="000000"/>
          <w:szCs w:val="22"/>
          <w:lang w:val="es-ES_tradnl"/>
        </w:rPr>
        <w:t>VIAL</w:t>
      </w:r>
    </w:p>
    <w:p w14:paraId="01679808" w14:textId="77777777" w:rsidR="00FA2D95" w:rsidRPr="003E0B98" w:rsidRDefault="00FA2D95" w:rsidP="004361AC">
      <w:pPr>
        <w:tabs>
          <w:tab w:val="clear" w:pos="567"/>
        </w:tabs>
        <w:spacing w:line="240" w:lineRule="auto"/>
        <w:rPr>
          <w:color w:val="000000"/>
          <w:szCs w:val="22"/>
          <w:lang w:val="es-ES_tradnl"/>
        </w:rPr>
      </w:pPr>
    </w:p>
    <w:p w14:paraId="7E40299E" w14:textId="77777777" w:rsidR="00FA2D95" w:rsidRPr="003E0B98" w:rsidRDefault="00FA2D95" w:rsidP="004361AC">
      <w:pPr>
        <w:tabs>
          <w:tab w:val="clear" w:pos="567"/>
        </w:tabs>
        <w:spacing w:line="240" w:lineRule="auto"/>
        <w:rPr>
          <w:color w:val="000000"/>
          <w:szCs w:val="22"/>
          <w:lang w:val="es-ES_tradnl"/>
        </w:rPr>
      </w:pPr>
    </w:p>
    <w:p w14:paraId="7E8993DF" w14:textId="77777777" w:rsidR="00FA2D95" w:rsidRPr="003E0B98" w:rsidRDefault="00FA2D95" w:rsidP="004361AC">
      <w:pPr>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es-ES_tradnl"/>
        </w:rPr>
      </w:pPr>
      <w:r w:rsidRPr="003E0B98">
        <w:rPr>
          <w:b/>
          <w:color w:val="000000"/>
          <w:szCs w:val="22"/>
          <w:lang w:val="es-ES_tradnl"/>
        </w:rPr>
        <w:t>1.</w:t>
      </w:r>
      <w:r w:rsidRPr="003E0B98">
        <w:rPr>
          <w:b/>
          <w:color w:val="000000"/>
          <w:szCs w:val="22"/>
          <w:lang w:val="es-ES_tradnl"/>
        </w:rPr>
        <w:tab/>
      </w:r>
      <w:r w:rsidRPr="003E0B98">
        <w:rPr>
          <w:b/>
          <w:noProof/>
          <w:color w:val="000000"/>
          <w:lang w:val="es-ES_tradnl"/>
        </w:rPr>
        <w:t>NOMBRE DEL MEDICAMENTO Y VÍA(S) DE ADMINISTRACIÓN</w:t>
      </w:r>
    </w:p>
    <w:p w14:paraId="7EFAD8F4" w14:textId="77777777" w:rsidR="00FA2D95" w:rsidRPr="003E0B98" w:rsidRDefault="00FA2D95" w:rsidP="004361AC">
      <w:pPr>
        <w:tabs>
          <w:tab w:val="clear" w:pos="567"/>
        </w:tabs>
        <w:spacing w:line="240" w:lineRule="auto"/>
        <w:ind w:left="567" w:hanging="567"/>
        <w:rPr>
          <w:color w:val="000000"/>
          <w:szCs w:val="22"/>
          <w:lang w:val="es-ES_tradnl"/>
        </w:rPr>
      </w:pPr>
    </w:p>
    <w:p w14:paraId="78620E16" w14:textId="77777777" w:rsidR="00FA2D95" w:rsidRPr="003E0B98" w:rsidRDefault="00FA2D95" w:rsidP="004361AC">
      <w:pPr>
        <w:tabs>
          <w:tab w:val="clear" w:pos="567"/>
        </w:tabs>
        <w:spacing w:line="240" w:lineRule="auto"/>
        <w:rPr>
          <w:color w:val="000000"/>
          <w:szCs w:val="22"/>
          <w:lang w:val="es-ES_tradnl"/>
        </w:rPr>
      </w:pPr>
      <w:proofErr w:type="spellStart"/>
      <w:r w:rsidRPr="003E0B98">
        <w:rPr>
          <w:color w:val="000000"/>
          <w:szCs w:val="22"/>
          <w:lang w:val="es-ES_tradnl"/>
        </w:rPr>
        <w:t>Lucentis</w:t>
      </w:r>
      <w:proofErr w:type="spellEnd"/>
      <w:r w:rsidRPr="003E0B98">
        <w:rPr>
          <w:color w:val="000000"/>
          <w:szCs w:val="22"/>
          <w:lang w:val="es-ES_tradnl"/>
        </w:rPr>
        <w:t xml:space="preserve"> 10 mg/ml solución inyectable</w:t>
      </w:r>
    </w:p>
    <w:p w14:paraId="64C34F29" w14:textId="77777777" w:rsidR="00FA2D95" w:rsidRPr="003E0B98" w:rsidRDefault="00E1022B" w:rsidP="004361AC">
      <w:pPr>
        <w:tabs>
          <w:tab w:val="clear" w:pos="567"/>
        </w:tabs>
        <w:spacing w:line="240" w:lineRule="auto"/>
        <w:rPr>
          <w:color w:val="000000"/>
          <w:szCs w:val="22"/>
          <w:lang w:val="es-ES_tradnl"/>
        </w:rPr>
      </w:pPr>
      <w:proofErr w:type="spellStart"/>
      <w:r w:rsidRPr="003E0B98">
        <w:rPr>
          <w:color w:val="000000"/>
          <w:szCs w:val="22"/>
          <w:lang w:val="es-ES_tradnl"/>
        </w:rPr>
        <w:t>r</w:t>
      </w:r>
      <w:r w:rsidR="00FA2D95" w:rsidRPr="003E0B98">
        <w:rPr>
          <w:color w:val="000000"/>
          <w:szCs w:val="22"/>
          <w:lang w:val="es-ES_tradnl"/>
        </w:rPr>
        <w:t>anibizumab</w:t>
      </w:r>
      <w:proofErr w:type="spellEnd"/>
    </w:p>
    <w:p w14:paraId="33C0CAC3" w14:textId="77777777" w:rsidR="00FA2D95" w:rsidRPr="003E0B98" w:rsidRDefault="00FA2D95" w:rsidP="004361AC">
      <w:pPr>
        <w:tabs>
          <w:tab w:val="clear" w:pos="567"/>
        </w:tabs>
        <w:spacing w:line="240" w:lineRule="auto"/>
        <w:rPr>
          <w:color w:val="000000"/>
          <w:szCs w:val="22"/>
          <w:lang w:val="es-ES_tradnl"/>
        </w:rPr>
      </w:pPr>
      <w:r w:rsidRPr="003E0B98">
        <w:rPr>
          <w:color w:val="000000"/>
          <w:szCs w:val="22"/>
          <w:lang w:val="es-ES_tradnl"/>
        </w:rPr>
        <w:t>Vía intravítrea</w:t>
      </w:r>
    </w:p>
    <w:p w14:paraId="062F5FC7" w14:textId="77777777" w:rsidR="00FA2D95" w:rsidRPr="003E0B98" w:rsidRDefault="00FA2D95" w:rsidP="004361AC">
      <w:pPr>
        <w:tabs>
          <w:tab w:val="clear" w:pos="567"/>
        </w:tabs>
        <w:spacing w:line="240" w:lineRule="auto"/>
        <w:rPr>
          <w:color w:val="000000"/>
          <w:szCs w:val="22"/>
          <w:lang w:val="es-ES_tradnl"/>
        </w:rPr>
      </w:pPr>
    </w:p>
    <w:p w14:paraId="627A0CF7" w14:textId="77777777" w:rsidR="00FA2D95" w:rsidRPr="003E0B98" w:rsidRDefault="00FA2D95" w:rsidP="004361AC">
      <w:pPr>
        <w:tabs>
          <w:tab w:val="clear" w:pos="567"/>
        </w:tabs>
        <w:spacing w:line="240" w:lineRule="auto"/>
        <w:rPr>
          <w:color w:val="000000"/>
          <w:szCs w:val="22"/>
          <w:lang w:val="es-ES_tradnl"/>
        </w:rPr>
      </w:pPr>
    </w:p>
    <w:p w14:paraId="7F5037FE" w14:textId="77777777" w:rsidR="00FA2D95" w:rsidRPr="003E0B98" w:rsidRDefault="00FA2D95" w:rsidP="004361AC">
      <w:pPr>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es-ES_tradnl"/>
        </w:rPr>
      </w:pPr>
      <w:r w:rsidRPr="003E0B98">
        <w:rPr>
          <w:b/>
          <w:color w:val="000000"/>
          <w:szCs w:val="22"/>
          <w:lang w:val="es-ES_tradnl"/>
        </w:rPr>
        <w:t>2.</w:t>
      </w:r>
      <w:r w:rsidRPr="003E0B98">
        <w:rPr>
          <w:b/>
          <w:color w:val="000000"/>
          <w:szCs w:val="22"/>
          <w:lang w:val="es-ES_tradnl"/>
        </w:rPr>
        <w:tab/>
      </w:r>
      <w:r w:rsidRPr="003E0B98">
        <w:rPr>
          <w:b/>
          <w:noProof/>
          <w:color w:val="000000"/>
          <w:lang w:val="es-ES_tradnl"/>
        </w:rPr>
        <w:t>FORMA DE ADMINISTRACIÓN</w:t>
      </w:r>
    </w:p>
    <w:p w14:paraId="43810A6D" w14:textId="77777777" w:rsidR="00FA2D95" w:rsidRPr="003E0B98" w:rsidRDefault="00FA2D95" w:rsidP="004361AC">
      <w:pPr>
        <w:tabs>
          <w:tab w:val="clear" w:pos="567"/>
        </w:tabs>
        <w:spacing w:line="240" w:lineRule="auto"/>
        <w:rPr>
          <w:color w:val="000000"/>
          <w:szCs w:val="22"/>
          <w:lang w:val="es-ES_tradnl"/>
        </w:rPr>
      </w:pPr>
    </w:p>
    <w:p w14:paraId="4879DAE1" w14:textId="77777777" w:rsidR="00FA2D95" w:rsidRPr="003E0B98" w:rsidRDefault="00FA2D95" w:rsidP="004361AC">
      <w:pPr>
        <w:tabs>
          <w:tab w:val="clear" w:pos="567"/>
        </w:tabs>
        <w:spacing w:line="240" w:lineRule="auto"/>
        <w:rPr>
          <w:color w:val="000000"/>
          <w:szCs w:val="22"/>
          <w:lang w:val="es-ES_tradnl"/>
        </w:rPr>
      </w:pPr>
    </w:p>
    <w:p w14:paraId="05CEB711" w14:textId="77777777" w:rsidR="00FA2D95" w:rsidRPr="003E0B98" w:rsidRDefault="00FA2D95" w:rsidP="004361AC">
      <w:pPr>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es-ES_tradnl"/>
        </w:rPr>
      </w:pPr>
      <w:r w:rsidRPr="003E0B98">
        <w:rPr>
          <w:b/>
          <w:color w:val="000000"/>
          <w:szCs w:val="22"/>
          <w:lang w:val="es-ES_tradnl"/>
        </w:rPr>
        <w:t>3.</w:t>
      </w:r>
      <w:r w:rsidRPr="003E0B98">
        <w:rPr>
          <w:b/>
          <w:color w:val="000000"/>
          <w:szCs w:val="22"/>
          <w:lang w:val="es-ES_tradnl"/>
        </w:rPr>
        <w:tab/>
      </w:r>
      <w:r w:rsidRPr="003E0B98">
        <w:rPr>
          <w:b/>
          <w:noProof/>
          <w:color w:val="000000"/>
          <w:lang w:val="es-ES_tradnl"/>
        </w:rPr>
        <w:t>FECHA DE CADUCIDAD</w:t>
      </w:r>
    </w:p>
    <w:p w14:paraId="6651CC08" w14:textId="77777777" w:rsidR="00FA2D95" w:rsidRPr="003E0B98" w:rsidRDefault="00FA2D95" w:rsidP="004361AC">
      <w:pPr>
        <w:tabs>
          <w:tab w:val="clear" w:pos="567"/>
        </w:tabs>
        <w:spacing w:line="240" w:lineRule="auto"/>
        <w:rPr>
          <w:color w:val="000000"/>
          <w:szCs w:val="22"/>
          <w:lang w:val="es-ES_tradnl"/>
        </w:rPr>
      </w:pPr>
    </w:p>
    <w:p w14:paraId="6B0D4C55" w14:textId="77777777" w:rsidR="00FA2D95" w:rsidRPr="003E0B98" w:rsidRDefault="00FA2D95" w:rsidP="004361AC">
      <w:pPr>
        <w:tabs>
          <w:tab w:val="clear" w:pos="567"/>
        </w:tabs>
        <w:spacing w:line="240" w:lineRule="auto"/>
        <w:rPr>
          <w:color w:val="000000"/>
          <w:szCs w:val="22"/>
          <w:lang w:val="es-ES_tradnl"/>
        </w:rPr>
      </w:pPr>
      <w:r w:rsidRPr="003E0B98">
        <w:rPr>
          <w:color w:val="000000"/>
          <w:szCs w:val="22"/>
          <w:lang w:val="es-ES_tradnl"/>
        </w:rPr>
        <w:t>EXP</w:t>
      </w:r>
    </w:p>
    <w:p w14:paraId="78365BA0" w14:textId="77777777" w:rsidR="00FA2D95" w:rsidRPr="003E0B98" w:rsidRDefault="00FA2D95" w:rsidP="004361AC">
      <w:pPr>
        <w:tabs>
          <w:tab w:val="clear" w:pos="567"/>
        </w:tabs>
        <w:spacing w:line="240" w:lineRule="auto"/>
        <w:rPr>
          <w:color w:val="000000"/>
          <w:szCs w:val="22"/>
          <w:lang w:val="es-ES_tradnl"/>
        </w:rPr>
      </w:pPr>
    </w:p>
    <w:p w14:paraId="586607FA" w14:textId="77777777" w:rsidR="00FA2D95" w:rsidRPr="003E0B98" w:rsidRDefault="00FA2D95" w:rsidP="004361AC">
      <w:pPr>
        <w:tabs>
          <w:tab w:val="clear" w:pos="567"/>
        </w:tabs>
        <w:spacing w:line="240" w:lineRule="auto"/>
        <w:rPr>
          <w:color w:val="000000"/>
          <w:szCs w:val="22"/>
          <w:lang w:val="es-ES_tradnl"/>
        </w:rPr>
      </w:pPr>
    </w:p>
    <w:p w14:paraId="5D4CEF97" w14:textId="77777777" w:rsidR="00FA2D95" w:rsidRPr="003E0B98" w:rsidRDefault="00FA2D95" w:rsidP="004361AC">
      <w:pPr>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es-ES_tradnl"/>
        </w:rPr>
      </w:pPr>
      <w:r w:rsidRPr="003E0B98">
        <w:rPr>
          <w:b/>
          <w:color w:val="000000"/>
          <w:szCs w:val="22"/>
          <w:lang w:val="es-ES_tradnl"/>
        </w:rPr>
        <w:t>4.</w:t>
      </w:r>
      <w:r w:rsidRPr="003E0B98">
        <w:rPr>
          <w:b/>
          <w:color w:val="000000"/>
          <w:szCs w:val="22"/>
          <w:lang w:val="es-ES_tradnl"/>
        </w:rPr>
        <w:tab/>
      </w:r>
      <w:r w:rsidRPr="003E0B98">
        <w:rPr>
          <w:b/>
          <w:noProof/>
          <w:color w:val="000000"/>
          <w:lang w:val="es-ES_tradnl"/>
        </w:rPr>
        <w:t>NÚMERO DE LOTE</w:t>
      </w:r>
    </w:p>
    <w:p w14:paraId="6B9051AA" w14:textId="77777777" w:rsidR="00FA2D95" w:rsidRPr="003E0B98" w:rsidRDefault="00FA2D95" w:rsidP="004361AC">
      <w:pPr>
        <w:tabs>
          <w:tab w:val="clear" w:pos="567"/>
        </w:tabs>
        <w:spacing w:line="240" w:lineRule="auto"/>
        <w:ind w:right="113"/>
        <w:rPr>
          <w:color w:val="000000"/>
          <w:szCs w:val="22"/>
          <w:lang w:val="es-ES_tradnl"/>
        </w:rPr>
      </w:pPr>
    </w:p>
    <w:p w14:paraId="1A99D07C" w14:textId="77777777" w:rsidR="00FA2D95" w:rsidRPr="003E0B98" w:rsidRDefault="00FA2D95" w:rsidP="004361AC">
      <w:pPr>
        <w:tabs>
          <w:tab w:val="clear" w:pos="567"/>
        </w:tabs>
        <w:spacing w:line="240" w:lineRule="auto"/>
        <w:ind w:right="113"/>
        <w:rPr>
          <w:color w:val="000000"/>
          <w:szCs w:val="22"/>
          <w:lang w:val="es-ES_tradnl"/>
        </w:rPr>
      </w:pPr>
      <w:r w:rsidRPr="003E0B98">
        <w:rPr>
          <w:color w:val="000000"/>
          <w:szCs w:val="22"/>
          <w:lang w:val="es-ES_tradnl"/>
        </w:rPr>
        <w:t>Lot</w:t>
      </w:r>
    </w:p>
    <w:p w14:paraId="19DFE3EA" w14:textId="77777777" w:rsidR="00FA2D95" w:rsidRPr="003E0B98" w:rsidRDefault="00FA2D95" w:rsidP="004361AC">
      <w:pPr>
        <w:tabs>
          <w:tab w:val="clear" w:pos="567"/>
        </w:tabs>
        <w:spacing w:line="240" w:lineRule="auto"/>
        <w:ind w:right="113"/>
        <w:rPr>
          <w:color w:val="000000"/>
          <w:szCs w:val="22"/>
          <w:lang w:val="es-ES_tradnl"/>
        </w:rPr>
      </w:pPr>
    </w:p>
    <w:p w14:paraId="3D374AB2" w14:textId="77777777" w:rsidR="00FA2D95" w:rsidRPr="003E0B98" w:rsidRDefault="00FA2D95" w:rsidP="004361AC">
      <w:pPr>
        <w:tabs>
          <w:tab w:val="clear" w:pos="567"/>
        </w:tabs>
        <w:spacing w:line="240" w:lineRule="auto"/>
        <w:ind w:right="113"/>
        <w:rPr>
          <w:color w:val="000000"/>
          <w:szCs w:val="22"/>
          <w:lang w:val="es-ES_tradnl"/>
        </w:rPr>
      </w:pPr>
    </w:p>
    <w:p w14:paraId="0D395B78" w14:textId="77777777" w:rsidR="00FA2D95" w:rsidRPr="003E0B98" w:rsidRDefault="00FA2D95" w:rsidP="004361AC">
      <w:pPr>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es-ES_tradnl"/>
        </w:rPr>
      </w:pPr>
      <w:r w:rsidRPr="003E0B98">
        <w:rPr>
          <w:b/>
          <w:color w:val="000000"/>
          <w:szCs w:val="22"/>
          <w:lang w:val="es-ES_tradnl"/>
        </w:rPr>
        <w:t>5.</w:t>
      </w:r>
      <w:r w:rsidRPr="003E0B98">
        <w:rPr>
          <w:b/>
          <w:color w:val="000000"/>
          <w:szCs w:val="22"/>
          <w:lang w:val="es-ES_tradnl"/>
        </w:rPr>
        <w:tab/>
      </w:r>
      <w:r w:rsidRPr="003E0B98">
        <w:rPr>
          <w:b/>
          <w:color w:val="000000"/>
          <w:szCs w:val="22"/>
          <w:lang w:val="es-ES"/>
        </w:rPr>
        <w:t xml:space="preserve">CONTENIDO EN PESO, </w:t>
      </w:r>
      <w:r w:rsidR="008F4C93" w:rsidRPr="003E0B98">
        <w:rPr>
          <w:b/>
          <w:color w:val="000000"/>
          <w:szCs w:val="22"/>
          <w:lang w:val="es-ES"/>
        </w:rPr>
        <w:t xml:space="preserve">EN </w:t>
      </w:r>
      <w:r w:rsidRPr="003E0B98">
        <w:rPr>
          <w:b/>
          <w:color w:val="000000"/>
          <w:szCs w:val="22"/>
          <w:lang w:val="es-ES"/>
        </w:rPr>
        <w:t>VOLUMEN O EN UNIDADES</w:t>
      </w:r>
    </w:p>
    <w:p w14:paraId="6C76C509" w14:textId="77777777" w:rsidR="00FA2D95" w:rsidRPr="003E0B98" w:rsidRDefault="00FA2D95" w:rsidP="004361AC">
      <w:pPr>
        <w:tabs>
          <w:tab w:val="clear" w:pos="567"/>
        </w:tabs>
        <w:spacing w:line="240" w:lineRule="auto"/>
        <w:ind w:right="113"/>
        <w:rPr>
          <w:color w:val="000000"/>
          <w:szCs w:val="22"/>
          <w:lang w:val="es-ES_tradnl"/>
        </w:rPr>
      </w:pPr>
    </w:p>
    <w:p w14:paraId="2371DE30" w14:textId="77777777" w:rsidR="00FA2D95" w:rsidRPr="003E0B98" w:rsidRDefault="00FA1F9A" w:rsidP="004361AC">
      <w:pPr>
        <w:tabs>
          <w:tab w:val="clear" w:pos="567"/>
        </w:tabs>
        <w:spacing w:line="240" w:lineRule="auto"/>
        <w:ind w:right="113"/>
        <w:rPr>
          <w:color w:val="000000"/>
          <w:szCs w:val="22"/>
          <w:lang w:val="es-ES_tradnl"/>
        </w:rPr>
      </w:pPr>
      <w:r w:rsidRPr="003E0B98">
        <w:rPr>
          <w:color w:val="000000"/>
          <w:szCs w:val="22"/>
          <w:lang w:val="es-ES_tradnl"/>
        </w:rPr>
        <w:t>2</w:t>
      </w:r>
      <w:r w:rsidR="00FA2D95" w:rsidRPr="003E0B98">
        <w:rPr>
          <w:color w:val="000000"/>
          <w:szCs w:val="22"/>
          <w:lang w:val="es-ES_tradnl"/>
        </w:rPr>
        <w:t>,</w:t>
      </w:r>
      <w:r w:rsidRPr="003E0B98">
        <w:rPr>
          <w:color w:val="000000"/>
          <w:szCs w:val="22"/>
          <w:lang w:val="es-ES_tradnl"/>
        </w:rPr>
        <w:t>3</w:t>
      </w:r>
      <w:r w:rsidR="00FA2D95" w:rsidRPr="003E0B98">
        <w:rPr>
          <w:color w:val="000000"/>
          <w:szCs w:val="22"/>
          <w:lang w:val="es-ES_tradnl"/>
        </w:rPr>
        <w:t> mg</w:t>
      </w:r>
      <w:r w:rsidR="00426506" w:rsidRPr="003E0B98">
        <w:rPr>
          <w:color w:val="000000"/>
          <w:szCs w:val="22"/>
          <w:lang w:val="es-ES"/>
        </w:rPr>
        <w:t>/0,23 ml</w:t>
      </w:r>
    </w:p>
    <w:p w14:paraId="62658AE9" w14:textId="77777777" w:rsidR="00FA2D95" w:rsidRPr="003E0B98" w:rsidRDefault="00FA2D95" w:rsidP="004361AC">
      <w:pPr>
        <w:tabs>
          <w:tab w:val="clear" w:pos="567"/>
        </w:tabs>
        <w:spacing w:line="240" w:lineRule="auto"/>
        <w:ind w:right="113"/>
        <w:rPr>
          <w:color w:val="000000"/>
          <w:szCs w:val="22"/>
          <w:lang w:val="es-ES_tradnl"/>
        </w:rPr>
      </w:pPr>
    </w:p>
    <w:p w14:paraId="6C8F04AD" w14:textId="77777777" w:rsidR="00FA2D95" w:rsidRPr="003E0B98" w:rsidRDefault="00FA2D95" w:rsidP="004361AC">
      <w:pPr>
        <w:tabs>
          <w:tab w:val="clear" w:pos="567"/>
        </w:tabs>
        <w:spacing w:line="240" w:lineRule="auto"/>
        <w:ind w:right="113"/>
        <w:rPr>
          <w:color w:val="000000"/>
          <w:szCs w:val="22"/>
          <w:lang w:val="es-ES_tradnl"/>
        </w:rPr>
      </w:pPr>
    </w:p>
    <w:p w14:paraId="45B3609A" w14:textId="77777777" w:rsidR="00FA2D95" w:rsidRPr="003E0B98" w:rsidRDefault="00FA2D95" w:rsidP="004361AC">
      <w:pPr>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es-ES_tradnl"/>
        </w:rPr>
      </w:pPr>
      <w:r w:rsidRPr="003E0B98">
        <w:rPr>
          <w:b/>
          <w:color w:val="000000"/>
          <w:szCs w:val="22"/>
          <w:lang w:val="es-ES_tradnl"/>
        </w:rPr>
        <w:t>6.</w:t>
      </w:r>
      <w:r w:rsidRPr="003E0B98">
        <w:rPr>
          <w:b/>
          <w:color w:val="000000"/>
          <w:szCs w:val="22"/>
          <w:lang w:val="es-ES_tradnl"/>
        </w:rPr>
        <w:tab/>
      </w:r>
      <w:r w:rsidRPr="003E0B98">
        <w:rPr>
          <w:b/>
          <w:noProof/>
          <w:color w:val="000000"/>
          <w:lang w:val="es-ES_tradnl"/>
        </w:rPr>
        <w:t>OTROS</w:t>
      </w:r>
    </w:p>
    <w:p w14:paraId="0D8DC240" w14:textId="77777777" w:rsidR="00FA2D95" w:rsidRPr="003E0B98" w:rsidRDefault="00FA2D95" w:rsidP="004361AC">
      <w:pPr>
        <w:tabs>
          <w:tab w:val="clear" w:pos="567"/>
        </w:tabs>
        <w:spacing w:line="240" w:lineRule="auto"/>
        <w:rPr>
          <w:color w:val="000000"/>
          <w:szCs w:val="22"/>
          <w:lang w:val="es-ES_tradnl"/>
        </w:rPr>
      </w:pPr>
    </w:p>
    <w:p w14:paraId="1261BD9C" w14:textId="77777777" w:rsidR="00E36F43" w:rsidRPr="003E0B98" w:rsidRDefault="00FA2D95" w:rsidP="004361AC">
      <w:pPr>
        <w:shd w:val="clear" w:color="auto" w:fill="FFFFFF"/>
        <w:tabs>
          <w:tab w:val="clear" w:pos="567"/>
        </w:tabs>
        <w:spacing w:line="240" w:lineRule="auto"/>
        <w:rPr>
          <w:color w:val="000000"/>
          <w:szCs w:val="22"/>
          <w:lang w:val="es-ES_tradnl"/>
        </w:rPr>
      </w:pPr>
      <w:r w:rsidRPr="003E0B98">
        <w:rPr>
          <w:b/>
          <w:color w:val="000000"/>
          <w:szCs w:val="22"/>
          <w:u w:val="single"/>
          <w:lang w:val="es-ES_tradnl"/>
        </w:rPr>
        <w:br w:type="page"/>
      </w:r>
    </w:p>
    <w:p w14:paraId="4AB3D187" w14:textId="77777777" w:rsidR="00F23C9B" w:rsidRPr="003E0B98" w:rsidRDefault="00F23C9B" w:rsidP="004361AC">
      <w:pPr>
        <w:tabs>
          <w:tab w:val="clear" w:pos="567"/>
        </w:tabs>
        <w:spacing w:line="240" w:lineRule="auto"/>
        <w:rPr>
          <w:color w:val="000000"/>
          <w:szCs w:val="22"/>
          <w:lang w:val="es-ES_tradnl"/>
        </w:rPr>
      </w:pPr>
    </w:p>
    <w:p w14:paraId="6F7A094C" w14:textId="77777777" w:rsidR="00E36F43" w:rsidRPr="003E0B98" w:rsidRDefault="00E36F43" w:rsidP="004361AC">
      <w:pPr>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es-ES_tradnl"/>
        </w:rPr>
      </w:pPr>
      <w:r w:rsidRPr="003E0B98">
        <w:rPr>
          <w:b/>
          <w:color w:val="000000"/>
          <w:szCs w:val="22"/>
          <w:lang w:val="es-ES"/>
        </w:rPr>
        <w:t>INFORMACIÓN QUE DEBE FIGURAR EN EL EMBALAJE EXTERIOR</w:t>
      </w:r>
    </w:p>
    <w:p w14:paraId="37C39FF9" w14:textId="77777777" w:rsidR="00E36F43" w:rsidRPr="003E0B98" w:rsidRDefault="00E36F43" w:rsidP="004361A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color w:val="000000"/>
          <w:szCs w:val="22"/>
          <w:lang w:val="es-ES_tradnl"/>
        </w:rPr>
      </w:pPr>
    </w:p>
    <w:p w14:paraId="66DCD491" w14:textId="77777777" w:rsidR="00B240C3" w:rsidRPr="003E0B98" w:rsidRDefault="00E36F43" w:rsidP="004361AC">
      <w:pPr>
        <w:pBdr>
          <w:top w:val="single" w:sz="4" w:space="1" w:color="auto"/>
          <w:left w:val="single" w:sz="4" w:space="4" w:color="auto"/>
          <w:bottom w:val="single" w:sz="4" w:space="1" w:color="auto"/>
          <w:right w:val="single" w:sz="4" w:space="4" w:color="auto"/>
        </w:pBdr>
        <w:tabs>
          <w:tab w:val="clear" w:pos="567"/>
        </w:tabs>
        <w:spacing w:line="240" w:lineRule="auto"/>
        <w:rPr>
          <w:b/>
          <w:color w:val="000000"/>
          <w:lang w:val="es-ES_tradnl"/>
        </w:rPr>
      </w:pPr>
      <w:r w:rsidRPr="003E0B98">
        <w:rPr>
          <w:b/>
          <w:color w:val="000000"/>
          <w:lang w:val="es-ES_tradnl"/>
        </w:rPr>
        <w:t>CAJA</w:t>
      </w:r>
    </w:p>
    <w:p w14:paraId="40D3B8F6" w14:textId="77777777" w:rsidR="00B240C3" w:rsidRPr="003E0B98" w:rsidRDefault="00B240C3" w:rsidP="004361AC">
      <w:pPr>
        <w:pBdr>
          <w:top w:val="single" w:sz="4" w:space="1" w:color="auto"/>
          <w:left w:val="single" w:sz="4" w:space="4" w:color="auto"/>
          <w:bottom w:val="single" w:sz="4" w:space="1" w:color="auto"/>
          <w:right w:val="single" w:sz="4" w:space="4" w:color="auto"/>
        </w:pBdr>
        <w:tabs>
          <w:tab w:val="clear" w:pos="567"/>
        </w:tabs>
        <w:spacing w:line="240" w:lineRule="auto"/>
        <w:rPr>
          <w:color w:val="000000"/>
          <w:lang w:val="es-ES_tradnl"/>
        </w:rPr>
      </w:pPr>
    </w:p>
    <w:p w14:paraId="156B79A1" w14:textId="77777777" w:rsidR="00B240C3" w:rsidRPr="003E0B98" w:rsidRDefault="00B240C3" w:rsidP="004361AC">
      <w:pPr>
        <w:pBdr>
          <w:top w:val="single" w:sz="4" w:space="1" w:color="auto"/>
          <w:left w:val="single" w:sz="4" w:space="4" w:color="auto"/>
          <w:bottom w:val="single" w:sz="4" w:space="1" w:color="auto"/>
          <w:right w:val="single" w:sz="4" w:space="4" w:color="auto"/>
        </w:pBdr>
        <w:tabs>
          <w:tab w:val="clear" w:pos="567"/>
        </w:tabs>
        <w:spacing w:line="240" w:lineRule="auto"/>
        <w:rPr>
          <w:b/>
          <w:color w:val="000000"/>
          <w:lang w:val="es-ES_tradnl"/>
        </w:rPr>
      </w:pPr>
      <w:r w:rsidRPr="003E0B98">
        <w:rPr>
          <w:b/>
          <w:color w:val="000000"/>
          <w:lang w:val="es-ES_tradnl"/>
        </w:rPr>
        <w:t>JERINGA PRECARGADA</w:t>
      </w:r>
    </w:p>
    <w:p w14:paraId="5725DB2C" w14:textId="77777777" w:rsidR="00E36F43" w:rsidRPr="003E0B98" w:rsidRDefault="00E36F43" w:rsidP="004361AC">
      <w:pPr>
        <w:tabs>
          <w:tab w:val="clear" w:pos="567"/>
        </w:tabs>
        <w:spacing w:line="240" w:lineRule="auto"/>
        <w:rPr>
          <w:color w:val="000000"/>
          <w:szCs w:val="22"/>
          <w:lang w:val="es-ES"/>
        </w:rPr>
      </w:pPr>
    </w:p>
    <w:p w14:paraId="6255FDF9" w14:textId="77777777" w:rsidR="00E36F43" w:rsidRPr="003E0B98" w:rsidRDefault="00E36F43" w:rsidP="004361AC">
      <w:pPr>
        <w:tabs>
          <w:tab w:val="clear" w:pos="567"/>
        </w:tabs>
        <w:spacing w:line="240" w:lineRule="auto"/>
        <w:rPr>
          <w:color w:val="000000"/>
          <w:szCs w:val="22"/>
          <w:lang w:val="es-ES"/>
        </w:rPr>
      </w:pPr>
    </w:p>
    <w:p w14:paraId="17FD353E" w14:textId="77777777" w:rsidR="00E36F43" w:rsidRPr="003E0B98" w:rsidRDefault="00E36F43" w:rsidP="004361A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es-ES_tradnl"/>
        </w:rPr>
      </w:pPr>
      <w:r w:rsidRPr="003E0B98">
        <w:rPr>
          <w:b/>
          <w:color w:val="000000"/>
          <w:szCs w:val="22"/>
          <w:lang w:val="es-ES_tradnl"/>
        </w:rPr>
        <w:t>1.</w:t>
      </w:r>
      <w:r w:rsidRPr="003E0B98">
        <w:rPr>
          <w:b/>
          <w:color w:val="000000"/>
          <w:szCs w:val="22"/>
          <w:lang w:val="es-ES_tradnl"/>
        </w:rPr>
        <w:tab/>
      </w:r>
      <w:r w:rsidRPr="003E0B98">
        <w:rPr>
          <w:b/>
          <w:color w:val="000000"/>
          <w:szCs w:val="22"/>
          <w:lang w:val="es-ES"/>
        </w:rPr>
        <w:t>NOMBRE DEL MEDICAMENTO</w:t>
      </w:r>
    </w:p>
    <w:p w14:paraId="67F041B2" w14:textId="77777777" w:rsidR="00E36F43" w:rsidRPr="003E0B98" w:rsidRDefault="00E36F43" w:rsidP="004361AC">
      <w:pPr>
        <w:tabs>
          <w:tab w:val="clear" w:pos="567"/>
        </w:tabs>
        <w:spacing w:line="240" w:lineRule="auto"/>
        <w:rPr>
          <w:color w:val="000000"/>
          <w:szCs w:val="22"/>
          <w:lang w:val="es-ES_tradnl"/>
        </w:rPr>
      </w:pPr>
    </w:p>
    <w:p w14:paraId="07153005" w14:textId="77777777" w:rsidR="00E36F43" w:rsidRPr="003E0B98" w:rsidRDefault="00E36F43" w:rsidP="004361AC">
      <w:pPr>
        <w:tabs>
          <w:tab w:val="clear" w:pos="567"/>
        </w:tabs>
        <w:spacing w:line="240" w:lineRule="auto"/>
        <w:rPr>
          <w:color w:val="000000"/>
          <w:szCs w:val="22"/>
          <w:lang w:val="es-ES_tradnl"/>
        </w:rPr>
      </w:pPr>
      <w:proofErr w:type="spellStart"/>
      <w:r w:rsidRPr="003E0B98">
        <w:rPr>
          <w:color w:val="000000"/>
          <w:szCs w:val="22"/>
          <w:lang w:val="es-ES_tradnl"/>
        </w:rPr>
        <w:t>Lucentis</w:t>
      </w:r>
      <w:proofErr w:type="spellEnd"/>
      <w:r w:rsidRPr="003E0B98">
        <w:rPr>
          <w:color w:val="000000"/>
          <w:szCs w:val="22"/>
          <w:lang w:val="es-ES_tradnl"/>
        </w:rPr>
        <w:t xml:space="preserve"> 10 mg/ml solución inyectable</w:t>
      </w:r>
      <w:r w:rsidR="00B240C3" w:rsidRPr="003E0B98">
        <w:rPr>
          <w:color w:val="000000"/>
          <w:szCs w:val="22"/>
          <w:lang w:val="es-ES_tradnl"/>
        </w:rPr>
        <w:t xml:space="preserve"> en jeringa precargada</w:t>
      </w:r>
    </w:p>
    <w:p w14:paraId="52DFE7F0" w14:textId="77777777" w:rsidR="00E36F43" w:rsidRPr="003E0B98" w:rsidRDefault="00E1022B" w:rsidP="004361AC">
      <w:pPr>
        <w:tabs>
          <w:tab w:val="clear" w:pos="567"/>
        </w:tabs>
        <w:spacing w:line="240" w:lineRule="auto"/>
        <w:rPr>
          <w:color w:val="000000"/>
          <w:szCs w:val="22"/>
          <w:lang w:val="es-ES_tradnl"/>
        </w:rPr>
      </w:pPr>
      <w:proofErr w:type="spellStart"/>
      <w:r w:rsidRPr="003E0B98">
        <w:rPr>
          <w:color w:val="000000"/>
          <w:szCs w:val="22"/>
          <w:lang w:val="es-ES_tradnl"/>
        </w:rPr>
        <w:t>r</w:t>
      </w:r>
      <w:r w:rsidR="00E36F43" w:rsidRPr="003E0B98">
        <w:rPr>
          <w:color w:val="000000"/>
          <w:szCs w:val="22"/>
          <w:lang w:val="es-ES_tradnl"/>
        </w:rPr>
        <w:t>anibizumab</w:t>
      </w:r>
      <w:proofErr w:type="spellEnd"/>
    </w:p>
    <w:p w14:paraId="72D1BDE6" w14:textId="77777777" w:rsidR="00E36F43" w:rsidRPr="003E0B98" w:rsidRDefault="00E36F43" w:rsidP="004361AC">
      <w:pPr>
        <w:tabs>
          <w:tab w:val="clear" w:pos="567"/>
        </w:tabs>
        <w:spacing w:line="240" w:lineRule="auto"/>
        <w:rPr>
          <w:color w:val="000000"/>
          <w:szCs w:val="22"/>
          <w:lang w:val="es-ES_tradnl"/>
        </w:rPr>
      </w:pPr>
    </w:p>
    <w:p w14:paraId="736F06FB" w14:textId="77777777" w:rsidR="00E36F43" w:rsidRPr="003E0B98" w:rsidRDefault="00E36F43" w:rsidP="004361AC">
      <w:pPr>
        <w:tabs>
          <w:tab w:val="clear" w:pos="567"/>
        </w:tabs>
        <w:rPr>
          <w:color w:val="000000"/>
          <w:szCs w:val="22"/>
          <w:lang w:val="es-ES_tradnl"/>
        </w:rPr>
      </w:pPr>
    </w:p>
    <w:p w14:paraId="056BB0B7" w14:textId="77777777" w:rsidR="00E36F43" w:rsidRPr="003E0B98" w:rsidRDefault="00E36F43" w:rsidP="004361A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olor w:val="000000"/>
          <w:szCs w:val="22"/>
          <w:lang w:val="es-ES_tradnl"/>
        </w:rPr>
      </w:pPr>
      <w:r w:rsidRPr="003E0B98">
        <w:rPr>
          <w:b/>
          <w:color w:val="000000"/>
          <w:szCs w:val="22"/>
          <w:lang w:val="es-ES_tradnl"/>
        </w:rPr>
        <w:t>2.</w:t>
      </w:r>
      <w:r w:rsidRPr="003E0B98">
        <w:rPr>
          <w:b/>
          <w:color w:val="000000"/>
          <w:szCs w:val="22"/>
          <w:lang w:val="es-ES_tradnl"/>
        </w:rPr>
        <w:tab/>
      </w:r>
      <w:r w:rsidRPr="003E0B98">
        <w:rPr>
          <w:b/>
          <w:color w:val="000000"/>
          <w:szCs w:val="22"/>
          <w:lang w:val="es-ES"/>
        </w:rPr>
        <w:t>PRINCIPIO(S) ACTIVO(S)</w:t>
      </w:r>
    </w:p>
    <w:p w14:paraId="0F6714C1" w14:textId="77777777" w:rsidR="00E36F43" w:rsidRPr="003E0B98" w:rsidRDefault="00E36F43" w:rsidP="004361AC">
      <w:pPr>
        <w:tabs>
          <w:tab w:val="clear" w:pos="567"/>
        </w:tabs>
        <w:spacing w:line="240" w:lineRule="auto"/>
        <w:rPr>
          <w:color w:val="000000"/>
          <w:szCs w:val="22"/>
          <w:lang w:val="es-ES_tradnl"/>
        </w:rPr>
      </w:pPr>
    </w:p>
    <w:p w14:paraId="0093F367" w14:textId="77777777" w:rsidR="00E36F43" w:rsidRPr="003E0B98" w:rsidRDefault="006D322A" w:rsidP="004361AC">
      <w:pPr>
        <w:tabs>
          <w:tab w:val="clear" w:pos="567"/>
        </w:tabs>
        <w:spacing w:line="240" w:lineRule="auto"/>
        <w:rPr>
          <w:color w:val="000000"/>
          <w:szCs w:val="22"/>
          <w:lang w:val="es-ES_tradnl"/>
        </w:rPr>
      </w:pPr>
      <w:r w:rsidRPr="003E0B98">
        <w:rPr>
          <w:color w:val="000000"/>
          <w:szCs w:val="22"/>
          <w:lang w:val="es-ES_tradnl"/>
        </w:rPr>
        <w:t xml:space="preserve">Cada jeringa precargada de 0,165 ml de solución contiene </w:t>
      </w:r>
      <w:r w:rsidRPr="003E0B98">
        <w:rPr>
          <w:color w:val="000000"/>
          <w:lang w:val="es-ES"/>
        </w:rPr>
        <w:t xml:space="preserve">1,65 mg de </w:t>
      </w:r>
      <w:proofErr w:type="spellStart"/>
      <w:r w:rsidRPr="003E0B98">
        <w:rPr>
          <w:color w:val="000000"/>
          <w:lang w:val="es-ES"/>
        </w:rPr>
        <w:t>ranibizumab</w:t>
      </w:r>
      <w:proofErr w:type="spellEnd"/>
      <w:r w:rsidRPr="003E0B98">
        <w:rPr>
          <w:color w:val="000000"/>
          <w:lang w:val="es-ES"/>
        </w:rPr>
        <w:t xml:space="preserve"> (10 mg/ml).</w:t>
      </w:r>
    </w:p>
    <w:p w14:paraId="46ED6E3D" w14:textId="77777777" w:rsidR="00E36F43" w:rsidRPr="003E0B98" w:rsidRDefault="00E36F43" w:rsidP="004361AC">
      <w:pPr>
        <w:tabs>
          <w:tab w:val="clear" w:pos="567"/>
        </w:tabs>
        <w:spacing w:line="240" w:lineRule="auto"/>
        <w:rPr>
          <w:color w:val="000000"/>
          <w:szCs w:val="22"/>
          <w:lang w:val="es-ES_tradnl"/>
        </w:rPr>
      </w:pPr>
    </w:p>
    <w:p w14:paraId="1DAB005E" w14:textId="77777777" w:rsidR="00E36F43" w:rsidRPr="003E0B98" w:rsidRDefault="00E36F43" w:rsidP="004361AC">
      <w:pPr>
        <w:tabs>
          <w:tab w:val="clear" w:pos="567"/>
        </w:tabs>
        <w:spacing w:line="240" w:lineRule="auto"/>
        <w:rPr>
          <w:color w:val="000000"/>
          <w:szCs w:val="22"/>
          <w:lang w:val="es-ES_tradnl"/>
        </w:rPr>
      </w:pPr>
    </w:p>
    <w:p w14:paraId="4439CBCC" w14:textId="77777777" w:rsidR="00E36F43" w:rsidRPr="003E0B98" w:rsidRDefault="00E36F43" w:rsidP="004361A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es-ES_tradnl"/>
        </w:rPr>
      </w:pPr>
      <w:r w:rsidRPr="003E0B98">
        <w:rPr>
          <w:b/>
          <w:color w:val="000000"/>
          <w:szCs w:val="22"/>
          <w:lang w:val="es-ES_tradnl"/>
        </w:rPr>
        <w:t>3.</w:t>
      </w:r>
      <w:r w:rsidRPr="003E0B98">
        <w:rPr>
          <w:b/>
          <w:color w:val="000000"/>
          <w:szCs w:val="22"/>
          <w:lang w:val="es-ES_tradnl"/>
        </w:rPr>
        <w:tab/>
      </w:r>
      <w:r w:rsidRPr="003E0B98">
        <w:rPr>
          <w:b/>
          <w:noProof/>
          <w:color w:val="000000"/>
          <w:lang w:val="es-ES_tradnl"/>
        </w:rPr>
        <w:t>LISTA DE EXCIPIENTES</w:t>
      </w:r>
    </w:p>
    <w:p w14:paraId="784C2D0B" w14:textId="77777777" w:rsidR="00E36F43" w:rsidRPr="003E0B98" w:rsidRDefault="00E36F43" w:rsidP="004361AC">
      <w:pPr>
        <w:tabs>
          <w:tab w:val="clear" w:pos="567"/>
        </w:tabs>
        <w:spacing w:line="240" w:lineRule="auto"/>
        <w:rPr>
          <w:color w:val="000000"/>
          <w:szCs w:val="22"/>
          <w:lang w:val="es-ES_tradnl"/>
        </w:rPr>
      </w:pPr>
    </w:p>
    <w:p w14:paraId="1D68FA55" w14:textId="77777777" w:rsidR="00E36F43" w:rsidRPr="003E0B98" w:rsidRDefault="00E36F43" w:rsidP="004361AC">
      <w:pPr>
        <w:tabs>
          <w:tab w:val="clear" w:pos="567"/>
        </w:tabs>
        <w:spacing w:line="240" w:lineRule="auto"/>
        <w:rPr>
          <w:color w:val="000000"/>
          <w:szCs w:val="22"/>
          <w:lang w:val="es-ES_tradnl"/>
        </w:rPr>
      </w:pPr>
      <w:r w:rsidRPr="003E0B98">
        <w:rPr>
          <w:color w:val="000000"/>
          <w:szCs w:val="22"/>
          <w:lang w:val="es-ES_tradnl"/>
        </w:rPr>
        <w:t xml:space="preserve">También contiene: </w:t>
      </w:r>
      <w:proofErr w:type="gramStart"/>
      <w:r w:rsidRPr="003E0B98">
        <w:rPr>
          <w:iCs/>
          <w:color w:val="000000"/>
          <w:szCs w:val="22"/>
        </w:rPr>
        <w:t>α</w:t>
      </w:r>
      <w:r w:rsidRPr="003E0B98">
        <w:rPr>
          <w:iCs/>
          <w:color w:val="000000"/>
          <w:szCs w:val="22"/>
          <w:lang w:val="es-ES_tradnl"/>
        </w:rPr>
        <w:t>,</w:t>
      </w:r>
      <w:r w:rsidRPr="003E0B98">
        <w:rPr>
          <w:iCs/>
          <w:color w:val="000000"/>
          <w:szCs w:val="22"/>
        </w:rPr>
        <w:t>α</w:t>
      </w:r>
      <w:proofErr w:type="gramEnd"/>
      <w:r w:rsidRPr="003E0B98">
        <w:rPr>
          <w:iCs/>
          <w:color w:val="000000"/>
          <w:szCs w:val="22"/>
          <w:lang w:val="es-ES_tradnl"/>
        </w:rPr>
        <w:t>-</w:t>
      </w:r>
      <w:proofErr w:type="spellStart"/>
      <w:r w:rsidRPr="003E0B98">
        <w:rPr>
          <w:iCs/>
          <w:color w:val="000000"/>
          <w:szCs w:val="22"/>
          <w:lang w:val="es-ES_tradnl"/>
        </w:rPr>
        <w:t>trehalosa</w:t>
      </w:r>
      <w:proofErr w:type="spellEnd"/>
      <w:r w:rsidRPr="003E0B98">
        <w:rPr>
          <w:iCs/>
          <w:color w:val="000000"/>
          <w:szCs w:val="22"/>
          <w:lang w:val="es-ES_tradnl"/>
        </w:rPr>
        <w:t xml:space="preserve"> </w:t>
      </w:r>
      <w:proofErr w:type="spellStart"/>
      <w:r w:rsidRPr="003E0B98">
        <w:rPr>
          <w:iCs/>
          <w:color w:val="000000"/>
          <w:szCs w:val="22"/>
          <w:lang w:val="es-ES_tradnl"/>
        </w:rPr>
        <w:t>dihidrato</w:t>
      </w:r>
      <w:proofErr w:type="spellEnd"/>
      <w:r w:rsidRPr="003E0B98">
        <w:rPr>
          <w:iCs/>
          <w:color w:val="000000"/>
          <w:szCs w:val="22"/>
          <w:lang w:val="es-ES_tradnl"/>
        </w:rPr>
        <w:t xml:space="preserve">; hidrocloruro de histidina </w:t>
      </w:r>
      <w:proofErr w:type="spellStart"/>
      <w:r w:rsidRPr="003E0B98">
        <w:rPr>
          <w:iCs/>
          <w:color w:val="000000"/>
          <w:szCs w:val="22"/>
          <w:lang w:val="es-ES_tradnl"/>
        </w:rPr>
        <w:t>monohidrato</w:t>
      </w:r>
      <w:proofErr w:type="spellEnd"/>
      <w:r w:rsidRPr="003E0B98">
        <w:rPr>
          <w:iCs/>
          <w:color w:val="000000"/>
          <w:szCs w:val="22"/>
          <w:lang w:val="es-ES_tradnl"/>
        </w:rPr>
        <w:t>; histidina; polisorbato 20; agua para inyectables</w:t>
      </w:r>
      <w:r w:rsidRPr="003E0B98">
        <w:rPr>
          <w:color w:val="000000"/>
          <w:szCs w:val="22"/>
          <w:lang w:val="es-ES_tradnl"/>
        </w:rPr>
        <w:t>.</w:t>
      </w:r>
    </w:p>
    <w:p w14:paraId="5F5841C1" w14:textId="77777777" w:rsidR="00E36F43" w:rsidRPr="003E0B98" w:rsidRDefault="00E36F43" w:rsidP="004361AC">
      <w:pPr>
        <w:tabs>
          <w:tab w:val="clear" w:pos="567"/>
        </w:tabs>
        <w:spacing w:line="240" w:lineRule="auto"/>
        <w:rPr>
          <w:color w:val="000000"/>
          <w:szCs w:val="22"/>
          <w:lang w:val="es-ES_tradnl"/>
        </w:rPr>
      </w:pPr>
    </w:p>
    <w:p w14:paraId="57DF6FC4" w14:textId="77777777" w:rsidR="00E36F43" w:rsidRPr="003E0B98" w:rsidRDefault="00E36F43" w:rsidP="004361AC">
      <w:pPr>
        <w:tabs>
          <w:tab w:val="clear" w:pos="567"/>
        </w:tabs>
        <w:spacing w:line="240" w:lineRule="auto"/>
        <w:rPr>
          <w:color w:val="000000"/>
          <w:szCs w:val="22"/>
          <w:lang w:val="es-ES_tradnl"/>
        </w:rPr>
      </w:pPr>
    </w:p>
    <w:p w14:paraId="31CF8633" w14:textId="77777777" w:rsidR="00E36F43" w:rsidRPr="003E0B98" w:rsidRDefault="00E36F43" w:rsidP="004361A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es-ES_tradnl"/>
        </w:rPr>
      </w:pPr>
      <w:r w:rsidRPr="003E0B98">
        <w:rPr>
          <w:b/>
          <w:color w:val="000000"/>
          <w:szCs w:val="22"/>
          <w:lang w:val="es-ES_tradnl"/>
        </w:rPr>
        <w:t>4.</w:t>
      </w:r>
      <w:r w:rsidRPr="003E0B98">
        <w:rPr>
          <w:b/>
          <w:color w:val="000000"/>
          <w:szCs w:val="22"/>
          <w:lang w:val="es-ES_tradnl"/>
        </w:rPr>
        <w:tab/>
      </w:r>
      <w:r w:rsidRPr="003E0B98">
        <w:rPr>
          <w:b/>
          <w:noProof/>
          <w:color w:val="000000"/>
          <w:lang w:val="es-ES_tradnl"/>
        </w:rPr>
        <w:t>FORMA FARMACÉUTICA Y CONTENIDO DEL ENVASE</w:t>
      </w:r>
    </w:p>
    <w:p w14:paraId="015C1DC2" w14:textId="77777777" w:rsidR="00E36F43" w:rsidRPr="003E0B98" w:rsidRDefault="00E36F43" w:rsidP="004361AC">
      <w:pPr>
        <w:tabs>
          <w:tab w:val="clear" w:pos="567"/>
        </w:tabs>
        <w:spacing w:line="240" w:lineRule="auto"/>
        <w:rPr>
          <w:color w:val="000000"/>
          <w:szCs w:val="22"/>
          <w:lang w:val="es-ES_tradnl"/>
        </w:rPr>
      </w:pPr>
    </w:p>
    <w:p w14:paraId="45EE5D0A" w14:textId="77777777" w:rsidR="006D322A" w:rsidRPr="003E0B98" w:rsidRDefault="006D322A" w:rsidP="004361AC">
      <w:pPr>
        <w:tabs>
          <w:tab w:val="clear" w:pos="567"/>
        </w:tabs>
        <w:spacing w:line="240" w:lineRule="auto"/>
        <w:rPr>
          <w:color w:val="000000"/>
          <w:szCs w:val="22"/>
          <w:lang w:val="es-ES_tradnl"/>
        </w:rPr>
      </w:pPr>
      <w:r w:rsidRPr="003E0B98">
        <w:rPr>
          <w:color w:val="000000"/>
          <w:szCs w:val="22"/>
          <w:shd w:val="pct15" w:color="auto" w:fill="auto"/>
          <w:lang w:val="es-ES_tradnl"/>
        </w:rPr>
        <w:t>Solución inyectable</w:t>
      </w:r>
    </w:p>
    <w:p w14:paraId="64742000" w14:textId="77777777" w:rsidR="00E1022B" w:rsidRPr="003E0B98" w:rsidRDefault="00E1022B" w:rsidP="004361AC">
      <w:pPr>
        <w:tabs>
          <w:tab w:val="clear" w:pos="567"/>
        </w:tabs>
        <w:spacing w:line="240" w:lineRule="auto"/>
        <w:rPr>
          <w:color w:val="000000"/>
          <w:szCs w:val="22"/>
          <w:lang w:val="es-ES_tradnl"/>
        </w:rPr>
      </w:pPr>
    </w:p>
    <w:p w14:paraId="55FC7D5C" w14:textId="77777777" w:rsidR="006D322A" w:rsidRPr="003E0B98" w:rsidRDefault="006D322A" w:rsidP="004361AC">
      <w:pPr>
        <w:tabs>
          <w:tab w:val="clear" w:pos="567"/>
        </w:tabs>
        <w:spacing w:line="240" w:lineRule="auto"/>
        <w:rPr>
          <w:color w:val="000000"/>
          <w:szCs w:val="22"/>
          <w:lang w:val="es-ES_tradnl"/>
        </w:rPr>
      </w:pPr>
      <w:r w:rsidRPr="003E0B98">
        <w:rPr>
          <w:color w:val="000000"/>
          <w:szCs w:val="22"/>
          <w:lang w:val="es-ES_tradnl"/>
        </w:rPr>
        <w:t>1 jeringa precargada de 0,165 ml.</w:t>
      </w:r>
    </w:p>
    <w:p w14:paraId="526218B3" w14:textId="77777777" w:rsidR="006D322A" w:rsidRPr="003E0B98" w:rsidRDefault="006D322A" w:rsidP="004361AC">
      <w:pPr>
        <w:tabs>
          <w:tab w:val="clear" w:pos="567"/>
        </w:tabs>
        <w:spacing w:line="240" w:lineRule="auto"/>
        <w:rPr>
          <w:color w:val="000000"/>
          <w:lang w:val="es-ES"/>
        </w:rPr>
      </w:pPr>
      <w:r w:rsidRPr="003E0B98">
        <w:rPr>
          <w:color w:val="000000"/>
          <w:szCs w:val="22"/>
          <w:lang w:val="es-ES_tradnl"/>
        </w:rPr>
        <w:t xml:space="preserve">Dosis única de </w:t>
      </w:r>
      <w:r w:rsidRPr="003E0B98">
        <w:rPr>
          <w:color w:val="000000"/>
          <w:lang w:val="es-ES"/>
        </w:rPr>
        <w:t>0,5 mg/0,05 ml.</w:t>
      </w:r>
    </w:p>
    <w:p w14:paraId="185A628C" w14:textId="77777777" w:rsidR="00E36F43" w:rsidRPr="003E0B98" w:rsidRDefault="006D322A" w:rsidP="004361AC">
      <w:pPr>
        <w:tabs>
          <w:tab w:val="clear" w:pos="567"/>
        </w:tabs>
        <w:spacing w:line="240" w:lineRule="auto"/>
        <w:rPr>
          <w:color w:val="000000"/>
          <w:szCs w:val="22"/>
          <w:lang w:val="es-ES_tradnl"/>
        </w:rPr>
      </w:pPr>
      <w:r w:rsidRPr="003E0B98">
        <w:rPr>
          <w:color w:val="000000"/>
          <w:szCs w:val="22"/>
          <w:lang w:val="es-ES"/>
        </w:rPr>
        <w:t>El exceso de volumen se debe expulsar antes de la inyección.</w:t>
      </w:r>
    </w:p>
    <w:p w14:paraId="5E834E54" w14:textId="77777777" w:rsidR="00E36F43" w:rsidRPr="003E0B98" w:rsidRDefault="00E36F43" w:rsidP="004361AC">
      <w:pPr>
        <w:tabs>
          <w:tab w:val="clear" w:pos="567"/>
        </w:tabs>
        <w:spacing w:line="240" w:lineRule="auto"/>
        <w:rPr>
          <w:color w:val="000000"/>
          <w:szCs w:val="22"/>
          <w:lang w:val="es-ES_tradnl"/>
        </w:rPr>
      </w:pPr>
    </w:p>
    <w:p w14:paraId="6E60D291" w14:textId="77777777" w:rsidR="00E36F43" w:rsidRPr="003E0B98" w:rsidRDefault="00E36F43" w:rsidP="004361AC">
      <w:pPr>
        <w:tabs>
          <w:tab w:val="clear" w:pos="567"/>
        </w:tabs>
        <w:spacing w:line="240" w:lineRule="auto"/>
        <w:rPr>
          <w:color w:val="000000"/>
          <w:szCs w:val="22"/>
          <w:lang w:val="es-ES_tradnl"/>
        </w:rPr>
      </w:pPr>
    </w:p>
    <w:p w14:paraId="137AEDA7" w14:textId="77777777" w:rsidR="00E36F43" w:rsidRPr="003E0B98" w:rsidRDefault="00E36F43" w:rsidP="004361A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es-ES_tradnl"/>
        </w:rPr>
      </w:pPr>
      <w:r w:rsidRPr="003E0B98">
        <w:rPr>
          <w:b/>
          <w:color w:val="000000"/>
          <w:szCs w:val="22"/>
          <w:lang w:val="es-ES_tradnl"/>
        </w:rPr>
        <w:t>5.</w:t>
      </w:r>
      <w:r w:rsidRPr="003E0B98">
        <w:rPr>
          <w:b/>
          <w:color w:val="000000"/>
          <w:szCs w:val="22"/>
          <w:lang w:val="es-ES_tradnl"/>
        </w:rPr>
        <w:tab/>
      </w:r>
      <w:r w:rsidRPr="003E0B98">
        <w:rPr>
          <w:b/>
          <w:noProof/>
          <w:color w:val="000000"/>
          <w:lang w:val="es-ES_tradnl"/>
        </w:rPr>
        <w:t>FORMA Y VÍA(S) DE ADMINISTRACIÓN</w:t>
      </w:r>
    </w:p>
    <w:p w14:paraId="6DFBE593" w14:textId="77777777" w:rsidR="00E36F43" w:rsidRPr="003E0B98" w:rsidRDefault="00E36F43" w:rsidP="004361AC">
      <w:pPr>
        <w:tabs>
          <w:tab w:val="clear" w:pos="567"/>
        </w:tabs>
        <w:spacing w:line="240" w:lineRule="auto"/>
        <w:rPr>
          <w:i/>
          <w:color w:val="000000"/>
          <w:szCs w:val="22"/>
          <w:lang w:val="es-ES_tradnl"/>
        </w:rPr>
      </w:pPr>
    </w:p>
    <w:p w14:paraId="73A3244C" w14:textId="77777777" w:rsidR="00E36F43" w:rsidRPr="003E0B98" w:rsidRDefault="0039565E" w:rsidP="004361AC">
      <w:pPr>
        <w:tabs>
          <w:tab w:val="clear" w:pos="567"/>
        </w:tabs>
        <w:spacing w:line="240" w:lineRule="auto"/>
        <w:rPr>
          <w:color w:val="000000"/>
          <w:szCs w:val="22"/>
          <w:lang w:val="es-ES_tradnl"/>
        </w:rPr>
      </w:pPr>
      <w:r w:rsidRPr="003E0B98">
        <w:rPr>
          <w:color w:val="000000"/>
          <w:szCs w:val="22"/>
          <w:lang w:val="es-ES_tradnl"/>
        </w:rPr>
        <w:t>P</w:t>
      </w:r>
      <w:r w:rsidR="00E36F43" w:rsidRPr="003E0B98">
        <w:rPr>
          <w:color w:val="000000"/>
          <w:szCs w:val="22"/>
          <w:lang w:val="es-ES_tradnl"/>
        </w:rPr>
        <w:t>ara un solo uso.</w:t>
      </w:r>
      <w:r w:rsidR="00687946" w:rsidRPr="003E0B98">
        <w:rPr>
          <w:color w:val="000000"/>
          <w:szCs w:val="22"/>
          <w:lang w:val="es-ES_tradnl"/>
        </w:rPr>
        <w:t xml:space="preserve"> </w:t>
      </w:r>
      <w:r w:rsidR="00F4213E" w:rsidRPr="003E0B98">
        <w:rPr>
          <w:color w:val="000000"/>
          <w:szCs w:val="22"/>
          <w:lang w:val="es-ES_tradnl"/>
        </w:rPr>
        <w:t>Al abrir la bandeja sellada, se debe proceder bajo condiciones asépticas.</w:t>
      </w:r>
    </w:p>
    <w:p w14:paraId="54B46707" w14:textId="77777777" w:rsidR="00F4213E" w:rsidRPr="003E0B98" w:rsidRDefault="00473B71" w:rsidP="004361AC">
      <w:pPr>
        <w:tabs>
          <w:tab w:val="clear" w:pos="567"/>
        </w:tabs>
        <w:spacing w:line="240" w:lineRule="auto"/>
        <w:rPr>
          <w:color w:val="000000"/>
          <w:szCs w:val="22"/>
          <w:lang w:val="es-ES_tradnl"/>
        </w:rPr>
      </w:pPr>
      <w:r w:rsidRPr="003E0B98">
        <w:rPr>
          <w:color w:val="000000"/>
          <w:szCs w:val="22"/>
          <w:lang w:val="es-ES_tradnl"/>
        </w:rPr>
        <w:t>Ajustar la dosis hasta la marca de dosis de 0,05 ml</w:t>
      </w:r>
      <w:r w:rsidR="001E607F" w:rsidRPr="003E0B98">
        <w:rPr>
          <w:color w:val="000000"/>
          <w:szCs w:val="22"/>
          <w:lang w:val="es-ES_tradnl"/>
        </w:rPr>
        <w:t>.</w:t>
      </w:r>
    </w:p>
    <w:p w14:paraId="27E15548" w14:textId="77777777" w:rsidR="00E36F43" w:rsidRPr="003E0B98" w:rsidRDefault="00E36F43" w:rsidP="004361AC">
      <w:pPr>
        <w:tabs>
          <w:tab w:val="clear" w:pos="567"/>
        </w:tabs>
        <w:spacing w:line="240" w:lineRule="auto"/>
        <w:rPr>
          <w:color w:val="000000"/>
          <w:szCs w:val="22"/>
          <w:lang w:val="es-ES_tradnl"/>
        </w:rPr>
      </w:pPr>
      <w:r w:rsidRPr="003E0B98">
        <w:rPr>
          <w:noProof/>
          <w:color w:val="000000"/>
          <w:lang w:val="es-ES_tradnl"/>
        </w:rPr>
        <w:t>Leer el prospecto antes de utilizar este medicamento.</w:t>
      </w:r>
    </w:p>
    <w:p w14:paraId="0A91678D" w14:textId="77777777" w:rsidR="0039565E" w:rsidRPr="003E0B98" w:rsidRDefault="0039565E" w:rsidP="004361AC">
      <w:pPr>
        <w:tabs>
          <w:tab w:val="clear" w:pos="567"/>
        </w:tabs>
        <w:spacing w:line="240" w:lineRule="auto"/>
        <w:rPr>
          <w:color w:val="000000"/>
          <w:szCs w:val="22"/>
          <w:lang w:val="es-ES_tradnl"/>
        </w:rPr>
      </w:pPr>
      <w:r w:rsidRPr="003E0B98">
        <w:rPr>
          <w:color w:val="000000"/>
          <w:szCs w:val="22"/>
          <w:lang w:val="es-ES_tradnl"/>
        </w:rPr>
        <w:t>Vía intravítrea.</w:t>
      </w:r>
    </w:p>
    <w:p w14:paraId="073E4F23" w14:textId="77777777" w:rsidR="0039565E" w:rsidRPr="003E0B98" w:rsidRDefault="0039565E" w:rsidP="004361AC">
      <w:pPr>
        <w:tabs>
          <w:tab w:val="clear" w:pos="567"/>
        </w:tabs>
        <w:spacing w:line="240" w:lineRule="auto"/>
        <w:rPr>
          <w:color w:val="000000"/>
          <w:szCs w:val="22"/>
          <w:lang w:val="es-ES_tradnl"/>
        </w:rPr>
      </w:pPr>
    </w:p>
    <w:p w14:paraId="7C6EAD0E" w14:textId="77777777" w:rsidR="0039565E" w:rsidRPr="003E0B98" w:rsidRDefault="0039565E" w:rsidP="004361AC">
      <w:pPr>
        <w:tabs>
          <w:tab w:val="clear" w:pos="567"/>
        </w:tabs>
        <w:spacing w:line="240" w:lineRule="auto"/>
        <w:rPr>
          <w:color w:val="000000"/>
          <w:szCs w:val="22"/>
          <w:lang w:val="es-ES_tradnl"/>
        </w:rPr>
      </w:pPr>
    </w:p>
    <w:p w14:paraId="3CF1ECE5" w14:textId="77777777" w:rsidR="00E36F43" w:rsidRPr="003E0B98" w:rsidRDefault="00E36F43" w:rsidP="004361A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es-ES_tradnl"/>
        </w:rPr>
      </w:pPr>
      <w:r w:rsidRPr="003E0B98">
        <w:rPr>
          <w:b/>
          <w:color w:val="000000"/>
          <w:szCs w:val="22"/>
          <w:lang w:val="es-ES_tradnl"/>
        </w:rPr>
        <w:t>6.</w:t>
      </w:r>
      <w:r w:rsidRPr="003E0B98">
        <w:rPr>
          <w:b/>
          <w:color w:val="000000"/>
          <w:szCs w:val="22"/>
          <w:lang w:val="es-ES_tradnl"/>
        </w:rPr>
        <w:tab/>
      </w:r>
      <w:r w:rsidRPr="003E0B98">
        <w:rPr>
          <w:b/>
          <w:noProof/>
          <w:color w:val="000000"/>
          <w:lang w:val="es-ES_tradnl"/>
        </w:rPr>
        <w:t>ADVERTENCIA ESPECIAL DE QUE EL MEDICAMENTO DEBE MANTENERSE FUERA DE LA VISTA Y DEL ALCANCE DE LOS NIÑOS</w:t>
      </w:r>
    </w:p>
    <w:p w14:paraId="2819DBF1" w14:textId="77777777" w:rsidR="00E36F43" w:rsidRPr="003E0B98" w:rsidRDefault="00E36F43" w:rsidP="004361AC">
      <w:pPr>
        <w:tabs>
          <w:tab w:val="clear" w:pos="567"/>
        </w:tabs>
        <w:spacing w:line="240" w:lineRule="auto"/>
        <w:rPr>
          <w:color w:val="000000"/>
          <w:szCs w:val="22"/>
          <w:lang w:val="es-ES_tradnl"/>
        </w:rPr>
      </w:pPr>
    </w:p>
    <w:p w14:paraId="031782B9" w14:textId="77777777" w:rsidR="00E36F43" w:rsidRPr="003E0B98" w:rsidRDefault="00E36F43" w:rsidP="004361AC">
      <w:pPr>
        <w:tabs>
          <w:tab w:val="clear" w:pos="567"/>
        </w:tabs>
        <w:spacing w:line="240" w:lineRule="auto"/>
        <w:rPr>
          <w:color w:val="000000"/>
          <w:szCs w:val="22"/>
          <w:lang w:val="es-ES_tradnl"/>
        </w:rPr>
      </w:pPr>
      <w:r w:rsidRPr="003E0B98">
        <w:rPr>
          <w:noProof/>
          <w:color w:val="000000"/>
          <w:lang w:val="es-ES_tradnl"/>
        </w:rPr>
        <w:t>Mantener fuera de la vista y del alcance de los niños.</w:t>
      </w:r>
    </w:p>
    <w:p w14:paraId="37FEA256" w14:textId="77777777" w:rsidR="00E36F43" w:rsidRPr="003E0B98" w:rsidRDefault="00E36F43" w:rsidP="004361AC">
      <w:pPr>
        <w:tabs>
          <w:tab w:val="clear" w:pos="567"/>
        </w:tabs>
        <w:spacing w:line="240" w:lineRule="auto"/>
        <w:rPr>
          <w:color w:val="000000"/>
          <w:szCs w:val="22"/>
          <w:lang w:val="es-ES_tradnl"/>
        </w:rPr>
      </w:pPr>
    </w:p>
    <w:p w14:paraId="3EA6A0C0" w14:textId="77777777" w:rsidR="00E36F43" w:rsidRPr="003E0B98" w:rsidRDefault="00E36F43" w:rsidP="004361AC">
      <w:pPr>
        <w:tabs>
          <w:tab w:val="clear" w:pos="567"/>
        </w:tabs>
        <w:spacing w:line="240" w:lineRule="auto"/>
        <w:rPr>
          <w:color w:val="000000"/>
          <w:szCs w:val="22"/>
          <w:lang w:val="es-ES_tradnl"/>
        </w:rPr>
      </w:pPr>
    </w:p>
    <w:p w14:paraId="1971B8A0" w14:textId="77777777" w:rsidR="00E36F43" w:rsidRPr="003E0B98" w:rsidRDefault="00E36F43" w:rsidP="004361A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es-ES_tradnl"/>
        </w:rPr>
      </w:pPr>
      <w:r w:rsidRPr="003E0B98">
        <w:rPr>
          <w:b/>
          <w:color w:val="000000"/>
          <w:szCs w:val="22"/>
          <w:lang w:val="es-ES_tradnl"/>
        </w:rPr>
        <w:t>7.</w:t>
      </w:r>
      <w:r w:rsidRPr="003E0B98">
        <w:rPr>
          <w:b/>
          <w:color w:val="000000"/>
          <w:szCs w:val="22"/>
          <w:lang w:val="es-ES_tradnl"/>
        </w:rPr>
        <w:tab/>
      </w:r>
      <w:r w:rsidRPr="003E0B98">
        <w:rPr>
          <w:b/>
          <w:noProof/>
          <w:color w:val="000000"/>
          <w:lang w:val="es-ES_tradnl"/>
        </w:rPr>
        <w:t>OTRA(S) ADVERTENCIA(S) ESPECIAL(ES), SI ES NECESARIO</w:t>
      </w:r>
    </w:p>
    <w:p w14:paraId="3AC4818E" w14:textId="77777777" w:rsidR="00E36F43" w:rsidRPr="003E0B98" w:rsidRDefault="00E36F43" w:rsidP="004361AC">
      <w:pPr>
        <w:tabs>
          <w:tab w:val="clear" w:pos="567"/>
        </w:tabs>
        <w:spacing w:line="240" w:lineRule="auto"/>
        <w:rPr>
          <w:color w:val="000000"/>
          <w:szCs w:val="22"/>
          <w:lang w:val="es-ES_tradnl"/>
        </w:rPr>
      </w:pPr>
    </w:p>
    <w:p w14:paraId="1FAAFD9A" w14:textId="77777777" w:rsidR="00E36F43" w:rsidRPr="003E0B98" w:rsidRDefault="00E36F43" w:rsidP="004361AC">
      <w:pPr>
        <w:tabs>
          <w:tab w:val="clear" w:pos="567"/>
        </w:tabs>
        <w:spacing w:line="240" w:lineRule="auto"/>
        <w:rPr>
          <w:color w:val="000000"/>
          <w:szCs w:val="22"/>
          <w:lang w:val="es-ES_tradnl"/>
        </w:rPr>
      </w:pPr>
    </w:p>
    <w:p w14:paraId="7DCFCEB0" w14:textId="77777777" w:rsidR="00E36F43" w:rsidRPr="003E0B98" w:rsidRDefault="00E36F43" w:rsidP="004361A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es-ES_tradnl"/>
        </w:rPr>
      </w:pPr>
      <w:r w:rsidRPr="003E0B98">
        <w:rPr>
          <w:b/>
          <w:color w:val="000000"/>
          <w:szCs w:val="22"/>
          <w:lang w:val="es-ES_tradnl"/>
        </w:rPr>
        <w:t>8.</w:t>
      </w:r>
      <w:r w:rsidRPr="003E0B98">
        <w:rPr>
          <w:b/>
          <w:color w:val="000000"/>
          <w:szCs w:val="22"/>
          <w:lang w:val="es-ES_tradnl"/>
        </w:rPr>
        <w:tab/>
      </w:r>
      <w:r w:rsidRPr="003E0B98">
        <w:rPr>
          <w:b/>
          <w:noProof/>
          <w:color w:val="000000"/>
          <w:lang w:val="es-ES_tradnl"/>
        </w:rPr>
        <w:t>FECHA DE CADUCIDAD</w:t>
      </w:r>
    </w:p>
    <w:p w14:paraId="28393CA9" w14:textId="77777777" w:rsidR="00E36F43" w:rsidRPr="003E0B98" w:rsidRDefault="00E36F43" w:rsidP="004361AC">
      <w:pPr>
        <w:tabs>
          <w:tab w:val="clear" w:pos="567"/>
        </w:tabs>
        <w:spacing w:line="240" w:lineRule="auto"/>
        <w:rPr>
          <w:color w:val="000000"/>
          <w:szCs w:val="22"/>
          <w:lang w:val="es-ES_tradnl"/>
        </w:rPr>
      </w:pPr>
    </w:p>
    <w:p w14:paraId="36D8E9A6" w14:textId="77777777" w:rsidR="00E36F43" w:rsidRPr="003E0B98" w:rsidRDefault="00E36F43" w:rsidP="004361AC">
      <w:pPr>
        <w:tabs>
          <w:tab w:val="clear" w:pos="567"/>
        </w:tabs>
        <w:spacing w:line="240" w:lineRule="auto"/>
        <w:rPr>
          <w:color w:val="000000"/>
          <w:szCs w:val="22"/>
          <w:lang w:val="es-ES_tradnl"/>
        </w:rPr>
      </w:pPr>
      <w:r w:rsidRPr="003E0B98">
        <w:rPr>
          <w:color w:val="000000"/>
          <w:szCs w:val="22"/>
          <w:lang w:val="es-ES_tradnl"/>
        </w:rPr>
        <w:t>CAD</w:t>
      </w:r>
    </w:p>
    <w:p w14:paraId="3A885F5F" w14:textId="77777777" w:rsidR="00E36F43" w:rsidRPr="003E0B98" w:rsidRDefault="00E36F43" w:rsidP="004361AC">
      <w:pPr>
        <w:tabs>
          <w:tab w:val="clear" w:pos="567"/>
        </w:tabs>
        <w:spacing w:line="240" w:lineRule="auto"/>
        <w:rPr>
          <w:color w:val="000000"/>
          <w:szCs w:val="22"/>
          <w:lang w:val="es-ES_tradnl"/>
        </w:rPr>
      </w:pPr>
    </w:p>
    <w:p w14:paraId="1CBF7FBA" w14:textId="77777777" w:rsidR="00E36F43" w:rsidRPr="003E0B98" w:rsidRDefault="00E36F43" w:rsidP="004361AC">
      <w:pPr>
        <w:tabs>
          <w:tab w:val="clear" w:pos="567"/>
        </w:tabs>
        <w:spacing w:line="240" w:lineRule="auto"/>
        <w:rPr>
          <w:color w:val="000000"/>
          <w:szCs w:val="22"/>
          <w:lang w:val="es-ES_tradnl"/>
        </w:rPr>
      </w:pPr>
    </w:p>
    <w:p w14:paraId="7993CF98" w14:textId="77777777" w:rsidR="00E36F43" w:rsidRPr="003E0B98" w:rsidRDefault="00E36F43" w:rsidP="004361A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es-ES_tradnl"/>
        </w:rPr>
      </w:pPr>
      <w:r w:rsidRPr="003E0B98">
        <w:rPr>
          <w:b/>
          <w:color w:val="000000"/>
          <w:szCs w:val="22"/>
          <w:lang w:val="es-ES_tradnl"/>
        </w:rPr>
        <w:t>9.</w:t>
      </w:r>
      <w:r w:rsidRPr="003E0B98">
        <w:rPr>
          <w:b/>
          <w:color w:val="000000"/>
          <w:szCs w:val="22"/>
          <w:lang w:val="es-ES_tradnl"/>
        </w:rPr>
        <w:tab/>
      </w:r>
      <w:r w:rsidRPr="003E0B98">
        <w:rPr>
          <w:b/>
          <w:noProof/>
          <w:color w:val="000000"/>
          <w:lang w:val="es-ES_tradnl"/>
        </w:rPr>
        <w:t>CONDICIONES ESPECIALES DE CONSERVACIÓN</w:t>
      </w:r>
    </w:p>
    <w:p w14:paraId="368FEFEF" w14:textId="77777777" w:rsidR="00E36F43" w:rsidRPr="003E0B98" w:rsidRDefault="00E36F43" w:rsidP="004361AC">
      <w:pPr>
        <w:tabs>
          <w:tab w:val="clear" w:pos="567"/>
        </w:tabs>
        <w:spacing w:line="240" w:lineRule="auto"/>
        <w:rPr>
          <w:color w:val="000000"/>
          <w:szCs w:val="22"/>
          <w:lang w:val="es-ES_tradnl"/>
        </w:rPr>
      </w:pPr>
    </w:p>
    <w:p w14:paraId="4AF46516" w14:textId="77777777" w:rsidR="00E36F43" w:rsidRPr="003E0B98" w:rsidRDefault="00E36F43" w:rsidP="004361AC">
      <w:pPr>
        <w:tabs>
          <w:tab w:val="clear" w:pos="567"/>
        </w:tabs>
        <w:spacing w:line="240" w:lineRule="auto"/>
        <w:rPr>
          <w:color w:val="000000"/>
          <w:szCs w:val="22"/>
          <w:lang w:val="es-ES_tradnl"/>
        </w:rPr>
      </w:pPr>
      <w:r w:rsidRPr="003E0B98">
        <w:rPr>
          <w:color w:val="000000"/>
          <w:szCs w:val="22"/>
          <w:lang w:val="es-ES_tradnl"/>
        </w:rPr>
        <w:t xml:space="preserve">Conservar en nevera </w:t>
      </w:r>
      <w:r w:rsidRPr="003E0B98">
        <w:rPr>
          <w:color w:val="000000"/>
          <w:szCs w:val="22"/>
          <w:lang w:val="es-ES"/>
        </w:rPr>
        <w:t>(</w:t>
      </w:r>
      <w:r w:rsidRPr="003E0B98">
        <w:rPr>
          <w:color w:val="000000"/>
          <w:szCs w:val="22"/>
          <w:lang w:val="es-ES_tradnl"/>
        </w:rPr>
        <w:t xml:space="preserve">entre </w:t>
      </w:r>
      <w:r w:rsidRPr="003E0B98">
        <w:rPr>
          <w:color w:val="000000"/>
          <w:szCs w:val="22"/>
          <w:lang w:val="es-ES"/>
        </w:rPr>
        <w:t>2</w:t>
      </w:r>
      <w:r w:rsidRPr="003E0B98">
        <w:rPr>
          <w:color w:val="000000"/>
          <w:szCs w:val="22"/>
        </w:rPr>
        <w:sym w:font="Symbol" w:char="F0B0"/>
      </w:r>
      <w:r w:rsidRPr="003E0B98">
        <w:rPr>
          <w:color w:val="000000"/>
          <w:szCs w:val="22"/>
          <w:lang w:val="es-ES"/>
        </w:rPr>
        <w:t>C y 8</w:t>
      </w:r>
      <w:r w:rsidRPr="003E0B98">
        <w:rPr>
          <w:color w:val="000000"/>
          <w:szCs w:val="22"/>
        </w:rPr>
        <w:sym w:font="Symbol" w:char="F0B0"/>
      </w:r>
      <w:r w:rsidRPr="003E0B98">
        <w:rPr>
          <w:color w:val="000000"/>
          <w:szCs w:val="22"/>
          <w:lang w:val="es-ES"/>
        </w:rPr>
        <w:t>C)</w:t>
      </w:r>
      <w:r w:rsidRPr="003E0B98">
        <w:rPr>
          <w:color w:val="000000"/>
          <w:szCs w:val="22"/>
          <w:lang w:val="es-ES_tradnl"/>
        </w:rPr>
        <w:t>.</w:t>
      </w:r>
    </w:p>
    <w:p w14:paraId="1CD6DEDA" w14:textId="77777777" w:rsidR="00E36F43" w:rsidRPr="003E0B98" w:rsidRDefault="00E36F43" w:rsidP="004361AC">
      <w:pPr>
        <w:tabs>
          <w:tab w:val="clear" w:pos="567"/>
        </w:tabs>
        <w:spacing w:line="240" w:lineRule="auto"/>
        <w:rPr>
          <w:color w:val="000000"/>
          <w:szCs w:val="22"/>
          <w:lang w:val="es-ES_tradnl"/>
        </w:rPr>
      </w:pPr>
      <w:r w:rsidRPr="003E0B98">
        <w:rPr>
          <w:color w:val="000000"/>
          <w:szCs w:val="22"/>
          <w:lang w:val="es-ES_tradnl"/>
        </w:rPr>
        <w:t>No congelar.</w:t>
      </w:r>
    </w:p>
    <w:p w14:paraId="7A300D36" w14:textId="77777777" w:rsidR="00E36F43" w:rsidRPr="003E0B98" w:rsidRDefault="00E36F43" w:rsidP="004361AC">
      <w:pPr>
        <w:tabs>
          <w:tab w:val="clear" w:pos="567"/>
        </w:tabs>
        <w:spacing w:line="240" w:lineRule="auto"/>
        <w:rPr>
          <w:color w:val="000000"/>
          <w:szCs w:val="22"/>
          <w:lang w:val="es-ES_tradnl"/>
        </w:rPr>
      </w:pPr>
      <w:r w:rsidRPr="003E0B98">
        <w:rPr>
          <w:color w:val="000000"/>
          <w:szCs w:val="22"/>
          <w:lang w:val="es-ES_tradnl"/>
        </w:rPr>
        <w:t xml:space="preserve">Conservar </w:t>
      </w:r>
      <w:r w:rsidR="00714AA1" w:rsidRPr="003E0B98">
        <w:rPr>
          <w:color w:val="000000"/>
          <w:szCs w:val="22"/>
          <w:lang w:val="es-ES_tradnl"/>
        </w:rPr>
        <w:t>la jeringa precargada en su bandeja sellada</w:t>
      </w:r>
      <w:r w:rsidRPr="003E0B98">
        <w:rPr>
          <w:color w:val="000000"/>
          <w:szCs w:val="22"/>
          <w:lang w:val="es-ES_tradnl"/>
        </w:rPr>
        <w:t xml:space="preserve"> en </w:t>
      </w:r>
      <w:r w:rsidR="00714AA1" w:rsidRPr="003E0B98">
        <w:rPr>
          <w:color w:val="000000"/>
          <w:szCs w:val="22"/>
          <w:lang w:val="es-ES_tradnl"/>
        </w:rPr>
        <w:t>la caja</w:t>
      </w:r>
      <w:r w:rsidRPr="003E0B98">
        <w:rPr>
          <w:color w:val="000000"/>
          <w:szCs w:val="22"/>
          <w:lang w:val="es-ES_tradnl"/>
        </w:rPr>
        <w:t xml:space="preserve"> para protegerl</w:t>
      </w:r>
      <w:r w:rsidR="00714AA1" w:rsidRPr="003E0B98">
        <w:rPr>
          <w:color w:val="000000"/>
          <w:szCs w:val="22"/>
          <w:lang w:val="es-ES_tradnl"/>
        </w:rPr>
        <w:t>a</w:t>
      </w:r>
      <w:r w:rsidRPr="003E0B98">
        <w:rPr>
          <w:color w:val="000000"/>
          <w:szCs w:val="22"/>
          <w:lang w:val="es-ES_tradnl"/>
        </w:rPr>
        <w:t xml:space="preserve"> de la luz.</w:t>
      </w:r>
    </w:p>
    <w:p w14:paraId="2077BD6A" w14:textId="77777777" w:rsidR="00E36F43" w:rsidRPr="003E0B98" w:rsidRDefault="00E36F43" w:rsidP="004361AC">
      <w:pPr>
        <w:tabs>
          <w:tab w:val="clear" w:pos="567"/>
        </w:tabs>
        <w:spacing w:line="240" w:lineRule="auto"/>
        <w:rPr>
          <w:color w:val="000000"/>
          <w:szCs w:val="22"/>
          <w:lang w:val="es-ES_tradnl"/>
        </w:rPr>
      </w:pPr>
    </w:p>
    <w:p w14:paraId="2CAA5B75" w14:textId="77777777" w:rsidR="00E36F43" w:rsidRPr="003E0B98" w:rsidRDefault="00E36F43" w:rsidP="004361AC">
      <w:pPr>
        <w:tabs>
          <w:tab w:val="clear" w:pos="567"/>
        </w:tabs>
        <w:spacing w:line="240" w:lineRule="auto"/>
        <w:ind w:left="567" w:hanging="567"/>
        <w:rPr>
          <w:color w:val="000000"/>
          <w:szCs w:val="22"/>
          <w:lang w:val="es-ES_tradnl"/>
        </w:rPr>
      </w:pPr>
    </w:p>
    <w:p w14:paraId="1E836A14" w14:textId="77777777" w:rsidR="00E36F43" w:rsidRPr="003E0B98" w:rsidRDefault="00E36F43" w:rsidP="004361A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olor w:val="000000"/>
          <w:szCs w:val="22"/>
          <w:lang w:val="es-ES_tradnl"/>
        </w:rPr>
      </w:pPr>
      <w:r w:rsidRPr="003E0B98">
        <w:rPr>
          <w:b/>
          <w:color w:val="000000"/>
          <w:szCs w:val="22"/>
          <w:lang w:val="es-ES_tradnl"/>
        </w:rPr>
        <w:t>10.</w:t>
      </w:r>
      <w:r w:rsidRPr="003E0B98">
        <w:rPr>
          <w:b/>
          <w:color w:val="000000"/>
          <w:szCs w:val="22"/>
          <w:lang w:val="es-ES_tradnl"/>
        </w:rPr>
        <w:tab/>
      </w:r>
      <w:r w:rsidRPr="003E0B98">
        <w:rPr>
          <w:b/>
          <w:noProof/>
          <w:color w:val="000000"/>
          <w:lang w:val="es-ES_tradnl"/>
        </w:rPr>
        <w:t>PRECAUCIONES ESPECIALES DE ELIMINACIÓN DEL MEDICAMENTO NO UTILIZADO Y DE LOS MATERIALES DERIVADOS DE SU USO</w:t>
      </w:r>
      <w:r w:rsidR="00CD1E05" w:rsidRPr="003E0B98">
        <w:rPr>
          <w:b/>
          <w:noProof/>
          <w:color w:val="000000"/>
          <w:lang w:val="es-ES_tradnl"/>
        </w:rPr>
        <w:t>,</w:t>
      </w:r>
      <w:r w:rsidRPr="003E0B98">
        <w:rPr>
          <w:b/>
          <w:noProof/>
          <w:color w:val="000000"/>
          <w:lang w:val="es-ES_tradnl"/>
        </w:rPr>
        <w:t xml:space="preserve"> CUANDO CORRESPONDA</w:t>
      </w:r>
    </w:p>
    <w:p w14:paraId="32893B30" w14:textId="77777777" w:rsidR="00E36F43" w:rsidRPr="003E0B98" w:rsidRDefault="00E36F43" w:rsidP="004361AC">
      <w:pPr>
        <w:tabs>
          <w:tab w:val="clear" w:pos="567"/>
        </w:tabs>
        <w:spacing w:line="240" w:lineRule="auto"/>
        <w:rPr>
          <w:color w:val="000000"/>
          <w:szCs w:val="22"/>
          <w:lang w:val="es-ES_tradnl"/>
        </w:rPr>
      </w:pPr>
    </w:p>
    <w:p w14:paraId="55B06392" w14:textId="77777777" w:rsidR="00E36F43" w:rsidRPr="003E0B98" w:rsidRDefault="00E36F43" w:rsidP="004361AC">
      <w:pPr>
        <w:tabs>
          <w:tab w:val="clear" w:pos="567"/>
        </w:tabs>
        <w:spacing w:line="240" w:lineRule="auto"/>
        <w:rPr>
          <w:color w:val="000000"/>
          <w:szCs w:val="22"/>
          <w:lang w:val="es-ES_tradnl"/>
        </w:rPr>
      </w:pPr>
    </w:p>
    <w:p w14:paraId="6AE8CEA6" w14:textId="77777777" w:rsidR="00E36F43" w:rsidRPr="003E0B98" w:rsidRDefault="00E36F43" w:rsidP="004361A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olor w:val="000000"/>
          <w:szCs w:val="22"/>
          <w:lang w:val="es-ES_tradnl"/>
        </w:rPr>
      </w:pPr>
      <w:r w:rsidRPr="003E0B98">
        <w:rPr>
          <w:b/>
          <w:color w:val="000000"/>
          <w:szCs w:val="22"/>
          <w:lang w:val="es-ES_tradnl"/>
        </w:rPr>
        <w:t>11.</w:t>
      </w:r>
      <w:r w:rsidRPr="003E0B98">
        <w:rPr>
          <w:b/>
          <w:color w:val="000000"/>
          <w:szCs w:val="22"/>
          <w:lang w:val="es-ES_tradnl"/>
        </w:rPr>
        <w:tab/>
      </w:r>
      <w:r w:rsidRPr="003E0B98">
        <w:rPr>
          <w:b/>
          <w:noProof/>
          <w:color w:val="000000"/>
          <w:lang w:val="es-ES_tradnl"/>
        </w:rPr>
        <w:t>NOMBRE Y DIRECCIÓN DEL TITULAR DE LA AUTORIZACIÓN DE COMERCIALIZACIÓN</w:t>
      </w:r>
    </w:p>
    <w:p w14:paraId="004CA4C1" w14:textId="77777777" w:rsidR="00E36F43" w:rsidRPr="003E0B98" w:rsidRDefault="00E36F43" w:rsidP="004361AC">
      <w:pPr>
        <w:tabs>
          <w:tab w:val="clear" w:pos="567"/>
        </w:tabs>
        <w:spacing w:line="240" w:lineRule="auto"/>
        <w:rPr>
          <w:color w:val="000000"/>
          <w:szCs w:val="22"/>
          <w:lang w:val="es-ES_tradnl"/>
        </w:rPr>
      </w:pPr>
    </w:p>
    <w:p w14:paraId="175929B4" w14:textId="77777777" w:rsidR="00E36F43" w:rsidRPr="003E0B98" w:rsidRDefault="00E36F43" w:rsidP="004361AC">
      <w:pPr>
        <w:tabs>
          <w:tab w:val="clear" w:pos="567"/>
        </w:tabs>
        <w:spacing w:line="240" w:lineRule="auto"/>
        <w:rPr>
          <w:color w:val="000000"/>
          <w:szCs w:val="22"/>
        </w:rPr>
      </w:pPr>
      <w:r w:rsidRPr="003E0B98">
        <w:rPr>
          <w:color w:val="000000"/>
          <w:szCs w:val="22"/>
        </w:rPr>
        <w:t xml:space="preserve">Novartis </w:t>
      </w:r>
      <w:proofErr w:type="spellStart"/>
      <w:r w:rsidRPr="003E0B98">
        <w:rPr>
          <w:color w:val="000000"/>
          <w:szCs w:val="22"/>
        </w:rPr>
        <w:t>Europharm</w:t>
      </w:r>
      <w:proofErr w:type="spellEnd"/>
      <w:r w:rsidRPr="003E0B98">
        <w:rPr>
          <w:color w:val="000000"/>
          <w:szCs w:val="22"/>
        </w:rPr>
        <w:t xml:space="preserve"> Limited</w:t>
      </w:r>
    </w:p>
    <w:p w14:paraId="52A18A99" w14:textId="77777777" w:rsidR="00442EE6" w:rsidRPr="003E0B98" w:rsidRDefault="00442EE6" w:rsidP="004361AC">
      <w:pPr>
        <w:keepNext/>
        <w:spacing w:line="240" w:lineRule="auto"/>
        <w:rPr>
          <w:color w:val="000000"/>
        </w:rPr>
      </w:pPr>
      <w:r w:rsidRPr="003E0B98">
        <w:rPr>
          <w:color w:val="000000"/>
        </w:rPr>
        <w:t>Vista Building</w:t>
      </w:r>
    </w:p>
    <w:p w14:paraId="1A4EFE3C" w14:textId="77777777" w:rsidR="00442EE6" w:rsidRPr="003E0B98" w:rsidRDefault="00442EE6" w:rsidP="004361AC">
      <w:pPr>
        <w:keepNext/>
        <w:spacing w:line="240" w:lineRule="auto"/>
        <w:rPr>
          <w:color w:val="000000"/>
        </w:rPr>
      </w:pPr>
      <w:r w:rsidRPr="003E0B98">
        <w:rPr>
          <w:color w:val="000000"/>
        </w:rPr>
        <w:t>Elm Park, Merrion Road</w:t>
      </w:r>
    </w:p>
    <w:p w14:paraId="637C0A01" w14:textId="77777777" w:rsidR="00442EE6" w:rsidRPr="003E0B98" w:rsidRDefault="00442EE6" w:rsidP="004361AC">
      <w:pPr>
        <w:keepNext/>
        <w:spacing w:line="240" w:lineRule="auto"/>
        <w:rPr>
          <w:color w:val="000000"/>
          <w:lang w:val="es-ES"/>
        </w:rPr>
      </w:pPr>
      <w:proofErr w:type="spellStart"/>
      <w:r w:rsidRPr="003E0B98">
        <w:rPr>
          <w:color w:val="000000"/>
          <w:lang w:val="es-ES"/>
        </w:rPr>
        <w:t>Dublin</w:t>
      </w:r>
      <w:proofErr w:type="spellEnd"/>
      <w:r w:rsidRPr="003E0B98">
        <w:rPr>
          <w:color w:val="000000"/>
          <w:lang w:val="es-ES"/>
        </w:rPr>
        <w:t xml:space="preserve"> 4</w:t>
      </w:r>
    </w:p>
    <w:p w14:paraId="2898A9C6" w14:textId="77777777" w:rsidR="00E36F43" w:rsidRPr="003E0B98" w:rsidRDefault="00442EE6" w:rsidP="004361AC">
      <w:pPr>
        <w:tabs>
          <w:tab w:val="clear" w:pos="567"/>
        </w:tabs>
        <w:spacing w:line="240" w:lineRule="auto"/>
        <w:rPr>
          <w:color w:val="000000"/>
          <w:szCs w:val="22"/>
          <w:lang w:val="es-ES_tradnl"/>
        </w:rPr>
      </w:pPr>
      <w:r w:rsidRPr="003E0B98">
        <w:rPr>
          <w:color w:val="000000"/>
          <w:lang w:val="es-ES"/>
        </w:rPr>
        <w:t>Irlanda</w:t>
      </w:r>
    </w:p>
    <w:p w14:paraId="03B5C981" w14:textId="77777777" w:rsidR="00E36F43" w:rsidRPr="003E0B98" w:rsidRDefault="00E36F43" w:rsidP="004361AC">
      <w:pPr>
        <w:tabs>
          <w:tab w:val="clear" w:pos="567"/>
        </w:tabs>
        <w:spacing w:line="240" w:lineRule="auto"/>
        <w:rPr>
          <w:color w:val="000000"/>
          <w:szCs w:val="22"/>
          <w:lang w:val="es-ES_tradnl"/>
        </w:rPr>
      </w:pPr>
    </w:p>
    <w:p w14:paraId="700012A8" w14:textId="77777777" w:rsidR="00E36F43" w:rsidRPr="003E0B98" w:rsidRDefault="00E36F43" w:rsidP="004361AC">
      <w:pPr>
        <w:tabs>
          <w:tab w:val="clear" w:pos="567"/>
        </w:tabs>
        <w:spacing w:line="240" w:lineRule="auto"/>
        <w:rPr>
          <w:color w:val="000000"/>
          <w:szCs w:val="22"/>
          <w:lang w:val="es-ES_tradnl"/>
        </w:rPr>
      </w:pPr>
    </w:p>
    <w:p w14:paraId="4DD8AB18" w14:textId="77777777" w:rsidR="00E36F43" w:rsidRPr="003E0B98" w:rsidRDefault="00E36F43" w:rsidP="004361AC">
      <w:pPr>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es-ES_tradnl"/>
        </w:rPr>
      </w:pPr>
      <w:r w:rsidRPr="003E0B98">
        <w:rPr>
          <w:b/>
          <w:color w:val="000000"/>
          <w:szCs w:val="22"/>
          <w:lang w:val="es-ES_tradnl"/>
        </w:rPr>
        <w:t>12.</w:t>
      </w:r>
      <w:r w:rsidRPr="003E0B98">
        <w:rPr>
          <w:b/>
          <w:color w:val="000000"/>
          <w:szCs w:val="22"/>
          <w:lang w:val="es-ES_tradnl"/>
        </w:rPr>
        <w:tab/>
      </w:r>
      <w:r w:rsidRPr="003E0B98">
        <w:rPr>
          <w:b/>
          <w:noProof/>
          <w:color w:val="000000"/>
          <w:lang w:val="es-ES_tradnl"/>
        </w:rPr>
        <w:t>NÚMERO(S) DE AUTORIZACIÓN DE COMERCIALIZACIÓN</w:t>
      </w:r>
    </w:p>
    <w:p w14:paraId="0C289F7F" w14:textId="77777777" w:rsidR="00E36F43" w:rsidRPr="003E0B98" w:rsidRDefault="00E36F43" w:rsidP="004361AC">
      <w:pPr>
        <w:tabs>
          <w:tab w:val="clear" w:pos="567"/>
        </w:tabs>
        <w:spacing w:line="240" w:lineRule="auto"/>
        <w:rPr>
          <w:color w:val="000000"/>
          <w:szCs w:val="22"/>
          <w:lang w:val="es-ES_tradnl"/>
        </w:rPr>
      </w:pPr>
    </w:p>
    <w:p w14:paraId="0D7B9492" w14:textId="77777777" w:rsidR="00E36F43" w:rsidRPr="003E0B98" w:rsidRDefault="00E36F43" w:rsidP="004361AC">
      <w:pPr>
        <w:rPr>
          <w:color w:val="000000"/>
          <w:szCs w:val="22"/>
          <w:lang w:val="es-ES_tradnl"/>
        </w:rPr>
      </w:pPr>
      <w:r w:rsidRPr="003E0B98">
        <w:rPr>
          <w:color w:val="000000"/>
          <w:szCs w:val="22"/>
          <w:lang w:val="es-ES_tradnl"/>
        </w:rPr>
        <w:t>EU/1/06/374/00</w:t>
      </w:r>
      <w:r w:rsidR="001674FE" w:rsidRPr="003E0B98">
        <w:rPr>
          <w:color w:val="000000"/>
          <w:szCs w:val="22"/>
          <w:lang w:val="es-ES_tradnl"/>
        </w:rPr>
        <w:t>3</w:t>
      </w:r>
    </w:p>
    <w:p w14:paraId="58FF58D0" w14:textId="77777777" w:rsidR="00E36F43" w:rsidRPr="003E0B98" w:rsidRDefault="00E36F43" w:rsidP="004361AC">
      <w:pPr>
        <w:tabs>
          <w:tab w:val="clear" w:pos="567"/>
        </w:tabs>
        <w:spacing w:line="240" w:lineRule="auto"/>
        <w:rPr>
          <w:color w:val="000000"/>
          <w:szCs w:val="22"/>
          <w:lang w:val="es-ES_tradnl"/>
        </w:rPr>
      </w:pPr>
    </w:p>
    <w:p w14:paraId="56FF111B" w14:textId="77777777" w:rsidR="00E36F43" w:rsidRPr="003E0B98" w:rsidRDefault="00E36F43" w:rsidP="004361AC">
      <w:pPr>
        <w:tabs>
          <w:tab w:val="clear" w:pos="567"/>
        </w:tabs>
        <w:spacing w:line="240" w:lineRule="auto"/>
        <w:rPr>
          <w:color w:val="000000"/>
          <w:szCs w:val="22"/>
          <w:lang w:val="es-ES_tradnl"/>
        </w:rPr>
      </w:pPr>
    </w:p>
    <w:p w14:paraId="12402815" w14:textId="77777777" w:rsidR="00E36F43" w:rsidRPr="003E0B98" w:rsidRDefault="00E36F43" w:rsidP="004361AC">
      <w:pPr>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es-ES_tradnl"/>
        </w:rPr>
      </w:pPr>
      <w:r w:rsidRPr="003E0B98">
        <w:rPr>
          <w:b/>
          <w:color w:val="000000"/>
          <w:szCs w:val="22"/>
          <w:lang w:val="es-ES_tradnl"/>
        </w:rPr>
        <w:t>13.</w:t>
      </w:r>
      <w:r w:rsidRPr="003E0B98">
        <w:rPr>
          <w:b/>
          <w:color w:val="000000"/>
          <w:szCs w:val="22"/>
          <w:lang w:val="es-ES_tradnl"/>
        </w:rPr>
        <w:tab/>
      </w:r>
      <w:r w:rsidRPr="003E0B98">
        <w:rPr>
          <w:b/>
          <w:noProof/>
          <w:color w:val="000000"/>
          <w:lang w:val="pt-PT"/>
        </w:rPr>
        <w:t>NÚMERO DE LOTE</w:t>
      </w:r>
    </w:p>
    <w:p w14:paraId="424E56FD" w14:textId="77777777" w:rsidR="00E36F43" w:rsidRPr="003E0B98" w:rsidRDefault="00E36F43" w:rsidP="004361AC">
      <w:pPr>
        <w:tabs>
          <w:tab w:val="clear" w:pos="567"/>
        </w:tabs>
        <w:spacing w:line="240" w:lineRule="auto"/>
        <w:rPr>
          <w:color w:val="000000"/>
          <w:szCs w:val="22"/>
          <w:lang w:val="es-ES_tradnl"/>
        </w:rPr>
      </w:pPr>
    </w:p>
    <w:p w14:paraId="526C0BF0" w14:textId="77777777" w:rsidR="00E36F43" w:rsidRPr="003E0B98" w:rsidRDefault="00E36F43" w:rsidP="004361AC">
      <w:pPr>
        <w:tabs>
          <w:tab w:val="clear" w:pos="567"/>
        </w:tabs>
        <w:spacing w:line="240" w:lineRule="auto"/>
        <w:rPr>
          <w:color w:val="000000"/>
          <w:szCs w:val="22"/>
          <w:lang w:val="es-ES_tradnl"/>
        </w:rPr>
      </w:pPr>
      <w:r w:rsidRPr="003E0B98">
        <w:rPr>
          <w:color w:val="000000"/>
          <w:szCs w:val="22"/>
          <w:lang w:val="es-ES_tradnl"/>
        </w:rPr>
        <w:t>Lote</w:t>
      </w:r>
    </w:p>
    <w:p w14:paraId="1612E2D6" w14:textId="77777777" w:rsidR="00E36F43" w:rsidRPr="003E0B98" w:rsidRDefault="00E36F43" w:rsidP="004361AC">
      <w:pPr>
        <w:tabs>
          <w:tab w:val="clear" w:pos="567"/>
        </w:tabs>
        <w:spacing w:line="240" w:lineRule="auto"/>
        <w:rPr>
          <w:color w:val="000000"/>
          <w:szCs w:val="22"/>
          <w:lang w:val="es-ES_tradnl"/>
        </w:rPr>
      </w:pPr>
    </w:p>
    <w:p w14:paraId="6D94EDC0" w14:textId="77777777" w:rsidR="00E36F43" w:rsidRPr="003E0B98" w:rsidRDefault="00E36F43" w:rsidP="004361AC">
      <w:pPr>
        <w:tabs>
          <w:tab w:val="clear" w:pos="567"/>
        </w:tabs>
        <w:spacing w:line="240" w:lineRule="auto"/>
        <w:rPr>
          <w:color w:val="000000"/>
          <w:szCs w:val="22"/>
          <w:lang w:val="es-ES_tradnl"/>
        </w:rPr>
      </w:pPr>
    </w:p>
    <w:p w14:paraId="0571DFEE" w14:textId="77777777" w:rsidR="00E36F43" w:rsidRPr="003E0B98" w:rsidRDefault="00E36F43" w:rsidP="004361AC">
      <w:pPr>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es-ES_tradnl"/>
        </w:rPr>
      </w:pPr>
      <w:r w:rsidRPr="003E0B98">
        <w:rPr>
          <w:b/>
          <w:color w:val="000000"/>
          <w:szCs w:val="22"/>
          <w:lang w:val="es-ES_tradnl"/>
        </w:rPr>
        <w:t>14.</w:t>
      </w:r>
      <w:r w:rsidRPr="003E0B98">
        <w:rPr>
          <w:b/>
          <w:color w:val="000000"/>
          <w:szCs w:val="22"/>
          <w:lang w:val="es-ES_tradnl"/>
        </w:rPr>
        <w:tab/>
      </w:r>
      <w:r w:rsidRPr="003E0B98">
        <w:rPr>
          <w:b/>
          <w:noProof/>
          <w:color w:val="000000"/>
          <w:lang w:val="es-ES_tradnl"/>
        </w:rPr>
        <w:t>CONDICIONES GENERALES DE DISPENSACIÓN</w:t>
      </w:r>
    </w:p>
    <w:p w14:paraId="7CA866A1" w14:textId="77777777" w:rsidR="00E36F43" w:rsidRPr="003E0B98" w:rsidRDefault="00E36F43" w:rsidP="004361AC">
      <w:pPr>
        <w:tabs>
          <w:tab w:val="clear" w:pos="567"/>
        </w:tabs>
        <w:spacing w:line="240" w:lineRule="auto"/>
        <w:rPr>
          <w:color w:val="000000"/>
          <w:szCs w:val="22"/>
          <w:lang w:val="es-ES_tradnl"/>
        </w:rPr>
      </w:pPr>
    </w:p>
    <w:p w14:paraId="63761F07" w14:textId="77777777" w:rsidR="00E36F43" w:rsidRPr="003E0B98" w:rsidRDefault="00E36F43" w:rsidP="004361AC">
      <w:pPr>
        <w:tabs>
          <w:tab w:val="clear" w:pos="567"/>
        </w:tabs>
        <w:spacing w:line="240" w:lineRule="auto"/>
        <w:rPr>
          <w:color w:val="000000"/>
          <w:szCs w:val="22"/>
          <w:lang w:val="es-ES_tradnl"/>
        </w:rPr>
      </w:pPr>
    </w:p>
    <w:p w14:paraId="45914927" w14:textId="77777777" w:rsidR="00E36F43" w:rsidRPr="003E0B98" w:rsidRDefault="00E36F43" w:rsidP="004361AC">
      <w:pPr>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es-ES_tradnl"/>
        </w:rPr>
      </w:pPr>
      <w:r w:rsidRPr="003E0B98">
        <w:rPr>
          <w:b/>
          <w:color w:val="000000"/>
          <w:szCs w:val="22"/>
          <w:lang w:val="es-ES_tradnl"/>
        </w:rPr>
        <w:t>15.</w:t>
      </w:r>
      <w:r w:rsidRPr="003E0B98">
        <w:rPr>
          <w:b/>
          <w:color w:val="000000"/>
          <w:szCs w:val="22"/>
          <w:lang w:val="es-ES_tradnl"/>
        </w:rPr>
        <w:tab/>
      </w:r>
      <w:r w:rsidRPr="003E0B98">
        <w:rPr>
          <w:b/>
          <w:noProof/>
          <w:color w:val="000000"/>
          <w:lang w:val="es-ES_tradnl"/>
        </w:rPr>
        <w:t>INSTRUCCIONES DE USO</w:t>
      </w:r>
    </w:p>
    <w:p w14:paraId="71B02F70" w14:textId="77777777" w:rsidR="00E36F43" w:rsidRPr="003E0B98" w:rsidRDefault="00E36F43" w:rsidP="004361AC">
      <w:pPr>
        <w:tabs>
          <w:tab w:val="clear" w:pos="567"/>
        </w:tabs>
        <w:spacing w:line="240" w:lineRule="auto"/>
        <w:rPr>
          <w:color w:val="000000"/>
          <w:szCs w:val="22"/>
          <w:lang w:val="es-ES_tradnl"/>
        </w:rPr>
      </w:pPr>
    </w:p>
    <w:p w14:paraId="0F18C677" w14:textId="77777777" w:rsidR="00E36F43" w:rsidRPr="003E0B98" w:rsidRDefault="00E36F43" w:rsidP="004361AC">
      <w:pPr>
        <w:tabs>
          <w:tab w:val="clear" w:pos="567"/>
        </w:tabs>
        <w:spacing w:line="240" w:lineRule="auto"/>
        <w:rPr>
          <w:color w:val="000000"/>
          <w:szCs w:val="22"/>
          <w:lang w:val="es-ES_tradnl"/>
        </w:rPr>
      </w:pPr>
    </w:p>
    <w:p w14:paraId="44827090" w14:textId="77777777" w:rsidR="00E36F43" w:rsidRPr="003E0B98" w:rsidRDefault="00E36F43" w:rsidP="004361AC">
      <w:pPr>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es-ES_tradnl"/>
        </w:rPr>
      </w:pPr>
      <w:r w:rsidRPr="003E0B98">
        <w:rPr>
          <w:b/>
          <w:color w:val="000000"/>
          <w:szCs w:val="22"/>
          <w:lang w:val="es-ES_tradnl"/>
        </w:rPr>
        <w:t>16.</w:t>
      </w:r>
      <w:r w:rsidRPr="003E0B98">
        <w:rPr>
          <w:b/>
          <w:color w:val="000000"/>
          <w:szCs w:val="22"/>
          <w:lang w:val="es-ES_tradnl"/>
        </w:rPr>
        <w:tab/>
      </w:r>
      <w:r w:rsidRPr="003E0B98">
        <w:rPr>
          <w:b/>
          <w:noProof/>
          <w:color w:val="000000"/>
          <w:lang w:val="es-ES_tradnl"/>
        </w:rPr>
        <w:t>INFORMACIÓN EN BRAILLE</w:t>
      </w:r>
    </w:p>
    <w:p w14:paraId="5B251A07" w14:textId="77777777" w:rsidR="00E36F43" w:rsidRPr="003E0B98" w:rsidRDefault="00E36F43" w:rsidP="004361AC">
      <w:pPr>
        <w:tabs>
          <w:tab w:val="clear" w:pos="567"/>
        </w:tabs>
        <w:spacing w:line="240" w:lineRule="auto"/>
        <w:rPr>
          <w:color w:val="000000"/>
          <w:szCs w:val="22"/>
          <w:lang w:val="es-ES_tradnl"/>
        </w:rPr>
      </w:pPr>
    </w:p>
    <w:p w14:paraId="396476F4" w14:textId="77777777" w:rsidR="00E36F43" w:rsidRPr="003E0B98" w:rsidRDefault="00E36F43" w:rsidP="004361AC">
      <w:pPr>
        <w:tabs>
          <w:tab w:val="clear" w:pos="567"/>
        </w:tabs>
        <w:spacing w:line="240" w:lineRule="auto"/>
        <w:rPr>
          <w:color w:val="000000"/>
          <w:szCs w:val="22"/>
          <w:lang w:val="es-ES"/>
        </w:rPr>
      </w:pPr>
      <w:r w:rsidRPr="003E0B98">
        <w:rPr>
          <w:shd w:val="pct15" w:color="auto" w:fill="auto"/>
          <w:lang w:val="es-ES_tradnl"/>
        </w:rPr>
        <w:t>Se acepta la justificación para no incluir la información en Braille</w:t>
      </w:r>
      <w:r w:rsidR="00E1022B" w:rsidRPr="003E0B98">
        <w:rPr>
          <w:shd w:val="pct15" w:color="auto" w:fill="auto"/>
          <w:lang w:val="es-ES_tradnl"/>
        </w:rPr>
        <w:t>.</w:t>
      </w:r>
    </w:p>
    <w:p w14:paraId="5E344482" w14:textId="77777777" w:rsidR="008C2C7C" w:rsidRPr="003E0B98" w:rsidRDefault="008C2C7C" w:rsidP="004361AC">
      <w:pPr>
        <w:tabs>
          <w:tab w:val="clear" w:pos="567"/>
        </w:tabs>
        <w:spacing w:line="240" w:lineRule="auto"/>
        <w:ind w:right="113"/>
        <w:rPr>
          <w:color w:val="000000"/>
          <w:szCs w:val="22"/>
          <w:lang w:val="es-ES_tradnl"/>
        </w:rPr>
      </w:pPr>
    </w:p>
    <w:p w14:paraId="16350F36" w14:textId="77777777" w:rsidR="008C2C7C" w:rsidRPr="003E0B98" w:rsidRDefault="008C2C7C" w:rsidP="004361AC">
      <w:pPr>
        <w:tabs>
          <w:tab w:val="clear" w:pos="567"/>
        </w:tabs>
        <w:spacing w:line="240" w:lineRule="auto"/>
        <w:rPr>
          <w:color w:val="000000"/>
          <w:szCs w:val="22"/>
          <w:lang w:val="es-ES_tradnl"/>
        </w:rPr>
      </w:pPr>
    </w:p>
    <w:p w14:paraId="0C95583F" w14:textId="77777777" w:rsidR="008C2C7C" w:rsidRPr="003E0B98" w:rsidRDefault="008C2C7C" w:rsidP="004361AC">
      <w:pPr>
        <w:keepNext/>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es-ES_tradnl"/>
        </w:rPr>
      </w:pPr>
      <w:r w:rsidRPr="003E0B98">
        <w:rPr>
          <w:b/>
          <w:color w:val="000000"/>
          <w:szCs w:val="22"/>
          <w:lang w:val="es-ES_tradnl"/>
        </w:rPr>
        <w:t>17.</w:t>
      </w:r>
      <w:r w:rsidRPr="003E0B98">
        <w:rPr>
          <w:b/>
          <w:color w:val="000000"/>
          <w:szCs w:val="22"/>
          <w:lang w:val="es-ES_tradnl"/>
        </w:rPr>
        <w:tab/>
      </w:r>
      <w:r w:rsidRPr="003E0B98">
        <w:rPr>
          <w:b/>
          <w:noProof/>
          <w:color w:val="000000"/>
          <w:lang w:val="es-ES_tradnl"/>
        </w:rPr>
        <w:t>IDENTIFICADOR ÚNICO – CÓDIGO DE BARRAS 2D</w:t>
      </w:r>
    </w:p>
    <w:p w14:paraId="58672341" w14:textId="77777777" w:rsidR="008C2C7C" w:rsidRPr="003E0B98" w:rsidRDefault="008C2C7C" w:rsidP="004361AC">
      <w:pPr>
        <w:keepNext/>
        <w:tabs>
          <w:tab w:val="clear" w:pos="567"/>
        </w:tabs>
        <w:spacing w:line="240" w:lineRule="auto"/>
        <w:rPr>
          <w:color w:val="000000"/>
          <w:szCs w:val="22"/>
          <w:lang w:val="es-ES_tradnl"/>
        </w:rPr>
      </w:pPr>
    </w:p>
    <w:p w14:paraId="07C06190" w14:textId="77777777" w:rsidR="008C2C7C" w:rsidRPr="003E0B98" w:rsidRDefault="008C2C7C" w:rsidP="004361AC">
      <w:pPr>
        <w:tabs>
          <w:tab w:val="clear" w:pos="567"/>
        </w:tabs>
        <w:spacing w:line="240" w:lineRule="auto"/>
        <w:rPr>
          <w:color w:val="000000"/>
          <w:szCs w:val="22"/>
          <w:lang w:val="es-ES"/>
        </w:rPr>
      </w:pPr>
      <w:r w:rsidRPr="003E0B98">
        <w:rPr>
          <w:shd w:val="pct15" w:color="auto" w:fill="auto"/>
          <w:lang w:val="es-ES_tradnl"/>
        </w:rPr>
        <w:t>Incluido el código de barras 2D que lleva el identificador único.</w:t>
      </w:r>
    </w:p>
    <w:p w14:paraId="7A6B88D5" w14:textId="77777777" w:rsidR="008C2C7C" w:rsidRPr="003E0B98" w:rsidRDefault="008C2C7C" w:rsidP="004361AC">
      <w:pPr>
        <w:tabs>
          <w:tab w:val="clear" w:pos="567"/>
        </w:tabs>
        <w:spacing w:line="240" w:lineRule="auto"/>
        <w:rPr>
          <w:noProof/>
          <w:szCs w:val="22"/>
          <w:lang w:val="es-ES"/>
        </w:rPr>
      </w:pPr>
    </w:p>
    <w:p w14:paraId="0A6D4413" w14:textId="77777777" w:rsidR="008C2C7C" w:rsidRPr="003E0B98" w:rsidRDefault="008C2C7C" w:rsidP="004361AC">
      <w:pPr>
        <w:tabs>
          <w:tab w:val="clear" w:pos="567"/>
        </w:tabs>
        <w:spacing w:line="240" w:lineRule="auto"/>
        <w:rPr>
          <w:color w:val="000000"/>
          <w:szCs w:val="22"/>
          <w:lang w:val="es-ES_tradnl"/>
        </w:rPr>
      </w:pPr>
    </w:p>
    <w:p w14:paraId="1CD94793" w14:textId="77777777" w:rsidR="008C2C7C" w:rsidRPr="003E0B98" w:rsidRDefault="008C2C7C" w:rsidP="004361AC">
      <w:pPr>
        <w:keepNext/>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es-ES_tradnl"/>
        </w:rPr>
      </w:pPr>
      <w:r w:rsidRPr="003E0B98">
        <w:rPr>
          <w:b/>
          <w:color w:val="000000"/>
          <w:szCs w:val="22"/>
          <w:lang w:val="es-ES_tradnl"/>
        </w:rPr>
        <w:t>18.</w:t>
      </w:r>
      <w:r w:rsidRPr="003E0B98">
        <w:rPr>
          <w:b/>
          <w:color w:val="000000"/>
          <w:szCs w:val="22"/>
          <w:lang w:val="es-ES_tradnl"/>
        </w:rPr>
        <w:tab/>
      </w:r>
      <w:r w:rsidRPr="003E0B98">
        <w:rPr>
          <w:b/>
          <w:noProof/>
          <w:color w:val="000000"/>
          <w:lang w:val="es-ES_tradnl"/>
        </w:rPr>
        <w:t>IDENTIFICADOR ÚNICO – INFORMACIÓN EN CARACTERES VISUALES</w:t>
      </w:r>
    </w:p>
    <w:p w14:paraId="569B8E7E" w14:textId="77777777" w:rsidR="008C2C7C" w:rsidRPr="003E0B98" w:rsidRDefault="008C2C7C" w:rsidP="004361AC">
      <w:pPr>
        <w:keepNext/>
        <w:tabs>
          <w:tab w:val="clear" w:pos="567"/>
        </w:tabs>
        <w:spacing w:line="240" w:lineRule="auto"/>
        <w:rPr>
          <w:color w:val="000000"/>
          <w:szCs w:val="22"/>
          <w:lang w:val="es-ES_tradnl"/>
        </w:rPr>
      </w:pPr>
    </w:p>
    <w:p w14:paraId="28B66B8A" w14:textId="55D85F37" w:rsidR="008C2C7C" w:rsidRPr="003E0B98" w:rsidRDefault="008C2C7C" w:rsidP="004361AC">
      <w:pPr>
        <w:keepNext/>
        <w:tabs>
          <w:tab w:val="clear" w:pos="567"/>
        </w:tabs>
        <w:spacing w:line="240" w:lineRule="auto"/>
        <w:ind w:right="113"/>
        <w:rPr>
          <w:color w:val="000000"/>
          <w:szCs w:val="22"/>
          <w:lang w:val="es-ES"/>
        </w:rPr>
      </w:pPr>
      <w:r w:rsidRPr="003E0B98">
        <w:rPr>
          <w:color w:val="000000"/>
          <w:szCs w:val="22"/>
          <w:lang w:val="es-ES"/>
        </w:rPr>
        <w:t>PC</w:t>
      </w:r>
    </w:p>
    <w:p w14:paraId="794858F5" w14:textId="68C9A4B5" w:rsidR="008C2C7C" w:rsidRPr="003E0B98" w:rsidRDefault="008C2C7C" w:rsidP="004361AC">
      <w:pPr>
        <w:keepNext/>
        <w:tabs>
          <w:tab w:val="clear" w:pos="567"/>
        </w:tabs>
        <w:spacing w:line="240" w:lineRule="auto"/>
        <w:ind w:right="113"/>
        <w:rPr>
          <w:color w:val="000000"/>
          <w:szCs w:val="22"/>
          <w:lang w:val="es-ES"/>
        </w:rPr>
      </w:pPr>
      <w:r w:rsidRPr="003E0B98">
        <w:rPr>
          <w:color w:val="000000"/>
          <w:szCs w:val="22"/>
          <w:lang w:val="es-ES"/>
        </w:rPr>
        <w:t>SN</w:t>
      </w:r>
    </w:p>
    <w:p w14:paraId="6789A850" w14:textId="1AC0AAE4" w:rsidR="008C2C7C" w:rsidRPr="003E0B98" w:rsidRDefault="008C2C7C" w:rsidP="004361AC">
      <w:pPr>
        <w:tabs>
          <w:tab w:val="clear" w:pos="567"/>
        </w:tabs>
        <w:spacing w:line="240" w:lineRule="auto"/>
        <w:ind w:right="113"/>
        <w:rPr>
          <w:color w:val="000000"/>
          <w:szCs w:val="22"/>
          <w:lang w:val="es-ES"/>
        </w:rPr>
      </w:pPr>
      <w:r w:rsidRPr="003E0B98">
        <w:rPr>
          <w:color w:val="000000"/>
          <w:szCs w:val="22"/>
          <w:lang w:val="es-ES"/>
        </w:rPr>
        <w:t>NN</w:t>
      </w:r>
    </w:p>
    <w:p w14:paraId="270AE1E7" w14:textId="77777777" w:rsidR="00714AA1" w:rsidRPr="003E0B98" w:rsidRDefault="00714AA1" w:rsidP="004361AC">
      <w:pPr>
        <w:tabs>
          <w:tab w:val="clear" w:pos="567"/>
          <w:tab w:val="left" w:pos="720"/>
        </w:tabs>
        <w:spacing w:line="240" w:lineRule="auto"/>
        <w:ind w:right="113"/>
        <w:rPr>
          <w:color w:val="000000"/>
          <w:szCs w:val="22"/>
          <w:lang w:val="es-ES"/>
        </w:rPr>
      </w:pPr>
      <w:r w:rsidRPr="003E0B98">
        <w:rPr>
          <w:b/>
          <w:color w:val="000000"/>
          <w:szCs w:val="22"/>
          <w:lang w:val="es-ES_tradnl"/>
        </w:rPr>
        <w:br w:type="page"/>
      </w:r>
    </w:p>
    <w:p w14:paraId="6789106A" w14:textId="77777777" w:rsidR="00F23C9B" w:rsidRPr="003E0B98" w:rsidRDefault="00F23C9B" w:rsidP="004361AC">
      <w:pPr>
        <w:tabs>
          <w:tab w:val="clear" w:pos="567"/>
        </w:tabs>
        <w:spacing w:line="240" w:lineRule="auto"/>
        <w:rPr>
          <w:color w:val="000000"/>
          <w:szCs w:val="22"/>
          <w:lang w:val="es-ES_tradnl"/>
        </w:rPr>
      </w:pPr>
    </w:p>
    <w:p w14:paraId="1047A6E0" w14:textId="77777777" w:rsidR="00714AA1" w:rsidRPr="003E0B98" w:rsidRDefault="002A5F78" w:rsidP="004361AC">
      <w:pPr>
        <w:pBdr>
          <w:top w:val="single" w:sz="4" w:space="1" w:color="auto"/>
          <w:left w:val="single" w:sz="4" w:space="4" w:color="auto"/>
          <w:bottom w:val="single" w:sz="4" w:space="1" w:color="auto"/>
          <w:right w:val="single" w:sz="4" w:space="4" w:color="auto"/>
        </w:pBdr>
        <w:tabs>
          <w:tab w:val="clear" w:pos="567"/>
          <w:tab w:val="left" w:pos="720"/>
        </w:tabs>
        <w:spacing w:line="240" w:lineRule="auto"/>
        <w:rPr>
          <w:b/>
          <w:color w:val="000000"/>
          <w:szCs w:val="22"/>
          <w:lang w:val="es-ES"/>
        </w:rPr>
      </w:pPr>
      <w:r w:rsidRPr="003E0B98">
        <w:rPr>
          <w:b/>
          <w:noProof/>
          <w:color w:val="000000"/>
          <w:lang w:val="es-ES_tradnl"/>
        </w:rPr>
        <w:t>INFORMACIÓN MÍNIMA QUE DEBE INCLUIRSE EN PEQUEÑOS ACONDICIONAMIENTOS PRIMARIOS</w:t>
      </w:r>
    </w:p>
    <w:p w14:paraId="27D99639" w14:textId="77777777" w:rsidR="00714AA1" w:rsidRPr="003E0B98" w:rsidRDefault="00714AA1" w:rsidP="004361AC">
      <w:pPr>
        <w:pBdr>
          <w:top w:val="single" w:sz="4" w:space="1" w:color="auto"/>
          <w:left w:val="single" w:sz="4" w:space="4" w:color="auto"/>
          <w:bottom w:val="single" w:sz="4" w:space="1" w:color="auto"/>
          <w:right w:val="single" w:sz="4" w:space="4" w:color="auto"/>
        </w:pBdr>
        <w:tabs>
          <w:tab w:val="clear" w:pos="567"/>
          <w:tab w:val="left" w:pos="720"/>
        </w:tabs>
        <w:spacing w:line="240" w:lineRule="auto"/>
        <w:rPr>
          <w:color w:val="000000"/>
          <w:szCs w:val="22"/>
          <w:lang w:val="es-ES"/>
        </w:rPr>
      </w:pPr>
    </w:p>
    <w:p w14:paraId="6164E10C" w14:textId="77777777" w:rsidR="00714AA1" w:rsidRPr="003E0B98" w:rsidRDefault="002A5F78" w:rsidP="004361AC">
      <w:pPr>
        <w:pBdr>
          <w:top w:val="single" w:sz="4" w:space="1" w:color="auto"/>
          <w:left w:val="single" w:sz="4" w:space="4" w:color="auto"/>
          <w:bottom w:val="single" w:sz="4" w:space="1" w:color="auto"/>
          <w:right w:val="single" w:sz="4" w:space="4" w:color="auto"/>
        </w:pBdr>
        <w:tabs>
          <w:tab w:val="clear" w:pos="567"/>
          <w:tab w:val="left" w:pos="720"/>
        </w:tabs>
        <w:spacing w:line="240" w:lineRule="auto"/>
        <w:rPr>
          <w:b/>
          <w:color w:val="000000"/>
          <w:szCs w:val="22"/>
          <w:lang w:val="es-ES"/>
        </w:rPr>
      </w:pPr>
      <w:r w:rsidRPr="003E0B98">
        <w:rPr>
          <w:b/>
          <w:color w:val="000000"/>
          <w:szCs w:val="22"/>
          <w:lang w:val="es-ES"/>
        </w:rPr>
        <w:t>LÁMINA DEL BLÍSTER</w:t>
      </w:r>
    </w:p>
    <w:p w14:paraId="761A691D" w14:textId="77777777" w:rsidR="00714AA1" w:rsidRPr="003E0B98" w:rsidRDefault="00714AA1" w:rsidP="004361AC">
      <w:pPr>
        <w:pBdr>
          <w:top w:val="single" w:sz="4" w:space="1" w:color="auto"/>
          <w:left w:val="single" w:sz="4" w:space="4" w:color="auto"/>
          <w:bottom w:val="single" w:sz="4" w:space="1" w:color="auto"/>
          <w:right w:val="single" w:sz="4" w:space="4" w:color="auto"/>
        </w:pBdr>
        <w:tabs>
          <w:tab w:val="clear" w:pos="567"/>
          <w:tab w:val="left" w:pos="720"/>
        </w:tabs>
        <w:spacing w:line="240" w:lineRule="auto"/>
        <w:rPr>
          <w:color w:val="000000"/>
          <w:szCs w:val="22"/>
          <w:lang w:val="es-ES"/>
        </w:rPr>
      </w:pPr>
    </w:p>
    <w:p w14:paraId="6E3F82FB" w14:textId="77777777" w:rsidR="00714AA1" w:rsidRPr="003E0B98" w:rsidRDefault="00C54007" w:rsidP="004361AC">
      <w:pPr>
        <w:pBdr>
          <w:top w:val="single" w:sz="4" w:space="1" w:color="auto"/>
          <w:left w:val="single" w:sz="4" w:space="4" w:color="auto"/>
          <w:bottom w:val="single" w:sz="4" w:space="1" w:color="auto"/>
          <w:right w:val="single" w:sz="4" w:space="4" w:color="auto"/>
        </w:pBdr>
        <w:tabs>
          <w:tab w:val="clear" w:pos="567"/>
          <w:tab w:val="left" w:pos="720"/>
        </w:tabs>
        <w:spacing w:line="240" w:lineRule="auto"/>
        <w:rPr>
          <w:b/>
          <w:color w:val="000000"/>
          <w:szCs w:val="22"/>
          <w:lang w:val="es-ES"/>
        </w:rPr>
      </w:pPr>
      <w:r w:rsidRPr="003E0B98">
        <w:rPr>
          <w:b/>
          <w:color w:val="000000"/>
          <w:lang w:val="es-ES_tradnl"/>
        </w:rPr>
        <w:t>JERINGA PRECARGADA</w:t>
      </w:r>
    </w:p>
    <w:p w14:paraId="1590C45B" w14:textId="77777777" w:rsidR="00714AA1" w:rsidRPr="003E0B98" w:rsidRDefault="00714AA1" w:rsidP="004361AC">
      <w:pPr>
        <w:tabs>
          <w:tab w:val="clear" w:pos="567"/>
          <w:tab w:val="left" w:pos="720"/>
        </w:tabs>
        <w:spacing w:line="240" w:lineRule="auto"/>
        <w:rPr>
          <w:color w:val="000000"/>
          <w:szCs w:val="22"/>
          <w:lang w:val="es-ES"/>
        </w:rPr>
      </w:pPr>
    </w:p>
    <w:p w14:paraId="6DC9A38F" w14:textId="77777777" w:rsidR="00714AA1" w:rsidRPr="003E0B98" w:rsidRDefault="00714AA1" w:rsidP="004361AC">
      <w:pPr>
        <w:tabs>
          <w:tab w:val="clear" w:pos="567"/>
          <w:tab w:val="left" w:pos="720"/>
        </w:tabs>
        <w:spacing w:line="240" w:lineRule="auto"/>
        <w:rPr>
          <w:color w:val="000000"/>
          <w:szCs w:val="22"/>
          <w:lang w:val="es-ES"/>
        </w:rPr>
      </w:pPr>
    </w:p>
    <w:p w14:paraId="6B94903F" w14:textId="77777777" w:rsidR="00714AA1" w:rsidRPr="003E0B98" w:rsidRDefault="00714AA1" w:rsidP="004361AC">
      <w:pPr>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es-ES"/>
        </w:rPr>
      </w:pPr>
      <w:r w:rsidRPr="003E0B98">
        <w:rPr>
          <w:b/>
          <w:color w:val="000000"/>
          <w:szCs w:val="22"/>
          <w:lang w:val="es-ES"/>
        </w:rPr>
        <w:t>1.</w:t>
      </w:r>
      <w:r w:rsidRPr="003E0B98">
        <w:rPr>
          <w:b/>
          <w:color w:val="000000"/>
          <w:szCs w:val="22"/>
          <w:lang w:val="es-ES"/>
        </w:rPr>
        <w:tab/>
      </w:r>
      <w:r w:rsidR="00C54007" w:rsidRPr="003E0B98">
        <w:rPr>
          <w:b/>
          <w:color w:val="000000"/>
          <w:szCs w:val="22"/>
          <w:lang w:val="es-ES"/>
        </w:rPr>
        <w:t>NOMBRE DEL MEDICAMENTO Y VÍA(S) DE ADMINISTRACIÓN</w:t>
      </w:r>
    </w:p>
    <w:p w14:paraId="3D6E9EEC" w14:textId="77777777" w:rsidR="00714AA1" w:rsidRPr="003E0B98" w:rsidRDefault="00714AA1" w:rsidP="004361AC">
      <w:pPr>
        <w:tabs>
          <w:tab w:val="clear" w:pos="567"/>
          <w:tab w:val="left" w:pos="720"/>
        </w:tabs>
        <w:spacing w:line="240" w:lineRule="auto"/>
        <w:ind w:left="567" w:hanging="567"/>
        <w:rPr>
          <w:color w:val="000000"/>
          <w:szCs w:val="22"/>
          <w:lang w:val="es-ES"/>
        </w:rPr>
      </w:pPr>
    </w:p>
    <w:p w14:paraId="57D39C13" w14:textId="77777777" w:rsidR="00714AA1" w:rsidRPr="003E0B98" w:rsidRDefault="00C54007" w:rsidP="004361AC">
      <w:pPr>
        <w:tabs>
          <w:tab w:val="clear" w:pos="567"/>
          <w:tab w:val="left" w:pos="720"/>
        </w:tabs>
        <w:spacing w:line="240" w:lineRule="auto"/>
        <w:rPr>
          <w:color w:val="000000"/>
          <w:szCs w:val="22"/>
          <w:lang w:val="es-ES"/>
        </w:rPr>
      </w:pPr>
      <w:proofErr w:type="spellStart"/>
      <w:r w:rsidRPr="003E0B98">
        <w:rPr>
          <w:color w:val="000000"/>
          <w:szCs w:val="22"/>
          <w:lang w:val="es-ES_tradnl"/>
        </w:rPr>
        <w:t>Lucentis</w:t>
      </w:r>
      <w:proofErr w:type="spellEnd"/>
      <w:r w:rsidRPr="003E0B98">
        <w:rPr>
          <w:color w:val="000000"/>
          <w:szCs w:val="22"/>
          <w:lang w:val="es-ES_tradnl"/>
        </w:rPr>
        <w:t xml:space="preserve"> 10 mg/ml solución inyectable en jeringa precargada</w:t>
      </w:r>
    </w:p>
    <w:p w14:paraId="6C1764A9" w14:textId="77777777" w:rsidR="00714AA1" w:rsidRPr="003E0B98" w:rsidRDefault="008C2C7C" w:rsidP="004361AC">
      <w:pPr>
        <w:tabs>
          <w:tab w:val="clear" w:pos="567"/>
          <w:tab w:val="left" w:pos="720"/>
        </w:tabs>
        <w:spacing w:line="240" w:lineRule="auto"/>
        <w:rPr>
          <w:color w:val="000000"/>
          <w:szCs w:val="22"/>
          <w:lang w:val="es-ES"/>
        </w:rPr>
      </w:pPr>
      <w:proofErr w:type="spellStart"/>
      <w:r w:rsidRPr="003E0B98">
        <w:rPr>
          <w:color w:val="000000"/>
          <w:szCs w:val="22"/>
          <w:lang w:val="es-ES"/>
        </w:rPr>
        <w:t>r</w:t>
      </w:r>
      <w:r w:rsidR="00714AA1" w:rsidRPr="003E0B98">
        <w:rPr>
          <w:color w:val="000000"/>
          <w:szCs w:val="22"/>
          <w:lang w:val="es-ES"/>
        </w:rPr>
        <w:t>anibizumab</w:t>
      </w:r>
      <w:proofErr w:type="spellEnd"/>
    </w:p>
    <w:p w14:paraId="587D867A" w14:textId="77777777" w:rsidR="00714AA1" w:rsidRPr="003E0B98" w:rsidRDefault="00C54007" w:rsidP="004361AC">
      <w:pPr>
        <w:tabs>
          <w:tab w:val="clear" w:pos="567"/>
          <w:tab w:val="left" w:pos="720"/>
        </w:tabs>
        <w:spacing w:line="240" w:lineRule="auto"/>
        <w:rPr>
          <w:color w:val="000000"/>
          <w:szCs w:val="22"/>
          <w:lang w:val="es-ES"/>
        </w:rPr>
      </w:pPr>
      <w:r w:rsidRPr="003E0B98">
        <w:rPr>
          <w:color w:val="000000"/>
          <w:szCs w:val="22"/>
          <w:lang w:val="es-ES_tradnl"/>
        </w:rPr>
        <w:t>Vía intravítrea</w:t>
      </w:r>
    </w:p>
    <w:p w14:paraId="629CE37D" w14:textId="77777777" w:rsidR="00714AA1" w:rsidRPr="003E0B98" w:rsidRDefault="00714AA1" w:rsidP="004361AC">
      <w:pPr>
        <w:tabs>
          <w:tab w:val="clear" w:pos="567"/>
          <w:tab w:val="left" w:pos="720"/>
        </w:tabs>
        <w:spacing w:line="240" w:lineRule="auto"/>
        <w:rPr>
          <w:color w:val="000000"/>
          <w:szCs w:val="22"/>
          <w:lang w:val="es-ES"/>
        </w:rPr>
      </w:pPr>
    </w:p>
    <w:p w14:paraId="37D02533" w14:textId="77777777" w:rsidR="00714AA1" w:rsidRPr="003E0B98" w:rsidRDefault="00714AA1" w:rsidP="004361AC">
      <w:pPr>
        <w:tabs>
          <w:tab w:val="clear" w:pos="567"/>
          <w:tab w:val="left" w:pos="720"/>
        </w:tabs>
        <w:spacing w:line="240" w:lineRule="auto"/>
        <w:rPr>
          <w:color w:val="000000"/>
          <w:szCs w:val="22"/>
          <w:lang w:val="es-ES"/>
        </w:rPr>
      </w:pPr>
    </w:p>
    <w:p w14:paraId="472FF9DB" w14:textId="77777777" w:rsidR="00714AA1" w:rsidRPr="003E0B98" w:rsidRDefault="00714AA1" w:rsidP="004361AC">
      <w:pPr>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es-ES"/>
        </w:rPr>
      </w:pPr>
      <w:r w:rsidRPr="003E0B98">
        <w:rPr>
          <w:b/>
          <w:color w:val="000000"/>
          <w:szCs w:val="22"/>
          <w:lang w:val="es-ES"/>
        </w:rPr>
        <w:t>2.</w:t>
      </w:r>
      <w:r w:rsidRPr="003E0B98">
        <w:rPr>
          <w:b/>
          <w:color w:val="000000"/>
          <w:szCs w:val="22"/>
          <w:lang w:val="es-ES"/>
        </w:rPr>
        <w:tab/>
      </w:r>
      <w:r w:rsidR="00C54007" w:rsidRPr="003E0B98">
        <w:rPr>
          <w:b/>
          <w:noProof/>
          <w:color w:val="000000"/>
          <w:lang w:val="es-ES_tradnl"/>
        </w:rPr>
        <w:t>NOMBRE DEL TITULAR DE LA AUTORIZACIÓN DE COMERCIALIZACIÓN</w:t>
      </w:r>
    </w:p>
    <w:p w14:paraId="169128B8" w14:textId="77777777" w:rsidR="00714AA1" w:rsidRPr="003E0B98" w:rsidRDefault="00714AA1" w:rsidP="004361AC">
      <w:pPr>
        <w:tabs>
          <w:tab w:val="clear" w:pos="567"/>
          <w:tab w:val="left" w:pos="720"/>
        </w:tabs>
        <w:spacing w:line="240" w:lineRule="auto"/>
        <w:rPr>
          <w:color w:val="000000"/>
          <w:szCs w:val="22"/>
          <w:lang w:val="es-ES"/>
        </w:rPr>
      </w:pPr>
    </w:p>
    <w:p w14:paraId="59D3CC5F" w14:textId="77777777" w:rsidR="00714AA1" w:rsidRPr="003E0B98" w:rsidRDefault="00714AA1" w:rsidP="004361AC">
      <w:pPr>
        <w:tabs>
          <w:tab w:val="clear" w:pos="567"/>
          <w:tab w:val="left" w:pos="720"/>
        </w:tabs>
        <w:spacing w:line="240" w:lineRule="auto"/>
        <w:rPr>
          <w:color w:val="000000"/>
          <w:szCs w:val="22"/>
          <w:lang w:val="es-ES"/>
        </w:rPr>
      </w:pPr>
      <w:r w:rsidRPr="003E0B98">
        <w:rPr>
          <w:color w:val="000000"/>
          <w:szCs w:val="22"/>
          <w:lang w:val="es-ES"/>
        </w:rPr>
        <w:t xml:space="preserve">Novartis </w:t>
      </w:r>
      <w:proofErr w:type="spellStart"/>
      <w:r w:rsidRPr="003E0B98">
        <w:rPr>
          <w:color w:val="000000"/>
          <w:szCs w:val="22"/>
          <w:lang w:val="es-ES"/>
        </w:rPr>
        <w:t>Europharm</w:t>
      </w:r>
      <w:proofErr w:type="spellEnd"/>
      <w:r w:rsidRPr="003E0B98">
        <w:rPr>
          <w:color w:val="000000"/>
          <w:szCs w:val="22"/>
          <w:lang w:val="es-ES"/>
        </w:rPr>
        <w:t xml:space="preserve"> </w:t>
      </w:r>
      <w:proofErr w:type="spellStart"/>
      <w:r w:rsidRPr="003E0B98">
        <w:rPr>
          <w:color w:val="000000"/>
          <w:szCs w:val="22"/>
          <w:lang w:val="es-ES"/>
        </w:rPr>
        <w:t>Limited</w:t>
      </w:r>
      <w:proofErr w:type="spellEnd"/>
    </w:p>
    <w:p w14:paraId="2D5434D3" w14:textId="77777777" w:rsidR="00714AA1" w:rsidRPr="003E0B98" w:rsidRDefault="00714AA1" w:rsidP="004361AC">
      <w:pPr>
        <w:tabs>
          <w:tab w:val="clear" w:pos="567"/>
          <w:tab w:val="left" w:pos="720"/>
        </w:tabs>
        <w:spacing w:line="240" w:lineRule="auto"/>
        <w:rPr>
          <w:color w:val="000000"/>
          <w:szCs w:val="22"/>
          <w:lang w:val="es-ES"/>
        </w:rPr>
      </w:pPr>
    </w:p>
    <w:p w14:paraId="127B541A" w14:textId="77777777" w:rsidR="00714AA1" w:rsidRPr="003E0B98" w:rsidRDefault="00714AA1" w:rsidP="004361AC">
      <w:pPr>
        <w:tabs>
          <w:tab w:val="clear" w:pos="567"/>
          <w:tab w:val="left" w:pos="720"/>
        </w:tabs>
        <w:spacing w:line="240" w:lineRule="auto"/>
        <w:rPr>
          <w:color w:val="000000"/>
          <w:szCs w:val="22"/>
          <w:lang w:val="es-ES"/>
        </w:rPr>
      </w:pPr>
    </w:p>
    <w:p w14:paraId="20562DEF" w14:textId="77777777" w:rsidR="00714AA1" w:rsidRPr="003E0B98" w:rsidRDefault="00714AA1" w:rsidP="004361AC">
      <w:pPr>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es-ES"/>
        </w:rPr>
      </w:pPr>
      <w:r w:rsidRPr="003E0B98">
        <w:rPr>
          <w:b/>
          <w:color w:val="000000"/>
          <w:szCs w:val="22"/>
          <w:lang w:val="es-ES"/>
        </w:rPr>
        <w:t>3.</w:t>
      </w:r>
      <w:r w:rsidRPr="003E0B98">
        <w:rPr>
          <w:b/>
          <w:color w:val="000000"/>
          <w:szCs w:val="22"/>
          <w:lang w:val="es-ES"/>
        </w:rPr>
        <w:tab/>
      </w:r>
      <w:r w:rsidR="00C54007" w:rsidRPr="003E0B98">
        <w:rPr>
          <w:b/>
          <w:color w:val="000000"/>
          <w:szCs w:val="22"/>
          <w:lang w:val="es-ES"/>
        </w:rPr>
        <w:t>FECHA DE CADUCIDAD</w:t>
      </w:r>
    </w:p>
    <w:p w14:paraId="252CDE0D" w14:textId="77777777" w:rsidR="00714AA1" w:rsidRPr="003E0B98" w:rsidRDefault="00714AA1" w:rsidP="004361AC">
      <w:pPr>
        <w:tabs>
          <w:tab w:val="clear" w:pos="567"/>
          <w:tab w:val="left" w:pos="720"/>
        </w:tabs>
        <w:spacing w:line="240" w:lineRule="auto"/>
        <w:rPr>
          <w:color w:val="000000"/>
          <w:szCs w:val="22"/>
          <w:lang w:val="es-ES"/>
        </w:rPr>
      </w:pPr>
    </w:p>
    <w:p w14:paraId="454F635A" w14:textId="77777777" w:rsidR="00714AA1" w:rsidRPr="003E0B98" w:rsidRDefault="00714AA1" w:rsidP="004361AC">
      <w:pPr>
        <w:tabs>
          <w:tab w:val="clear" w:pos="567"/>
          <w:tab w:val="left" w:pos="720"/>
        </w:tabs>
        <w:spacing w:line="240" w:lineRule="auto"/>
        <w:rPr>
          <w:color w:val="000000"/>
          <w:szCs w:val="22"/>
          <w:lang w:val="es-ES"/>
        </w:rPr>
      </w:pPr>
      <w:r w:rsidRPr="003E0B98">
        <w:rPr>
          <w:color w:val="000000"/>
          <w:szCs w:val="22"/>
          <w:lang w:val="es-ES"/>
        </w:rPr>
        <w:t>EXP</w:t>
      </w:r>
    </w:p>
    <w:p w14:paraId="11A34A3E" w14:textId="77777777" w:rsidR="00714AA1" w:rsidRPr="003E0B98" w:rsidRDefault="00714AA1" w:rsidP="004361AC">
      <w:pPr>
        <w:tabs>
          <w:tab w:val="clear" w:pos="567"/>
          <w:tab w:val="left" w:pos="720"/>
        </w:tabs>
        <w:spacing w:line="240" w:lineRule="auto"/>
        <w:rPr>
          <w:color w:val="000000"/>
          <w:szCs w:val="22"/>
          <w:lang w:val="es-ES"/>
        </w:rPr>
      </w:pPr>
    </w:p>
    <w:p w14:paraId="4063D822" w14:textId="77777777" w:rsidR="00714AA1" w:rsidRPr="003E0B98" w:rsidRDefault="00714AA1" w:rsidP="004361AC">
      <w:pPr>
        <w:tabs>
          <w:tab w:val="clear" w:pos="567"/>
        </w:tabs>
        <w:spacing w:line="240" w:lineRule="auto"/>
        <w:rPr>
          <w:color w:val="000000"/>
          <w:szCs w:val="22"/>
          <w:lang w:val="es-ES"/>
        </w:rPr>
      </w:pPr>
    </w:p>
    <w:p w14:paraId="51675F40" w14:textId="77777777" w:rsidR="00714AA1" w:rsidRPr="003E0B98" w:rsidRDefault="00714AA1" w:rsidP="004361AC">
      <w:pPr>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es-ES"/>
        </w:rPr>
      </w:pPr>
      <w:r w:rsidRPr="003E0B98">
        <w:rPr>
          <w:b/>
          <w:color w:val="000000"/>
          <w:szCs w:val="22"/>
          <w:lang w:val="es-ES"/>
        </w:rPr>
        <w:t>4.</w:t>
      </w:r>
      <w:r w:rsidRPr="003E0B98">
        <w:rPr>
          <w:b/>
          <w:color w:val="000000"/>
          <w:szCs w:val="22"/>
          <w:lang w:val="es-ES"/>
        </w:rPr>
        <w:tab/>
      </w:r>
      <w:r w:rsidR="00C54007" w:rsidRPr="003E0B98">
        <w:rPr>
          <w:b/>
          <w:color w:val="000000"/>
          <w:szCs w:val="22"/>
          <w:lang w:val="es-ES"/>
        </w:rPr>
        <w:t>NÚMERO DE LOTE</w:t>
      </w:r>
    </w:p>
    <w:p w14:paraId="05BDFE5C" w14:textId="77777777" w:rsidR="00714AA1" w:rsidRPr="003E0B98" w:rsidRDefault="00714AA1" w:rsidP="004361AC">
      <w:pPr>
        <w:tabs>
          <w:tab w:val="clear" w:pos="567"/>
          <w:tab w:val="left" w:pos="720"/>
        </w:tabs>
        <w:spacing w:line="240" w:lineRule="auto"/>
        <w:ind w:right="113"/>
        <w:rPr>
          <w:color w:val="000000"/>
          <w:szCs w:val="22"/>
          <w:lang w:val="es-ES"/>
        </w:rPr>
      </w:pPr>
    </w:p>
    <w:p w14:paraId="64D3B64F" w14:textId="77777777" w:rsidR="00714AA1" w:rsidRPr="003E0B98" w:rsidRDefault="00714AA1" w:rsidP="004361AC">
      <w:pPr>
        <w:tabs>
          <w:tab w:val="clear" w:pos="567"/>
          <w:tab w:val="left" w:pos="720"/>
        </w:tabs>
        <w:spacing w:line="240" w:lineRule="auto"/>
        <w:ind w:right="113"/>
        <w:rPr>
          <w:color w:val="000000"/>
          <w:szCs w:val="22"/>
          <w:lang w:val="es-ES"/>
        </w:rPr>
      </w:pPr>
      <w:r w:rsidRPr="003E0B98">
        <w:rPr>
          <w:color w:val="000000"/>
          <w:szCs w:val="22"/>
          <w:lang w:val="es-ES"/>
        </w:rPr>
        <w:t>Lot</w:t>
      </w:r>
    </w:p>
    <w:p w14:paraId="2905D8F4" w14:textId="77777777" w:rsidR="00714AA1" w:rsidRPr="003E0B98" w:rsidRDefault="00714AA1" w:rsidP="004361AC">
      <w:pPr>
        <w:tabs>
          <w:tab w:val="clear" w:pos="567"/>
          <w:tab w:val="left" w:pos="720"/>
        </w:tabs>
        <w:spacing w:line="240" w:lineRule="auto"/>
        <w:ind w:right="113"/>
        <w:rPr>
          <w:color w:val="000000"/>
          <w:szCs w:val="22"/>
          <w:lang w:val="es-ES"/>
        </w:rPr>
      </w:pPr>
    </w:p>
    <w:p w14:paraId="6060E3D4" w14:textId="77777777" w:rsidR="00714AA1" w:rsidRPr="003E0B98" w:rsidRDefault="00714AA1" w:rsidP="004361AC">
      <w:pPr>
        <w:tabs>
          <w:tab w:val="clear" w:pos="567"/>
          <w:tab w:val="left" w:pos="720"/>
        </w:tabs>
        <w:spacing w:line="240" w:lineRule="auto"/>
        <w:ind w:right="113"/>
        <w:rPr>
          <w:color w:val="000000"/>
          <w:szCs w:val="22"/>
          <w:lang w:val="es-ES"/>
        </w:rPr>
      </w:pPr>
    </w:p>
    <w:p w14:paraId="00111808" w14:textId="77777777" w:rsidR="00714AA1" w:rsidRPr="003E0B98" w:rsidRDefault="00714AA1" w:rsidP="004361AC">
      <w:pPr>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es-ES"/>
        </w:rPr>
      </w:pPr>
      <w:r w:rsidRPr="003E0B98">
        <w:rPr>
          <w:b/>
          <w:color w:val="000000"/>
          <w:szCs w:val="22"/>
          <w:lang w:val="es-ES"/>
        </w:rPr>
        <w:t>5.</w:t>
      </w:r>
      <w:r w:rsidRPr="003E0B98">
        <w:rPr>
          <w:b/>
          <w:color w:val="000000"/>
          <w:szCs w:val="22"/>
          <w:lang w:val="es-ES"/>
        </w:rPr>
        <w:tab/>
        <w:t>OT</w:t>
      </w:r>
      <w:r w:rsidR="00C54007" w:rsidRPr="003E0B98">
        <w:rPr>
          <w:b/>
          <w:color w:val="000000"/>
          <w:szCs w:val="22"/>
          <w:lang w:val="es-ES"/>
        </w:rPr>
        <w:t>ROS</w:t>
      </w:r>
    </w:p>
    <w:p w14:paraId="2AD3A07B" w14:textId="77777777" w:rsidR="00714AA1" w:rsidRPr="003E0B98" w:rsidRDefault="00714AA1" w:rsidP="004361AC">
      <w:pPr>
        <w:tabs>
          <w:tab w:val="clear" w:pos="567"/>
        </w:tabs>
        <w:spacing w:line="240" w:lineRule="auto"/>
        <w:ind w:right="113"/>
        <w:rPr>
          <w:color w:val="000000"/>
          <w:szCs w:val="22"/>
          <w:lang w:val="es-ES"/>
        </w:rPr>
      </w:pPr>
    </w:p>
    <w:p w14:paraId="13C063A8" w14:textId="77777777" w:rsidR="00714AA1" w:rsidRPr="003E0B98" w:rsidRDefault="00D120C1" w:rsidP="004361AC">
      <w:pPr>
        <w:tabs>
          <w:tab w:val="clear" w:pos="567"/>
        </w:tabs>
        <w:spacing w:line="240" w:lineRule="auto"/>
        <w:ind w:right="113"/>
        <w:rPr>
          <w:color w:val="000000"/>
          <w:szCs w:val="22"/>
          <w:lang w:val="es-ES"/>
        </w:rPr>
      </w:pPr>
      <w:r w:rsidRPr="003E0B98">
        <w:rPr>
          <w:color w:val="000000"/>
          <w:szCs w:val="22"/>
          <w:lang w:val="es-ES"/>
        </w:rPr>
        <w:t>0,</w:t>
      </w:r>
      <w:r w:rsidR="00714AA1" w:rsidRPr="003E0B98">
        <w:rPr>
          <w:color w:val="000000"/>
          <w:szCs w:val="22"/>
          <w:lang w:val="es-ES"/>
        </w:rPr>
        <w:t>165 ml</w:t>
      </w:r>
    </w:p>
    <w:p w14:paraId="56BBE465" w14:textId="77777777" w:rsidR="00E36F43" w:rsidRPr="003E0B98" w:rsidRDefault="00E36F43" w:rsidP="004361AC">
      <w:pPr>
        <w:tabs>
          <w:tab w:val="clear" w:pos="567"/>
        </w:tabs>
        <w:spacing w:line="240" w:lineRule="auto"/>
        <w:ind w:right="113"/>
        <w:rPr>
          <w:color w:val="000000"/>
          <w:szCs w:val="22"/>
          <w:lang w:val="es-ES"/>
        </w:rPr>
      </w:pPr>
      <w:r w:rsidRPr="003E0B98">
        <w:rPr>
          <w:b/>
          <w:color w:val="000000"/>
          <w:szCs w:val="22"/>
          <w:lang w:val="es-ES"/>
        </w:rPr>
        <w:br w:type="page"/>
      </w:r>
    </w:p>
    <w:p w14:paraId="0135D1A9" w14:textId="77777777" w:rsidR="00F23C9B" w:rsidRPr="003E0B98" w:rsidRDefault="00F23C9B" w:rsidP="004361AC">
      <w:pPr>
        <w:tabs>
          <w:tab w:val="clear" w:pos="567"/>
        </w:tabs>
        <w:spacing w:line="240" w:lineRule="auto"/>
        <w:rPr>
          <w:color w:val="000000"/>
          <w:szCs w:val="22"/>
          <w:lang w:val="es-ES_tradnl"/>
        </w:rPr>
      </w:pPr>
    </w:p>
    <w:p w14:paraId="08B8E124" w14:textId="77777777" w:rsidR="00E36F43" w:rsidRPr="003E0B98" w:rsidRDefault="00E36F43" w:rsidP="004361AC">
      <w:pPr>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es-ES_tradnl"/>
        </w:rPr>
      </w:pPr>
      <w:r w:rsidRPr="003E0B98">
        <w:rPr>
          <w:b/>
          <w:noProof/>
          <w:color w:val="000000"/>
          <w:lang w:val="es-ES_tradnl"/>
        </w:rPr>
        <w:t>INFORMACIÓN MÍNIMA QUE DEBE INCLUIRSE EN PEQUEÑOS ACONDICIONAMIENTOS PRIMARIOS</w:t>
      </w:r>
    </w:p>
    <w:p w14:paraId="37A1E404" w14:textId="77777777" w:rsidR="00E36F43" w:rsidRPr="003E0B98" w:rsidRDefault="00E36F43" w:rsidP="004361AC">
      <w:pPr>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es-ES_tradnl"/>
        </w:rPr>
      </w:pPr>
    </w:p>
    <w:p w14:paraId="58B54CCC" w14:textId="77777777" w:rsidR="00E36F43" w:rsidRPr="003E0B98" w:rsidRDefault="00E36F43" w:rsidP="004361AC">
      <w:pPr>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es-ES_tradnl"/>
        </w:rPr>
      </w:pPr>
      <w:r w:rsidRPr="003E0B98">
        <w:rPr>
          <w:b/>
          <w:color w:val="000000"/>
          <w:szCs w:val="22"/>
          <w:lang w:val="es-ES_tradnl"/>
        </w:rPr>
        <w:t>ETIQUETA</w:t>
      </w:r>
    </w:p>
    <w:p w14:paraId="3E502073" w14:textId="77777777" w:rsidR="00B240C3" w:rsidRPr="003E0B98" w:rsidRDefault="00B240C3" w:rsidP="004361AC">
      <w:pPr>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es-ES_tradnl"/>
        </w:rPr>
      </w:pPr>
    </w:p>
    <w:p w14:paraId="22F9BCA9" w14:textId="77777777" w:rsidR="00B240C3" w:rsidRPr="003E0B98" w:rsidRDefault="00714AA1" w:rsidP="004361AC">
      <w:pPr>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es-ES_tradnl"/>
        </w:rPr>
      </w:pPr>
      <w:r w:rsidRPr="003E0B98">
        <w:rPr>
          <w:b/>
          <w:color w:val="000000"/>
          <w:szCs w:val="22"/>
          <w:lang w:val="es-ES_tradnl"/>
        </w:rPr>
        <w:t>JERINGA PRECARGADA</w:t>
      </w:r>
    </w:p>
    <w:p w14:paraId="61C773E9" w14:textId="77777777" w:rsidR="00E36F43" w:rsidRPr="003E0B98" w:rsidRDefault="00E36F43" w:rsidP="004361AC">
      <w:pPr>
        <w:tabs>
          <w:tab w:val="clear" w:pos="567"/>
        </w:tabs>
        <w:spacing w:line="240" w:lineRule="auto"/>
        <w:rPr>
          <w:color w:val="000000"/>
          <w:szCs w:val="22"/>
          <w:lang w:val="es-ES_tradnl"/>
        </w:rPr>
      </w:pPr>
    </w:p>
    <w:p w14:paraId="3BB6ADA7" w14:textId="77777777" w:rsidR="00E36F43" w:rsidRPr="003E0B98" w:rsidRDefault="00E36F43" w:rsidP="004361AC">
      <w:pPr>
        <w:tabs>
          <w:tab w:val="clear" w:pos="567"/>
        </w:tabs>
        <w:spacing w:line="240" w:lineRule="auto"/>
        <w:rPr>
          <w:color w:val="000000"/>
          <w:szCs w:val="22"/>
          <w:lang w:val="es-ES_tradnl"/>
        </w:rPr>
      </w:pPr>
    </w:p>
    <w:p w14:paraId="6A30AABE" w14:textId="77777777" w:rsidR="00E36F43" w:rsidRPr="003E0B98" w:rsidRDefault="00E36F43" w:rsidP="004361AC">
      <w:pPr>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es-ES_tradnl"/>
        </w:rPr>
      </w:pPr>
      <w:r w:rsidRPr="003E0B98">
        <w:rPr>
          <w:b/>
          <w:color w:val="000000"/>
          <w:szCs w:val="22"/>
          <w:lang w:val="es-ES_tradnl"/>
        </w:rPr>
        <w:t>1.</w:t>
      </w:r>
      <w:r w:rsidRPr="003E0B98">
        <w:rPr>
          <w:b/>
          <w:color w:val="000000"/>
          <w:szCs w:val="22"/>
          <w:lang w:val="es-ES_tradnl"/>
        </w:rPr>
        <w:tab/>
      </w:r>
      <w:r w:rsidRPr="003E0B98">
        <w:rPr>
          <w:b/>
          <w:noProof/>
          <w:color w:val="000000"/>
          <w:lang w:val="es-ES_tradnl"/>
        </w:rPr>
        <w:t>NOMBRE DEL MEDICAMENTO Y VÍA(S) DE ADMINISTRACIÓN</w:t>
      </w:r>
    </w:p>
    <w:p w14:paraId="68133B60" w14:textId="77777777" w:rsidR="00E36F43" w:rsidRPr="003E0B98" w:rsidRDefault="00E36F43" w:rsidP="004361AC">
      <w:pPr>
        <w:tabs>
          <w:tab w:val="clear" w:pos="567"/>
        </w:tabs>
        <w:spacing w:line="240" w:lineRule="auto"/>
        <w:ind w:left="567" w:hanging="567"/>
        <w:rPr>
          <w:color w:val="000000"/>
          <w:szCs w:val="22"/>
          <w:lang w:val="es-ES_tradnl"/>
        </w:rPr>
      </w:pPr>
    </w:p>
    <w:p w14:paraId="44D9B17C" w14:textId="77777777" w:rsidR="00E36F43" w:rsidRPr="003E0B98" w:rsidRDefault="00E36F43" w:rsidP="004361AC">
      <w:pPr>
        <w:tabs>
          <w:tab w:val="clear" w:pos="567"/>
        </w:tabs>
        <w:spacing w:line="240" w:lineRule="auto"/>
        <w:rPr>
          <w:color w:val="000000"/>
          <w:szCs w:val="22"/>
          <w:lang w:val="es-ES_tradnl"/>
        </w:rPr>
      </w:pPr>
      <w:proofErr w:type="spellStart"/>
      <w:r w:rsidRPr="003E0B98">
        <w:rPr>
          <w:color w:val="000000"/>
          <w:szCs w:val="22"/>
          <w:lang w:val="es-ES_tradnl"/>
        </w:rPr>
        <w:t>Lucentis</w:t>
      </w:r>
      <w:proofErr w:type="spellEnd"/>
      <w:r w:rsidRPr="003E0B98">
        <w:rPr>
          <w:color w:val="000000"/>
          <w:szCs w:val="22"/>
          <w:lang w:val="es-ES_tradnl"/>
        </w:rPr>
        <w:t xml:space="preserve"> 10 mg/ml solución inyectable</w:t>
      </w:r>
    </w:p>
    <w:p w14:paraId="6E7AB331" w14:textId="77777777" w:rsidR="00E36F43" w:rsidRPr="003E0B98" w:rsidRDefault="008C2C7C" w:rsidP="004361AC">
      <w:pPr>
        <w:tabs>
          <w:tab w:val="clear" w:pos="567"/>
        </w:tabs>
        <w:spacing w:line="240" w:lineRule="auto"/>
        <w:rPr>
          <w:color w:val="000000"/>
          <w:szCs w:val="22"/>
          <w:lang w:val="es-ES_tradnl"/>
        </w:rPr>
      </w:pPr>
      <w:proofErr w:type="spellStart"/>
      <w:r w:rsidRPr="003E0B98">
        <w:rPr>
          <w:color w:val="000000"/>
          <w:szCs w:val="22"/>
          <w:lang w:val="es-ES_tradnl"/>
        </w:rPr>
        <w:t>r</w:t>
      </w:r>
      <w:r w:rsidR="00E36F43" w:rsidRPr="003E0B98">
        <w:rPr>
          <w:color w:val="000000"/>
          <w:szCs w:val="22"/>
          <w:lang w:val="es-ES_tradnl"/>
        </w:rPr>
        <w:t>anibizumab</w:t>
      </w:r>
      <w:proofErr w:type="spellEnd"/>
    </w:p>
    <w:p w14:paraId="74395423" w14:textId="77777777" w:rsidR="00E36F43" w:rsidRPr="003E0B98" w:rsidRDefault="00E36F43" w:rsidP="004361AC">
      <w:pPr>
        <w:tabs>
          <w:tab w:val="clear" w:pos="567"/>
        </w:tabs>
        <w:spacing w:line="240" w:lineRule="auto"/>
        <w:rPr>
          <w:color w:val="000000"/>
          <w:szCs w:val="22"/>
          <w:lang w:val="es-ES_tradnl"/>
        </w:rPr>
      </w:pPr>
      <w:r w:rsidRPr="003E0B98">
        <w:rPr>
          <w:color w:val="000000"/>
          <w:szCs w:val="22"/>
          <w:lang w:val="es-ES_tradnl"/>
        </w:rPr>
        <w:t>Vía intravítrea</w:t>
      </w:r>
    </w:p>
    <w:p w14:paraId="565DADF0" w14:textId="77777777" w:rsidR="00E36F43" w:rsidRPr="003E0B98" w:rsidRDefault="00E36F43" w:rsidP="004361AC">
      <w:pPr>
        <w:tabs>
          <w:tab w:val="clear" w:pos="567"/>
        </w:tabs>
        <w:spacing w:line="240" w:lineRule="auto"/>
        <w:rPr>
          <w:color w:val="000000"/>
          <w:szCs w:val="22"/>
          <w:lang w:val="es-ES_tradnl"/>
        </w:rPr>
      </w:pPr>
    </w:p>
    <w:p w14:paraId="62E6A754" w14:textId="77777777" w:rsidR="00E36F43" w:rsidRPr="003E0B98" w:rsidRDefault="00E36F43" w:rsidP="004361AC">
      <w:pPr>
        <w:tabs>
          <w:tab w:val="clear" w:pos="567"/>
        </w:tabs>
        <w:spacing w:line="240" w:lineRule="auto"/>
        <w:rPr>
          <w:color w:val="000000"/>
          <w:szCs w:val="22"/>
          <w:lang w:val="es-ES_tradnl"/>
        </w:rPr>
      </w:pPr>
    </w:p>
    <w:p w14:paraId="45AE24DF" w14:textId="77777777" w:rsidR="00E36F43" w:rsidRPr="003E0B98" w:rsidRDefault="00E36F43" w:rsidP="004361AC">
      <w:pPr>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es-ES_tradnl"/>
        </w:rPr>
      </w:pPr>
      <w:r w:rsidRPr="003E0B98">
        <w:rPr>
          <w:b/>
          <w:color w:val="000000"/>
          <w:szCs w:val="22"/>
          <w:lang w:val="es-ES_tradnl"/>
        </w:rPr>
        <w:t>2.</w:t>
      </w:r>
      <w:r w:rsidRPr="003E0B98">
        <w:rPr>
          <w:b/>
          <w:color w:val="000000"/>
          <w:szCs w:val="22"/>
          <w:lang w:val="es-ES_tradnl"/>
        </w:rPr>
        <w:tab/>
      </w:r>
      <w:r w:rsidRPr="003E0B98">
        <w:rPr>
          <w:b/>
          <w:noProof/>
          <w:color w:val="000000"/>
          <w:lang w:val="es-ES_tradnl"/>
        </w:rPr>
        <w:t>FORMA DE ADMINISTRACIÓN</w:t>
      </w:r>
    </w:p>
    <w:p w14:paraId="44C9534E" w14:textId="77777777" w:rsidR="00E36F43" w:rsidRPr="003E0B98" w:rsidRDefault="00E36F43" w:rsidP="004361AC">
      <w:pPr>
        <w:tabs>
          <w:tab w:val="clear" w:pos="567"/>
        </w:tabs>
        <w:spacing w:line="240" w:lineRule="auto"/>
        <w:rPr>
          <w:color w:val="000000"/>
          <w:szCs w:val="22"/>
          <w:lang w:val="es-ES_tradnl"/>
        </w:rPr>
      </w:pPr>
    </w:p>
    <w:p w14:paraId="7A8DBE6F" w14:textId="77777777" w:rsidR="00E36F43" w:rsidRPr="003E0B98" w:rsidRDefault="00E36F43" w:rsidP="004361AC">
      <w:pPr>
        <w:tabs>
          <w:tab w:val="clear" w:pos="567"/>
        </w:tabs>
        <w:spacing w:line="240" w:lineRule="auto"/>
        <w:rPr>
          <w:color w:val="000000"/>
          <w:szCs w:val="22"/>
          <w:lang w:val="es-ES_tradnl"/>
        </w:rPr>
      </w:pPr>
    </w:p>
    <w:p w14:paraId="2ACFA621" w14:textId="77777777" w:rsidR="00E36F43" w:rsidRPr="003E0B98" w:rsidRDefault="00E36F43" w:rsidP="004361AC">
      <w:pPr>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es-ES_tradnl"/>
        </w:rPr>
      </w:pPr>
      <w:r w:rsidRPr="003E0B98">
        <w:rPr>
          <w:b/>
          <w:color w:val="000000"/>
          <w:szCs w:val="22"/>
          <w:lang w:val="es-ES_tradnl"/>
        </w:rPr>
        <w:t>3.</w:t>
      </w:r>
      <w:r w:rsidRPr="003E0B98">
        <w:rPr>
          <w:b/>
          <w:color w:val="000000"/>
          <w:szCs w:val="22"/>
          <w:lang w:val="es-ES_tradnl"/>
        </w:rPr>
        <w:tab/>
      </w:r>
      <w:r w:rsidRPr="003E0B98">
        <w:rPr>
          <w:b/>
          <w:noProof/>
          <w:color w:val="000000"/>
          <w:lang w:val="es-ES_tradnl"/>
        </w:rPr>
        <w:t>FECHA DE CADUCIDAD</w:t>
      </w:r>
    </w:p>
    <w:p w14:paraId="7B2518ED" w14:textId="77777777" w:rsidR="00E36F43" w:rsidRPr="003E0B98" w:rsidRDefault="00E36F43" w:rsidP="004361AC">
      <w:pPr>
        <w:tabs>
          <w:tab w:val="clear" w:pos="567"/>
        </w:tabs>
        <w:spacing w:line="240" w:lineRule="auto"/>
        <w:rPr>
          <w:color w:val="000000"/>
          <w:szCs w:val="22"/>
          <w:lang w:val="es-ES_tradnl"/>
        </w:rPr>
      </w:pPr>
    </w:p>
    <w:p w14:paraId="593A2D3D" w14:textId="77777777" w:rsidR="00E36F43" w:rsidRPr="003E0B98" w:rsidRDefault="00E36F43" w:rsidP="004361AC">
      <w:pPr>
        <w:tabs>
          <w:tab w:val="clear" w:pos="567"/>
        </w:tabs>
        <w:spacing w:line="240" w:lineRule="auto"/>
        <w:rPr>
          <w:color w:val="000000"/>
          <w:szCs w:val="22"/>
          <w:lang w:val="es-ES_tradnl"/>
        </w:rPr>
      </w:pPr>
      <w:r w:rsidRPr="003E0B98">
        <w:rPr>
          <w:color w:val="000000"/>
          <w:szCs w:val="22"/>
          <w:lang w:val="es-ES_tradnl"/>
        </w:rPr>
        <w:t>EXP</w:t>
      </w:r>
    </w:p>
    <w:p w14:paraId="27E661CA" w14:textId="77777777" w:rsidR="00E36F43" w:rsidRPr="003E0B98" w:rsidRDefault="00E36F43" w:rsidP="004361AC">
      <w:pPr>
        <w:tabs>
          <w:tab w:val="clear" w:pos="567"/>
        </w:tabs>
        <w:spacing w:line="240" w:lineRule="auto"/>
        <w:rPr>
          <w:color w:val="000000"/>
          <w:szCs w:val="22"/>
          <w:lang w:val="es-ES_tradnl"/>
        </w:rPr>
      </w:pPr>
    </w:p>
    <w:p w14:paraId="4C425A0C" w14:textId="77777777" w:rsidR="00E36F43" w:rsidRPr="003E0B98" w:rsidRDefault="00E36F43" w:rsidP="004361AC">
      <w:pPr>
        <w:tabs>
          <w:tab w:val="clear" w:pos="567"/>
        </w:tabs>
        <w:spacing w:line="240" w:lineRule="auto"/>
        <w:rPr>
          <w:color w:val="000000"/>
          <w:szCs w:val="22"/>
          <w:lang w:val="es-ES_tradnl"/>
        </w:rPr>
      </w:pPr>
    </w:p>
    <w:p w14:paraId="28856C22" w14:textId="77777777" w:rsidR="00E36F43" w:rsidRPr="003E0B98" w:rsidRDefault="00E36F43" w:rsidP="004361AC">
      <w:pPr>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es-ES_tradnl"/>
        </w:rPr>
      </w:pPr>
      <w:r w:rsidRPr="003E0B98">
        <w:rPr>
          <w:b/>
          <w:color w:val="000000"/>
          <w:szCs w:val="22"/>
          <w:lang w:val="es-ES_tradnl"/>
        </w:rPr>
        <w:t>4.</w:t>
      </w:r>
      <w:r w:rsidRPr="003E0B98">
        <w:rPr>
          <w:b/>
          <w:color w:val="000000"/>
          <w:szCs w:val="22"/>
          <w:lang w:val="es-ES_tradnl"/>
        </w:rPr>
        <w:tab/>
      </w:r>
      <w:r w:rsidRPr="003E0B98">
        <w:rPr>
          <w:b/>
          <w:noProof/>
          <w:color w:val="000000"/>
          <w:lang w:val="es-ES_tradnl"/>
        </w:rPr>
        <w:t>NÚMERO DE LOTE</w:t>
      </w:r>
    </w:p>
    <w:p w14:paraId="21920BCD" w14:textId="77777777" w:rsidR="00E36F43" w:rsidRPr="003E0B98" w:rsidRDefault="00E36F43" w:rsidP="004361AC">
      <w:pPr>
        <w:tabs>
          <w:tab w:val="clear" w:pos="567"/>
        </w:tabs>
        <w:spacing w:line="240" w:lineRule="auto"/>
        <w:ind w:right="113"/>
        <w:rPr>
          <w:color w:val="000000"/>
          <w:szCs w:val="22"/>
          <w:lang w:val="es-ES_tradnl"/>
        </w:rPr>
      </w:pPr>
    </w:p>
    <w:p w14:paraId="7ADB7AD4" w14:textId="77777777" w:rsidR="00E36F43" w:rsidRPr="003E0B98" w:rsidRDefault="00E36F43" w:rsidP="004361AC">
      <w:pPr>
        <w:tabs>
          <w:tab w:val="clear" w:pos="567"/>
        </w:tabs>
        <w:spacing w:line="240" w:lineRule="auto"/>
        <w:ind w:right="113"/>
        <w:rPr>
          <w:color w:val="000000"/>
          <w:szCs w:val="22"/>
          <w:lang w:val="es-ES_tradnl"/>
        </w:rPr>
      </w:pPr>
      <w:r w:rsidRPr="003E0B98">
        <w:rPr>
          <w:color w:val="000000"/>
          <w:szCs w:val="22"/>
          <w:lang w:val="es-ES_tradnl"/>
        </w:rPr>
        <w:t>Lot</w:t>
      </w:r>
    </w:p>
    <w:p w14:paraId="51042288" w14:textId="77777777" w:rsidR="00E36F43" w:rsidRPr="003E0B98" w:rsidRDefault="00E36F43" w:rsidP="004361AC">
      <w:pPr>
        <w:tabs>
          <w:tab w:val="clear" w:pos="567"/>
        </w:tabs>
        <w:spacing w:line="240" w:lineRule="auto"/>
        <w:ind w:right="113"/>
        <w:rPr>
          <w:color w:val="000000"/>
          <w:szCs w:val="22"/>
          <w:lang w:val="es-ES_tradnl"/>
        </w:rPr>
      </w:pPr>
    </w:p>
    <w:p w14:paraId="26AD9DA4" w14:textId="77777777" w:rsidR="00E36F43" w:rsidRPr="003E0B98" w:rsidRDefault="00E36F43" w:rsidP="004361AC">
      <w:pPr>
        <w:tabs>
          <w:tab w:val="clear" w:pos="567"/>
        </w:tabs>
        <w:spacing w:line="240" w:lineRule="auto"/>
        <w:ind w:right="113"/>
        <w:rPr>
          <w:color w:val="000000"/>
          <w:szCs w:val="22"/>
          <w:lang w:val="es-ES_tradnl"/>
        </w:rPr>
      </w:pPr>
    </w:p>
    <w:p w14:paraId="6D855512" w14:textId="77777777" w:rsidR="00E36F43" w:rsidRPr="003E0B98" w:rsidRDefault="00E36F43" w:rsidP="004361AC">
      <w:pPr>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es-ES_tradnl"/>
        </w:rPr>
      </w:pPr>
      <w:r w:rsidRPr="003E0B98">
        <w:rPr>
          <w:b/>
          <w:color w:val="000000"/>
          <w:szCs w:val="22"/>
          <w:lang w:val="es-ES_tradnl"/>
        </w:rPr>
        <w:t>5.</w:t>
      </w:r>
      <w:r w:rsidRPr="003E0B98">
        <w:rPr>
          <w:b/>
          <w:color w:val="000000"/>
          <w:szCs w:val="22"/>
          <w:lang w:val="es-ES_tradnl"/>
        </w:rPr>
        <w:tab/>
      </w:r>
      <w:r w:rsidRPr="003E0B98">
        <w:rPr>
          <w:b/>
          <w:color w:val="000000"/>
          <w:szCs w:val="22"/>
          <w:lang w:val="es-ES"/>
        </w:rPr>
        <w:t>CONTENIDO EN PESO, EN VOLUMEN O EN UNIDADES</w:t>
      </w:r>
    </w:p>
    <w:p w14:paraId="2F1D9218" w14:textId="77777777" w:rsidR="00E36F43" w:rsidRPr="003E0B98" w:rsidRDefault="00E36F43" w:rsidP="004361AC">
      <w:pPr>
        <w:tabs>
          <w:tab w:val="clear" w:pos="567"/>
        </w:tabs>
        <w:spacing w:line="240" w:lineRule="auto"/>
        <w:ind w:right="113"/>
        <w:rPr>
          <w:color w:val="000000"/>
          <w:szCs w:val="22"/>
          <w:lang w:val="es-ES_tradnl"/>
        </w:rPr>
      </w:pPr>
    </w:p>
    <w:p w14:paraId="1C7A749E" w14:textId="77777777" w:rsidR="00E36F43" w:rsidRPr="003E0B98" w:rsidRDefault="00714AA1" w:rsidP="004361AC">
      <w:pPr>
        <w:tabs>
          <w:tab w:val="clear" w:pos="567"/>
        </w:tabs>
        <w:spacing w:line="240" w:lineRule="auto"/>
        <w:ind w:right="113"/>
        <w:rPr>
          <w:color w:val="000000"/>
          <w:szCs w:val="22"/>
          <w:lang w:val="es-ES_tradnl"/>
        </w:rPr>
      </w:pPr>
      <w:r w:rsidRPr="003E0B98">
        <w:rPr>
          <w:color w:val="000000"/>
          <w:szCs w:val="22"/>
          <w:lang w:val="es-ES_tradnl"/>
        </w:rPr>
        <w:t>0,165 ml</w:t>
      </w:r>
    </w:p>
    <w:p w14:paraId="20D89955" w14:textId="77777777" w:rsidR="00E36F43" w:rsidRPr="003E0B98" w:rsidRDefault="00E36F43" w:rsidP="004361AC">
      <w:pPr>
        <w:tabs>
          <w:tab w:val="clear" w:pos="567"/>
        </w:tabs>
        <w:spacing w:line="240" w:lineRule="auto"/>
        <w:ind w:right="113"/>
        <w:rPr>
          <w:color w:val="000000"/>
          <w:szCs w:val="22"/>
          <w:lang w:val="es-ES_tradnl"/>
        </w:rPr>
      </w:pPr>
    </w:p>
    <w:p w14:paraId="307F13BE" w14:textId="77777777" w:rsidR="00E36F43" w:rsidRPr="003E0B98" w:rsidRDefault="00E36F43" w:rsidP="004361AC">
      <w:pPr>
        <w:tabs>
          <w:tab w:val="clear" w:pos="567"/>
        </w:tabs>
        <w:spacing w:line="240" w:lineRule="auto"/>
        <w:ind w:right="113"/>
        <w:rPr>
          <w:color w:val="000000"/>
          <w:szCs w:val="22"/>
          <w:lang w:val="es-ES_tradnl"/>
        </w:rPr>
      </w:pPr>
    </w:p>
    <w:p w14:paraId="16252CE7" w14:textId="77777777" w:rsidR="00E36F43" w:rsidRPr="003E0B98" w:rsidRDefault="00E36F43" w:rsidP="004361AC">
      <w:pPr>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es-ES_tradnl"/>
        </w:rPr>
      </w:pPr>
      <w:r w:rsidRPr="003E0B98">
        <w:rPr>
          <w:b/>
          <w:color w:val="000000"/>
          <w:szCs w:val="22"/>
          <w:lang w:val="es-ES_tradnl"/>
        </w:rPr>
        <w:t>6.</w:t>
      </w:r>
      <w:r w:rsidRPr="003E0B98">
        <w:rPr>
          <w:b/>
          <w:color w:val="000000"/>
          <w:szCs w:val="22"/>
          <w:lang w:val="es-ES_tradnl"/>
        </w:rPr>
        <w:tab/>
      </w:r>
      <w:r w:rsidRPr="003E0B98">
        <w:rPr>
          <w:b/>
          <w:noProof/>
          <w:color w:val="000000"/>
          <w:lang w:val="es-ES_tradnl"/>
        </w:rPr>
        <w:t>OTROS</w:t>
      </w:r>
    </w:p>
    <w:p w14:paraId="2B385B55" w14:textId="77777777" w:rsidR="00E36F43" w:rsidRPr="003E0B98" w:rsidRDefault="00E36F43" w:rsidP="004361AC">
      <w:pPr>
        <w:tabs>
          <w:tab w:val="clear" w:pos="567"/>
        </w:tabs>
        <w:spacing w:line="240" w:lineRule="auto"/>
        <w:rPr>
          <w:color w:val="000000"/>
          <w:szCs w:val="22"/>
          <w:lang w:val="es-ES_tradnl"/>
        </w:rPr>
      </w:pPr>
    </w:p>
    <w:p w14:paraId="2C14954F" w14:textId="77777777" w:rsidR="00816612" w:rsidRPr="003E0B98" w:rsidRDefault="00E36F43" w:rsidP="004361AC">
      <w:pPr>
        <w:shd w:val="clear" w:color="auto" w:fill="FFFFFF"/>
        <w:tabs>
          <w:tab w:val="clear" w:pos="567"/>
        </w:tabs>
        <w:spacing w:line="240" w:lineRule="auto"/>
        <w:rPr>
          <w:color w:val="000000"/>
          <w:szCs w:val="22"/>
          <w:lang w:val="es-ES_tradnl"/>
        </w:rPr>
      </w:pPr>
      <w:r w:rsidRPr="003E0B98">
        <w:rPr>
          <w:b/>
          <w:color w:val="000000"/>
          <w:szCs w:val="22"/>
          <w:u w:val="single"/>
          <w:lang w:val="es-ES_tradnl"/>
        </w:rPr>
        <w:br w:type="page"/>
      </w:r>
    </w:p>
    <w:p w14:paraId="2CB0D1D7" w14:textId="77777777" w:rsidR="00F23C9B" w:rsidRPr="003E0B98" w:rsidRDefault="00F23C9B" w:rsidP="004361AC">
      <w:pPr>
        <w:tabs>
          <w:tab w:val="clear" w:pos="567"/>
        </w:tabs>
        <w:spacing w:line="240" w:lineRule="auto"/>
        <w:rPr>
          <w:color w:val="000000"/>
          <w:szCs w:val="22"/>
          <w:lang w:val="es-ES_tradnl"/>
        </w:rPr>
      </w:pPr>
    </w:p>
    <w:p w14:paraId="166EEC4A" w14:textId="77777777" w:rsidR="00816612" w:rsidRPr="003E0B98" w:rsidRDefault="00816612" w:rsidP="004361AC">
      <w:pPr>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es-ES_tradnl"/>
        </w:rPr>
      </w:pPr>
      <w:r w:rsidRPr="003E0B98">
        <w:rPr>
          <w:b/>
          <w:color w:val="000000"/>
          <w:szCs w:val="22"/>
          <w:lang w:val="es-ES"/>
        </w:rPr>
        <w:t>INFORMACIÓN QUE DEBE FIGURAR EN EL EMBALAJE EXTERIOR</w:t>
      </w:r>
    </w:p>
    <w:p w14:paraId="386B9BCA" w14:textId="77777777" w:rsidR="00816612" w:rsidRPr="003E0B98" w:rsidRDefault="00816612" w:rsidP="004361A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color w:val="000000"/>
          <w:szCs w:val="22"/>
          <w:lang w:val="es-ES_tradnl"/>
        </w:rPr>
      </w:pPr>
    </w:p>
    <w:p w14:paraId="1344641C" w14:textId="77777777" w:rsidR="00816612" w:rsidRPr="003E0B98" w:rsidRDefault="00816612" w:rsidP="004361AC">
      <w:pPr>
        <w:pBdr>
          <w:top w:val="single" w:sz="4" w:space="1" w:color="auto"/>
          <w:left w:val="single" w:sz="4" w:space="4" w:color="auto"/>
          <w:bottom w:val="single" w:sz="4" w:space="1" w:color="auto"/>
          <w:right w:val="single" w:sz="4" w:space="4" w:color="auto"/>
        </w:pBdr>
        <w:tabs>
          <w:tab w:val="clear" w:pos="567"/>
        </w:tabs>
        <w:spacing w:line="240" w:lineRule="auto"/>
        <w:rPr>
          <w:b/>
          <w:color w:val="000000"/>
          <w:lang w:val="es-ES_tradnl"/>
        </w:rPr>
      </w:pPr>
      <w:r w:rsidRPr="003E0B98">
        <w:rPr>
          <w:b/>
          <w:color w:val="000000"/>
          <w:lang w:val="es-ES_tradnl"/>
        </w:rPr>
        <w:t>CAJA</w:t>
      </w:r>
    </w:p>
    <w:p w14:paraId="41C143D7" w14:textId="77777777" w:rsidR="00816612" w:rsidRPr="003E0B98" w:rsidRDefault="00816612" w:rsidP="004361AC">
      <w:pPr>
        <w:pBdr>
          <w:top w:val="single" w:sz="4" w:space="1" w:color="auto"/>
          <w:left w:val="single" w:sz="4" w:space="4" w:color="auto"/>
          <w:bottom w:val="single" w:sz="4" w:space="1" w:color="auto"/>
          <w:right w:val="single" w:sz="4" w:space="4" w:color="auto"/>
        </w:pBdr>
        <w:tabs>
          <w:tab w:val="clear" w:pos="567"/>
        </w:tabs>
        <w:spacing w:line="240" w:lineRule="auto"/>
        <w:rPr>
          <w:color w:val="000000"/>
          <w:lang w:val="es-ES_tradnl"/>
        </w:rPr>
      </w:pPr>
    </w:p>
    <w:p w14:paraId="2E545564" w14:textId="77777777" w:rsidR="00816612" w:rsidRPr="003E0B98" w:rsidRDefault="00816612" w:rsidP="004361AC">
      <w:pPr>
        <w:pBdr>
          <w:top w:val="single" w:sz="4" w:space="1" w:color="auto"/>
          <w:left w:val="single" w:sz="4" w:space="4" w:color="auto"/>
          <w:bottom w:val="single" w:sz="4" w:space="1" w:color="auto"/>
          <w:right w:val="single" w:sz="4" w:space="4" w:color="auto"/>
        </w:pBdr>
        <w:tabs>
          <w:tab w:val="clear" w:pos="567"/>
        </w:tabs>
        <w:spacing w:line="240" w:lineRule="auto"/>
        <w:rPr>
          <w:bCs/>
          <w:color w:val="000000"/>
          <w:szCs w:val="22"/>
          <w:lang w:val="es-ES_tradnl"/>
        </w:rPr>
      </w:pPr>
      <w:r w:rsidRPr="003E0B98">
        <w:rPr>
          <w:b/>
          <w:color w:val="000000"/>
          <w:szCs w:val="22"/>
          <w:lang w:val="es-ES"/>
        </w:rPr>
        <w:t>VIAL + AGUJA CON FILTRO</w:t>
      </w:r>
    </w:p>
    <w:p w14:paraId="745C9F56" w14:textId="77777777" w:rsidR="00816612" w:rsidRPr="003E0B98" w:rsidRDefault="00816612" w:rsidP="004361AC">
      <w:pPr>
        <w:tabs>
          <w:tab w:val="clear" w:pos="567"/>
        </w:tabs>
        <w:spacing w:line="240" w:lineRule="auto"/>
        <w:rPr>
          <w:color w:val="000000"/>
          <w:szCs w:val="22"/>
          <w:lang w:val="es-ES_tradnl"/>
        </w:rPr>
      </w:pPr>
    </w:p>
    <w:p w14:paraId="2059A76C" w14:textId="77777777" w:rsidR="00816612" w:rsidRPr="003E0B98" w:rsidRDefault="00816612" w:rsidP="004361AC">
      <w:pPr>
        <w:tabs>
          <w:tab w:val="clear" w:pos="567"/>
        </w:tabs>
        <w:spacing w:line="240" w:lineRule="auto"/>
        <w:rPr>
          <w:color w:val="000000"/>
          <w:szCs w:val="22"/>
          <w:lang w:val="es-ES_tradnl"/>
        </w:rPr>
      </w:pPr>
    </w:p>
    <w:p w14:paraId="2A789368" w14:textId="77777777" w:rsidR="00816612" w:rsidRPr="003E0B98" w:rsidRDefault="00816612" w:rsidP="004361A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es-ES_tradnl"/>
        </w:rPr>
      </w:pPr>
      <w:r w:rsidRPr="003E0B98">
        <w:rPr>
          <w:b/>
          <w:color w:val="000000"/>
          <w:szCs w:val="22"/>
          <w:lang w:val="es-ES_tradnl"/>
        </w:rPr>
        <w:t>1.</w:t>
      </w:r>
      <w:r w:rsidRPr="003E0B98">
        <w:rPr>
          <w:b/>
          <w:color w:val="000000"/>
          <w:szCs w:val="22"/>
          <w:lang w:val="es-ES_tradnl"/>
        </w:rPr>
        <w:tab/>
      </w:r>
      <w:r w:rsidRPr="003E0B98">
        <w:rPr>
          <w:b/>
          <w:color w:val="000000"/>
          <w:szCs w:val="22"/>
          <w:lang w:val="es-ES"/>
        </w:rPr>
        <w:t>NOMBRE DEL MEDICAMENTO</w:t>
      </w:r>
    </w:p>
    <w:p w14:paraId="6EBBC6F5" w14:textId="77777777" w:rsidR="00816612" w:rsidRPr="003E0B98" w:rsidRDefault="00816612" w:rsidP="004361AC">
      <w:pPr>
        <w:tabs>
          <w:tab w:val="clear" w:pos="567"/>
        </w:tabs>
        <w:spacing w:line="240" w:lineRule="auto"/>
        <w:rPr>
          <w:color w:val="000000"/>
          <w:szCs w:val="22"/>
          <w:lang w:val="es-ES_tradnl"/>
        </w:rPr>
      </w:pPr>
    </w:p>
    <w:p w14:paraId="34CC9E77" w14:textId="77777777" w:rsidR="00816612" w:rsidRPr="003E0B98" w:rsidRDefault="00816612" w:rsidP="004361AC">
      <w:pPr>
        <w:tabs>
          <w:tab w:val="clear" w:pos="567"/>
        </w:tabs>
        <w:spacing w:line="240" w:lineRule="auto"/>
        <w:rPr>
          <w:color w:val="000000"/>
          <w:szCs w:val="22"/>
          <w:lang w:val="es-ES_tradnl"/>
        </w:rPr>
      </w:pPr>
      <w:proofErr w:type="spellStart"/>
      <w:r w:rsidRPr="003E0B98">
        <w:rPr>
          <w:color w:val="000000"/>
          <w:szCs w:val="22"/>
          <w:lang w:val="es-ES_tradnl"/>
        </w:rPr>
        <w:t>Lucentis</w:t>
      </w:r>
      <w:proofErr w:type="spellEnd"/>
      <w:r w:rsidRPr="003E0B98">
        <w:rPr>
          <w:color w:val="000000"/>
          <w:szCs w:val="22"/>
          <w:lang w:val="es-ES_tradnl"/>
        </w:rPr>
        <w:t xml:space="preserve"> 10 mg/ml solución inyectable</w:t>
      </w:r>
    </w:p>
    <w:p w14:paraId="28E7FFA4" w14:textId="77777777" w:rsidR="00816612" w:rsidRPr="003E0B98" w:rsidRDefault="00316573" w:rsidP="004361AC">
      <w:pPr>
        <w:tabs>
          <w:tab w:val="clear" w:pos="567"/>
        </w:tabs>
        <w:spacing w:line="240" w:lineRule="auto"/>
        <w:rPr>
          <w:color w:val="000000"/>
          <w:szCs w:val="22"/>
          <w:lang w:val="es-ES_tradnl"/>
        </w:rPr>
      </w:pPr>
      <w:proofErr w:type="spellStart"/>
      <w:r w:rsidRPr="003E0B98">
        <w:rPr>
          <w:color w:val="000000"/>
          <w:szCs w:val="22"/>
          <w:lang w:val="es-ES_tradnl"/>
        </w:rPr>
        <w:t>r</w:t>
      </w:r>
      <w:r w:rsidR="00816612" w:rsidRPr="003E0B98">
        <w:rPr>
          <w:color w:val="000000"/>
          <w:szCs w:val="22"/>
          <w:lang w:val="es-ES_tradnl"/>
        </w:rPr>
        <w:t>anibizumab</w:t>
      </w:r>
      <w:proofErr w:type="spellEnd"/>
    </w:p>
    <w:p w14:paraId="67470A32" w14:textId="77777777" w:rsidR="00816612" w:rsidRPr="003E0B98" w:rsidRDefault="00816612" w:rsidP="004361AC">
      <w:pPr>
        <w:tabs>
          <w:tab w:val="clear" w:pos="567"/>
        </w:tabs>
        <w:spacing w:line="240" w:lineRule="auto"/>
        <w:rPr>
          <w:color w:val="000000"/>
          <w:szCs w:val="22"/>
          <w:lang w:val="es-ES_tradnl"/>
        </w:rPr>
      </w:pPr>
    </w:p>
    <w:p w14:paraId="2B5F1547" w14:textId="77777777" w:rsidR="00816612" w:rsidRPr="003E0B98" w:rsidRDefault="00816612" w:rsidP="004361AC">
      <w:pPr>
        <w:tabs>
          <w:tab w:val="clear" w:pos="567"/>
        </w:tabs>
        <w:rPr>
          <w:color w:val="000000"/>
          <w:szCs w:val="22"/>
          <w:lang w:val="es-ES_tradnl"/>
        </w:rPr>
      </w:pPr>
    </w:p>
    <w:p w14:paraId="79C01AF5" w14:textId="77777777" w:rsidR="00816612" w:rsidRPr="003E0B98" w:rsidRDefault="00816612" w:rsidP="004361A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olor w:val="000000"/>
          <w:szCs w:val="22"/>
          <w:lang w:val="es-ES_tradnl"/>
        </w:rPr>
      </w:pPr>
      <w:r w:rsidRPr="003E0B98">
        <w:rPr>
          <w:b/>
          <w:color w:val="000000"/>
          <w:szCs w:val="22"/>
          <w:lang w:val="es-ES_tradnl"/>
        </w:rPr>
        <w:t>2.</w:t>
      </w:r>
      <w:r w:rsidRPr="003E0B98">
        <w:rPr>
          <w:b/>
          <w:color w:val="000000"/>
          <w:szCs w:val="22"/>
          <w:lang w:val="es-ES_tradnl"/>
        </w:rPr>
        <w:tab/>
      </w:r>
      <w:r w:rsidRPr="003E0B98">
        <w:rPr>
          <w:b/>
          <w:color w:val="000000"/>
          <w:szCs w:val="22"/>
          <w:lang w:val="es-ES"/>
        </w:rPr>
        <w:t>PRINCIPIO(S) ACTIVO(S)</w:t>
      </w:r>
    </w:p>
    <w:p w14:paraId="59D724DC" w14:textId="77777777" w:rsidR="00816612" w:rsidRPr="003E0B98" w:rsidRDefault="00816612" w:rsidP="004361AC">
      <w:pPr>
        <w:tabs>
          <w:tab w:val="clear" w:pos="567"/>
        </w:tabs>
        <w:spacing w:line="240" w:lineRule="auto"/>
        <w:rPr>
          <w:color w:val="000000"/>
          <w:szCs w:val="22"/>
          <w:lang w:val="es-ES_tradnl"/>
        </w:rPr>
      </w:pPr>
    </w:p>
    <w:p w14:paraId="2DADEF81" w14:textId="77777777" w:rsidR="00816612" w:rsidRPr="003E0B98" w:rsidRDefault="00816612" w:rsidP="004361AC">
      <w:pPr>
        <w:tabs>
          <w:tab w:val="clear" w:pos="567"/>
        </w:tabs>
        <w:spacing w:line="240" w:lineRule="auto"/>
        <w:rPr>
          <w:color w:val="000000"/>
          <w:szCs w:val="22"/>
          <w:lang w:val="es-ES_tradnl"/>
        </w:rPr>
      </w:pPr>
      <w:r w:rsidRPr="003E0B98">
        <w:rPr>
          <w:color w:val="000000"/>
          <w:szCs w:val="22"/>
          <w:lang w:val="es-ES_tradnl"/>
        </w:rPr>
        <w:t xml:space="preserve">Un ml contiene 10 mg de </w:t>
      </w:r>
      <w:proofErr w:type="spellStart"/>
      <w:r w:rsidRPr="003E0B98">
        <w:rPr>
          <w:color w:val="000000"/>
          <w:szCs w:val="22"/>
          <w:lang w:val="es-ES_tradnl"/>
        </w:rPr>
        <w:t>ranibizumab</w:t>
      </w:r>
      <w:proofErr w:type="spellEnd"/>
      <w:r w:rsidRPr="003E0B98">
        <w:rPr>
          <w:color w:val="000000"/>
          <w:szCs w:val="22"/>
          <w:lang w:val="es-ES_tradnl"/>
        </w:rPr>
        <w:t xml:space="preserve">. El vial contiene 2,3 mg de </w:t>
      </w:r>
      <w:proofErr w:type="spellStart"/>
      <w:r w:rsidRPr="003E0B98">
        <w:rPr>
          <w:color w:val="000000"/>
          <w:szCs w:val="22"/>
          <w:lang w:val="es-ES_tradnl"/>
        </w:rPr>
        <w:t>ranibizumab</w:t>
      </w:r>
      <w:proofErr w:type="spellEnd"/>
      <w:r w:rsidRPr="003E0B98">
        <w:rPr>
          <w:color w:val="000000"/>
          <w:szCs w:val="22"/>
          <w:lang w:val="es-ES_tradnl"/>
        </w:rPr>
        <w:t>.</w:t>
      </w:r>
    </w:p>
    <w:p w14:paraId="04C9EAB4" w14:textId="77777777" w:rsidR="00816612" w:rsidRPr="003E0B98" w:rsidRDefault="00816612" w:rsidP="004361AC">
      <w:pPr>
        <w:tabs>
          <w:tab w:val="clear" w:pos="567"/>
        </w:tabs>
        <w:spacing w:line="240" w:lineRule="auto"/>
        <w:rPr>
          <w:color w:val="000000"/>
          <w:szCs w:val="22"/>
          <w:lang w:val="es-ES_tradnl"/>
        </w:rPr>
      </w:pPr>
    </w:p>
    <w:p w14:paraId="513DAFC4" w14:textId="77777777" w:rsidR="00816612" w:rsidRPr="003E0B98" w:rsidRDefault="00816612" w:rsidP="004361AC">
      <w:pPr>
        <w:tabs>
          <w:tab w:val="clear" w:pos="567"/>
        </w:tabs>
        <w:spacing w:line="240" w:lineRule="auto"/>
        <w:rPr>
          <w:color w:val="000000"/>
          <w:szCs w:val="22"/>
          <w:lang w:val="es-ES_tradnl"/>
        </w:rPr>
      </w:pPr>
    </w:p>
    <w:p w14:paraId="468CCAC5" w14:textId="77777777" w:rsidR="00816612" w:rsidRPr="003E0B98" w:rsidRDefault="00816612" w:rsidP="004361A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es-ES_tradnl"/>
        </w:rPr>
      </w:pPr>
      <w:r w:rsidRPr="003E0B98">
        <w:rPr>
          <w:b/>
          <w:color w:val="000000"/>
          <w:szCs w:val="22"/>
          <w:lang w:val="es-ES_tradnl"/>
        </w:rPr>
        <w:t>3.</w:t>
      </w:r>
      <w:r w:rsidRPr="003E0B98">
        <w:rPr>
          <w:b/>
          <w:color w:val="000000"/>
          <w:szCs w:val="22"/>
          <w:lang w:val="es-ES_tradnl"/>
        </w:rPr>
        <w:tab/>
      </w:r>
      <w:r w:rsidRPr="003E0B98">
        <w:rPr>
          <w:b/>
          <w:noProof/>
          <w:color w:val="000000"/>
          <w:lang w:val="es-ES_tradnl"/>
        </w:rPr>
        <w:t>LISTA DE EXCIPIENTES</w:t>
      </w:r>
    </w:p>
    <w:p w14:paraId="224BB5DE" w14:textId="77777777" w:rsidR="00816612" w:rsidRPr="003E0B98" w:rsidRDefault="00816612" w:rsidP="004361AC">
      <w:pPr>
        <w:tabs>
          <w:tab w:val="clear" w:pos="567"/>
        </w:tabs>
        <w:spacing w:line="240" w:lineRule="auto"/>
        <w:rPr>
          <w:color w:val="000000"/>
          <w:szCs w:val="22"/>
          <w:lang w:val="es-ES_tradnl"/>
        </w:rPr>
      </w:pPr>
    </w:p>
    <w:p w14:paraId="4D8CD85E" w14:textId="77777777" w:rsidR="00816612" w:rsidRPr="003E0B98" w:rsidRDefault="00816612" w:rsidP="004361AC">
      <w:pPr>
        <w:tabs>
          <w:tab w:val="clear" w:pos="567"/>
        </w:tabs>
        <w:spacing w:line="240" w:lineRule="auto"/>
        <w:rPr>
          <w:color w:val="000000"/>
          <w:szCs w:val="22"/>
          <w:lang w:val="es-ES_tradnl"/>
        </w:rPr>
      </w:pPr>
      <w:r w:rsidRPr="003E0B98">
        <w:rPr>
          <w:color w:val="000000"/>
          <w:szCs w:val="22"/>
          <w:lang w:val="es-ES_tradnl"/>
        </w:rPr>
        <w:t xml:space="preserve">También contiene: </w:t>
      </w:r>
      <w:proofErr w:type="gramStart"/>
      <w:r w:rsidRPr="003E0B98">
        <w:rPr>
          <w:iCs/>
          <w:color w:val="000000"/>
          <w:szCs w:val="22"/>
        </w:rPr>
        <w:t>α</w:t>
      </w:r>
      <w:r w:rsidRPr="003E0B98">
        <w:rPr>
          <w:iCs/>
          <w:color w:val="000000"/>
          <w:szCs w:val="22"/>
          <w:lang w:val="es-ES_tradnl"/>
        </w:rPr>
        <w:t>,</w:t>
      </w:r>
      <w:r w:rsidRPr="003E0B98">
        <w:rPr>
          <w:iCs/>
          <w:color w:val="000000"/>
          <w:szCs w:val="22"/>
        </w:rPr>
        <w:t>α</w:t>
      </w:r>
      <w:proofErr w:type="gramEnd"/>
      <w:r w:rsidRPr="003E0B98">
        <w:rPr>
          <w:iCs/>
          <w:color w:val="000000"/>
          <w:szCs w:val="22"/>
          <w:lang w:val="es-ES_tradnl"/>
        </w:rPr>
        <w:t>-</w:t>
      </w:r>
      <w:proofErr w:type="spellStart"/>
      <w:r w:rsidRPr="003E0B98">
        <w:rPr>
          <w:iCs/>
          <w:color w:val="000000"/>
          <w:szCs w:val="22"/>
          <w:lang w:val="es-ES_tradnl"/>
        </w:rPr>
        <w:t>trehalosa</w:t>
      </w:r>
      <w:proofErr w:type="spellEnd"/>
      <w:r w:rsidRPr="003E0B98">
        <w:rPr>
          <w:iCs/>
          <w:color w:val="000000"/>
          <w:szCs w:val="22"/>
          <w:lang w:val="es-ES_tradnl"/>
        </w:rPr>
        <w:t xml:space="preserve"> </w:t>
      </w:r>
      <w:proofErr w:type="spellStart"/>
      <w:r w:rsidRPr="003E0B98">
        <w:rPr>
          <w:iCs/>
          <w:color w:val="000000"/>
          <w:szCs w:val="22"/>
          <w:lang w:val="es-ES_tradnl"/>
        </w:rPr>
        <w:t>dihidrato</w:t>
      </w:r>
      <w:proofErr w:type="spellEnd"/>
      <w:r w:rsidRPr="003E0B98">
        <w:rPr>
          <w:iCs/>
          <w:color w:val="000000"/>
          <w:szCs w:val="22"/>
          <w:lang w:val="es-ES_tradnl"/>
        </w:rPr>
        <w:t xml:space="preserve">; hidrocloruro de histidina </w:t>
      </w:r>
      <w:proofErr w:type="spellStart"/>
      <w:r w:rsidRPr="003E0B98">
        <w:rPr>
          <w:iCs/>
          <w:color w:val="000000"/>
          <w:szCs w:val="22"/>
          <w:lang w:val="es-ES_tradnl"/>
        </w:rPr>
        <w:t>monohidrato</w:t>
      </w:r>
      <w:proofErr w:type="spellEnd"/>
      <w:r w:rsidRPr="003E0B98">
        <w:rPr>
          <w:iCs/>
          <w:color w:val="000000"/>
          <w:szCs w:val="22"/>
          <w:lang w:val="es-ES_tradnl"/>
        </w:rPr>
        <w:t>; histidina; polisorbato 20; agua para inyectables</w:t>
      </w:r>
      <w:r w:rsidRPr="003E0B98">
        <w:rPr>
          <w:color w:val="000000"/>
          <w:szCs w:val="22"/>
          <w:lang w:val="es-ES_tradnl"/>
        </w:rPr>
        <w:t>.</w:t>
      </w:r>
    </w:p>
    <w:p w14:paraId="2F557C5F" w14:textId="77777777" w:rsidR="00816612" w:rsidRPr="003E0B98" w:rsidRDefault="00816612" w:rsidP="004361AC">
      <w:pPr>
        <w:tabs>
          <w:tab w:val="clear" w:pos="567"/>
        </w:tabs>
        <w:spacing w:line="240" w:lineRule="auto"/>
        <w:rPr>
          <w:color w:val="000000"/>
          <w:szCs w:val="22"/>
          <w:lang w:val="es-ES_tradnl"/>
        </w:rPr>
      </w:pPr>
    </w:p>
    <w:p w14:paraId="7D910367" w14:textId="77777777" w:rsidR="00816612" w:rsidRPr="003E0B98" w:rsidRDefault="00816612" w:rsidP="004361AC">
      <w:pPr>
        <w:tabs>
          <w:tab w:val="clear" w:pos="567"/>
        </w:tabs>
        <w:spacing w:line="240" w:lineRule="auto"/>
        <w:rPr>
          <w:color w:val="000000"/>
          <w:szCs w:val="22"/>
          <w:lang w:val="es-ES_tradnl"/>
        </w:rPr>
      </w:pPr>
    </w:p>
    <w:p w14:paraId="3F3C7DC7" w14:textId="77777777" w:rsidR="00816612" w:rsidRPr="003E0B98" w:rsidRDefault="00816612" w:rsidP="004361A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es-ES_tradnl"/>
        </w:rPr>
      </w:pPr>
      <w:r w:rsidRPr="003E0B98">
        <w:rPr>
          <w:b/>
          <w:color w:val="000000"/>
          <w:szCs w:val="22"/>
          <w:lang w:val="es-ES_tradnl"/>
        </w:rPr>
        <w:t>4.</w:t>
      </w:r>
      <w:r w:rsidRPr="003E0B98">
        <w:rPr>
          <w:b/>
          <w:color w:val="000000"/>
          <w:szCs w:val="22"/>
          <w:lang w:val="es-ES_tradnl"/>
        </w:rPr>
        <w:tab/>
      </w:r>
      <w:r w:rsidRPr="003E0B98">
        <w:rPr>
          <w:b/>
          <w:noProof/>
          <w:color w:val="000000"/>
          <w:lang w:val="es-ES_tradnl"/>
        </w:rPr>
        <w:t>FORMA FARMACÉUTICA Y CONTENIDO DEL ENVASE</w:t>
      </w:r>
    </w:p>
    <w:p w14:paraId="0EB222C6" w14:textId="77777777" w:rsidR="00816612" w:rsidRPr="003E0B98" w:rsidRDefault="00816612" w:rsidP="004361AC">
      <w:pPr>
        <w:tabs>
          <w:tab w:val="clear" w:pos="567"/>
        </w:tabs>
        <w:spacing w:line="240" w:lineRule="auto"/>
        <w:rPr>
          <w:color w:val="000000"/>
          <w:szCs w:val="22"/>
          <w:lang w:val="es-ES_tradnl"/>
        </w:rPr>
      </w:pPr>
    </w:p>
    <w:p w14:paraId="62ECB37C" w14:textId="77777777" w:rsidR="00C403A5" w:rsidRPr="003E0B98" w:rsidRDefault="00C403A5" w:rsidP="004361AC">
      <w:pPr>
        <w:tabs>
          <w:tab w:val="clear" w:pos="567"/>
        </w:tabs>
        <w:spacing w:line="240" w:lineRule="auto"/>
        <w:rPr>
          <w:color w:val="000000"/>
          <w:szCs w:val="22"/>
          <w:lang w:val="es-ES_tradnl"/>
        </w:rPr>
      </w:pPr>
      <w:r w:rsidRPr="003E0B98">
        <w:rPr>
          <w:shd w:val="pct15" w:color="auto" w:fill="auto"/>
          <w:lang w:val="es-ES"/>
        </w:rPr>
        <w:t>Solución inyectable</w:t>
      </w:r>
    </w:p>
    <w:p w14:paraId="2DAE86AC" w14:textId="77777777" w:rsidR="00C403A5" w:rsidRPr="003E0B98" w:rsidRDefault="00C403A5" w:rsidP="004361AC">
      <w:pPr>
        <w:tabs>
          <w:tab w:val="clear" w:pos="567"/>
        </w:tabs>
        <w:spacing w:line="240" w:lineRule="auto"/>
        <w:rPr>
          <w:color w:val="000000"/>
          <w:szCs w:val="22"/>
          <w:lang w:val="es-ES_tradnl"/>
        </w:rPr>
      </w:pPr>
    </w:p>
    <w:p w14:paraId="1B713A2C" w14:textId="77777777" w:rsidR="00287A49" w:rsidRPr="003E0B98" w:rsidRDefault="00816612" w:rsidP="004361AC">
      <w:pPr>
        <w:tabs>
          <w:tab w:val="clear" w:pos="567"/>
        </w:tabs>
        <w:spacing w:line="240" w:lineRule="auto"/>
        <w:rPr>
          <w:color w:val="000000"/>
          <w:lang w:val="es-ES_tradnl"/>
        </w:rPr>
      </w:pPr>
      <w:r w:rsidRPr="003E0B98">
        <w:rPr>
          <w:color w:val="000000"/>
          <w:szCs w:val="22"/>
          <w:lang w:val="es-ES_tradnl"/>
        </w:rPr>
        <w:t>1</w:t>
      </w:r>
      <w:r w:rsidR="00C403A5" w:rsidRPr="003E0B98">
        <w:rPr>
          <w:color w:val="000000"/>
          <w:szCs w:val="22"/>
          <w:lang w:val="es-ES"/>
        </w:rPr>
        <w:t>x</w:t>
      </w:r>
      <w:r w:rsidRPr="003E0B98">
        <w:rPr>
          <w:color w:val="000000"/>
          <w:szCs w:val="22"/>
          <w:lang w:val="es-ES_tradnl"/>
        </w:rPr>
        <w:t> vial con 0,23 ml</w:t>
      </w:r>
      <w:r w:rsidR="00C403A5" w:rsidRPr="003E0B98">
        <w:rPr>
          <w:color w:val="000000"/>
          <w:szCs w:val="22"/>
          <w:lang w:val="es-ES_tradnl"/>
        </w:rPr>
        <w:t>,</w:t>
      </w:r>
      <w:r w:rsidRPr="003E0B98">
        <w:rPr>
          <w:color w:val="000000"/>
          <w:lang w:val="es-ES_tradnl"/>
        </w:rPr>
        <w:t xml:space="preserve"> 1 aguja con filtro.</w:t>
      </w:r>
    </w:p>
    <w:p w14:paraId="61D15A9C" w14:textId="77777777" w:rsidR="00816612" w:rsidRPr="003E0B98" w:rsidRDefault="00426506" w:rsidP="004361AC">
      <w:pPr>
        <w:tabs>
          <w:tab w:val="clear" w:pos="567"/>
        </w:tabs>
        <w:spacing w:line="240" w:lineRule="auto"/>
        <w:rPr>
          <w:color w:val="000000"/>
          <w:szCs w:val="22"/>
          <w:lang w:val="es-ES_tradnl"/>
        </w:rPr>
      </w:pPr>
      <w:r w:rsidRPr="003E0B98">
        <w:rPr>
          <w:color w:val="000000"/>
          <w:szCs w:val="22"/>
          <w:lang w:val="es-ES"/>
        </w:rPr>
        <w:t>Dosis única</w:t>
      </w:r>
      <w:r w:rsidR="00287A49" w:rsidRPr="003E0B98">
        <w:rPr>
          <w:color w:val="000000"/>
          <w:szCs w:val="22"/>
          <w:lang w:val="es-ES"/>
        </w:rPr>
        <w:t xml:space="preserve"> para adultos</w:t>
      </w:r>
      <w:r w:rsidRPr="003E0B98">
        <w:rPr>
          <w:color w:val="000000"/>
          <w:szCs w:val="22"/>
          <w:lang w:val="es-ES"/>
        </w:rPr>
        <w:t>: 0,5 mg/0,05 ml. Expulsar el exceso de volumen.</w:t>
      </w:r>
    </w:p>
    <w:p w14:paraId="378E0E74" w14:textId="77777777" w:rsidR="00287A49" w:rsidRPr="003E0B98" w:rsidRDefault="00287A49" w:rsidP="004361AC">
      <w:pPr>
        <w:tabs>
          <w:tab w:val="clear" w:pos="567"/>
        </w:tabs>
        <w:spacing w:line="240" w:lineRule="auto"/>
        <w:rPr>
          <w:color w:val="000000"/>
          <w:szCs w:val="22"/>
          <w:lang w:val="es-ES_tradnl"/>
        </w:rPr>
      </w:pPr>
      <w:r w:rsidRPr="003E0B98">
        <w:rPr>
          <w:color w:val="000000"/>
          <w:szCs w:val="22"/>
          <w:lang w:val="es-ES_tradnl"/>
        </w:rPr>
        <w:t xml:space="preserve">Dosis única para bebés nacidos prematuramente: 0,2 mg/0,02 ml. </w:t>
      </w:r>
      <w:r w:rsidRPr="003E0B98">
        <w:rPr>
          <w:color w:val="000000"/>
          <w:szCs w:val="22"/>
          <w:lang w:val="es-ES"/>
        </w:rPr>
        <w:t>Expulsar el exceso de volumen.</w:t>
      </w:r>
    </w:p>
    <w:p w14:paraId="5FCD54AD" w14:textId="77777777" w:rsidR="00426506" w:rsidRPr="003E0B98" w:rsidRDefault="00426506" w:rsidP="004361AC">
      <w:pPr>
        <w:tabs>
          <w:tab w:val="clear" w:pos="567"/>
        </w:tabs>
        <w:spacing w:line="240" w:lineRule="auto"/>
        <w:rPr>
          <w:color w:val="000000"/>
          <w:szCs w:val="22"/>
          <w:lang w:val="es-ES_tradnl"/>
        </w:rPr>
      </w:pPr>
    </w:p>
    <w:p w14:paraId="63365733" w14:textId="77777777" w:rsidR="00816612" w:rsidRPr="003E0B98" w:rsidRDefault="00816612" w:rsidP="004361AC">
      <w:pPr>
        <w:tabs>
          <w:tab w:val="clear" w:pos="567"/>
        </w:tabs>
        <w:spacing w:line="240" w:lineRule="auto"/>
        <w:rPr>
          <w:color w:val="000000"/>
          <w:szCs w:val="22"/>
          <w:lang w:val="es-ES_tradnl"/>
        </w:rPr>
      </w:pPr>
    </w:p>
    <w:p w14:paraId="36BC1E03" w14:textId="77777777" w:rsidR="00816612" w:rsidRPr="003E0B98" w:rsidRDefault="00816612" w:rsidP="004361A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es-ES_tradnl"/>
        </w:rPr>
      </w:pPr>
      <w:r w:rsidRPr="003E0B98">
        <w:rPr>
          <w:b/>
          <w:color w:val="000000"/>
          <w:szCs w:val="22"/>
          <w:lang w:val="es-ES_tradnl"/>
        </w:rPr>
        <w:t>5.</w:t>
      </w:r>
      <w:r w:rsidRPr="003E0B98">
        <w:rPr>
          <w:b/>
          <w:color w:val="000000"/>
          <w:szCs w:val="22"/>
          <w:lang w:val="es-ES_tradnl"/>
        </w:rPr>
        <w:tab/>
      </w:r>
      <w:r w:rsidRPr="003E0B98">
        <w:rPr>
          <w:b/>
          <w:noProof/>
          <w:color w:val="000000"/>
          <w:lang w:val="es-ES_tradnl"/>
        </w:rPr>
        <w:t>FORMA Y VÍA(S) DE ADMINISTRACIÓN</w:t>
      </w:r>
    </w:p>
    <w:p w14:paraId="69D834CD" w14:textId="77777777" w:rsidR="00816612" w:rsidRPr="003E0B98" w:rsidRDefault="00816612" w:rsidP="004361AC">
      <w:pPr>
        <w:tabs>
          <w:tab w:val="clear" w:pos="567"/>
        </w:tabs>
        <w:spacing w:line="240" w:lineRule="auto"/>
        <w:rPr>
          <w:i/>
          <w:color w:val="000000"/>
          <w:szCs w:val="22"/>
          <w:lang w:val="es-ES_tradnl"/>
        </w:rPr>
      </w:pPr>
    </w:p>
    <w:p w14:paraId="266E82E7" w14:textId="77777777" w:rsidR="00816612" w:rsidRPr="003E0B98" w:rsidRDefault="00816612" w:rsidP="004361AC">
      <w:pPr>
        <w:tabs>
          <w:tab w:val="clear" w:pos="567"/>
        </w:tabs>
        <w:spacing w:line="240" w:lineRule="auto"/>
        <w:rPr>
          <w:color w:val="000000"/>
          <w:szCs w:val="22"/>
          <w:lang w:val="es-ES_tradnl"/>
        </w:rPr>
      </w:pPr>
      <w:r w:rsidRPr="003E0B98">
        <w:rPr>
          <w:color w:val="000000"/>
          <w:szCs w:val="22"/>
          <w:lang w:val="es-ES_tradnl"/>
        </w:rPr>
        <w:t>Vía intravítrea.</w:t>
      </w:r>
    </w:p>
    <w:p w14:paraId="78A09701" w14:textId="77777777" w:rsidR="00816612" w:rsidRPr="003E0B98" w:rsidRDefault="00816612" w:rsidP="004361AC">
      <w:pPr>
        <w:tabs>
          <w:tab w:val="clear" w:pos="567"/>
        </w:tabs>
        <w:spacing w:line="240" w:lineRule="auto"/>
        <w:rPr>
          <w:color w:val="000000"/>
          <w:szCs w:val="22"/>
          <w:lang w:val="es-ES_tradnl"/>
        </w:rPr>
      </w:pPr>
      <w:r w:rsidRPr="003E0B98">
        <w:rPr>
          <w:color w:val="000000"/>
          <w:szCs w:val="22"/>
          <w:lang w:val="es-ES_tradnl"/>
        </w:rPr>
        <w:t>Vial</w:t>
      </w:r>
      <w:r w:rsidR="00057A1E" w:rsidRPr="003E0B98">
        <w:rPr>
          <w:color w:val="000000"/>
          <w:szCs w:val="22"/>
          <w:lang w:val="es-ES_tradnl"/>
        </w:rPr>
        <w:t xml:space="preserve"> y</w:t>
      </w:r>
      <w:r w:rsidRPr="003E0B98">
        <w:rPr>
          <w:color w:val="000000"/>
          <w:szCs w:val="22"/>
          <w:lang w:val="es-ES_tradnl"/>
        </w:rPr>
        <w:t xml:space="preserve"> aguja </w:t>
      </w:r>
      <w:r w:rsidR="00057A1E" w:rsidRPr="003E0B98">
        <w:rPr>
          <w:color w:val="000000"/>
          <w:szCs w:val="22"/>
          <w:lang w:val="es-ES_tradnl"/>
        </w:rPr>
        <w:t>con filtro</w:t>
      </w:r>
      <w:r w:rsidRPr="003E0B98">
        <w:rPr>
          <w:color w:val="000000"/>
          <w:szCs w:val="22"/>
          <w:lang w:val="es-ES_tradnl"/>
        </w:rPr>
        <w:t xml:space="preserve"> para un solo uso.</w:t>
      </w:r>
    </w:p>
    <w:p w14:paraId="43CDFF51" w14:textId="77777777" w:rsidR="00816612" w:rsidRPr="003E0B98" w:rsidRDefault="00816612" w:rsidP="004361AC">
      <w:pPr>
        <w:tabs>
          <w:tab w:val="clear" w:pos="567"/>
        </w:tabs>
        <w:spacing w:line="240" w:lineRule="auto"/>
        <w:rPr>
          <w:color w:val="000000"/>
          <w:szCs w:val="22"/>
          <w:lang w:val="es-ES_tradnl"/>
        </w:rPr>
      </w:pPr>
      <w:r w:rsidRPr="003E0B98">
        <w:rPr>
          <w:noProof/>
          <w:color w:val="000000"/>
          <w:lang w:val="es-ES_tradnl"/>
        </w:rPr>
        <w:t>Leer el prospecto antes de utilizar este medicamento.</w:t>
      </w:r>
    </w:p>
    <w:p w14:paraId="50C8AD4D" w14:textId="77777777" w:rsidR="00816612" w:rsidRPr="003E0B98" w:rsidRDefault="00816612" w:rsidP="004361AC">
      <w:pPr>
        <w:tabs>
          <w:tab w:val="clear" w:pos="567"/>
        </w:tabs>
        <w:spacing w:line="240" w:lineRule="auto"/>
        <w:rPr>
          <w:color w:val="000000"/>
          <w:szCs w:val="22"/>
          <w:lang w:val="es-ES_tradnl"/>
        </w:rPr>
      </w:pPr>
      <w:r w:rsidRPr="003E0B98">
        <w:rPr>
          <w:color w:val="000000"/>
          <w:szCs w:val="22"/>
          <w:lang w:val="es-ES_tradnl"/>
        </w:rPr>
        <w:t>La aguja con filtro no es para inyección.</w:t>
      </w:r>
    </w:p>
    <w:p w14:paraId="3DAD4BDF" w14:textId="77777777" w:rsidR="00816612" w:rsidRPr="003E0B98" w:rsidRDefault="00816612" w:rsidP="004361AC">
      <w:pPr>
        <w:tabs>
          <w:tab w:val="clear" w:pos="567"/>
        </w:tabs>
        <w:spacing w:line="240" w:lineRule="auto"/>
        <w:rPr>
          <w:color w:val="000000"/>
          <w:szCs w:val="22"/>
          <w:lang w:val="es-ES_tradnl"/>
        </w:rPr>
      </w:pPr>
    </w:p>
    <w:p w14:paraId="3C448F3E" w14:textId="77777777" w:rsidR="00816612" w:rsidRPr="003E0B98" w:rsidRDefault="00816612" w:rsidP="004361AC">
      <w:pPr>
        <w:tabs>
          <w:tab w:val="clear" w:pos="567"/>
        </w:tabs>
        <w:spacing w:line="240" w:lineRule="auto"/>
        <w:rPr>
          <w:color w:val="000000"/>
          <w:szCs w:val="22"/>
          <w:lang w:val="es-ES_tradnl"/>
        </w:rPr>
      </w:pPr>
    </w:p>
    <w:p w14:paraId="2D380036" w14:textId="77777777" w:rsidR="00816612" w:rsidRPr="003E0B98" w:rsidRDefault="00816612" w:rsidP="004361A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es-ES_tradnl"/>
        </w:rPr>
      </w:pPr>
      <w:r w:rsidRPr="003E0B98">
        <w:rPr>
          <w:b/>
          <w:color w:val="000000"/>
          <w:szCs w:val="22"/>
          <w:lang w:val="es-ES_tradnl"/>
        </w:rPr>
        <w:t>6.</w:t>
      </w:r>
      <w:r w:rsidRPr="003E0B98">
        <w:rPr>
          <w:b/>
          <w:color w:val="000000"/>
          <w:szCs w:val="22"/>
          <w:lang w:val="es-ES_tradnl"/>
        </w:rPr>
        <w:tab/>
      </w:r>
      <w:r w:rsidRPr="003E0B98">
        <w:rPr>
          <w:b/>
          <w:noProof/>
          <w:color w:val="000000"/>
          <w:lang w:val="es-ES_tradnl"/>
        </w:rPr>
        <w:t>ADVERTENCIA ESPECIAL DE QUE EL MEDICAMENTO DEBE MANTENERSE FUERA DE LA VISTA Y DEL ALCANCE DE LOS NIÑOS</w:t>
      </w:r>
    </w:p>
    <w:p w14:paraId="586CE46B" w14:textId="77777777" w:rsidR="00816612" w:rsidRPr="003E0B98" w:rsidRDefault="00816612" w:rsidP="004361AC">
      <w:pPr>
        <w:tabs>
          <w:tab w:val="clear" w:pos="567"/>
        </w:tabs>
        <w:spacing w:line="240" w:lineRule="auto"/>
        <w:rPr>
          <w:color w:val="000000"/>
          <w:szCs w:val="22"/>
          <w:lang w:val="es-ES_tradnl"/>
        </w:rPr>
      </w:pPr>
    </w:p>
    <w:p w14:paraId="6483BDAD" w14:textId="77777777" w:rsidR="00816612" w:rsidRPr="003E0B98" w:rsidRDefault="00816612" w:rsidP="004361AC">
      <w:pPr>
        <w:tabs>
          <w:tab w:val="clear" w:pos="567"/>
        </w:tabs>
        <w:spacing w:line="240" w:lineRule="auto"/>
        <w:rPr>
          <w:color w:val="000000"/>
          <w:szCs w:val="22"/>
          <w:lang w:val="es-ES_tradnl"/>
        </w:rPr>
      </w:pPr>
      <w:r w:rsidRPr="003E0B98">
        <w:rPr>
          <w:noProof/>
          <w:color w:val="000000"/>
          <w:lang w:val="es-ES_tradnl"/>
        </w:rPr>
        <w:t>Mantener fuera de la vista y del alcance de los niños.</w:t>
      </w:r>
    </w:p>
    <w:p w14:paraId="2D1089C3" w14:textId="77777777" w:rsidR="00816612" w:rsidRPr="003E0B98" w:rsidRDefault="00816612" w:rsidP="004361AC">
      <w:pPr>
        <w:tabs>
          <w:tab w:val="clear" w:pos="567"/>
        </w:tabs>
        <w:spacing w:line="240" w:lineRule="auto"/>
        <w:rPr>
          <w:color w:val="000000"/>
          <w:szCs w:val="22"/>
          <w:lang w:val="es-ES_tradnl"/>
        </w:rPr>
      </w:pPr>
    </w:p>
    <w:p w14:paraId="6E81D79A" w14:textId="77777777" w:rsidR="00816612" w:rsidRPr="003E0B98" w:rsidRDefault="00816612" w:rsidP="004361AC">
      <w:pPr>
        <w:tabs>
          <w:tab w:val="clear" w:pos="567"/>
        </w:tabs>
        <w:spacing w:line="240" w:lineRule="auto"/>
        <w:rPr>
          <w:color w:val="000000"/>
          <w:szCs w:val="22"/>
          <w:lang w:val="es-ES_tradnl"/>
        </w:rPr>
      </w:pPr>
    </w:p>
    <w:p w14:paraId="06392004" w14:textId="77777777" w:rsidR="00816612" w:rsidRPr="003E0B98" w:rsidRDefault="00816612" w:rsidP="004361A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es-ES_tradnl"/>
        </w:rPr>
      </w:pPr>
      <w:r w:rsidRPr="003E0B98">
        <w:rPr>
          <w:b/>
          <w:color w:val="000000"/>
          <w:szCs w:val="22"/>
          <w:lang w:val="es-ES_tradnl"/>
        </w:rPr>
        <w:t>7.</w:t>
      </w:r>
      <w:r w:rsidRPr="003E0B98">
        <w:rPr>
          <w:b/>
          <w:color w:val="000000"/>
          <w:szCs w:val="22"/>
          <w:lang w:val="es-ES_tradnl"/>
        </w:rPr>
        <w:tab/>
      </w:r>
      <w:r w:rsidRPr="003E0B98">
        <w:rPr>
          <w:b/>
          <w:noProof/>
          <w:color w:val="000000"/>
          <w:lang w:val="es-ES_tradnl"/>
        </w:rPr>
        <w:t>OTRA(S) ADVERTENCIA(S) ESPECIAL(ES), SI ES NECESARIO</w:t>
      </w:r>
    </w:p>
    <w:p w14:paraId="588DF0AD" w14:textId="77777777" w:rsidR="00816612" w:rsidRPr="003E0B98" w:rsidRDefault="00816612" w:rsidP="004361AC">
      <w:pPr>
        <w:tabs>
          <w:tab w:val="clear" w:pos="567"/>
        </w:tabs>
        <w:spacing w:line="240" w:lineRule="auto"/>
        <w:rPr>
          <w:color w:val="000000"/>
          <w:szCs w:val="22"/>
          <w:lang w:val="es-ES_tradnl"/>
        </w:rPr>
      </w:pPr>
    </w:p>
    <w:p w14:paraId="5856F1AA" w14:textId="77777777" w:rsidR="00816612" w:rsidRPr="003E0B98" w:rsidRDefault="00816612" w:rsidP="004361AC">
      <w:pPr>
        <w:tabs>
          <w:tab w:val="clear" w:pos="567"/>
        </w:tabs>
        <w:spacing w:line="240" w:lineRule="auto"/>
        <w:rPr>
          <w:color w:val="000000"/>
          <w:szCs w:val="22"/>
          <w:lang w:val="es-ES_tradnl"/>
        </w:rPr>
      </w:pPr>
    </w:p>
    <w:p w14:paraId="1A81F847" w14:textId="77777777" w:rsidR="00816612" w:rsidRPr="003E0B98" w:rsidRDefault="00816612" w:rsidP="004361A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es-ES_tradnl"/>
        </w:rPr>
      </w:pPr>
      <w:r w:rsidRPr="003E0B98">
        <w:rPr>
          <w:b/>
          <w:color w:val="000000"/>
          <w:szCs w:val="22"/>
          <w:lang w:val="es-ES_tradnl"/>
        </w:rPr>
        <w:t>8.</w:t>
      </w:r>
      <w:r w:rsidRPr="003E0B98">
        <w:rPr>
          <w:b/>
          <w:color w:val="000000"/>
          <w:szCs w:val="22"/>
          <w:lang w:val="es-ES_tradnl"/>
        </w:rPr>
        <w:tab/>
      </w:r>
      <w:r w:rsidRPr="003E0B98">
        <w:rPr>
          <w:b/>
          <w:noProof/>
          <w:color w:val="000000"/>
          <w:lang w:val="es-ES_tradnl"/>
        </w:rPr>
        <w:t>FECHA DE CADUCIDAD</w:t>
      </w:r>
    </w:p>
    <w:p w14:paraId="071E7664" w14:textId="77777777" w:rsidR="00816612" w:rsidRPr="003E0B98" w:rsidRDefault="00816612" w:rsidP="004361AC">
      <w:pPr>
        <w:tabs>
          <w:tab w:val="clear" w:pos="567"/>
        </w:tabs>
        <w:spacing w:line="240" w:lineRule="auto"/>
        <w:rPr>
          <w:color w:val="000000"/>
          <w:szCs w:val="22"/>
          <w:lang w:val="es-ES_tradnl"/>
        </w:rPr>
      </w:pPr>
    </w:p>
    <w:p w14:paraId="36B08F74" w14:textId="77777777" w:rsidR="00816612" w:rsidRPr="003E0B98" w:rsidRDefault="00816612" w:rsidP="004361AC">
      <w:pPr>
        <w:tabs>
          <w:tab w:val="clear" w:pos="567"/>
        </w:tabs>
        <w:spacing w:line="240" w:lineRule="auto"/>
        <w:rPr>
          <w:color w:val="000000"/>
          <w:szCs w:val="22"/>
          <w:lang w:val="es-ES_tradnl"/>
        </w:rPr>
      </w:pPr>
      <w:r w:rsidRPr="003E0B98">
        <w:rPr>
          <w:color w:val="000000"/>
          <w:szCs w:val="22"/>
          <w:lang w:val="es-ES_tradnl"/>
        </w:rPr>
        <w:t>CAD</w:t>
      </w:r>
    </w:p>
    <w:p w14:paraId="2E7C26AA" w14:textId="77777777" w:rsidR="00816612" w:rsidRPr="003E0B98" w:rsidRDefault="00816612" w:rsidP="004361AC">
      <w:pPr>
        <w:tabs>
          <w:tab w:val="clear" w:pos="567"/>
        </w:tabs>
        <w:spacing w:line="240" w:lineRule="auto"/>
        <w:rPr>
          <w:color w:val="000000"/>
          <w:szCs w:val="22"/>
          <w:lang w:val="es-ES_tradnl"/>
        </w:rPr>
      </w:pPr>
    </w:p>
    <w:p w14:paraId="6BE41335" w14:textId="77777777" w:rsidR="00816612" w:rsidRPr="003E0B98" w:rsidRDefault="00816612" w:rsidP="004361AC">
      <w:pPr>
        <w:tabs>
          <w:tab w:val="clear" w:pos="567"/>
        </w:tabs>
        <w:spacing w:line="240" w:lineRule="auto"/>
        <w:rPr>
          <w:color w:val="000000"/>
          <w:szCs w:val="22"/>
          <w:lang w:val="es-ES_tradnl"/>
        </w:rPr>
      </w:pPr>
    </w:p>
    <w:p w14:paraId="27C1D516" w14:textId="77777777" w:rsidR="00816612" w:rsidRPr="003E0B98" w:rsidRDefault="00816612" w:rsidP="004361A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es-ES_tradnl"/>
        </w:rPr>
      </w:pPr>
      <w:r w:rsidRPr="003E0B98">
        <w:rPr>
          <w:b/>
          <w:color w:val="000000"/>
          <w:szCs w:val="22"/>
          <w:lang w:val="es-ES_tradnl"/>
        </w:rPr>
        <w:t>9.</w:t>
      </w:r>
      <w:r w:rsidRPr="003E0B98">
        <w:rPr>
          <w:b/>
          <w:color w:val="000000"/>
          <w:szCs w:val="22"/>
          <w:lang w:val="es-ES_tradnl"/>
        </w:rPr>
        <w:tab/>
      </w:r>
      <w:r w:rsidRPr="003E0B98">
        <w:rPr>
          <w:b/>
          <w:noProof/>
          <w:color w:val="000000"/>
          <w:lang w:val="es-ES_tradnl"/>
        </w:rPr>
        <w:t>CONDICIONES ESPECIALES DE CONSERVACIÓN</w:t>
      </w:r>
    </w:p>
    <w:p w14:paraId="52187825" w14:textId="77777777" w:rsidR="00816612" w:rsidRPr="003E0B98" w:rsidRDefault="00816612" w:rsidP="004361AC">
      <w:pPr>
        <w:tabs>
          <w:tab w:val="clear" w:pos="567"/>
        </w:tabs>
        <w:spacing w:line="240" w:lineRule="auto"/>
        <w:rPr>
          <w:color w:val="000000"/>
          <w:szCs w:val="22"/>
          <w:lang w:val="es-ES_tradnl"/>
        </w:rPr>
      </w:pPr>
    </w:p>
    <w:p w14:paraId="0FC60467" w14:textId="77777777" w:rsidR="00816612" w:rsidRPr="003E0B98" w:rsidRDefault="00816612" w:rsidP="004361AC">
      <w:pPr>
        <w:tabs>
          <w:tab w:val="clear" w:pos="567"/>
        </w:tabs>
        <w:spacing w:line="240" w:lineRule="auto"/>
        <w:rPr>
          <w:color w:val="000000"/>
          <w:szCs w:val="22"/>
          <w:lang w:val="es-ES_tradnl"/>
        </w:rPr>
      </w:pPr>
      <w:r w:rsidRPr="003E0B98">
        <w:rPr>
          <w:color w:val="000000"/>
          <w:szCs w:val="22"/>
          <w:lang w:val="es-ES_tradnl"/>
        </w:rPr>
        <w:t xml:space="preserve">Conservar en nevera </w:t>
      </w:r>
      <w:r w:rsidRPr="003E0B98">
        <w:rPr>
          <w:color w:val="000000"/>
          <w:szCs w:val="22"/>
          <w:lang w:val="es-ES"/>
        </w:rPr>
        <w:t>(</w:t>
      </w:r>
      <w:r w:rsidRPr="003E0B98">
        <w:rPr>
          <w:color w:val="000000"/>
          <w:szCs w:val="22"/>
          <w:lang w:val="es-ES_tradnl"/>
        </w:rPr>
        <w:t xml:space="preserve">entre </w:t>
      </w:r>
      <w:r w:rsidRPr="003E0B98">
        <w:rPr>
          <w:color w:val="000000"/>
          <w:szCs w:val="22"/>
          <w:lang w:val="es-ES"/>
        </w:rPr>
        <w:t>2</w:t>
      </w:r>
      <w:r w:rsidRPr="003E0B98">
        <w:rPr>
          <w:color w:val="000000"/>
          <w:szCs w:val="22"/>
        </w:rPr>
        <w:sym w:font="Symbol" w:char="F0B0"/>
      </w:r>
      <w:r w:rsidRPr="003E0B98">
        <w:rPr>
          <w:color w:val="000000"/>
          <w:szCs w:val="22"/>
          <w:lang w:val="es-ES"/>
        </w:rPr>
        <w:t>C y 8</w:t>
      </w:r>
      <w:r w:rsidRPr="003E0B98">
        <w:rPr>
          <w:color w:val="000000"/>
          <w:szCs w:val="22"/>
        </w:rPr>
        <w:sym w:font="Symbol" w:char="F0B0"/>
      </w:r>
      <w:r w:rsidRPr="003E0B98">
        <w:rPr>
          <w:color w:val="000000"/>
          <w:szCs w:val="22"/>
          <w:lang w:val="es-ES"/>
        </w:rPr>
        <w:t>C)</w:t>
      </w:r>
      <w:r w:rsidRPr="003E0B98">
        <w:rPr>
          <w:color w:val="000000"/>
          <w:szCs w:val="22"/>
          <w:lang w:val="es-ES_tradnl"/>
        </w:rPr>
        <w:t>.</w:t>
      </w:r>
    </w:p>
    <w:p w14:paraId="3AA3988B" w14:textId="77777777" w:rsidR="00816612" w:rsidRPr="003E0B98" w:rsidRDefault="00816612" w:rsidP="004361AC">
      <w:pPr>
        <w:tabs>
          <w:tab w:val="clear" w:pos="567"/>
        </w:tabs>
        <w:spacing w:line="240" w:lineRule="auto"/>
        <w:rPr>
          <w:color w:val="000000"/>
          <w:szCs w:val="22"/>
          <w:lang w:val="es-ES_tradnl"/>
        </w:rPr>
      </w:pPr>
      <w:r w:rsidRPr="003E0B98">
        <w:rPr>
          <w:color w:val="000000"/>
          <w:szCs w:val="22"/>
          <w:lang w:val="es-ES_tradnl"/>
        </w:rPr>
        <w:t>No congelar.</w:t>
      </w:r>
    </w:p>
    <w:p w14:paraId="311FDE05" w14:textId="77777777" w:rsidR="00816612" w:rsidRPr="003E0B98" w:rsidRDefault="00816612" w:rsidP="004361AC">
      <w:pPr>
        <w:tabs>
          <w:tab w:val="clear" w:pos="567"/>
        </w:tabs>
        <w:spacing w:line="240" w:lineRule="auto"/>
        <w:rPr>
          <w:color w:val="000000"/>
          <w:szCs w:val="22"/>
          <w:lang w:val="es-ES_tradnl"/>
        </w:rPr>
      </w:pPr>
      <w:r w:rsidRPr="003E0B98">
        <w:rPr>
          <w:color w:val="000000"/>
          <w:szCs w:val="22"/>
          <w:lang w:val="es-ES_tradnl"/>
        </w:rPr>
        <w:t>Conservar el vial en el embalaje exterior para protegerlo de la luz.</w:t>
      </w:r>
    </w:p>
    <w:p w14:paraId="2E953145" w14:textId="77777777" w:rsidR="00816612" w:rsidRPr="003E0B98" w:rsidRDefault="00816612" w:rsidP="004361AC">
      <w:pPr>
        <w:tabs>
          <w:tab w:val="clear" w:pos="567"/>
        </w:tabs>
        <w:spacing w:line="240" w:lineRule="auto"/>
        <w:rPr>
          <w:color w:val="000000"/>
          <w:szCs w:val="22"/>
          <w:lang w:val="es-ES_tradnl"/>
        </w:rPr>
      </w:pPr>
    </w:p>
    <w:p w14:paraId="2C8FFA89" w14:textId="77777777" w:rsidR="00816612" w:rsidRPr="003E0B98" w:rsidRDefault="00816612" w:rsidP="004361AC">
      <w:pPr>
        <w:tabs>
          <w:tab w:val="clear" w:pos="567"/>
        </w:tabs>
        <w:spacing w:line="240" w:lineRule="auto"/>
        <w:ind w:left="567" w:hanging="567"/>
        <w:rPr>
          <w:color w:val="000000"/>
          <w:szCs w:val="22"/>
          <w:lang w:val="es-ES_tradnl"/>
        </w:rPr>
      </w:pPr>
    </w:p>
    <w:p w14:paraId="2A8B24C6" w14:textId="77777777" w:rsidR="00816612" w:rsidRPr="003E0B98" w:rsidRDefault="00816612" w:rsidP="004361A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olor w:val="000000"/>
          <w:szCs w:val="22"/>
          <w:lang w:val="es-ES_tradnl"/>
        </w:rPr>
      </w:pPr>
      <w:r w:rsidRPr="003E0B98">
        <w:rPr>
          <w:b/>
          <w:color w:val="000000"/>
          <w:szCs w:val="22"/>
          <w:lang w:val="es-ES_tradnl"/>
        </w:rPr>
        <w:t>10.</w:t>
      </w:r>
      <w:r w:rsidRPr="003E0B98">
        <w:rPr>
          <w:b/>
          <w:color w:val="000000"/>
          <w:szCs w:val="22"/>
          <w:lang w:val="es-ES_tradnl"/>
        </w:rPr>
        <w:tab/>
      </w:r>
      <w:r w:rsidRPr="003E0B98">
        <w:rPr>
          <w:b/>
          <w:noProof/>
          <w:color w:val="000000"/>
          <w:lang w:val="es-ES_tradnl"/>
        </w:rPr>
        <w:t>PRECAUCIONES ESPECIALES DE ELIMINACIÓN DEL MEDICAMENTO NO UTILIZADO Y DE LOS MATERIALES DERIVADOS DE SU USO</w:t>
      </w:r>
      <w:r w:rsidR="00F55352" w:rsidRPr="003E0B98">
        <w:rPr>
          <w:b/>
          <w:noProof/>
          <w:color w:val="000000"/>
          <w:lang w:val="es-ES_tradnl"/>
        </w:rPr>
        <w:t>,</w:t>
      </w:r>
      <w:r w:rsidRPr="003E0B98">
        <w:rPr>
          <w:b/>
          <w:noProof/>
          <w:color w:val="000000"/>
          <w:lang w:val="es-ES_tradnl"/>
        </w:rPr>
        <w:t xml:space="preserve"> CUANDO CORRESPONDA</w:t>
      </w:r>
    </w:p>
    <w:p w14:paraId="370E92F3" w14:textId="77777777" w:rsidR="00816612" w:rsidRPr="003E0B98" w:rsidRDefault="00816612" w:rsidP="004361AC">
      <w:pPr>
        <w:tabs>
          <w:tab w:val="clear" w:pos="567"/>
        </w:tabs>
        <w:spacing w:line="240" w:lineRule="auto"/>
        <w:rPr>
          <w:color w:val="000000"/>
          <w:szCs w:val="22"/>
          <w:lang w:val="es-ES_tradnl"/>
        </w:rPr>
      </w:pPr>
    </w:p>
    <w:p w14:paraId="45285802" w14:textId="77777777" w:rsidR="00816612" w:rsidRPr="003E0B98" w:rsidRDefault="00816612" w:rsidP="004361AC">
      <w:pPr>
        <w:tabs>
          <w:tab w:val="clear" w:pos="567"/>
        </w:tabs>
        <w:spacing w:line="240" w:lineRule="auto"/>
        <w:rPr>
          <w:color w:val="000000"/>
          <w:szCs w:val="22"/>
          <w:lang w:val="es-ES_tradnl"/>
        </w:rPr>
      </w:pPr>
    </w:p>
    <w:p w14:paraId="37C51580" w14:textId="77777777" w:rsidR="00816612" w:rsidRPr="003E0B98" w:rsidRDefault="00816612" w:rsidP="004361A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olor w:val="000000"/>
          <w:szCs w:val="22"/>
          <w:lang w:val="es-ES_tradnl"/>
        </w:rPr>
      </w:pPr>
      <w:r w:rsidRPr="003E0B98">
        <w:rPr>
          <w:b/>
          <w:color w:val="000000"/>
          <w:szCs w:val="22"/>
          <w:lang w:val="es-ES_tradnl"/>
        </w:rPr>
        <w:t>11.</w:t>
      </w:r>
      <w:r w:rsidRPr="003E0B98">
        <w:rPr>
          <w:b/>
          <w:color w:val="000000"/>
          <w:szCs w:val="22"/>
          <w:lang w:val="es-ES_tradnl"/>
        </w:rPr>
        <w:tab/>
      </w:r>
      <w:r w:rsidRPr="003E0B98">
        <w:rPr>
          <w:b/>
          <w:noProof/>
          <w:color w:val="000000"/>
          <w:lang w:val="es-ES_tradnl"/>
        </w:rPr>
        <w:t>NOMBRE Y DIRECCIÓN DEL TITULAR DE LA AUTORIZACIÓN DE COMERCIALIZACIÓN</w:t>
      </w:r>
    </w:p>
    <w:p w14:paraId="1ED6A200" w14:textId="77777777" w:rsidR="00816612" w:rsidRPr="003E0B98" w:rsidRDefault="00816612" w:rsidP="004361AC">
      <w:pPr>
        <w:tabs>
          <w:tab w:val="clear" w:pos="567"/>
        </w:tabs>
        <w:spacing w:line="240" w:lineRule="auto"/>
        <w:rPr>
          <w:color w:val="000000"/>
          <w:szCs w:val="22"/>
          <w:lang w:val="es-ES_tradnl"/>
        </w:rPr>
      </w:pPr>
    </w:p>
    <w:p w14:paraId="2B118CF4" w14:textId="77777777" w:rsidR="00816612" w:rsidRPr="003E0B98" w:rsidRDefault="00816612" w:rsidP="004361AC">
      <w:pPr>
        <w:tabs>
          <w:tab w:val="clear" w:pos="567"/>
        </w:tabs>
        <w:spacing w:line="240" w:lineRule="auto"/>
        <w:rPr>
          <w:color w:val="000000"/>
          <w:szCs w:val="22"/>
        </w:rPr>
      </w:pPr>
      <w:r w:rsidRPr="003E0B98">
        <w:rPr>
          <w:color w:val="000000"/>
          <w:szCs w:val="22"/>
        </w:rPr>
        <w:t xml:space="preserve">Novartis </w:t>
      </w:r>
      <w:proofErr w:type="spellStart"/>
      <w:r w:rsidRPr="003E0B98">
        <w:rPr>
          <w:color w:val="000000"/>
          <w:szCs w:val="22"/>
        </w:rPr>
        <w:t>Europharm</w:t>
      </w:r>
      <w:proofErr w:type="spellEnd"/>
      <w:r w:rsidRPr="003E0B98">
        <w:rPr>
          <w:color w:val="000000"/>
          <w:szCs w:val="22"/>
        </w:rPr>
        <w:t xml:space="preserve"> Limited</w:t>
      </w:r>
    </w:p>
    <w:p w14:paraId="5B5933E5" w14:textId="77777777" w:rsidR="00442EE6" w:rsidRPr="003E0B98" w:rsidRDefault="00442EE6" w:rsidP="004361AC">
      <w:pPr>
        <w:keepNext/>
        <w:spacing w:line="240" w:lineRule="auto"/>
        <w:rPr>
          <w:color w:val="000000"/>
        </w:rPr>
      </w:pPr>
      <w:r w:rsidRPr="003E0B98">
        <w:rPr>
          <w:color w:val="000000"/>
        </w:rPr>
        <w:t>Vista Building</w:t>
      </w:r>
    </w:p>
    <w:p w14:paraId="0828CE6F" w14:textId="77777777" w:rsidR="00442EE6" w:rsidRPr="003E0B98" w:rsidRDefault="00442EE6" w:rsidP="004361AC">
      <w:pPr>
        <w:keepNext/>
        <w:spacing w:line="240" w:lineRule="auto"/>
        <w:rPr>
          <w:color w:val="000000"/>
        </w:rPr>
      </w:pPr>
      <w:r w:rsidRPr="003E0B98">
        <w:rPr>
          <w:color w:val="000000"/>
        </w:rPr>
        <w:t>Elm Park, Merrion Road</w:t>
      </w:r>
    </w:p>
    <w:p w14:paraId="20841D91" w14:textId="77777777" w:rsidR="00442EE6" w:rsidRPr="003E0B98" w:rsidRDefault="00442EE6" w:rsidP="004361AC">
      <w:pPr>
        <w:keepNext/>
        <w:spacing w:line="240" w:lineRule="auto"/>
        <w:rPr>
          <w:color w:val="000000"/>
          <w:lang w:val="es-ES"/>
        </w:rPr>
      </w:pPr>
      <w:proofErr w:type="spellStart"/>
      <w:r w:rsidRPr="003E0B98">
        <w:rPr>
          <w:color w:val="000000"/>
          <w:lang w:val="es-ES"/>
        </w:rPr>
        <w:t>Dublin</w:t>
      </w:r>
      <w:proofErr w:type="spellEnd"/>
      <w:r w:rsidRPr="003E0B98">
        <w:rPr>
          <w:color w:val="000000"/>
          <w:lang w:val="es-ES"/>
        </w:rPr>
        <w:t xml:space="preserve"> 4</w:t>
      </w:r>
    </w:p>
    <w:p w14:paraId="076F01B8" w14:textId="77777777" w:rsidR="00816612" w:rsidRPr="003E0B98" w:rsidRDefault="00442EE6" w:rsidP="004361AC">
      <w:pPr>
        <w:tabs>
          <w:tab w:val="clear" w:pos="567"/>
        </w:tabs>
        <w:spacing w:line="240" w:lineRule="auto"/>
        <w:rPr>
          <w:color w:val="000000"/>
          <w:szCs w:val="22"/>
          <w:lang w:val="es-ES_tradnl"/>
        </w:rPr>
      </w:pPr>
      <w:r w:rsidRPr="003E0B98">
        <w:rPr>
          <w:color w:val="000000"/>
          <w:lang w:val="es-ES"/>
        </w:rPr>
        <w:t>Irlanda</w:t>
      </w:r>
    </w:p>
    <w:p w14:paraId="48A1B29B" w14:textId="77777777" w:rsidR="00816612" w:rsidRPr="003E0B98" w:rsidRDefault="00816612" w:rsidP="004361AC">
      <w:pPr>
        <w:tabs>
          <w:tab w:val="clear" w:pos="567"/>
        </w:tabs>
        <w:spacing w:line="240" w:lineRule="auto"/>
        <w:rPr>
          <w:color w:val="000000"/>
          <w:szCs w:val="22"/>
          <w:lang w:val="es-ES_tradnl"/>
        </w:rPr>
      </w:pPr>
    </w:p>
    <w:p w14:paraId="7E4DB813" w14:textId="77777777" w:rsidR="00816612" w:rsidRPr="003E0B98" w:rsidRDefault="00816612" w:rsidP="004361AC">
      <w:pPr>
        <w:tabs>
          <w:tab w:val="clear" w:pos="567"/>
        </w:tabs>
        <w:spacing w:line="240" w:lineRule="auto"/>
        <w:rPr>
          <w:color w:val="000000"/>
          <w:szCs w:val="22"/>
          <w:lang w:val="es-ES_tradnl"/>
        </w:rPr>
      </w:pPr>
    </w:p>
    <w:p w14:paraId="069BB3F5" w14:textId="77777777" w:rsidR="00816612" w:rsidRPr="003E0B98" w:rsidRDefault="00816612" w:rsidP="004361AC">
      <w:pPr>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es-ES_tradnl"/>
        </w:rPr>
      </w:pPr>
      <w:r w:rsidRPr="003E0B98">
        <w:rPr>
          <w:b/>
          <w:color w:val="000000"/>
          <w:szCs w:val="22"/>
          <w:lang w:val="es-ES_tradnl"/>
        </w:rPr>
        <w:t>12.</w:t>
      </w:r>
      <w:r w:rsidRPr="003E0B98">
        <w:rPr>
          <w:b/>
          <w:color w:val="000000"/>
          <w:szCs w:val="22"/>
          <w:lang w:val="es-ES_tradnl"/>
        </w:rPr>
        <w:tab/>
      </w:r>
      <w:r w:rsidRPr="003E0B98">
        <w:rPr>
          <w:b/>
          <w:noProof/>
          <w:color w:val="000000"/>
          <w:lang w:val="es-ES_tradnl"/>
        </w:rPr>
        <w:t>NÚMERO(S) DE AUTORIZACIÓN DE COMERCIALIZACIÓN</w:t>
      </w:r>
    </w:p>
    <w:p w14:paraId="1E5365A5" w14:textId="77777777" w:rsidR="00816612" w:rsidRPr="003E0B98" w:rsidRDefault="00816612" w:rsidP="004361AC">
      <w:pPr>
        <w:tabs>
          <w:tab w:val="clear" w:pos="567"/>
        </w:tabs>
        <w:spacing w:line="240" w:lineRule="auto"/>
        <w:rPr>
          <w:color w:val="000000"/>
          <w:szCs w:val="22"/>
          <w:lang w:val="es-ES_tradnl"/>
        </w:rPr>
      </w:pPr>
    </w:p>
    <w:p w14:paraId="006F21CB" w14:textId="77777777" w:rsidR="00816612" w:rsidRPr="003E0B98" w:rsidRDefault="00816612" w:rsidP="004361AC">
      <w:pPr>
        <w:rPr>
          <w:color w:val="000000"/>
          <w:szCs w:val="22"/>
          <w:lang w:val="es-ES_tradnl"/>
        </w:rPr>
      </w:pPr>
      <w:r w:rsidRPr="003E0B98">
        <w:rPr>
          <w:color w:val="000000"/>
          <w:szCs w:val="22"/>
          <w:lang w:val="es-ES_tradnl"/>
        </w:rPr>
        <w:t>EU/1/06/374/00</w:t>
      </w:r>
      <w:r w:rsidR="00057A1E" w:rsidRPr="003E0B98">
        <w:rPr>
          <w:color w:val="000000"/>
          <w:szCs w:val="22"/>
          <w:lang w:val="es-ES_tradnl"/>
        </w:rPr>
        <w:t>4</w:t>
      </w:r>
    </w:p>
    <w:p w14:paraId="42701AB9" w14:textId="77777777" w:rsidR="00816612" w:rsidRPr="003E0B98" w:rsidRDefault="00816612" w:rsidP="004361AC">
      <w:pPr>
        <w:tabs>
          <w:tab w:val="clear" w:pos="567"/>
        </w:tabs>
        <w:spacing w:line="240" w:lineRule="auto"/>
        <w:rPr>
          <w:color w:val="000000"/>
          <w:szCs w:val="22"/>
          <w:lang w:val="es-ES_tradnl"/>
        </w:rPr>
      </w:pPr>
    </w:p>
    <w:p w14:paraId="61BE0AF7" w14:textId="77777777" w:rsidR="00816612" w:rsidRPr="003E0B98" w:rsidRDefault="00816612" w:rsidP="004361AC">
      <w:pPr>
        <w:tabs>
          <w:tab w:val="clear" w:pos="567"/>
        </w:tabs>
        <w:spacing w:line="240" w:lineRule="auto"/>
        <w:rPr>
          <w:color w:val="000000"/>
          <w:szCs w:val="22"/>
          <w:lang w:val="es-ES_tradnl"/>
        </w:rPr>
      </w:pPr>
    </w:p>
    <w:p w14:paraId="52B79047" w14:textId="77777777" w:rsidR="00816612" w:rsidRPr="003E0B98" w:rsidRDefault="00816612" w:rsidP="004361AC">
      <w:pPr>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es-ES_tradnl"/>
        </w:rPr>
      </w:pPr>
      <w:r w:rsidRPr="003E0B98">
        <w:rPr>
          <w:b/>
          <w:color w:val="000000"/>
          <w:szCs w:val="22"/>
          <w:lang w:val="es-ES_tradnl"/>
        </w:rPr>
        <w:t>13.</w:t>
      </w:r>
      <w:r w:rsidRPr="003E0B98">
        <w:rPr>
          <w:b/>
          <w:color w:val="000000"/>
          <w:szCs w:val="22"/>
          <w:lang w:val="es-ES_tradnl"/>
        </w:rPr>
        <w:tab/>
      </w:r>
      <w:r w:rsidRPr="003E0B98">
        <w:rPr>
          <w:b/>
          <w:noProof/>
          <w:color w:val="000000"/>
          <w:lang w:val="pt-PT"/>
        </w:rPr>
        <w:t>NÚMERO DE LOTE</w:t>
      </w:r>
    </w:p>
    <w:p w14:paraId="6726D8DF" w14:textId="77777777" w:rsidR="00816612" w:rsidRPr="003E0B98" w:rsidRDefault="00816612" w:rsidP="004361AC">
      <w:pPr>
        <w:tabs>
          <w:tab w:val="clear" w:pos="567"/>
        </w:tabs>
        <w:spacing w:line="240" w:lineRule="auto"/>
        <w:rPr>
          <w:color w:val="000000"/>
          <w:szCs w:val="22"/>
          <w:lang w:val="es-ES_tradnl"/>
        </w:rPr>
      </w:pPr>
    </w:p>
    <w:p w14:paraId="585ABE20" w14:textId="77777777" w:rsidR="00816612" w:rsidRPr="003E0B98" w:rsidRDefault="00816612" w:rsidP="004361AC">
      <w:pPr>
        <w:tabs>
          <w:tab w:val="clear" w:pos="567"/>
        </w:tabs>
        <w:spacing w:line="240" w:lineRule="auto"/>
        <w:rPr>
          <w:color w:val="000000"/>
          <w:szCs w:val="22"/>
          <w:lang w:val="es-ES_tradnl"/>
        </w:rPr>
      </w:pPr>
      <w:r w:rsidRPr="003E0B98">
        <w:rPr>
          <w:color w:val="000000"/>
          <w:szCs w:val="22"/>
          <w:lang w:val="es-ES_tradnl"/>
        </w:rPr>
        <w:t>Lote</w:t>
      </w:r>
    </w:p>
    <w:p w14:paraId="2C3CA6AC" w14:textId="77777777" w:rsidR="00816612" w:rsidRPr="003E0B98" w:rsidRDefault="00816612" w:rsidP="004361AC">
      <w:pPr>
        <w:tabs>
          <w:tab w:val="clear" w:pos="567"/>
        </w:tabs>
        <w:spacing w:line="240" w:lineRule="auto"/>
        <w:rPr>
          <w:color w:val="000000"/>
          <w:szCs w:val="22"/>
          <w:lang w:val="es-ES_tradnl"/>
        </w:rPr>
      </w:pPr>
    </w:p>
    <w:p w14:paraId="2DD2CE2E" w14:textId="77777777" w:rsidR="00816612" w:rsidRPr="003E0B98" w:rsidRDefault="00816612" w:rsidP="004361AC">
      <w:pPr>
        <w:tabs>
          <w:tab w:val="clear" w:pos="567"/>
        </w:tabs>
        <w:spacing w:line="240" w:lineRule="auto"/>
        <w:rPr>
          <w:color w:val="000000"/>
          <w:szCs w:val="22"/>
          <w:lang w:val="es-ES_tradnl"/>
        </w:rPr>
      </w:pPr>
    </w:p>
    <w:p w14:paraId="0B3C8F4F" w14:textId="77777777" w:rsidR="00816612" w:rsidRPr="003E0B98" w:rsidRDefault="00816612" w:rsidP="004361AC">
      <w:pPr>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es-ES_tradnl"/>
        </w:rPr>
      </w:pPr>
      <w:r w:rsidRPr="003E0B98">
        <w:rPr>
          <w:b/>
          <w:color w:val="000000"/>
          <w:szCs w:val="22"/>
          <w:lang w:val="es-ES_tradnl"/>
        </w:rPr>
        <w:t>14.</w:t>
      </w:r>
      <w:r w:rsidRPr="003E0B98">
        <w:rPr>
          <w:b/>
          <w:color w:val="000000"/>
          <w:szCs w:val="22"/>
          <w:lang w:val="es-ES_tradnl"/>
        </w:rPr>
        <w:tab/>
      </w:r>
      <w:r w:rsidRPr="003E0B98">
        <w:rPr>
          <w:b/>
          <w:noProof/>
          <w:color w:val="000000"/>
          <w:lang w:val="es-ES_tradnl"/>
        </w:rPr>
        <w:t>CONDICIONES GENERALES DE DISPENSACIÓN</w:t>
      </w:r>
    </w:p>
    <w:p w14:paraId="2D527FF3" w14:textId="77777777" w:rsidR="00816612" w:rsidRPr="003E0B98" w:rsidRDefault="00816612" w:rsidP="004361AC">
      <w:pPr>
        <w:tabs>
          <w:tab w:val="clear" w:pos="567"/>
        </w:tabs>
        <w:spacing w:line="240" w:lineRule="auto"/>
        <w:rPr>
          <w:color w:val="000000"/>
          <w:szCs w:val="22"/>
          <w:lang w:val="es-ES_tradnl"/>
        </w:rPr>
      </w:pPr>
    </w:p>
    <w:p w14:paraId="5103543C" w14:textId="77777777" w:rsidR="00816612" w:rsidRPr="003E0B98" w:rsidRDefault="00816612" w:rsidP="004361AC">
      <w:pPr>
        <w:tabs>
          <w:tab w:val="clear" w:pos="567"/>
        </w:tabs>
        <w:spacing w:line="240" w:lineRule="auto"/>
        <w:rPr>
          <w:color w:val="000000"/>
          <w:szCs w:val="22"/>
          <w:lang w:val="es-ES_tradnl"/>
        </w:rPr>
      </w:pPr>
    </w:p>
    <w:p w14:paraId="07C35C2A" w14:textId="77777777" w:rsidR="00816612" w:rsidRPr="003E0B98" w:rsidRDefault="00816612" w:rsidP="004361AC">
      <w:pPr>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es-ES_tradnl"/>
        </w:rPr>
      </w:pPr>
      <w:r w:rsidRPr="003E0B98">
        <w:rPr>
          <w:b/>
          <w:color w:val="000000"/>
          <w:szCs w:val="22"/>
          <w:lang w:val="es-ES_tradnl"/>
        </w:rPr>
        <w:t>15.</w:t>
      </w:r>
      <w:r w:rsidRPr="003E0B98">
        <w:rPr>
          <w:b/>
          <w:color w:val="000000"/>
          <w:szCs w:val="22"/>
          <w:lang w:val="es-ES_tradnl"/>
        </w:rPr>
        <w:tab/>
      </w:r>
      <w:r w:rsidRPr="003E0B98">
        <w:rPr>
          <w:b/>
          <w:noProof/>
          <w:color w:val="000000"/>
          <w:lang w:val="es-ES_tradnl"/>
        </w:rPr>
        <w:t>INSTRUCCIONES DE USO</w:t>
      </w:r>
    </w:p>
    <w:p w14:paraId="6CB36CFB" w14:textId="77777777" w:rsidR="00816612" w:rsidRPr="003E0B98" w:rsidRDefault="00816612" w:rsidP="004361AC">
      <w:pPr>
        <w:tabs>
          <w:tab w:val="clear" w:pos="567"/>
        </w:tabs>
        <w:spacing w:line="240" w:lineRule="auto"/>
        <w:rPr>
          <w:color w:val="000000"/>
          <w:szCs w:val="22"/>
          <w:lang w:val="es-ES_tradnl"/>
        </w:rPr>
      </w:pPr>
    </w:p>
    <w:p w14:paraId="3A68BC17" w14:textId="77777777" w:rsidR="00816612" w:rsidRPr="003E0B98" w:rsidRDefault="00816612" w:rsidP="004361AC">
      <w:pPr>
        <w:tabs>
          <w:tab w:val="clear" w:pos="567"/>
        </w:tabs>
        <w:spacing w:line="240" w:lineRule="auto"/>
        <w:rPr>
          <w:color w:val="000000"/>
          <w:szCs w:val="22"/>
          <w:lang w:val="es-ES_tradnl"/>
        </w:rPr>
      </w:pPr>
    </w:p>
    <w:p w14:paraId="5F048F34" w14:textId="77777777" w:rsidR="00816612" w:rsidRPr="003E0B98" w:rsidRDefault="00816612" w:rsidP="004361AC">
      <w:pPr>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es-ES_tradnl"/>
        </w:rPr>
      </w:pPr>
      <w:r w:rsidRPr="003E0B98">
        <w:rPr>
          <w:b/>
          <w:color w:val="000000"/>
          <w:szCs w:val="22"/>
          <w:lang w:val="es-ES_tradnl"/>
        </w:rPr>
        <w:t>16.</w:t>
      </w:r>
      <w:r w:rsidRPr="003E0B98">
        <w:rPr>
          <w:b/>
          <w:color w:val="000000"/>
          <w:szCs w:val="22"/>
          <w:lang w:val="es-ES_tradnl"/>
        </w:rPr>
        <w:tab/>
      </w:r>
      <w:r w:rsidRPr="003E0B98">
        <w:rPr>
          <w:b/>
          <w:noProof/>
          <w:color w:val="000000"/>
          <w:lang w:val="es-ES_tradnl"/>
        </w:rPr>
        <w:t>INFORMACIÓN EN BRAILLE</w:t>
      </w:r>
    </w:p>
    <w:p w14:paraId="4CF6975B" w14:textId="77777777" w:rsidR="00816612" w:rsidRPr="003E0B98" w:rsidRDefault="00816612" w:rsidP="004361AC">
      <w:pPr>
        <w:tabs>
          <w:tab w:val="clear" w:pos="567"/>
        </w:tabs>
        <w:spacing w:line="240" w:lineRule="auto"/>
        <w:rPr>
          <w:color w:val="000000"/>
          <w:szCs w:val="22"/>
          <w:lang w:val="es-ES_tradnl"/>
        </w:rPr>
      </w:pPr>
    </w:p>
    <w:p w14:paraId="2B195341" w14:textId="77777777" w:rsidR="00816612" w:rsidRPr="003E0B98" w:rsidRDefault="00816612" w:rsidP="004361AC">
      <w:pPr>
        <w:tabs>
          <w:tab w:val="clear" w:pos="567"/>
        </w:tabs>
        <w:spacing w:line="240" w:lineRule="auto"/>
        <w:rPr>
          <w:color w:val="000000"/>
          <w:szCs w:val="22"/>
          <w:lang w:val="es-ES"/>
        </w:rPr>
      </w:pPr>
      <w:r w:rsidRPr="003E0B98">
        <w:rPr>
          <w:shd w:val="pct15" w:color="auto" w:fill="auto"/>
          <w:lang w:val="es-ES_tradnl"/>
        </w:rPr>
        <w:t>Se acepta la justificación para no incluir la información en Braille</w:t>
      </w:r>
      <w:r w:rsidR="009C656C" w:rsidRPr="003E0B98">
        <w:rPr>
          <w:shd w:val="pct15" w:color="auto" w:fill="auto"/>
          <w:lang w:val="es-ES_tradnl"/>
        </w:rPr>
        <w:t>.</w:t>
      </w:r>
    </w:p>
    <w:p w14:paraId="059BAC40" w14:textId="77777777" w:rsidR="009C656C" w:rsidRPr="003E0B98" w:rsidRDefault="009C656C" w:rsidP="004361AC">
      <w:pPr>
        <w:tabs>
          <w:tab w:val="clear" w:pos="567"/>
        </w:tabs>
        <w:spacing w:line="240" w:lineRule="auto"/>
        <w:ind w:right="113"/>
        <w:rPr>
          <w:color w:val="000000"/>
          <w:szCs w:val="22"/>
          <w:lang w:val="es-ES_tradnl"/>
        </w:rPr>
      </w:pPr>
    </w:p>
    <w:p w14:paraId="402BB93D" w14:textId="77777777" w:rsidR="009C656C" w:rsidRPr="003E0B98" w:rsidRDefault="009C656C" w:rsidP="004361AC">
      <w:pPr>
        <w:tabs>
          <w:tab w:val="clear" w:pos="567"/>
        </w:tabs>
        <w:spacing w:line="240" w:lineRule="auto"/>
        <w:rPr>
          <w:color w:val="000000"/>
          <w:szCs w:val="22"/>
          <w:lang w:val="es-ES_tradnl"/>
        </w:rPr>
      </w:pPr>
    </w:p>
    <w:p w14:paraId="686E3685" w14:textId="77777777" w:rsidR="009C656C" w:rsidRPr="003E0B98" w:rsidRDefault="009C656C" w:rsidP="004361AC">
      <w:pPr>
        <w:keepNext/>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es-ES_tradnl"/>
        </w:rPr>
      </w:pPr>
      <w:r w:rsidRPr="003E0B98">
        <w:rPr>
          <w:b/>
          <w:color w:val="000000"/>
          <w:szCs w:val="22"/>
          <w:lang w:val="es-ES_tradnl"/>
        </w:rPr>
        <w:t>17.</w:t>
      </w:r>
      <w:r w:rsidRPr="003E0B98">
        <w:rPr>
          <w:b/>
          <w:color w:val="000000"/>
          <w:szCs w:val="22"/>
          <w:lang w:val="es-ES_tradnl"/>
        </w:rPr>
        <w:tab/>
      </w:r>
      <w:r w:rsidRPr="003E0B98">
        <w:rPr>
          <w:b/>
          <w:noProof/>
          <w:color w:val="000000"/>
          <w:lang w:val="es-ES_tradnl"/>
        </w:rPr>
        <w:t>IDENTIFICADOR ÚNICO – CÓDIGO DE BARRAS 2D</w:t>
      </w:r>
    </w:p>
    <w:p w14:paraId="672E7297" w14:textId="77777777" w:rsidR="009C656C" w:rsidRPr="003E0B98" w:rsidRDefault="009C656C" w:rsidP="004361AC">
      <w:pPr>
        <w:keepNext/>
        <w:tabs>
          <w:tab w:val="clear" w:pos="567"/>
        </w:tabs>
        <w:spacing w:line="240" w:lineRule="auto"/>
        <w:rPr>
          <w:color w:val="000000"/>
          <w:szCs w:val="22"/>
          <w:lang w:val="es-ES_tradnl"/>
        </w:rPr>
      </w:pPr>
    </w:p>
    <w:p w14:paraId="7BEF08BB" w14:textId="77777777" w:rsidR="009C656C" w:rsidRPr="003E0B98" w:rsidRDefault="009C656C" w:rsidP="004361AC">
      <w:pPr>
        <w:tabs>
          <w:tab w:val="clear" w:pos="567"/>
        </w:tabs>
        <w:spacing w:line="240" w:lineRule="auto"/>
        <w:rPr>
          <w:color w:val="000000"/>
          <w:szCs w:val="22"/>
          <w:lang w:val="es-ES"/>
        </w:rPr>
      </w:pPr>
      <w:r w:rsidRPr="003E0B98">
        <w:rPr>
          <w:shd w:val="pct15" w:color="auto" w:fill="auto"/>
          <w:lang w:val="es-ES_tradnl"/>
        </w:rPr>
        <w:t>Incluido el código de barras 2D que lleva el identificador único.</w:t>
      </w:r>
    </w:p>
    <w:p w14:paraId="1C2EF422" w14:textId="77777777" w:rsidR="009C656C" w:rsidRPr="003E0B98" w:rsidRDefault="009C656C" w:rsidP="004361AC">
      <w:pPr>
        <w:tabs>
          <w:tab w:val="clear" w:pos="567"/>
        </w:tabs>
        <w:spacing w:line="240" w:lineRule="auto"/>
        <w:ind w:right="113"/>
        <w:rPr>
          <w:color w:val="000000"/>
          <w:szCs w:val="22"/>
          <w:lang w:val="es-ES"/>
        </w:rPr>
      </w:pPr>
    </w:p>
    <w:p w14:paraId="50587C1D" w14:textId="77777777" w:rsidR="009C656C" w:rsidRPr="003E0B98" w:rsidRDefault="009C656C" w:rsidP="004361AC">
      <w:pPr>
        <w:tabs>
          <w:tab w:val="clear" w:pos="567"/>
        </w:tabs>
        <w:spacing w:line="240" w:lineRule="auto"/>
        <w:rPr>
          <w:color w:val="000000"/>
          <w:szCs w:val="22"/>
          <w:lang w:val="es-ES_tradnl"/>
        </w:rPr>
      </w:pPr>
    </w:p>
    <w:p w14:paraId="6D9E547A" w14:textId="77777777" w:rsidR="009C656C" w:rsidRPr="003E0B98" w:rsidRDefault="009C656C" w:rsidP="004361AC">
      <w:pPr>
        <w:keepNext/>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es-ES_tradnl"/>
        </w:rPr>
      </w:pPr>
      <w:r w:rsidRPr="003E0B98">
        <w:rPr>
          <w:b/>
          <w:color w:val="000000"/>
          <w:szCs w:val="22"/>
          <w:lang w:val="es-ES_tradnl"/>
        </w:rPr>
        <w:t>18.</w:t>
      </w:r>
      <w:r w:rsidRPr="003E0B98">
        <w:rPr>
          <w:b/>
          <w:color w:val="000000"/>
          <w:szCs w:val="22"/>
          <w:lang w:val="es-ES_tradnl"/>
        </w:rPr>
        <w:tab/>
      </w:r>
      <w:r w:rsidRPr="003E0B98">
        <w:rPr>
          <w:b/>
          <w:noProof/>
          <w:color w:val="000000"/>
          <w:lang w:val="es-ES_tradnl"/>
        </w:rPr>
        <w:t>IDENTIFICADOR ÚNICO – INFORMACIÓN EN CARACTERES VISUALES</w:t>
      </w:r>
    </w:p>
    <w:p w14:paraId="6E1BB465" w14:textId="77777777" w:rsidR="009C656C" w:rsidRPr="003E0B98" w:rsidRDefault="009C656C" w:rsidP="004361AC">
      <w:pPr>
        <w:keepNext/>
        <w:tabs>
          <w:tab w:val="clear" w:pos="567"/>
        </w:tabs>
        <w:spacing w:line="240" w:lineRule="auto"/>
        <w:rPr>
          <w:color w:val="000000"/>
          <w:szCs w:val="22"/>
          <w:lang w:val="es-ES_tradnl"/>
        </w:rPr>
      </w:pPr>
    </w:p>
    <w:p w14:paraId="37E46C12" w14:textId="6C68BF52" w:rsidR="009C656C" w:rsidRPr="003E0B98" w:rsidRDefault="009C656C" w:rsidP="004361AC">
      <w:pPr>
        <w:keepNext/>
        <w:tabs>
          <w:tab w:val="clear" w:pos="567"/>
        </w:tabs>
        <w:spacing w:line="240" w:lineRule="auto"/>
        <w:ind w:right="113"/>
        <w:rPr>
          <w:color w:val="000000"/>
          <w:szCs w:val="22"/>
          <w:lang w:val="es-ES"/>
        </w:rPr>
      </w:pPr>
      <w:r w:rsidRPr="003E0B98">
        <w:rPr>
          <w:color w:val="000000"/>
          <w:szCs w:val="22"/>
          <w:lang w:val="es-ES"/>
        </w:rPr>
        <w:t>PC</w:t>
      </w:r>
    </w:p>
    <w:p w14:paraId="5112BF3C" w14:textId="0980AC78" w:rsidR="009C656C" w:rsidRPr="003E0B98" w:rsidRDefault="009C656C" w:rsidP="004361AC">
      <w:pPr>
        <w:keepNext/>
        <w:tabs>
          <w:tab w:val="clear" w:pos="567"/>
        </w:tabs>
        <w:spacing w:line="240" w:lineRule="auto"/>
        <w:ind w:right="113"/>
        <w:rPr>
          <w:color w:val="000000"/>
          <w:szCs w:val="22"/>
          <w:lang w:val="es-ES"/>
        </w:rPr>
      </w:pPr>
      <w:r w:rsidRPr="003E0B98">
        <w:rPr>
          <w:color w:val="000000"/>
          <w:szCs w:val="22"/>
          <w:lang w:val="es-ES"/>
        </w:rPr>
        <w:t>SN</w:t>
      </w:r>
    </w:p>
    <w:p w14:paraId="573F52B0" w14:textId="28653EDA" w:rsidR="009C656C" w:rsidRPr="003E0B98" w:rsidRDefault="009C656C" w:rsidP="004361AC">
      <w:pPr>
        <w:tabs>
          <w:tab w:val="clear" w:pos="567"/>
        </w:tabs>
        <w:spacing w:line="240" w:lineRule="auto"/>
        <w:ind w:right="113"/>
        <w:rPr>
          <w:color w:val="000000"/>
          <w:szCs w:val="22"/>
          <w:lang w:val="es-ES"/>
        </w:rPr>
      </w:pPr>
      <w:r w:rsidRPr="003E0B98">
        <w:rPr>
          <w:color w:val="000000"/>
          <w:szCs w:val="22"/>
          <w:lang w:val="es-ES"/>
        </w:rPr>
        <w:t>NN</w:t>
      </w:r>
    </w:p>
    <w:p w14:paraId="33540760" w14:textId="77777777" w:rsidR="00816612" w:rsidRPr="003E0B98" w:rsidRDefault="00816612" w:rsidP="004361AC">
      <w:pPr>
        <w:tabs>
          <w:tab w:val="clear" w:pos="567"/>
        </w:tabs>
        <w:spacing w:line="240" w:lineRule="auto"/>
        <w:ind w:right="113"/>
        <w:rPr>
          <w:color w:val="000000"/>
          <w:szCs w:val="22"/>
          <w:lang w:val="es-ES_tradnl"/>
        </w:rPr>
      </w:pPr>
      <w:r w:rsidRPr="003E0B98">
        <w:rPr>
          <w:b/>
          <w:color w:val="000000"/>
          <w:szCs w:val="22"/>
          <w:lang w:val="es-ES_tradnl"/>
        </w:rPr>
        <w:br w:type="page"/>
      </w:r>
    </w:p>
    <w:p w14:paraId="39ABB4C2" w14:textId="77777777" w:rsidR="00F23C9B" w:rsidRPr="003E0B98" w:rsidRDefault="00F23C9B" w:rsidP="004361AC">
      <w:pPr>
        <w:tabs>
          <w:tab w:val="clear" w:pos="567"/>
        </w:tabs>
        <w:spacing w:line="240" w:lineRule="auto"/>
        <w:rPr>
          <w:color w:val="000000"/>
          <w:szCs w:val="22"/>
          <w:lang w:val="es-ES_tradnl"/>
        </w:rPr>
      </w:pPr>
    </w:p>
    <w:p w14:paraId="0B4249E0" w14:textId="77777777" w:rsidR="00816612" w:rsidRPr="003E0B98" w:rsidRDefault="00816612" w:rsidP="004361AC">
      <w:pPr>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es-ES_tradnl"/>
        </w:rPr>
      </w:pPr>
      <w:r w:rsidRPr="003E0B98">
        <w:rPr>
          <w:b/>
          <w:noProof/>
          <w:color w:val="000000"/>
          <w:lang w:val="es-ES_tradnl"/>
        </w:rPr>
        <w:t>INFORMACIÓN MÍNIMA QUE DEBE INCLUIRSE EN PEQUEÑOS ACONDICIONAMIENTOS PRIMARIOS</w:t>
      </w:r>
    </w:p>
    <w:p w14:paraId="0918D039" w14:textId="77777777" w:rsidR="00816612" w:rsidRPr="003E0B98" w:rsidRDefault="00816612" w:rsidP="004361AC">
      <w:pPr>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es-ES_tradnl"/>
        </w:rPr>
      </w:pPr>
    </w:p>
    <w:p w14:paraId="17F8D6E1" w14:textId="77777777" w:rsidR="00816612" w:rsidRPr="003E0B98" w:rsidRDefault="00816612" w:rsidP="004361AC">
      <w:pPr>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es-ES_tradnl"/>
        </w:rPr>
      </w:pPr>
      <w:r w:rsidRPr="003E0B98">
        <w:rPr>
          <w:b/>
          <w:color w:val="000000"/>
          <w:szCs w:val="22"/>
          <w:lang w:val="es-ES_tradnl"/>
        </w:rPr>
        <w:t>ETIQUETA</w:t>
      </w:r>
    </w:p>
    <w:p w14:paraId="405823BF" w14:textId="77777777" w:rsidR="00816612" w:rsidRPr="003E0B98" w:rsidRDefault="00816612" w:rsidP="004361AC">
      <w:pPr>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es-ES_tradnl"/>
        </w:rPr>
      </w:pPr>
    </w:p>
    <w:p w14:paraId="10601E19" w14:textId="77777777" w:rsidR="00816612" w:rsidRPr="003E0B98" w:rsidRDefault="00816612" w:rsidP="004361AC">
      <w:pPr>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es-ES_tradnl"/>
        </w:rPr>
      </w:pPr>
      <w:r w:rsidRPr="003E0B98">
        <w:rPr>
          <w:b/>
          <w:color w:val="000000"/>
          <w:szCs w:val="22"/>
          <w:lang w:val="es-ES_tradnl"/>
        </w:rPr>
        <w:t>VIAL</w:t>
      </w:r>
    </w:p>
    <w:p w14:paraId="526F520A" w14:textId="77777777" w:rsidR="00816612" w:rsidRPr="003E0B98" w:rsidRDefault="00816612" w:rsidP="004361AC">
      <w:pPr>
        <w:tabs>
          <w:tab w:val="clear" w:pos="567"/>
        </w:tabs>
        <w:spacing w:line="240" w:lineRule="auto"/>
        <w:rPr>
          <w:color w:val="000000"/>
          <w:szCs w:val="22"/>
          <w:lang w:val="es-ES_tradnl"/>
        </w:rPr>
      </w:pPr>
    </w:p>
    <w:p w14:paraId="13AB22E0" w14:textId="77777777" w:rsidR="00816612" w:rsidRPr="003E0B98" w:rsidRDefault="00816612" w:rsidP="004361AC">
      <w:pPr>
        <w:tabs>
          <w:tab w:val="clear" w:pos="567"/>
        </w:tabs>
        <w:spacing w:line="240" w:lineRule="auto"/>
        <w:rPr>
          <w:color w:val="000000"/>
          <w:szCs w:val="22"/>
          <w:lang w:val="es-ES_tradnl"/>
        </w:rPr>
      </w:pPr>
    </w:p>
    <w:p w14:paraId="2765ABAA" w14:textId="77777777" w:rsidR="00816612" w:rsidRPr="003E0B98" w:rsidRDefault="00816612" w:rsidP="004361AC">
      <w:pPr>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es-ES_tradnl"/>
        </w:rPr>
      </w:pPr>
      <w:r w:rsidRPr="003E0B98">
        <w:rPr>
          <w:b/>
          <w:color w:val="000000"/>
          <w:szCs w:val="22"/>
          <w:lang w:val="es-ES_tradnl"/>
        </w:rPr>
        <w:t>1.</w:t>
      </w:r>
      <w:r w:rsidRPr="003E0B98">
        <w:rPr>
          <w:b/>
          <w:color w:val="000000"/>
          <w:szCs w:val="22"/>
          <w:lang w:val="es-ES_tradnl"/>
        </w:rPr>
        <w:tab/>
      </w:r>
      <w:r w:rsidRPr="003E0B98">
        <w:rPr>
          <w:b/>
          <w:noProof/>
          <w:color w:val="000000"/>
          <w:lang w:val="es-ES_tradnl"/>
        </w:rPr>
        <w:t>NOMBRE DEL MEDICAMENTO Y VÍA(S) DE ADMINISTRACIÓN</w:t>
      </w:r>
    </w:p>
    <w:p w14:paraId="02776CC2" w14:textId="77777777" w:rsidR="00816612" w:rsidRPr="003E0B98" w:rsidRDefault="00816612" w:rsidP="004361AC">
      <w:pPr>
        <w:tabs>
          <w:tab w:val="clear" w:pos="567"/>
        </w:tabs>
        <w:spacing w:line="240" w:lineRule="auto"/>
        <w:ind w:left="567" w:hanging="567"/>
        <w:rPr>
          <w:color w:val="000000"/>
          <w:szCs w:val="22"/>
          <w:lang w:val="es-ES_tradnl"/>
        </w:rPr>
      </w:pPr>
    </w:p>
    <w:p w14:paraId="3A93F358" w14:textId="77777777" w:rsidR="00816612" w:rsidRPr="003E0B98" w:rsidRDefault="00816612" w:rsidP="004361AC">
      <w:pPr>
        <w:tabs>
          <w:tab w:val="clear" w:pos="567"/>
        </w:tabs>
        <w:spacing w:line="240" w:lineRule="auto"/>
        <w:rPr>
          <w:color w:val="000000"/>
          <w:szCs w:val="22"/>
          <w:lang w:val="es-ES_tradnl"/>
        </w:rPr>
      </w:pPr>
      <w:proofErr w:type="spellStart"/>
      <w:r w:rsidRPr="003E0B98">
        <w:rPr>
          <w:color w:val="000000"/>
          <w:szCs w:val="22"/>
          <w:lang w:val="es-ES_tradnl"/>
        </w:rPr>
        <w:t>Lucentis</w:t>
      </w:r>
      <w:proofErr w:type="spellEnd"/>
      <w:r w:rsidRPr="003E0B98">
        <w:rPr>
          <w:color w:val="000000"/>
          <w:szCs w:val="22"/>
          <w:lang w:val="es-ES_tradnl"/>
        </w:rPr>
        <w:t xml:space="preserve"> 10 mg/ml solución inyectable</w:t>
      </w:r>
    </w:p>
    <w:p w14:paraId="58EB3888" w14:textId="77777777" w:rsidR="00816612" w:rsidRPr="003E0B98" w:rsidRDefault="009C656C" w:rsidP="004361AC">
      <w:pPr>
        <w:tabs>
          <w:tab w:val="clear" w:pos="567"/>
        </w:tabs>
        <w:spacing w:line="240" w:lineRule="auto"/>
        <w:rPr>
          <w:color w:val="000000"/>
          <w:szCs w:val="22"/>
          <w:lang w:val="es-ES_tradnl"/>
        </w:rPr>
      </w:pPr>
      <w:proofErr w:type="spellStart"/>
      <w:r w:rsidRPr="003E0B98">
        <w:rPr>
          <w:color w:val="000000"/>
          <w:szCs w:val="22"/>
          <w:lang w:val="es-ES_tradnl"/>
        </w:rPr>
        <w:t>r</w:t>
      </w:r>
      <w:r w:rsidR="00816612" w:rsidRPr="003E0B98">
        <w:rPr>
          <w:color w:val="000000"/>
          <w:szCs w:val="22"/>
          <w:lang w:val="es-ES_tradnl"/>
        </w:rPr>
        <w:t>anibizumab</w:t>
      </w:r>
      <w:proofErr w:type="spellEnd"/>
    </w:p>
    <w:p w14:paraId="52E4A7C6" w14:textId="77777777" w:rsidR="00816612" w:rsidRPr="003E0B98" w:rsidRDefault="00816612" w:rsidP="004361AC">
      <w:pPr>
        <w:tabs>
          <w:tab w:val="clear" w:pos="567"/>
        </w:tabs>
        <w:spacing w:line="240" w:lineRule="auto"/>
        <w:rPr>
          <w:color w:val="000000"/>
          <w:szCs w:val="22"/>
          <w:lang w:val="es-ES_tradnl"/>
        </w:rPr>
      </w:pPr>
      <w:r w:rsidRPr="003E0B98">
        <w:rPr>
          <w:color w:val="000000"/>
          <w:szCs w:val="22"/>
          <w:lang w:val="es-ES_tradnl"/>
        </w:rPr>
        <w:t>Vía intravítrea</w:t>
      </w:r>
    </w:p>
    <w:p w14:paraId="29054620" w14:textId="77777777" w:rsidR="00816612" w:rsidRPr="003E0B98" w:rsidRDefault="00816612" w:rsidP="004361AC">
      <w:pPr>
        <w:tabs>
          <w:tab w:val="clear" w:pos="567"/>
        </w:tabs>
        <w:spacing w:line="240" w:lineRule="auto"/>
        <w:rPr>
          <w:color w:val="000000"/>
          <w:szCs w:val="22"/>
          <w:lang w:val="es-ES_tradnl"/>
        </w:rPr>
      </w:pPr>
    </w:p>
    <w:p w14:paraId="4A600261" w14:textId="77777777" w:rsidR="00816612" w:rsidRPr="003E0B98" w:rsidRDefault="00816612" w:rsidP="004361AC">
      <w:pPr>
        <w:tabs>
          <w:tab w:val="clear" w:pos="567"/>
        </w:tabs>
        <w:spacing w:line="240" w:lineRule="auto"/>
        <w:rPr>
          <w:color w:val="000000"/>
          <w:szCs w:val="22"/>
          <w:lang w:val="es-ES_tradnl"/>
        </w:rPr>
      </w:pPr>
    </w:p>
    <w:p w14:paraId="60482B63" w14:textId="77777777" w:rsidR="00816612" w:rsidRPr="003E0B98" w:rsidRDefault="00816612" w:rsidP="004361AC">
      <w:pPr>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es-ES_tradnl"/>
        </w:rPr>
      </w:pPr>
      <w:r w:rsidRPr="003E0B98">
        <w:rPr>
          <w:b/>
          <w:color w:val="000000"/>
          <w:szCs w:val="22"/>
          <w:lang w:val="es-ES_tradnl"/>
        </w:rPr>
        <w:t>2.</w:t>
      </w:r>
      <w:r w:rsidRPr="003E0B98">
        <w:rPr>
          <w:b/>
          <w:color w:val="000000"/>
          <w:szCs w:val="22"/>
          <w:lang w:val="es-ES_tradnl"/>
        </w:rPr>
        <w:tab/>
      </w:r>
      <w:r w:rsidRPr="003E0B98">
        <w:rPr>
          <w:b/>
          <w:noProof/>
          <w:color w:val="000000"/>
          <w:lang w:val="es-ES_tradnl"/>
        </w:rPr>
        <w:t>FORMA DE ADMINISTRACIÓN</w:t>
      </w:r>
    </w:p>
    <w:p w14:paraId="4BB5613C" w14:textId="77777777" w:rsidR="00816612" w:rsidRPr="003E0B98" w:rsidRDefault="00816612" w:rsidP="004361AC">
      <w:pPr>
        <w:tabs>
          <w:tab w:val="clear" w:pos="567"/>
        </w:tabs>
        <w:spacing w:line="240" w:lineRule="auto"/>
        <w:rPr>
          <w:color w:val="000000"/>
          <w:szCs w:val="22"/>
          <w:lang w:val="es-ES_tradnl"/>
        </w:rPr>
      </w:pPr>
    </w:p>
    <w:p w14:paraId="086026B3" w14:textId="77777777" w:rsidR="00816612" w:rsidRPr="003E0B98" w:rsidRDefault="00816612" w:rsidP="004361AC">
      <w:pPr>
        <w:tabs>
          <w:tab w:val="clear" w:pos="567"/>
        </w:tabs>
        <w:spacing w:line="240" w:lineRule="auto"/>
        <w:rPr>
          <w:color w:val="000000"/>
          <w:szCs w:val="22"/>
          <w:lang w:val="es-ES_tradnl"/>
        </w:rPr>
      </w:pPr>
    </w:p>
    <w:p w14:paraId="6BB943B8" w14:textId="77777777" w:rsidR="00816612" w:rsidRPr="003E0B98" w:rsidRDefault="00816612" w:rsidP="004361AC">
      <w:pPr>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es-ES_tradnl"/>
        </w:rPr>
      </w:pPr>
      <w:r w:rsidRPr="003E0B98">
        <w:rPr>
          <w:b/>
          <w:color w:val="000000"/>
          <w:szCs w:val="22"/>
          <w:lang w:val="es-ES_tradnl"/>
        </w:rPr>
        <w:t>3.</w:t>
      </w:r>
      <w:r w:rsidRPr="003E0B98">
        <w:rPr>
          <w:b/>
          <w:color w:val="000000"/>
          <w:szCs w:val="22"/>
          <w:lang w:val="es-ES_tradnl"/>
        </w:rPr>
        <w:tab/>
      </w:r>
      <w:r w:rsidRPr="003E0B98">
        <w:rPr>
          <w:b/>
          <w:noProof/>
          <w:color w:val="000000"/>
          <w:lang w:val="es-ES_tradnl"/>
        </w:rPr>
        <w:t>FECHA DE CADUCIDAD</w:t>
      </w:r>
    </w:p>
    <w:p w14:paraId="3D67C781" w14:textId="77777777" w:rsidR="00816612" w:rsidRPr="003E0B98" w:rsidRDefault="00816612" w:rsidP="004361AC">
      <w:pPr>
        <w:tabs>
          <w:tab w:val="clear" w:pos="567"/>
        </w:tabs>
        <w:spacing w:line="240" w:lineRule="auto"/>
        <w:rPr>
          <w:color w:val="000000"/>
          <w:szCs w:val="22"/>
          <w:lang w:val="es-ES_tradnl"/>
        </w:rPr>
      </w:pPr>
    </w:p>
    <w:p w14:paraId="515D7BCD" w14:textId="77777777" w:rsidR="00816612" w:rsidRPr="003E0B98" w:rsidRDefault="00816612" w:rsidP="004361AC">
      <w:pPr>
        <w:tabs>
          <w:tab w:val="clear" w:pos="567"/>
        </w:tabs>
        <w:spacing w:line="240" w:lineRule="auto"/>
        <w:rPr>
          <w:color w:val="000000"/>
          <w:szCs w:val="22"/>
          <w:lang w:val="es-ES_tradnl"/>
        </w:rPr>
      </w:pPr>
      <w:r w:rsidRPr="003E0B98">
        <w:rPr>
          <w:color w:val="000000"/>
          <w:szCs w:val="22"/>
          <w:lang w:val="es-ES_tradnl"/>
        </w:rPr>
        <w:t>EXP</w:t>
      </w:r>
    </w:p>
    <w:p w14:paraId="0A633C72" w14:textId="77777777" w:rsidR="00816612" w:rsidRPr="003E0B98" w:rsidRDefault="00816612" w:rsidP="004361AC">
      <w:pPr>
        <w:tabs>
          <w:tab w:val="clear" w:pos="567"/>
        </w:tabs>
        <w:spacing w:line="240" w:lineRule="auto"/>
        <w:rPr>
          <w:color w:val="000000"/>
          <w:szCs w:val="22"/>
          <w:lang w:val="es-ES_tradnl"/>
        </w:rPr>
      </w:pPr>
    </w:p>
    <w:p w14:paraId="1C129425" w14:textId="77777777" w:rsidR="00816612" w:rsidRPr="003E0B98" w:rsidRDefault="00816612" w:rsidP="004361AC">
      <w:pPr>
        <w:tabs>
          <w:tab w:val="clear" w:pos="567"/>
        </w:tabs>
        <w:spacing w:line="240" w:lineRule="auto"/>
        <w:rPr>
          <w:color w:val="000000"/>
          <w:szCs w:val="22"/>
          <w:lang w:val="es-ES_tradnl"/>
        </w:rPr>
      </w:pPr>
    </w:p>
    <w:p w14:paraId="0FCA01CC" w14:textId="77777777" w:rsidR="00816612" w:rsidRPr="003E0B98" w:rsidRDefault="00816612" w:rsidP="004361AC">
      <w:pPr>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es-ES_tradnl"/>
        </w:rPr>
      </w:pPr>
      <w:r w:rsidRPr="003E0B98">
        <w:rPr>
          <w:b/>
          <w:color w:val="000000"/>
          <w:szCs w:val="22"/>
          <w:lang w:val="es-ES_tradnl"/>
        </w:rPr>
        <w:t>4.</w:t>
      </w:r>
      <w:r w:rsidRPr="003E0B98">
        <w:rPr>
          <w:b/>
          <w:color w:val="000000"/>
          <w:szCs w:val="22"/>
          <w:lang w:val="es-ES_tradnl"/>
        </w:rPr>
        <w:tab/>
      </w:r>
      <w:r w:rsidRPr="003E0B98">
        <w:rPr>
          <w:b/>
          <w:noProof/>
          <w:color w:val="000000"/>
          <w:lang w:val="es-ES_tradnl"/>
        </w:rPr>
        <w:t>NÚMERO DE LOTE</w:t>
      </w:r>
    </w:p>
    <w:p w14:paraId="53B3A4FB" w14:textId="77777777" w:rsidR="00816612" w:rsidRPr="003E0B98" w:rsidRDefault="00816612" w:rsidP="004361AC">
      <w:pPr>
        <w:tabs>
          <w:tab w:val="clear" w:pos="567"/>
        </w:tabs>
        <w:spacing w:line="240" w:lineRule="auto"/>
        <w:ind w:right="113"/>
        <w:rPr>
          <w:color w:val="000000"/>
          <w:szCs w:val="22"/>
          <w:lang w:val="es-ES_tradnl"/>
        </w:rPr>
      </w:pPr>
    </w:p>
    <w:p w14:paraId="2DCD2207" w14:textId="77777777" w:rsidR="00816612" w:rsidRPr="003E0B98" w:rsidRDefault="00816612" w:rsidP="004361AC">
      <w:pPr>
        <w:tabs>
          <w:tab w:val="clear" w:pos="567"/>
        </w:tabs>
        <w:spacing w:line="240" w:lineRule="auto"/>
        <w:ind w:right="113"/>
        <w:rPr>
          <w:color w:val="000000"/>
          <w:szCs w:val="22"/>
          <w:lang w:val="es-ES_tradnl"/>
        </w:rPr>
      </w:pPr>
      <w:r w:rsidRPr="003E0B98">
        <w:rPr>
          <w:color w:val="000000"/>
          <w:szCs w:val="22"/>
          <w:lang w:val="es-ES_tradnl"/>
        </w:rPr>
        <w:t>Lot</w:t>
      </w:r>
    </w:p>
    <w:p w14:paraId="319F2F26" w14:textId="77777777" w:rsidR="00816612" w:rsidRPr="003E0B98" w:rsidRDefault="00816612" w:rsidP="004361AC">
      <w:pPr>
        <w:tabs>
          <w:tab w:val="clear" w:pos="567"/>
        </w:tabs>
        <w:spacing w:line="240" w:lineRule="auto"/>
        <w:ind w:right="113"/>
        <w:rPr>
          <w:color w:val="000000"/>
          <w:szCs w:val="22"/>
          <w:lang w:val="es-ES_tradnl"/>
        </w:rPr>
      </w:pPr>
    </w:p>
    <w:p w14:paraId="42E09F05" w14:textId="77777777" w:rsidR="00816612" w:rsidRPr="003E0B98" w:rsidRDefault="00816612" w:rsidP="004361AC">
      <w:pPr>
        <w:tabs>
          <w:tab w:val="clear" w:pos="567"/>
        </w:tabs>
        <w:spacing w:line="240" w:lineRule="auto"/>
        <w:ind w:right="113"/>
        <w:rPr>
          <w:color w:val="000000"/>
          <w:szCs w:val="22"/>
          <w:lang w:val="es-ES_tradnl"/>
        </w:rPr>
      </w:pPr>
    </w:p>
    <w:p w14:paraId="3E4150F8" w14:textId="77777777" w:rsidR="00816612" w:rsidRPr="003E0B98" w:rsidRDefault="00816612" w:rsidP="004361AC">
      <w:pPr>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es-ES_tradnl"/>
        </w:rPr>
      </w:pPr>
      <w:r w:rsidRPr="003E0B98">
        <w:rPr>
          <w:b/>
          <w:color w:val="000000"/>
          <w:szCs w:val="22"/>
          <w:lang w:val="es-ES_tradnl"/>
        </w:rPr>
        <w:t>5.</w:t>
      </w:r>
      <w:r w:rsidRPr="003E0B98">
        <w:rPr>
          <w:b/>
          <w:color w:val="000000"/>
          <w:szCs w:val="22"/>
          <w:lang w:val="es-ES_tradnl"/>
        </w:rPr>
        <w:tab/>
      </w:r>
      <w:r w:rsidRPr="003E0B98">
        <w:rPr>
          <w:b/>
          <w:color w:val="000000"/>
          <w:szCs w:val="22"/>
          <w:lang w:val="es-ES"/>
        </w:rPr>
        <w:t>CONTENIDO EN PESO, EN VOLUMEN O EN UNIDADES</w:t>
      </w:r>
    </w:p>
    <w:p w14:paraId="6ACBFEE0" w14:textId="77777777" w:rsidR="00816612" w:rsidRPr="003E0B98" w:rsidRDefault="00816612" w:rsidP="004361AC">
      <w:pPr>
        <w:tabs>
          <w:tab w:val="clear" w:pos="567"/>
        </w:tabs>
        <w:spacing w:line="240" w:lineRule="auto"/>
        <w:ind w:right="113"/>
        <w:rPr>
          <w:color w:val="000000"/>
          <w:szCs w:val="22"/>
          <w:lang w:val="es-ES_tradnl"/>
        </w:rPr>
      </w:pPr>
    </w:p>
    <w:p w14:paraId="2EFDCDD7" w14:textId="77777777" w:rsidR="00816612" w:rsidRPr="003E0B98" w:rsidRDefault="00816612" w:rsidP="004361AC">
      <w:pPr>
        <w:tabs>
          <w:tab w:val="clear" w:pos="567"/>
        </w:tabs>
        <w:spacing w:line="240" w:lineRule="auto"/>
        <w:ind w:right="113"/>
        <w:rPr>
          <w:color w:val="000000"/>
          <w:szCs w:val="22"/>
          <w:lang w:val="es-ES_tradnl"/>
        </w:rPr>
      </w:pPr>
      <w:r w:rsidRPr="003E0B98">
        <w:rPr>
          <w:color w:val="000000"/>
          <w:szCs w:val="22"/>
          <w:lang w:val="es-ES_tradnl"/>
        </w:rPr>
        <w:t>2,3 mg</w:t>
      </w:r>
      <w:r w:rsidR="008E3098" w:rsidRPr="003E0B98">
        <w:rPr>
          <w:color w:val="000000"/>
          <w:szCs w:val="22"/>
          <w:lang w:val="es-ES"/>
        </w:rPr>
        <w:t>/0,23 ml</w:t>
      </w:r>
    </w:p>
    <w:p w14:paraId="59CE6B53" w14:textId="77777777" w:rsidR="00816612" w:rsidRPr="003E0B98" w:rsidRDefault="00816612" w:rsidP="004361AC">
      <w:pPr>
        <w:tabs>
          <w:tab w:val="clear" w:pos="567"/>
        </w:tabs>
        <w:spacing w:line="240" w:lineRule="auto"/>
        <w:ind w:right="113"/>
        <w:rPr>
          <w:color w:val="000000"/>
          <w:szCs w:val="22"/>
          <w:lang w:val="es-ES_tradnl"/>
        </w:rPr>
      </w:pPr>
    </w:p>
    <w:p w14:paraId="5EF82E29" w14:textId="77777777" w:rsidR="00816612" w:rsidRPr="003E0B98" w:rsidRDefault="00816612" w:rsidP="004361AC">
      <w:pPr>
        <w:tabs>
          <w:tab w:val="clear" w:pos="567"/>
        </w:tabs>
        <w:spacing w:line="240" w:lineRule="auto"/>
        <w:ind w:right="113"/>
        <w:rPr>
          <w:color w:val="000000"/>
          <w:szCs w:val="22"/>
          <w:lang w:val="es-ES_tradnl"/>
        </w:rPr>
      </w:pPr>
    </w:p>
    <w:p w14:paraId="720FC105" w14:textId="77777777" w:rsidR="00816612" w:rsidRPr="003E0B98" w:rsidRDefault="00816612" w:rsidP="004361AC">
      <w:pPr>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es-ES_tradnl"/>
        </w:rPr>
      </w:pPr>
      <w:r w:rsidRPr="003E0B98">
        <w:rPr>
          <w:b/>
          <w:color w:val="000000"/>
          <w:szCs w:val="22"/>
          <w:lang w:val="es-ES_tradnl"/>
        </w:rPr>
        <w:t>6.</w:t>
      </w:r>
      <w:r w:rsidRPr="003E0B98">
        <w:rPr>
          <w:b/>
          <w:color w:val="000000"/>
          <w:szCs w:val="22"/>
          <w:lang w:val="es-ES_tradnl"/>
        </w:rPr>
        <w:tab/>
      </w:r>
      <w:r w:rsidRPr="003E0B98">
        <w:rPr>
          <w:b/>
          <w:noProof/>
          <w:color w:val="000000"/>
          <w:lang w:val="es-ES_tradnl"/>
        </w:rPr>
        <w:t>OTROS</w:t>
      </w:r>
    </w:p>
    <w:p w14:paraId="616CCCC2" w14:textId="77777777" w:rsidR="00816612" w:rsidRPr="003E0B98" w:rsidRDefault="00816612" w:rsidP="004361AC">
      <w:pPr>
        <w:tabs>
          <w:tab w:val="clear" w:pos="567"/>
        </w:tabs>
        <w:spacing w:line="240" w:lineRule="auto"/>
        <w:rPr>
          <w:color w:val="000000"/>
          <w:szCs w:val="22"/>
          <w:lang w:val="es-ES_tradnl"/>
        </w:rPr>
      </w:pPr>
    </w:p>
    <w:p w14:paraId="25F816B4" w14:textId="77777777" w:rsidR="00FA2D95" w:rsidRPr="003E0B98" w:rsidRDefault="00816612" w:rsidP="004361AC">
      <w:pPr>
        <w:tabs>
          <w:tab w:val="clear" w:pos="567"/>
        </w:tabs>
        <w:spacing w:line="240" w:lineRule="auto"/>
        <w:rPr>
          <w:color w:val="000000"/>
          <w:szCs w:val="22"/>
          <w:lang w:val="es-ES_tradnl"/>
        </w:rPr>
      </w:pPr>
      <w:r w:rsidRPr="003E0B98">
        <w:rPr>
          <w:b/>
          <w:color w:val="000000"/>
          <w:szCs w:val="22"/>
          <w:u w:val="single"/>
          <w:lang w:val="es-ES_tradnl"/>
        </w:rPr>
        <w:br w:type="page"/>
      </w:r>
    </w:p>
    <w:p w14:paraId="398BC445" w14:textId="77777777" w:rsidR="00FA2D95" w:rsidRPr="003E0B98" w:rsidRDefault="00FA2D95" w:rsidP="004361AC">
      <w:pPr>
        <w:tabs>
          <w:tab w:val="clear" w:pos="567"/>
        </w:tabs>
        <w:spacing w:line="240" w:lineRule="auto"/>
        <w:rPr>
          <w:color w:val="000000"/>
          <w:szCs w:val="22"/>
          <w:lang w:val="es-ES_tradnl"/>
        </w:rPr>
      </w:pPr>
    </w:p>
    <w:p w14:paraId="41F54C7B" w14:textId="77777777" w:rsidR="00FA2D95" w:rsidRPr="003E0B98" w:rsidRDefault="00FA2D95" w:rsidP="004361AC">
      <w:pPr>
        <w:tabs>
          <w:tab w:val="clear" w:pos="567"/>
        </w:tabs>
        <w:spacing w:line="240" w:lineRule="auto"/>
        <w:rPr>
          <w:color w:val="000000"/>
          <w:szCs w:val="22"/>
          <w:lang w:val="es-ES_tradnl"/>
        </w:rPr>
      </w:pPr>
    </w:p>
    <w:p w14:paraId="7A83D41C" w14:textId="77777777" w:rsidR="00FA2D95" w:rsidRPr="003E0B98" w:rsidRDefault="00FA2D95" w:rsidP="004361AC">
      <w:pPr>
        <w:tabs>
          <w:tab w:val="clear" w:pos="567"/>
        </w:tabs>
        <w:spacing w:line="240" w:lineRule="auto"/>
        <w:rPr>
          <w:color w:val="000000"/>
          <w:szCs w:val="22"/>
          <w:lang w:val="es-ES_tradnl"/>
        </w:rPr>
      </w:pPr>
    </w:p>
    <w:p w14:paraId="2E6D36AD" w14:textId="77777777" w:rsidR="00FA2D95" w:rsidRPr="003E0B98" w:rsidRDefault="00FA2D95" w:rsidP="004361AC">
      <w:pPr>
        <w:tabs>
          <w:tab w:val="clear" w:pos="567"/>
        </w:tabs>
        <w:spacing w:line="240" w:lineRule="auto"/>
        <w:rPr>
          <w:color w:val="000000"/>
          <w:szCs w:val="22"/>
          <w:lang w:val="es-ES_tradnl"/>
        </w:rPr>
      </w:pPr>
    </w:p>
    <w:p w14:paraId="2ED7521B" w14:textId="77777777" w:rsidR="00FA2D95" w:rsidRPr="003E0B98" w:rsidRDefault="00FA2D95" w:rsidP="004361AC">
      <w:pPr>
        <w:tabs>
          <w:tab w:val="clear" w:pos="567"/>
        </w:tabs>
        <w:spacing w:line="240" w:lineRule="auto"/>
        <w:rPr>
          <w:color w:val="000000"/>
          <w:szCs w:val="22"/>
          <w:lang w:val="es-ES_tradnl"/>
        </w:rPr>
      </w:pPr>
    </w:p>
    <w:p w14:paraId="1575A5AF" w14:textId="77777777" w:rsidR="00FA2D95" w:rsidRPr="003E0B98" w:rsidRDefault="00FA2D95" w:rsidP="004361AC">
      <w:pPr>
        <w:tabs>
          <w:tab w:val="clear" w:pos="567"/>
        </w:tabs>
        <w:spacing w:line="240" w:lineRule="auto"/>
        <w:rPr>
          <w:color w:val="000000"/>
          <w:szCs w:val="22"/>
          <w:lang w:val="es-ES_tradnl"/>
        </w:rPr>
      </w:pPr>
    </w:p>
    <w:p w14:paraId="5D61F62D" w14:textId="77777777" w:rsidR="00FA2D95" w:rsidRPr="003E0B98" w:rsidRDefault="00FA2D95" w:rsidP="004361AC">
      <w:pPr>
        <w:tabs>
          <w:tab w:val="clear" w:pos="567"/>
        </w:tabs>
        <w:spacing w:line="240" w:lineRule="auto"/>
        <w:rPr>
          <w:color w:val="000000"/>
          <w:szCs w:val="22"/>
          <w:lang w:val="es-ES_tradnl"/>
        </w:rPr>
      </w:pPr>
    </w:p>
    <w:p w14:paraId="122E00C1" w14:textId="77777777" w:rsidR="00FA2D95" w:rsidRPr="003E0B98" w:rsidRDefault="00FA2D95" w:rsidP="004361AC">
      <w:pPr>
        <w:tabs>
          <w:tab w:val="clear" w:pos="567"/>
        </w:tabs>
        <w:spacing w:line="240" w:lineRule="auto"/>
        <w:rPr>
          <w:color w:val="000000"/>
          <w:szCs w:val="22"/>
          <w:lang w:val="es-ES_tradnl"/>
        </w:rPr>
      </w:pPr>
    </w:p>
    <w:p w14:paraId="09DFAEE1" w14:textId="77777777" w:rsidR="00FA2D95" w:rsidRPr="003E0B98" w:rsidRDefault="00FA2D95" w:rsidP="004361AC">
      <w:pPr>
        <w:tabs>
          <w:tab w:val="clear" w:pos="567"/>
        </w:tabs>
        <w:spacing w:line="240" w:lineRule="auto"/>
        <w:rPr>
          <w:color w:val="000000"/>
          <w:szCs w:val="22"/>
          <w:lang w:val="es-ES_tradnl"/>
        </w:rPr>
      </w:pPr>
    </w:p>
    <w:p w14:paraId="65449B25" w14:textId="77777777" w:rsidR="00FA2D95" w:rsidRPr="003E0B98" w:rsidRDefault="00FA2D95" w:rsidP="004361AC">
      <w:pPr>
        <w:tabs>
          <w:tab w:val="clear" w:pos="567"/>
        </w:tabs>
        <w:spacing w:line="240" w:lineRule="auto"/>
        <w:rPr>
          <w:color w:val="000000"/>
          <w:szCs w:val="22"/>
          <w:lang w:val="es-ES_tradnl"/>
        </w:rPr>
      </w:pPr>
    </w:p>
    <w:p w14:paraId="1400B721" w14:textId="77777777" w:rsidR="00FA2D95" w:rsidRPr="003E0B98" w:rsidRDefault="00FA2D95" w:rsidP="004361AC">
      <w:pPr>
        <w:tabs>
          <w:tab w:val="clear" w:pos="567"/>
        </w:tabs>
        <w:spacing w:line="240" w:lineRule="auto"/>
        <w:rPr>
          <w:color w:val="000000"/>
          <w:szCs w:val="22"/>
          <w:lang w:val="es-ES_tradnl"/>
        </w:rPr>
      </w:pPr>
    </w:p>
    <w:p w14:paraId="7A7E3AE9" w14:textId="77777777" w:rsidR="00FA2D95" w:rsidRPr="003E0B98" w:rsidRDefault="00FA2D95" w:rsidP="004361AC">
      <w:pPr>
        <w:tabs>
          <w:tab w:val="clear" w:pos="567"/>
        </w:tabs>
        <w:spacing w:line="240" w:lineRule="auto"/>
        <w:rPr>
          <w:color w:val="000000"/>
          <w:szCs w:val="22"/>
          <w:lang w:val="es-ES_tradnl"/>
        </w:rPr>
      </w:pPr>
    </w:p>
    <w:p w14:paraId="57A6F940" w14:textId="77777777" w:rsidR="00FA2D95" w:rsidRPr="003E0B98" w:rsidRDefault="00FA2D95" w:rsidP="004361AC">
      <w:pPr>
        <w:tabs>
          <w:tab w:val="clear" w:pos="567"/>
        </w:tabs>
        <w:spacing w:line="240" w:lineRule="auto"/>
        <w:rPr>
          <w:color w:val="000000"/>
          <w:szCs w:val="22"/>
          <w:lang w:val="es-ES_tradnl"/>
        </w:rPr>
      </w:pPr>
    </w:p>
    <w:p w14:paraId="3BB4E8C9" w14:textId="77777777" w:rsidR="00FA2D95" w:rsidRPr="003E0B98" w:rsidRDefault="00FA2D95" w:rsidP="004361AC">
      <w:pPr>
        <w:tabs>
          <w:tab w:val="clear" w:pos="567"/>
        </w:tabs>
        <w:spacing w:line="240" w:lineRule="auto"/>
        <w:rPr>
          <w:color w:val="000000"/>
          <w:szCs w:val="22"/>
          <w:lang w:val="es-ES_tradnl"/>
        </w:rPr>
      </w:pPr>
    </w:p>
    <w:p w14:paraId="26534D60" w14:textId="77777777" w:rsidR="00FA2D95" w:rsidRPr="003E0B98" w:rsidRDefault="00FA2D95" w:rsidP="004361AC">
      <w:pPr>
        <w:tabs>
          <w:tab w:val="clear" w:pos="567"/>
        </w:tabs>
        <w:spacing w:line="240" w:lineRule="auto"/>
        <w:rPr>
          <w:color w:val="000000"/>
          <w:szCs w:val="22"/>
          <w:lang w:val="es-ES_tradnl"/>
        </w:rPr>
      </w:pPr>
    </w:p>
    <w:p w14:paraId="64CC13FF" w14:textId="77777777" w:rsidR="00FA2D95" w:rsidRPr="003E0B98" w:rsidRDefault="00FA2D95" w:rsidP="004361AC">
      <w:pPr>
        <w:tabs>
          <w:tab w:val="clear" w:pos="567"/>
        </w:tabs>
        <w:spacing w:line="240" w:lineRule="auto"/>
        <w:rPr>
          <w:color w:val="000000"/>
          <w:szCs w:val="22"/>
          <w:lang w:val="es-ES_tradnl"/>
        </w:rPr>
      </w:pPr>
    </w:p>
    <w:p w14:paraId="0427F95A" w14:textId="77777777" w:rsidR="00FA2D95" w:rsidRPr="003E0B98" w:rsidRDefault="00FA2D95" w:rsidP="004361AC">
      <w:pPr>
        <w:tabs>
          <w:tab w:val="clear" w:pos="567"/>
        </w:tabs>
        <w:spacing w:line="240" w:lineRule="auto"/>
        <w:rPr>
          <w:color w:val="000000"/>
          <w:szCs w:val="22"/>
          <w:lang w:val="es-ES_tradnl"/>
        </w:rPr>
      </w:pPr>
    </w:p>
    <w:p w14:paraId="0C95B1C3" w14:textId="77777777" w:rsidR="00FA2D95" w:rsidRPr="003E0B98" w:rsidRDefault="00FA2D95" w:rsidP="004361AC">
      <w:pPr>
        <w:tabs>
          <w:tab w:val="clear" w:pos="567"/>
        </w:tabs>
        <w:spacing w:line="240" w:lineRule="auto"/>
        <w:rPr>
          <w:color w:val="000000"/>
          <w:szCs w:val="22"/>
          <w:lang w:val="es-ES_tradnl"/>
        </w:rPr>
      </w:pPr>
    </w:p>
    <w:p w14:paraId="65D144ED" w14:textId="77777777" w:rsidR="00FA2D95" w:rsidRPr="003E0B98" w:rsidRDefault="00FA2D95" w:rsidP="004361AC">
      <w:pPr>
        <w:tabs>
          <w:tab w:val="clear" w:pos="567"/>
        </w:tabs>
        <w:spacing w:line="240" w:lineRule="auto"/>
        <w:rPr>
          <w:color w:val="000000"/>
          <w:szCs w:val="22"/>
          <w:lang w:val="es-ES_tradnl"/>
        </w:rPr>
      </w:pPr>
    </w:p>
    <w:p w14:paraId="284E360E" w14:textId="77777777" w:rsidR="00FA2D95" w:rsidRPr="003E0B98" w:rsidRDefault="00FA2D95" w:rsidP="004361AC">
      <w:pPr>
        <w:tabs>
          <w:tab w:val="clear" w:pos="567"/>
        </w:tabs>
        <w:spacing w:line="240" w:lineRule="auto"/>
        <w:rPr>
          <w:color w:val="000000"/>
          <w:szCs w:val="22"/>
          <w:lang w:val="es-ES_tradnl"/>
        </w:rPr>
      </w:pPr>
    </w:p>
    <w:p w14:paraId="5B7C7786" w14:textId="77777777" w:rsidR="00FA2D95" w:rsidRPr="003E0B98" w:rsidRDefault="00FA2D95" w:rsidP="004361AC">
      <w:pPr>
        <w:tabs>
          <w:tab w:val="clear" w:pos="567"/>
        </w:tabs>
        <w:spacing w:line="240" w:lineRule="auto"/>
        <w:rPr>
          <w:color w:val="000000"/>
          <w:szCs w:val="22"/>
          <w:lang w:val="es-ES_tradnl"/>
        </w:rPr>
      </w:pPr>
    </w:p>
    <w:p w14:paraId="5102319C" w14:textId="77777777" w:rsidR="00FA2D95" w:rsidRPr="003E0B98" w:rsidRDefault="00FA2D95" w:rsidP="004361AC">
      <w:pPr>
        <w:tabs>
          <w:tab w:val="clear" w:pos="567"/>
        </w:tabs>
        <w:spacing w:line="240" w:lineRule="auto"/>
        <w:rPr>
          <w:color w:val="000000"/>
          <w:szCs w:val="22"/>
          <w:lang w:val="es-ES_tradnl"/>
        </w:rPr>
      </w:pPr>
    </w:p>
    <w:p w14:paraId="5C361705" w14:textId="77777777" w:rsidR="00FA2D95" w:rsidRPr="003E0B98" w:rsidRDefault="00FA2D95" w:rsidP="004361AC">
      <w:pPr>
        <w:tabs>
          <w:tab w:val="clear" w:pos="567"/>
        </w:tabs>
        <w:spacing w:line="240" w:lineRule="auto"/>
        <w:jc w:val="center"/>
        <w:outlineLvl w:val="0"/>
        <w:rPr>
          <w:color w:val="000000"/>
          <w:szCs w:val="22"/>
          <w:lang w:val="es-ES_tradnl"/>
        </w:rPr>
      </w:pPr>
      <w:r w:rsidRPr="003E0B98">
        <w:rPr>
          <w:b/>
          <w:noProof/>
          <w:color w:val="000000"/>
          <w:lang w:val="es-ES_tradnl"/>
        </w:rPr>
        <w:t>B. PROSPECTO</w:t>
      </w:r>
    </w:p>
    <w:p w14:paraId="221E037E" w14:textId="77777777" w:rsidR="00FA2D95" w:rsidRPr="003E0B98" w:rsidRDefault="00FA2D95" w:rsidP="004361AC">
      <w:pPr>
        <w:tabs>
          <w:tab w:val="clear" w:pos="567"/>
        </w:tabs>
        <w:spacing w:line="240" w:lineRule="auto"/>
        <w:jc w:val="center"/>
        <w:rPr>
          <w:color w:val="000000"/>
          <w:szCs w:val="22"/>
          <w:lang w:val="es-ES_tradnl"/>
        </w:rPr>
      </w:pPr>
    </w:p>
    <w:p w14:paraId="7478C918" w14:textId="77777777" w:rsidR="002E5034" w:rsidRPr="003E0B98" w:rsidRDefault="00FA2D95" w:rsidP="004361AC">
      <w:pPr>
        <w:tabs>
          <w:tab w:val="clear" w:pos="567"/>
        </w:tabs>
        <w:spacing w:line="240" w:lineRule="auto"/>
        <w:jc w:val="center"/>
        <w:rPr>
          <w:b/>
          <w:color w:val="000000"/>
          <w:szCs w:val="22"/>
          <w:lang w:val="es-ES_tradnl"/>
        </w:rPr>
      </w:pPr>
      <w:r w:rsidRPr="003E0B98">
        <w:rPr>
          <w:b/>
          <w:color w:val="000000"/>
          <w:szCs w:val="22"/>
          <w:lang w:val="es-ES_tradnl"/>
        </w:rPr>
        <w:br w:type="page"/>
      </w:r>
      <w:r w:rsidR="002E5034" w:rsidRPr="003E0B98">
        <w:rPr>
          <w:b/>
          <w:szCs w:val="24"/>
          <w:lang w:val="es-ES_tradnl"/>
        </w:rPr>
        <w:t>Prospecto:</w:t>
      </w:r>
      <w:r w:rsidR="002E5034" w:rsidRPr="003E0B98">
        <w:rPr>
          <w:b/>
          <w:noProof/>
          <w:szCs w:val="24"/>
          <w:lang w:val="es-ES_tradnl"/>
        </w:rPr>
        <w:t xml:space="preserve"> </w:t>
      </w:r>
      <w:r w:rsidR="002E5034" w:rsidRPr="003E0B98">
        <w:rPr>
          <w:b/>
          <w:szCs w:val="24"/>
          <w:lang w:val="es-ES_tradnl"/>
        </w:rPr>
        <w:t>información para el paciente</w:t>
      </w:r>
      <w:r w:rsidR="00287A49" w:rsidRPr="003E0B98">
        <w:rPr>
          <w:b/>
          <w:szCs w:val="24"/>
          <w:lang w:val="es-ES_tradnl"/>
        </w:rPr>
        <w:t xml:space="preserve"> adulto</w:t>
      </w:r>
    </w:p>
    <w:p w14:paraId="58C79321" w14:textId="77777777" w:rsidR="002E5034" w:rsidRPr="003E0B98" w:rsidRDefault="002E5034" w:rsidP="004361AC">
      <w:pPr>
        <w:tabs>
          <w:tab w:val="clear" w:pos="567"/>
        </w:tabs>
        <w:spacing w:line="240" w:lineRule="auto"/>
        <w:jc w:val="center"/>
        <w:rPr>
          <w:color w:val="000000"/>
          <w:szCs w:val="22"/>
          <w:lang w:val="es-ES_tradnl"/>
        </w:rPr>
      </w:pPr>
    </w:p>
    <w:p w14:paraId="7B644B1A" w14:textId="77777777" w:rsidR="002E5034" w:rsidRPr="003E0B98" w:rsidRDefault="002E5034" w:rsidP="004361AC">
      <w:pPr>
        <w:numPr>
          <w:ilvl w:val="12"/>
          <w:numId w:val="0"/>
        </w:numPr>
        <w:tabs>
          <w:tab w:val="clear" w:pos="567"/>
        </w:tabs>
        <w:spacing w:line="240" w:lineRule="auto"/>
        <w:jc w:val="center"/>
        <w:rPr>
          <w:b/>
          <w:color w:val="000000"/>
          <w:szCs w:val="22"/>
          <w:lang w:val="es-ES_tradnl"/>
        </w:rPr>
      </w:pPr>
      <w:proofErr w:type="spellStart"/>
      <w:r w:rsidRPr="003E0B98">
        <w:rPr>
          <w:b/>
          <w:color w:val="000000"/>
          <w:szCs w:val="22"/>
          <w:lang w:val="es-ES_tradnl"/>
        </w:rPr>
        <w:t>Lucentis</w:t>
      </w:r>
      <w:proofErr w:type="spellEnd"/>
      <w:r w:rsidRPr="003E0B98">
        <w:rPr>
          <w:b/>
          <w:color w:val="000000"/>
          <w:szCs w:val="22"/>
          <w:lang w:val="es-ES_tradnl"/>
        </w:rPr>
        <w:t xml:space="preserve"> 10 mg/ml solución inyectable</w:t>
      </w:r>
    </w:p>
    <w:p w14:paraId="51A216C9" w14:textId="77777777" w:rsidR="002E5034" w:rsidRPr="003E0B98" w:rsidRDefault="009E03E5" w:rsidP="004361AC">
      <w:pPr>
        <w:numPr>
          <w:ilvl w:val="12"/>
          <w:numId w:val="0"/>
        </w:numPr>
        <w:tabs>
          <w:tab w:val="clear" w:pos="567"/>
        </w:tabs>
        <w:spacing w:line="240" w:lineRule="auto"/>
        <w:jc w:val="center"/>
        <w:rPr>
          <w:color w:val="000000"/>
          <w:szCs w:val="22"/>
          <w:lang w:val="es-ES_tradnl"/>
        </w:rPr>
      </w:pPr>
      <w:proofErr w:type="spellStart"/>
      <w:r w:rsidRPr="003E0B98">
        <w:rPr>
          <w:color w:val="000000"/>
          <w:szCs w:val="22"/>
          <w:lang w:val="es-ES_tradnl"/>
        </w:rPr>
        <w:t>r</w:t>
      </w:r>
      <w:r w:rsidR="002E5034" w:rsidRPr="003E0B98">
        <w:rPr>
          <w:color w:val="000000"/>
          <w:szCs w:val="22"/>
          <w:lang w:val="es-ES_tradnl"/>
        </w:rPr>
        <w:t>anibizumab</w:t>
      </w:r>
      <w:proofErr w:type="spellEnd"/>
    </w:p>
    <w:p w14:paraId="5250FE0D" w14:textId="77777777" w:rsidR="002E5034" w:rsidRPr="003E0B98" w:rsidRDefault="002E5034" w:rsidP="004361AC">
      <w:pPr>
        <w:numPr>
          <w:ilvl w:val="12"/>
          <w:numId w:val="0"/>
        </w:numPr>
        <w:tabs>
          <w:tab w:val="clear" w:pos="567"/>
        </w:tabs>
        <w:spacing w:line="240" w:lineRule="auto"/>
        <w:rPr>
          <w:color w:val="000000"/>
          <w:szCs w:val="22"/>
          <w:lang w:val="es-ES_tradnl"/>
        </w:rPr>
      </w:pPr>
    </w:p>
    <w:p w14:paraId="082F1B2F" w14:textId="77777777" w:rsidR="002F7C0A" w:rsidRPr="003E0B98" w:rsidRDefault="002F7C0A" w:rsidP="004361AC">
      <w:pPr>
        <w:numPr>
          <w:ilvl w:val="12"/>
          <w:numId w:val="0"/>
        </w:numPr>
        <w:tabs>
          <w:tab w:val="clear" w:pos="567"/>
          <w:tab w:val="left" w:pos="720"/>
        </w:tabs>
        <w:spacing w:line="240" w:lineRule="auto"/>
        <w:rPr>
          <w:b/>
          <w:color w:val="FFFFFF"/>
          <w:szCs w:val="22"/>
          <w:shd w:val="solid" w:color="auto" w:fill="auto"/>
          <w:lang w:val="es-ES"/>
        </w:rPr>
      </w:pPr>
      <w:r w:rsidRPr="003E0B98">
        <w:rPr>
          <w:b/>
          <w:color w:val="FFFFFF"/>
          <w:szCs w:val="22"/>
          <w:shd w:val="solid" w:color="auto" w:fill="auto"/>
          <w:lang w:val="es-ES"/>
        </w:rPr>
        <w:t>ADULT</w:t>
      </w:r>
      <w:r w:rsidR="00EB4315" w:rsidRPr="003E0B98">
        <w:rPr>
          <w:b/>
          <w:color w:val="FFFFFF"/>
          <w:szCs w:val="22"/>
          <w:shd w:val="solid" w:color="auto" w:fill="auto"/>
          <w:lang w:val="es-ES"/>
        </w:rPr>
        <w:t>O</w:t>
      </w:r>
      <w:r w:rsidRPr="003E0B98">
        <w:rPr>
          <w:b/>
          <w:color w:val="FFFFFF"/>
          <w:szCs w:val="22"/>
          <w:shd w:val="solid" w:color="auto" w:fill="auto"/>
          <w:lang w:val="es-ES"/>
        </w:rPr>
        <w:t>S</w:t>
      </w:r>
    </w:p>
    <w:p w14:paraId="1232811D" w14:textId="77777777" w:rsidR="002F7C0A" w:rsidRPr="003E0B98" w:rsidRDefault="002F7C0A" w:rsidP="004361AC">
      <w:pPr>
        <w:numPr>
          <w:ilvl w:val="12"/>
          <w:numId w:val="0"/>
        </w:numPr>
        <w:tabs>
          <w:tab w:val="clear" w:pos="567"/>
          <w:tab w:val="left" w:pos="720"/>
        </w:tabs>
        <w:spacing w:line="240" w:lineRule="auto"/>
        <w:rPr>
          <w:color w:val="000000"/>
          <w:szCs w:val="22"/>
          <w:lang w:val="es-ES"/>
        </w:rPr>
      </w:pPr>
    </w:p>
    <w:p w14:paraId="3690015D" w14:textId="77777777" w:rsidR="002F7C0A" w:rsidRPr="003E0B98" w:rsidRDefault="00935744" w:rsidP="004361AC">
      <w:pPr>
        <w:numPr>
          <w:ilvl w:val="12"/>
          <w:numId w:val="0"/>
        </w:numPr>
        <w:pBdr>
          <w:top w:val="single" w:sz="4" w:space="1" w:color="auto"/>
          <w:left w:val="single" w:sz="4" w:space="4" w:color="auto"/>
          <w:bottom w:val="single" w:sz="4" w:space="1" w:color="auto"/>
          <w:right w:val="single" w:sz="4" w:space="4" w:color="auto"/>
        </w:pBdr>
        <w:rPr>
          <w:color w:val="000000"/>
          <w:szCs w:val="22"/>
          <w:lang w:val="es-ES"/>
        </w:rPr>
      </w:pPr>
      <w:r w:rsidRPr="003E0B98">
        <w:rPr>
          <w:color w:val="000000"/>
          <w:szCs w:val="22"/>
          <w:lang w:val="es-ES"/>
        </w:rPr>
        <w:t>Información para bebés nacidos prematuramente en la otra cara del prospecto</w:t>
      </w:r>
      <w:r w:rsidR="002F7C0A" w:rsidRPr="003E0B98">
        <w:rPr>
          <w:color w:val="000000"/>
          <w:szCs w:val="22"/>
          <w:lang w:val="es-ES"/>
        </w:rPr>
        <w:t>.</w:t>
      </w:r>
    </w:p>
    <w:p w14:paraId="4D911FBB" w14:textId="77777777" w:rsidR="002E5034" w:rsidRPr="003E0B98" w:rsidRDefault="002E5034" w:rsidP="004361AC">
      <w:pPr>
        <w:numPr>
          <w:ilvl w:val="12"/>
          <w:numId w:val="0"/>
        </w:numPr>
        <w:tabs>
          <w:tab w:val="clear" w:pos="567"/>
        </w:tabs>
        <w:spacing w:line="240" w:lineRule="auto"/>
        <w:rPr>
          <w:color w:val="000000"/>
          <w:szCs w:val="22"/>
          <w:lang w:val="es-ES"/>
        </w:rPr>
      </w:pPr>
    </w:p>
    <w:p w14:paraId="537B25B2" w14:textId="77777777" w:rsidR="002E5034" w:rsidRPr="003E0B98" w:rsidRDefault="002E5034" w:rsidP="004361AC">
      <w:pPr>
        <w:numPr>
          <w:ilvl w:val="12"/>
          <w:numId w:val="0"/>
        </w:numPr>
        <w:tabs>
          <w:tab w:val="clear" w:pos="567"/>
        </w:tabs>
        <w:spacing w:line="240" w:lineRule="auto"/>
        <w:rPr>
          <w:b/>
          <w:color w:val="000000"/>
          <w:szCs w:val="22"/>
          <w:lang w:val="es-ES_tradnl"/>
        </w:rPr>
      </w:pPr>
      <w:r w:rsidRPr="003E0B98">
        <w:rPr>
          <w:b/>
          <w:noProof/>
          <w:color w:val="000000"/>
          <w:lang w:val="es-ES_tradnl"/>
        </w:rPr>
        <w:t xml:space="preserve">Lea todo el prospecto detenidamente antes de </w:t>
      </w:r>
      <w:r w:rsidRPr="003E0B98">
        <w:rPr>
          <w:b/>
          <w:color w:val="000000"/>
          <w:lang w:val="es-ES_tradnl"/>
        </w:rPr>
        <w:t>que le administren este medicamento, porque contiene información importante para usted.</w:t>
      </w:r>
    </w:p>
    <w:p w14:paraId="3661F28F" w14:textId="77777777" w:rsidR="002E5034" w:rsidRPr="003E0B98" w:rsidRDefault="002E5034" w:rsidP="004361AC">
      <w:pPr>
        <w:numPr>
          <w:ilvl w:val="12"/>
          <w:numId w:val="0"/>
        </w:numPr>
        <w:tabs>
          <w:tab w:val="clear" w:pos="567"/>
        </w:tabs>
        <w:spacing w:line="240" w:lineRule="auto"/>
        <w:rPr>
          <w:color w:val="000000"/>
          <w:szCs w:val="22"/>
          <w:lang w:val="es-ES_tradnl"/>
        </w:rPr>
      </w:pPr>
      <w:r w:rsidRPr="003E0B98">
        <w:rPr>
          <w:color w:val="000000"/>
          <w:szCs w:val="22"/>
          <w:lang w:val="es-ES_tradnl"/>
        </w:rPr>
        <w:t>-</w:t>
      </w:r>
      <w:r w:rsidRPr="003E0B98">
        <w:rPr>
          <w:color w:val="000000"/>
          <w:szCs w:val="22"/>
          <w:lang w:val="es-ES_tradnl"/>
        </w:rPr>
        <w:tab/>
      </w:r>
      <w:r w:rsidRPr="003E0B98">
        <w:rPr>
          <w:noProof/>
          <w:color w:val="000000"/>
          <w:lang w:val="es-ES_tradnl"/>
        </w:rPr>
        <w:t>Conserve este prospecto, ya que puede tener que volver a leerlo.</w:t>
      </w:r>
    </w:p>
    <w:p w14:paraId="66A32A12" w14:textId="77777777" w:rsidR="002E5034" w:rsidRPr="003E0B98" w:rsidRDefault="002E5034" w:rsidP="004361AC">
      <w:pPr>
        <w:numPr>
          <w:ilvl w:val="12"/>
          <w:numId w:val="0"/>
        </w:numPr>
        <w:tabs>
          <w:tab w:val="clear" w:pos="567"/>
        </w:tabs>
        <w:spacing w:line="240" w:lineRule="auto"/>
        <w:rPr>
          <w:color w:val="000000"/>
          <w:szCs w:val="22"/>
          <w:lang w:val="es-ES_tradnl"/>
        </w:rPr>
      </w:pPr>
      <w:r w:rsidRPr="003E0B98">
        <w:rPr>
          <w:color w:val="000000"/>
          <w:szCs w:val="22"/>
          <w:lang w:val="es-ES_tradnl"/>
        </w:rPr>
        <w:t>-</w:t>
      </w:r>
      <w:r w:rsidRPr="003E0B98">
        <w:rPr>
          <w:color w:val="000000"/>
          <w:szCs w:val="22"/>
          <w:lang w:val="es-ES_tradnl"/>
        </w:rPr>
        <w:tab/>
      </w:r>
      <w:r w:rsidRPr="003E0B98">
        <w:rPr>
          <w:noProof/>
          <w:color w:val="000000"/>
          <w:lang w:val="es-ES_tradnl"/>
        </w:rPr>
        <w:t>Si tiene alguna duda, consulte a su médico.</w:t>
      </w:r>
    </w:p>
    <w:p w14:paraId="1C91D161" w14:textId="77777777" w:rsidR="002E5034" w:rsidRPr="003E0B98" w:rsidRDefault="002E5034" w:rsidP="004361AC">
      <w:pPr>
        <w:numPr>
          <w:ilvl w:val="12"/>
          <w:numId w:val="0"/>
        </w:numPr>
        <w:tabs>
          <w:tab w:val="clear" w:pos="567"/>
        </w:tabs>
        <w:spacing w:line="240" w:lineRule="auto"/>
        <w:ind w:left="567" w:hanging="567"/>
        <w:rPr>
          <w:color w:val="000000"/>
          <w:szCs w:val="22"/>
          <w:lang w:val="es-ES_tradnl"/>
        </w:rPr>
      </w:pPr>
      <w:r w:rsidRPr="003E0B98">
        <w:rPr>
          <w:color w:val="000000"/>
          <w:szCs w:val="22"/>
          <w:lang w:val="es-ES_tradnl"/>
        </w:rPr>
        <w:t>-</w:t>
      </w:r>
      <w:r w:rsidRPr="003E0B98">
        <w:rPr>
          <w:color w:val="000000"/>
          <w:szCs w:val="22"/>
          <w:lang w:val="es-ES_tradnl"/>
        </w:rPr>
        <w:tab/>
      </w:r>
      <w:r w:rsidRPr="003E0B98">
        <w:rPr>
          <w:lang w:val="es-ES_tradnl"/>
        </w:rPr>
        <w:t xml:space="preserve">Si </w:t>
      </w:r>
      <w:r w:rsidRPr="003E0B98">
        <w:rPr>
          <w:szCs w:val="24"/>
          <w:lang w:val="es-ES_tradnl"/>
        </w:rPr>
        <w:t>experimenta</w:t>
      </w:r>
      <w:r w:rsidRPr="003E0B98">
        <w:rPr>
          <w:lang w:val="es-ES_tradnl"/>
        </w:rPr>
        <w:t xml:space="preserve"> efectos adversos</w:t>
      </w:r>
      <w:r w:rsidRPr="003E0B98">
        <w:rPr>
          <w:szCs w:val="24"/>
          <w:lang w:val="es-ES_tradnl"/>
        </w:rPr>
        <w:t>, consulte a su médico,</w:t>
      </w:r>
      <w:r w:rsidRPr="003E0B98">
        <w:rPr>
          <w:color w:val="FF0000"/>
          <w:szCs w:val="24"/>
          <w:lang w:val="es-ES_tradnl"/>
        </w:rPr>
        <w:t xml:space="preserve"> </w:t>
      </w:r>
      <w:r w:rsidRPr="003E0B98">
        <w:rPr>
          <w:szCs w:val="24"/>
          <w:lang w:val="es-ES_tradnl"/>
        </w:rPr>
        <w:t xml:space="preserve">incluso </w:t>
      </w:r>
      <w:r w:rsidRPr="003E0B98">
        <w:rPr>
          <w:lang w:val="es-ES_tradnl"/>
        </w:rPr>
        <w:t xml:space="preserve">si </w:t>
      </w:r>
      <w:r w:rsidRPr="003E0B98">
        <w:rPr>
          <w:szCs w:val="24"/>
          <w:lang w:val="es-ES_tradnl"/>
        </w:rPr>
        <w:t xml:space="preserve">se trata de efectos adversos que </w:t>
      </w:r>
      <w:r w:rsidRPr="003E0B98">
        <w:rPr>
          <w:lang w:val="es-ES_tradnl"/>
        </w:rPr>
        <w:t xml:space="preserve">no </w:t>
      </w:r>
      <w:r w:rsidRPr="003E0B98">
        <w:rPr>
          <w:szCs w:val="24"/>
          <w:lang w:val="es-ES_tradnl"/>
        </w:rPr>
        <w:t>aparecen</w:t>
      </w:r>
      <w:r w:rsidRPr="003E0B98">
        <w:rPr>
          <w:lang w:val="es-ES_tradnl"/>
        </w:rPr>
        <w:t xml:space="preserve"> en este prospecto</w:t>
      </w:r>
      <w:r w:rsidRPr="003E0B98">
        <w:rPr>
          <w:szCs w:val="24"/>
          <w:lang w:val="es-ES_tradnl"/>
        </w:rPr>
        <w:t>.</w:t>
      </w:r>
      <w:r w:rsidR="009E03E5" w:rsidRPr="003E0B98">
        <w:rPr>
          <w:szCs w:val="24"/>
          <w:lang w:val="es-ES_tradnl"/>
        </w:rPr>
        <w:t xml:space="preserve"> Ver sección 4.</w:t>
      </w:r>
    </w:p>
    <w:p w14:paraId="211A2BBD" w14:textId="77777777" w:rsidR="002E5034" w:rsidRPr="003E0B98" w:rsidRDefault="002E5034" w:rsidP="004361AC">
      <w:pPr>
        <w:tabs>
          <w:tab w:val="clear" w:pos="567"/>
        </w:tabs>
        <w:spacing w:line="240" w:lineRule="auto"/>
        <w:ind w:right="-2"/>
        <w:rPr>
          <w:color w:val="000000"/>
          <w:szCs w:val="22"/>
          <w:lang w:val="es-ES_tradnl"/>
        </w:rPr>
      </w:pPr>
    </w:p>
    <w:p w14:paraId="040CBFAA" w14:textId="77777777" w:rsidR="002E5034" w:rsidRPr="003E0B98" w:rsidRDefault="002E5034" w:rsidP="004361AC">
      <w:pPr>
        <w:keepNext/>
        <w:numPr>
          <w:ilvl w:val="12"/>
          <w:numId w:val="0"/>
        </w:numPr>
        <w:tabs>
          <w:tab w:val="clear" w:pos="567"/>
        </w:tabs>
        <w:spacing w:line="240" w:lineRule="auto"/>
        <w:rPr>
          <w:color w:val="000000"/>
          <w:szCs w:val="22"/>
          <w:lang w:val="es-ES_tradnl"/>
        </w:rPr>
      </w:pPr>
      <w:r w:rsidRPr="003E0B98">
        <w:rPr>
          <w:b/>
          <w:color w:val="000000"/>
          <w:szCs w:val="22"/>
          <w:lang w:val="es-ES_tradnl"/>
        </w:rPr>
        <w:t>Contenido del prospecto</w:t>
      </w:r>
    </w:p>
    <w:p w14:paraId="7821939A" w14:textId="77777777" w:rsidR="002E5034" w:rsidRPr="003E0B98" w:rsidRDefault="002E5034" w:rsidP="004361AC">
      <w:pPr>
        <w:numPr>
          <w:ilvl w:val="12"/>
          <w:numId w:val="0"/>
        </w:numPr>
        <w:tabs>
          <w:tab w:val="clear" w:pos="567"/>
        </w:tabs>
        <w:spacing w:line="240" w:lineRule="auto"/>
        <w:ind w:right="-29"/>
        <w:rPr>
          <w:color w:val="000000"/>
          <w:szCs w:val="22"/>
          <w:lang w:val="es-ES_tradnl"/>
        </w:rPr>
      </w:pPr>
      <w:r w:rsidRPr="003E0B98">
        <w:rPr>
          <w:color w:val="000000"/>
          <w:szCs w:val="22"/>
          <w:lang w:val="es-ES_tradnl"/>
        </w:rPr>
        <w:t>1.</w:t>
      </w:r>
      <w:r w:rsidRPr="003E0B98">
        <w:rPr>
          <w:color w:val="000000"/>
          <w:szCs w:val="22"/>
          <w:lang w:val="es-ES_tradnl"/>
        </w:rPr>
        <w:tab/>
      </w:r>
      <w:r w:rsidRPr="003E0B98">
        <w:rPr>
          <w:color w:val="000000"/>
          <w:lang w:val="es-ES_tradnl"/>
        </w:rPr>
        <w:t xml:space="preserve">Qué es </w:t>
      </w:r>
      <w:proofErr w:type="spellStart"/>
      <w:r w:rsidRPr="003E0B98">
        <w:rPr>
          <w:color w:val="000000"/>
          <w:szCs w:val="22"/>
          <w:lang w:val="es-ES_tradnl"/>
        </w:rPr>
        <w:t>Lucentis</w:t>
      </w:r>
      <w:proofErr w:type="spellEnd"/>
      <w:r w:rsidRPr="003E0B98">
        <w:rPr>
          <w:color w:val="000000"/>
          <w:szCs w:val="22"/>
          <w:lang w:val="es-ES_tradnl"/>
        </w:rPr>
        <w:t xml:space="preserve"> </w:t>
      </w:r>
      <w:r w:rsidRPr="003E0B98">
        <w:rPr>
          <w:color w:val="000000"/>
          <w:lang w:val="es-ES_tradnl"/>
        </w:rPr>
        <w:t>y para qué se utiliza</w:t>
      </w:r>
    </w:p>
    <w:p w14:paraId="3B2879A6" w14:textId="77777777" w:rsidR="002E5034" w:rsidRPr="003E0B98" w:rsidRDefault="002E5034" w:rsidP="004361AC">
      <w:pPr>
        <w:numPr>
          <w:ilvl w:val="12"/>
          <w:numId w:val="0"/>
        </w:numPr>
        <w:tabs>
          <w:tab w:val="clear" w:pos="567"/>
        </w:tabs>
        <w:spacing w:line="240" w:lineRule="auto"/>
        <w:ind w:right="-29"/>
        <w:rPr>
          <w:color w:val="000000"/>
          <w:szCs w:val="22"/>
          <w:lang w:val="es-ES_tradnl"/>
        </w:rPr>
      </w:pPr>
      <w:r w:rsidRPr="003E0B98">
        <w:rPr>
          <w:color w:val="000000"/>
          <w:szCs w:val="22"/>
          <w:lang w:val="es-ES_tradnl"/>
        </w:rPr>
        <w:t>2.</w:t>
      </w:r>
      <w:r w:rsidRPr="003E0B98">
        <w:rPr>
          <w:color w:val="000000"/>
          <w:szCs w:val="22"/>
          <w:lang w:val="es-ES_tradnl"/>
        </w:rPr>
        <w:tab/>
      </w:r>
      <w:r w:rsidRPr="003E0B98">
        <w:rPr>
          <w:noProof/>
          <w:szCs w:val="24"/>
          <w:lang w:val="es-ES_tradnl"/>
        </w:rPr>
        <w:t>Qué necesita saber</w:t>
      </w:r>
      <w:r w:rsidRPr="003E0B98">
        <w:rPr>
          <w:szCs w:val="24"/>
          <w:lang w:val="es-ES_tradnl"/>
        </w:rPr>
        <w:t xml:space="preserve"> </w:t>
      </w:r>
      <w:r w:rsidRPr="003E0B98">
        <w:rPr>
          <w:color w:val="000000"/>
          <w:szCs w:val="22"/>
          <w:lang w:val="es-ES_tradnl"/>
        </w:rPr>
        <w:t xml:space="preserve">antes de que le administren </w:t>
      </w:r>
      <w:proofErr w:type="spellStart"/>
      <w:r w:rsidRPr="003E0B98">
        <w:rPr>
          <w:color w:val="000000"/>
          <w:szCs w:val="22"/>
          <w:lang w:val="es-ES_tradnl"/>
        </w:rPr>
        <w:t>Lucentis</w:t>
      </w:r>
      <w:proofErr w:type="spellEnd"/>
    </w:p>
    <w:p w14:paraId="1ACFB524" w14:textId="77777777" w:rsidR="002E5034" w:rsidRPr="003E0B98" w:rsidRDefault="002E5034" w:rsidP="004361AC">
      <w:pPr>
        <w:numPr>
          <w:ilvl w:val="12"/>
          <w:numId w:val="0"/>
        </w:numPr>
        <w:tabs>
          <w:tab w:val="clear" w:pos="567"/>
        </w:tabs>
        <w:spacing w:line="240" w:lineRule="auto"/>
        <w:ind w:right="-29"/>
        <w:rPr>
          <w:color w:val="000000"/>
          <w:szCs w:val="22"/>
          <w:lang w:val="es-ES_tradnl"/>
        </w:rPr>
      </w:pPr>
      <w:r w:rsidRPr="003E0B98">
        <w:rPr>
          <w:color w:val="000000"/>
          <w:szCs w:val="22"/>
          <w:lang w:val="es-ES_tradnl"/>
        </w:rPr>
        <w:t>3.</w:t>
      </w:r>
      <w:r w:rsidRPr="003E0B98">
        <w:rPr>
          <w:color w:val="000000"/>
          <w:szCs w:val="22"/>
          <w:lang w:val="es-ES_tradnl"/>
        </w:rPr>
        <w:tab/>
        <w:t xml:space="preserve">Cómo se administra </w:t>
      </w:r>
      <w:proofErr w:type="spellStart"/>
      <w:r w:rsidRPr="003E0B98">
        <w:rPr>
          <w:color w:val="000000"/>
          <w:szCs w:val="22"/>
          <w:lang w:val="es-ES_tradnl"/>
        </w:rPr>
        <w:t>Lucentis</w:t>
      </w:r>
      <w:proofErr w:type="spellEnd"/>
    </w:p>
    <w:p w14:paraId="2D64E5C5" w14:textId="77777777" w:rsidR="002E5034" w:rsidRPr="003E0B98" w:rsidRDefault="002E5034" w:rsidP="004361AC">
      <w:pPr>
        <w:numPr>
          <w:ilvl w:val="12"/>
          <w:numId w:val="0"/>
        </w:numPr>
        <w:tabs>
          <w:tab w:val="clear" w:pos="567"/>
        </w:tabs>
        <w:spacing w:line="240" w:lineRule="auto"/>
        <w:ind w:right="-29"/>
        <w:rPr>
          <w:color w:val="000000"/>
          <w:szCs w:val="22"/>
          <w:lang w:val="es-ES_tradnl"/>
        </w:rPr>
      </w:pPr>
      <w:r w:rsidRPr="003E0B98">
        <w:rPr>
          <w:color w:val="000000"/>
          <w:szCs w:val="22"/>
          <w:lang w:val="es-ES_tradnl"/>
        </w:rPr>
        <w:t>4.</w:t>
      </w:r>
      <w:r w:rsidRPr="003E0B98">
        <w:rPr>
          <w:color w:val="000000"/>
          <w:szCs w:val="22"/>
          <w:lang w:val="es-ES_tradnl"/>
        </w:rPr>
        <w:tab/>
      </w:r>
      <w:r w:rsidRPr="003E0B98">
        <w:rPr>
          <w:noProof/>
          <w:color w:val="000000"/>
          <w:lang w:val="es-ES_tradnl"/>
        </w:rPr>
        <w:t>Posibles efectos adversos</w:t>
      </w:r>
    </w:p>
    <w:p w14:paraId="12CF792E" w14:textId="77777777" w:rsidR="002E5034" w:rsidRPr="003E0B98" w:rsidRDefault="002E5034" w:rsidP="004361AC">
      <w:pPr>
        <w:tabs>
          <w:tab w:val="clear" w:pos="567"/>
        </w:tabs>
        <w:spacing w:line="240" w:lineRule="auto"/>
        <w:ind w:left="567" w:right="-29" w:hanging="567"/>
        <w:rPr>
          <w:color w:val="000000"/>
          <w:szCs w:val="22"/>
          <w:lang w:val="es-ES_tradnl"/>
        </w:rPr>
      </w:pPr>
      <w:r w:rsidRPr="003E0B98">
        <w:rPr>
          <w:color w:val="000000"/>
          <w:szCs w:val="22"/>
          <w:lang w:val="es-ES_tradnl"/>
        </w:rPr>
        <w:t>5.</w:t>
      </w:r>
      <w:r w:rsidRPr="003E0B98">
        <w:rPr>
          <w:color w:val="000000"/>
          <w:szCs w:val="22"/>
          <w:lang w:val="es-ES_tradnl"/>
        </w:rPr>
        <w:tab/>
        <w:t xml:space="preserve">Conservación de </w:t>
      </w:r>
      <w:proofErr w:type="spellStart"/>
      <w:r w:rsidRPr="003E0B98">
        <w:rPr>
          <w:color w:val="000000"/>
          <w:szCs w:val="22"/>
          <w:lang w:val="es-ES_tradnl"/>
        </w:rPr>
        <w:t>Lucentis</w:t>
      </w:r>
      <w:proofErr w:type="spellEnd"/>
    </w:p>
    <w:p w14:paraId="3C689F8B" w14:textId="77777777" w:rsidR="002E5034" w:rsidRPr="003E0B98" w:rsidRDefault="002E5034" w:rsidP="004361AC">
      <w:pPr>
        <w:tabs>
          <w:tab w:val="clear" w:pos="567"/>
        </w:tabs>
        <w:spacing w:line="240" w:lineRule="auto"/>
        <w:ind w:right="-29"/>
        <w:rPr>
          <w:color w:val="000000"/>
          <w:szCs w:val="22"/>
          <w:lang w:val="es-ES_tradnl"/>
        </w:rPr>
      </w:pPr>
      <w:r w:rsidRPr="003E0B98">
        <w:rPr>
          <w:color w:val="000000"/>
          <w:szCs w:val="22"/>
          <w:lang w:val="es-ES_tradnl"/>
        </w:rPr>
        <w:t>6.</w:t>
      </w:r>
      <w:r w:rsidRPr="003E0B98">
        <w:rPr>
          <w:color w:val="000000"/>
          <w:szCs w:val="22"/>
          <w:lang w:val="es-ES_tradnl"/>
        </w:rPr>
        <w:tab/>
      </w:r>
      <w:r w:rsidRPr="003E0B98">
        <w:rPr>
          <w:szCs w:val="24"/>
          <w:lang w:val="es-ES_tradnl"/>
        </w:rPr>
        <w:t xml:space="preserve">Contenido del envase e </w:t>
      </w:r>
      <w:r w:rsidRPr="003E0B98">
        <w:rPr>
          <w:color w:val="000000"/>
          <w:szCs w:val="22"/>
          <w:lang w:val="es-ES_tradnl"/>
        </w:rPr>
        <w:t>información adicional</w:t>
      </w:r>
    </w:p>
    <w:p w14:paraId="14BD7C6D" w14:textId="77777777" w:rsidR="002E5034" w:rsidRPr="003E0B98" w:rsidRDefault="002E5034" w:rsidP="004361AC">
      <w:pPr>
        <w:numPr>
          <w:ilvl w:val="12"/>
          <w:numId w:val="0"/>
        </w:numPr>
        <w:tabs>
          <w:tab w:val="clear" w:pos="567"/>
        </w:tabs>
        <w:spacing w:line="240" w:lineRule="auto"/>
        <w:rPr>
          <w:color w:val="000000"/>
          <w:szCs w:val="22"/>
          <w:lang w:val="es-ES_tradnl"/>
        </w:rPr>
      </w:pPr>
    </w:p>
    <w:p w14:paraId="445B2EC6" w14:textId="77777777" w:rsidR="002E5034" w:rsidRPr="003E0B98" w:rsidRDefault="002E5034" w:rsidP="004361AC">
      <w:pPr>
        <w:numPr>
          <w:ilvl w:val="12"/>
          <w:numId w:val="0"/>
        </w:numPr>
        <w:tabs>
          <w:tab w:val="clear" w:pos="567"/>
        </w:tabs>
        <w:spacing w:line="240" w:lineRule="auto"/>
        <w:rPr>
          <w:color w:val="000000"/>
          <w:szCs w:val="22"/>
          <w:lang w:val="es-ES_tradnl"/>
        </w:rPr>
      </w:pPr>
    </w:p>
    <w:p w14:paraId="791E3F36" w14:textId="77777777" w:rsidR="002E5034" w:rsidRPr="003E0B98" w:rsidRDefault="002E5034" w:rsidP="004361AC">
      <w:pPr>
        <w:keepNext/>
        <w:tabs>
          <w:tab w:val="clear" w:pos="567"/>
        </w:tabs>
        <w:spacing w:line="240" w:lineRule="auto"/>
        <w:ind w:left="567" w:hanging="567"/>
        <w:rPr>
          <w:b/>
          <w:color w:val="000000"/>
          <w:szCs w:val="22"/>
          <w:lang w:val="es-ES_tradnl"/>
        </w:rPr>
      </w:pPr>
      <w:r w:rsidRPr="003E0B98">
        <w:rPr>
          <w:b/>
          <w:color w:val="000000"/>
          <w:lang w:val="es-ES_tradnl"/>
        </w:rPr>
        <w:t>1.</w:t>
      </w:r>
      <w:r w:rsidRPr="003E0B98">
        <w:rPr>
          <w:b/>
          <w:color w:val="000000"/>
          <w:lang w:val="es-ES_tradnl"/>
        </w:rPr>
        <w:tab/>
        <w:t xml:space="preserve">Qué es </w:t>
      </w:r>
      <w:proofErr w:type="spellStart"/>
      <w:r w:rsidRPr="003E0B98">
        <w:rPr>
          <w:b/>
          <w:color w:val="000000"/>
          <w:lang w:val="es-ES_tradnl"/>
        </w:rPr>
        <w:t>Lucentis</w:t>
      </w:r>
      <w:proofErr w:type="spellEnd"/>
      <w:r w:rsidRPr="003E0B98">
        <w:rPr>
          <w:b/>
          <w:color w:val="000000"/>
          <w:lang w:val="es-ES_tradnl"/>
        </w:rPr>
        <w:t xml:space="preserve"> y para qué se utiliza</w:t>
      </w:r>
    </w:p>
    <w:p w14:paraId="186C004B" w14:textId="77777777" w:rsidR="002E5034" w:rsidRPr="003E0B98" w:rsidRDefault="002E5034" w:rsidP="004361AC">
      <w:pPr>
        <w:keepNext/>
        <w:numPr>
          <w:ilvl w:val="12"/>
          <w:numId w:val="0"/>
        </w:numPr>
        <w:tabs>
          <w:tab w:val="clear" w:pos="567"/>
        </w:tabs>
        <w:spacing w:line="240" w:lineRule="auto"/>
        <w:rPr>
          <w:color w:val="000000"/>
          <w:szCs w:val="22"/>
          <w:lang w:val="es-ES_tradnl"/>
        </w:rPr>
      </w:pPr>
    </w:p>
    <w:p w14:paraId="0253F286" w14:textId="77777777" w:rsidR="002E5034" w:rsidRPr="003E0B98" w:rsidRDefault="002E5034" w:rsidP="004361AC">
      <w:pPr>
        <w:keepNext/>
        <w:numPr>
          <w:ilvl w:val="12"/>
          <w:numId w:val="0"/>
        </w:numPr>
        <w:tabs>
          <w:tab w:val="clear" w:pos="567"/>
        </w:tabs>
        <w:spacing w:line="240" w:lineRule="auto"/>
        <w:rPr>
          <w:b/>
          <w:color w:val="000000"/>
          <w:szCs w:val="22"/>
          <w:lang w:val="es-ES_tradnl"/>
        </w:rPr>
      </w:pPr>
      <w:r w:rsidRPr="003E0B98">
        <w:rPr>
          <w:b/>
          <w:color w:val="000000"/>
          <w:szCs w:val="22"/>
          <w:lang w:val="es-ES_tradnl"/>
        </w:rPr>
        <w:t xml:space="preserve">Qué es </w:t>
      </w:r>
      <w:proofErr w:type="spellStart"/>
      <w:r w:rsidRPr="003E0B98">
        <w:rPr>
          <w:b/>
          <w:color w:val="000000"/>
          <w:szCs w:val="22"/>
          <w:lang w:val="es-ES_tradnl"/>
        </w:rPr>
        <w:t>Lucentis</w:t>
      </w:r>
      <w:proofErr w:type="spellEnd"/>
    </w:p>
    <w:p w14:paraId="698BB7C6" w14:textId="77777777" w:rsidR="002E5034" w:rsidRPr="003E0B98" w:rsidRDefault="002E5034" w:rsidP="004361AC">
      <w:pPr>
        <w:numPr>
          <w:ilvl w:val="12"/>
          <w:numId w:val="0"/>
        </w:numPr>
        <w:tabs>
          <w:tab w:val="clear" w:pos="567"/>
        </w:tabs>
        <w:spacing w:line="240" w:lineRule="auto"/>
        <w:rPr>
          <w:color w:val="000000"/>
          <w:szCs w:val="22"/>
          <w:lang w:val="es-ES"/>
        </w:rPr>
      </w:pPr>
      <w:proofErr w:type="spellStart"/>
      <w:r w:rsidRPr="003E0B98">
        <w:rPr>
          <w:color w:val="000000"/>
          <w:szCs w:val="22"/>
          <w:lang w:val="es-ES_tradnl"/>
        </w:rPr>
        <w:t>Lucentis</w:t>
      </w:r>
      <w:proofErr w:type="spellEnd"/>
      <w:r w:rsidRPr="003E0B98">
        <w:rPr>
          <w:color w:val="000000"/>
          <w:szCs w:val="22"/>
          <w:lang w:val="es-ES_tradnl"/>
        </w:rPr>
        <w:t xml:space="preserve"> es una solución que se inyecta en el ojo. </w:t>
      </w:r>
      <w:proofErr w:type="spellStart"/>
      <w:r w:rsidRPr="003E0B98">
        <w:rPr>
          <w:color w:val="000000"/>
          <w:szCs w:val="22"/>
          <w:lang w:val="es-ES_tradnl"/>
        </w:rPr>
        <w:t>Lucentis</w:t>
      </w:r>
      <w:proofErr w:type="spellEnd"/>
      <w:r w:rsidRPr="003E0B98">
        <w:rPr>
          <w:color w:val="000000"/>
          <w:szCs w:val="22"/>
          <w:lang w:val="es-ES_tradnl"/>
        </w:rPr>
        <w:t xml:space="preserve"> pertenece a un grupo de medicamentos denominados agentes </w:t>
      </w:r>
      <w:proofErr w:type="spellStart"/>
      <w:r w:rsidRPr="003E0B98">
        <w:rPr>
          <w:color w:val="000000"/>
          <w:szCs w:val="22"/>
          <w:lang w:val="es-ES_tradnl"/>
        </w:rPr>
        <w:t>antineovascularización</w:t>
      </w:r>
      <w:proofErr w:type="spellEnd"/>
      <w:r w:rsidRPr="003E0B98">
        <w:rPr>
          <w:color w:val="000000"/>
          <w:szCs w:val="22"/>
          <w:lang w:val="es-ES_tradnl"/>
        </w:rPr>
        <w:t xml:space="preserve">. Contiene el principio activo denominado </w:t>
      </w:r>
      <w:proofErr w:type="spellStart"/>
      <w:r w:rsidRPr="003E0B98">
        <w:rPr>
          <w:color w:val="000000"/>
          <w:szCs w:val="22"/>
          <w:lang w:val="es-ES_tradnl"/>
        </w:rPr>
        <w:t>ranibizumab</w:t>
      </w:r>
      <w:proofErr w:type="spellEnd"/>
      <w:r w:rsidRPr="003E0B98">
        <w:rPr>
          <w:color w:val="000000"/>
          <w:szCs w:val="22"/>
          <w:lang w:val="es-ES_tradnl"/>
        </w:rPr>
        <w:t>.</w:t>
      </w:r>
    </w:p>
    <w:p w14:paraId="30161082" w14:textId="77777777" w:rsidR="002E5034" w:rsidRPr="003E0B98" w:rsidRDefault="002E5034" w:rsidP="004361AC">
      <w:pPr>
        <w:numPr>
          <w:ilvl w:val="12"/>
          <w:numId w:val="0"/>
        </w:numPr>
        <w:tabs>
          <w:tab w:val="clear" w:pos="567"/>
        </w:tabs>
        <w:spacing w:line="240" w:lineRule="auto"/>
        <w:rPr>
          <w:color w:val="000000"/>
          <w:szCs w:val="22"/>
          <w:lang w:val="es-ES"/>
        </w:rPr>
      </w:pPr>
    </w:p>
    <w:p w14:paraId="59841315" w14:textId="77777777" w:rsidR="002E5034" w:rsidRPr="003E0B98" w:rsidRDefault="002E5034" w:rsidP="004361AC">
      <w:pPr>
        <w:keepNext/>
        <w:numPr>
          <w:ilvl w:val="12"/>
          <w:numId w:val="0"/>
        </w:numPr>
        <w:tabs>
          <w:tab w:val="clear" w:pos="567"/>
        </w:tabs>
        <w:spacing w:line="240" w:lineRule="auto"/>
        <w:rPr>
          <w:b/>
          <w:color w:val="000000"/>
          <w:szCs w:val="22"/>
          <w:lang w:val="es-ES_tradnl"/>
        </w:rPr>
      </w:pPr>
      <w:r w:rsidRPr="003E0B98">
        <w:rPr>
          <w:b/>
          <w:color w:val="000000"/>
          <w:szCs w:val="22"/>
          <w:lang w:val="es-ES_tradnl"/>
        </w:rPr>
        <w:t xml:space="preserve">Para qué se utiliza </w:t>
      </w:r>
      <w:proofErr w:type="spellStart"/>
      <w:r w:rsidRPr="003E0B98">
        <w:rPr>
          <w:b/>
          <w:color w:val="000000"/>
          <w:szCs w:val="22"/>
          <w:lang w:val="es-ES_tradnl"/>
        </w:rPr>
        <w:t>Lucentis</w:t>
      </w:r>
      <w:proofErr w:type="spellEnd"/>
    </w:p>
    <w:p w14:paraId="3ADCEDE3" w14:textId="77777777" w:rsidR="002E5034" w:rsidRPr="003E0B98" w:rsidRDefault="002E5034" w:rsidP="004361AC">
      <w:pPr>
        <w:numPr>
          <w:ilvl w:val="12"/>
          <w:numId w:val="0"/>
        </w:numPr>
        <w:tabs>
          <w:tab w:val="clear" w:pos="567"/>
        </w:tabs>
        <w:spacing w:line="240" w:lineRule="auto"/>
        <w:rPr>
          <w:color w:val="000000"/>
          <w:szCs w:val="22"/>
          <w:lang w:val="es-ES_tradnl"/>
        </w:rPr>
      </w:pPr>
      <w:proofErr w:type="spellStart"/>
      <w:r w:rsidRPr="003E0B98">
        <w:rPr>
          <w:color w:val="000000"/>
          <w:szCs w:val="22"/>
          <w:lang w:val="es-ES_tradnl"/>
        </w:rPr>
        <w:t>Lucentis</w:t>
      </w:r>
      <w:proofErr w:type="spellEnd"/>
      <w:r w:rsidRPr="003E0B98">
        <w:rPr>
          <w:color w:val="000000"/>
          <w:szCs w:val="22"/>
          <w:lang w:val="es-ES_tradnl"/>
        </w:rPr>
        <w:t xml:space="preserve"> se utiliza en adultos para tratar varias enfermedades oculares que causan alteración de la visión.</w:t>
      </w:r>
    </w:p>
    <w:p w14:paraId="489EEE76" w14:textId="77777777" w:rsidR="002E5034" w:rsidRPr="003E0B98" w:rsidRDefault="002E5034" w:rsidP="004361AC">
      <w:pPr>
        <w:numPr>
          <w:ilvl w:val="12"/>
          <w:numId w:val="0"/>
        </w:numPr>
        <w:tabs>
          <w:tab w:val="clear" w:pos="567"/>
        </w:tabs>
        <w:spacing w:line="240" w:lineRule="auto"/>
        <w:rPr>
          <w:color w:val="000000"/>
          <w:szCs w:val="22"/>
          <w:lang w:val="es-ES_tradnl"/>
        </w:rPr>
      </w:pPr>
    </w:p>
    <w:p w14:paraId="142F0C45" w14:textId="77777777" w:rsidR="002E5034" w:rsidRPr="003E0B98" w:rsidRDefault="002E5034" w:rsidP="004361AC">
      <w:pPr>
        <w:keepNext/>
        <w:numPr>
          <w:ilvl w:val="12"/>
          <w:numId w:val="0"/>
        </w:numPr>
        <w:tabs>
          <w:tab w:val="clear" w:pos="567"/>
        </w:tabs>
        <w:spacing w:line="240" w:lineRule="auto"/>
        <w:rPr>
          <w:color w:val="000000"/>
          <w:szCs w:val="22"/>
          <w:lang w:val="es-ES_tradnl"/>
        </w:rPr>
      </w:pPr>
      <w:r w:rsidRPr="003E0B98">
        <w:rPr>
          <w:color w:val="000000"/>
          <w:szCs w:val="22"/>
          <w:lang w:val="es-ES_tradnl"/>
        </w:rPr>
        <w:t>Estas enfermedades son el resultado de una lesión en la retina (capa sensible a la luz en la parte posterior del ojo) provocada por:</w:t>
      </w:r>
    </w:p>
    <w:p w14:paraId="6BF68004" w14:textId="27CF6B81" w:rsidR="002E5034" w:rsidRPr="003E0B98" w:rsidRDefault="002E5034" w:rsidP="004361AC">
      <w:pPr>
        <w:tabs>
          <w:tab w:val="clear" w:pos="567"/>
        </w:tabs>
        <w:spacing w:line="240" w:lineRule="auto"/>
        <w:ind w:left="567" w:hanging="567"/>
        <w:rPr>
          <w:color w:val="000000"/>
          <w:szCs w:val="22"/>
          <w:lang w:val="es-ES"/>
        </w:rPr>
      </w:pPr>
      <w:r w:rsidRPr="003E0B98">
        <w:rPr>
          <w:color w:val="000000"/>
          <w:szCs w:val="22"/>
          <w:lang w:val="es-ES"/>
        </w:rPr>
        <w:t>-</w:t>
      </w:r>
      <w:r w:rsidRPr="003E0B98">
        <w:rPr>
          <w:color w:val="000000"/>
          <w:szCs w:val="22"/>
          <w:lang w:val="es-ES"/>
        </w:rPr>
        <w:tab/>
        <w:t>El crecimiento de vasos sanguíneos anómalos, que pierden líquido. Esto se observa en enfermedades como la degeneración macular asociada a la edad (DMAE)</w:t>
      </w:r>
      <w:r w:rsidR="00993B4D" w:rsidRPr="003E0B98">
        <w:rPr>
          <w:color w:val="000000"/>
          <w:szCs w:val="22"/>
          <w:lang w:val="es-ES"/>
        </w:rPr>
        <w:t xml:space="preserve"> y la retinopatía diabética proliferativa (RDP, una enfermedad provocada por la diabetes)</w:t>
      </w:r>
      <w:r w:rsidR="004134E9" w:rsidRPr="003E0B98">
        <w:rPr>
          <w:color w:val="000000"/>
          <w:szCs w:val="22"/>
          <w:lang w:val="es-ES"/>
        </w:rPr>
        <w:t xml:space="preserve">. También puede ir asociado con </w:t>
      </w:r>
      <w:r w:rsidR="00023B56" w:rsidRPr="003E0B98">
        <w:rPr>
          <w:color w:val="000000"/>
          <w:szCs w:val="22"/>
          <w:lang w:val="es-ES"/>
        </w:rPr>
        <w:t xml:space="preserve">la </w:t>
      </w:r>
      <w:r w:rsidR="004134E9" w:rsidRPr="003E0B98">
        <w:rPr>
          <w:color w:val="000000"/>
          <w:szCs w:val="22"/>
          <w:lang w:val="es-ES"/>
        </w:rPr>
        <w:t xml:space="preserve">neovascularización coroidea (NVC) debida </w:t>
      </w:r>
      <w:proofErr w:type="spellStart"/>
      <w:r w:rsidR="004134E9" w:rsidRPr="003E0B98">
        <w:rPr>
          <w:color w:val="000000"/>
          <w:szCs w:val="22"/>
          <w:lang w:val="es-ES"/>
        </w:rPr>
        <w:t>a</w:t>
      </w:r>
      <w:r w:rsidRPr="003E0B98">
        <w:rPr>
          <w:color w:val="000000"/>
          <w:szCs w:val="22"/>
          <w:lang w:val="es-ES"/>
        </w:rPr>
        <w:t>miopía</w:t>
      </w:r>
      <w:proofErr w:type="spellEnd"/>
      <w:r w:rsidRPr="003E0B98">
        <w:rPr>
          <w:color w:val="000000"/>
          <w:szCs w:val="22"/>
          <w:lang w:val="es-ES"/>
        </w:rPr>
        <w:t xml:space="preserve"> patológica (MP)</w:t>
      </w:r>
      <w:r w:rsidR="004134E9" w:rsidRPr="003E0B98">
        <w:rPr>
          <w:color w:val="000000"/>
          <w:szCs w:val="22"/>
          <w:lang w:val="es-ES"/>
        </w:rPr>
        <w:t xml:space="preserve">, estrías </w:t>
      </w:r>
      <w:proofErr w:type="spellStart"/>
      <w:r w:rsidR="004134E9" w:rsidRPr="003E0B98">
        <w:rPr>
          <w:color w:val="000000"/>
          <w:szCs w:val="22"/>
          <w:lang w:val="es-ES"/>
        </w:rPr>
        <w:t>angioides</w:t>
      </w:r>
      <w:proofErr w:type="spellEnd"/>
      <w:r w:rsidR="004134E9" w:rsidRPr="003E0B98">
        <w:rPr>
          <w:color w:val="000000"/>
          <w:szCs w:val="22"/>
          <w:lang w:val="es-ES"/>
        </w:rPr>
        <w:t xml:space="preserve">, </w:t>
      </w:r>
      <w:proofErr w:type="spellStart"/>
      <w:r w:rsidR="004134E9" w:rsidRPr="003E0B98">
        <w:rPr>
          <w:color w:val="000000"/>
          <w:szCs w:val="22"/>
          <w:lang w:val="es-ES"/>
        </w:rPr>
        <w:t>corioretinopatía</w:t>
      </w:r>
      <w:proofErr w:type="spellEnd"/>
      <w:r w:rsidR="004134E9" w:rsidRPr="003E0B98">
        <w:rPr>
          <w:color w:val="000000"/>
          <w:szCs w:val="22"/>
          <w:lang w:val="es-ES"/>
        </w:rPr>
        <w:t xml:space="preserve"> serosa central o NVC inflamatoria</w:t>
      </w:r>
      <w:r w:rsidRPr="003E0B98">
        <w:rPr>
          <w:color w:val="000000"/>
          <w:szCs w:val="22"/>
          <w:lang w:val="es-ES"/>
        </w:rPr>
        <w:t>.</w:t>
      </w:r>
    </w:p>
    <w:p w14:paraId="6A9A0832" w14:textId="77777777" w:rsidR="002E5034" w:rsidRPr="003E0B98" w:rsidRDefault="002E5034" w:rsidP="004361AC">
      <w:pPr>
        <w:tabs>
          <w:tab w:val="clear" w:pos="567"/>
        </w:tabs>
        <w:spacing w:line="240" w:lineRule="auto"/>
        <w:ind w:left="567" w:hanging="567"/>
        <w:rPr>
          <w:color w:val="000000"/>
          <w:szCs w:val="22"/>
          <w:lang w:val="es-ES"/>
        </w:rPr>
      </w:pPr>
      <w:r w:rsidRPr="003E0B98">
        <w:rPr>
          <w:color w:val="000000"/>
          <w:szCs w:val="22"/>
          <w:lang w:val="es-ES"/>
        </w:rPr>
        <w:t>-</w:t>
      </w:r>
      <w:r w:rsidRPr="003E0B98">
        <w:rPr>
          <w:color w:val="000000"/>
          <w:szCs w:val="22"/>
          <w:lang w:val="es-ES"/>
        </w:rPr>
        <w:tab/>
        <w:t xml:space="preserve">Edema macular (hinchazón del centro de la retina). La causa de </w:t>
      </w:r>
      <w:proofErr w:type="gramStart"/>
      <w:r w:rsidRPr="003E0B98">
        <w:rPr>
          <w:color w:val="000000"/>
          <w:szCs w:val="22"/>
          <w:lang w:val="es-ES"/>
        </w:rPr>
        <w:t>este hinchazón</w:t>
      </w:r>
      <w:proofErr w:type="gramEnd"/>
      <w:r w:rsidRPr="003E0B98">
        <w:rPr>
          <w:color w:val="000000"/>
          <w:szCs w:val="22"/>
          <w:lang w:val="es-ES"/>
        </w:rPr>
        <w:t xml:space="preserve"> puede ser la diabetes (una enfermedad conocida como edema macular diabético (EMD)) o un bloqueo de las venas retinianas de la retina (una enfermedad conocida como oclusión de la vena de la retina (OVR)).</w:t>
      </w:r>
    </w:p>
    <w:p w14:paraId="323951FD" w14:textId="77777777" w:rsidR="002E5034" w:rsidRPr="003E0B98" w:rsidRDefault="002E5034" w:rsidP="004361AC">
      <w:pPr>
        <w:numPr>
          <w:ilvl w:val="12"/>
          <w:numId w:val="0"/>
        </w:numPr>
        <w:tabs>
          <w:tab w:val="clear" w:pos="567"/>
        </w:tabs>
        <w:spacing w:line="240" w:lineRule="auto"/>
        <w:rPr>
          <w:color w:val="000000"/>
          <w:szCs w:val="22"/>
          <w:lang w:val="es-ES"/>
        </w:rPr>
      </w:pPr>
    </w:p>
    <w:p w14:paraId="5C0B18FF" w14:textId="77777777" w:rsidR="002E5034" w:rsidRPr="003E0B98" w:rsidRDefault="002E5034" w:rsidP="004361AC">
      <w:pPr>
        <w:keepNext/>
        <w:numPr>
          <w:ilvl w:val="12"/>
          <w:numId w:val="0"/>
        </w:numPr>
        <w:tabs>
          <w:tab w:val="clear" w:pos="567"/>
        </w:tabs>
        <w:spacing w:line="240" w:lineRule="auto"/>
        <w:rPr>
          <w:b/>
          <w:color w:val="000000"/>
          <w:szCs w:val="22"/>
          <w:lang w:val="es-ES"/>
        </w:rPr>
      </w:pPr>
      <w:r w:rsidRPr="003E0B98">
        <w:rPr>
          <w:b/>
          <w:color w:val="000000"/>
          <w:szCs w:val="22"/>
          <w:lang w:val="es-ES"/>
        </w:rPr>
        <w:t xml:space="preserve">Cómo actúa </w:t>
      </w:r>
      <w:proofErr w:type="spellStart"/>
      <w:r w:rsidRPr="003E0B98">
        <w:rPr>
          <w:b/>
          <w:color w:val="000000"/>
          <w:szCs w:val="22"/>
          <w:lang w:val="es-ES"/>
        </w:rPr>
        <w:t>Lucentis</w:t>
      </w:r>
      <w:proofErr w:type="spellEnd"/>
    </w:p>
    <w:p w14:paraId="30CAD06B" w14:textId="7DFE3993" w:rsidR="002E5034" w:rsidRPr="003E0B98" w:rsidRDefault="002E5034" w:rsidP="004361AC">
      <w:pPr>
        <w:numPr>
          <w:ilvl w:val="12"/>
          <w:numId w:val="0"/>
        </w:numPr>
        <w:tabs>
          <w:tab w:val="clear" w:pos="567"/>
        </w:tabs>
        <w:spacing w:line="240" w:lineRule="auto"/>
        <w:rPr>
          <w:color w:val="000000"/>
          <w:szCs w:val="22"/>
          <w:lang w:val="es-ES_tradnl"/>
        </w:rPr>
      </w:pPr>
      <w:proofErr w:type="spellStart"/>
      <w:r w:rsidRPr="003E0B98">
        <w:rPr>
          <w:color w:val="000000"/>
          <w:szCs w:val="22"/>
          <w:lang w:val="es-ES"/>
        </w:rPr>
        <w:t>Lucentis</w:t>
      </w:r>
      <w:proofErr w:type="spellEnd"/>
      <w:r w:rsidRPr="003E0B98">
        <w:rPr>
          <w:color w:val="000000"/>
          <w:szCs w:val="22"/>
          <w:lang w:val="es-ES"/>
        </w:rPr>
        <w:t xml:space="preserve"> reconoce y se une de forma específica a una proteína denominada </w:t>
      </w:r>
      <w:r w:rsidRPr="003E0B98">
        <w:rPr>
          <w:color w:val="000000"/>
          <w:szCs w:val="22"/>
          <w:lang w:val="es-ES_tradnl"/>
        </w:rPr>
        <w:t xml:space="preserve">factor de crecimiento endotelial vascular A (VEGF-A) humano presente en los ojos. En exceso, el VEGF-A causa el crecimiento de vasos sanguíneos anómalos e hinchazón en el ojo que puede ocasionar una </w:t>
      </w:r>
      <w:r w:rsidRPr="003E0B98">
        <w:rPr>
          <w:color w:val="000000"/>
          <w:szCs w:val="22"/>
          <w:lang w:val="es-ES"/>
        </w:rPr>
        <w:t>alteración</w:t>
      </w:r>
      <w:r w:rsidRPr="003E0B98">
        <w:rPr>
          <w:color w:val="000000"/>
          <w:szCs w:val="22"/>
          <w:lang w:val="es-ES_tradnl"/>
        </w:rPr>
        <w:t xml:space="preserve"> de la visión en enfermedades como DMAE, </w:t>
      </w:r>
      <w:r w:rsidR="00993B4D" w:rsidRPr="003E0B98">
        <w:rPr>
          <w:color w:val="000000"/>
          <w:szCs w:val="22"/>
          <w:lang w:val="es-ES_tradnl"/>
        </w:rPr>
        <w:t xml:space="preserve">EMD, RDP, OVR, </w:t>
      </w:r>
      <w:r w:rsidRPr="003E0B98">
        <w:rPr>
          <w:color w:val="000000"/>
          <w:szCs w:val="22"/>
          <w:lang w:val="es-ES_tradnl"/>
        </w:rPr>
        <w:t>MP</w:t>
      </w:r>
      <w:r w:rsidR="00993B4D" w:rsidRPr="003E0B98">
        <w:rPr>
          <w:color w:val="000000"/>
          <w:szCs w:val="22"/>
          <w:lang w:val="es-ES_tradnl"/>
        </w:rPr>
        <w:t xml:space="preserve"> y</w:t>
      </w:r>
      <w:r w:rsidRPr="003E0B98">
        <w:rPr>
          <w:color w:val="000000"/>
          <w:szCs w:val="22"/>
          <w:lang w:val="es-ES_tradnl"/>
        </w:rPr>
        <w:t xml:space="preserve"> </w:t>
      </w:r>
      <w:r w:rsidR="00023B56" w:rsidRPr="003E0B98">
        <w:rPr>
          <w:color w:val="000000"/>
          <w:szCs w:val="22"/>
          <w:lang w:val="es-ES_tradnl"/>
        </w:rPr>
        <w:t>NVC</w:t>
      </w:r>
      <w:r w:rsidRPr="003E0B98">
        <w:rPr>
          <w:color w:val="000000"/>
          <w:szCs w:val="22"/>
          <w:lang w:val="es-ES_tradnl"/>
        </w:rPr>
        <w:t xml:space="preserve">. Mediante la unión al VEGF-A, </w:t>
      </w:r>
      <w:proofErr w:type="spellStart"/>
      <w:r w:rsidRPr="003E0B98">
        <w:rPr>
          <w:color w:val="000000"/>
          <w:szCs w:val="22"/>
          <w:lang w:val="es-ES_tradnl"/>
        </w:rPr>
        <w:t>Lucentis</w:t>
      </w:r>
      <w:proofErr w:type="spellEnd"/>
      <w:r w:rsidRPr="003E0B98">
        <w:rPr>
          <w:color w:val="000000"/>
          <w:szCs w:val="22"/>
          <w:lang w:val="es-ES_tradnl"/>
        </w:rPr>
        <w:t xml:space="preserve"> puede impedir que actúe y prevenir dicho crecimiento e hinchazón anómalos.</w:t>
      </w:r>
    </w:p>
    <w:p w14:paraId="6FAA7448" w14:textId="77777777" w:rsidR="002E5034" w:rsidRPr="003E0B98" w:rsidRDefault="002E5034" w:rsidP="004361AC">
      <w:pPr>
        <w:numPr>
          <w:ilvl w:val="12"/>
          <w:numId w:val="0"/>
        </w:numPr>
        <w:tabs>
          <w:tab w:val="clear" w:pos="567"/>
        </w:tabs>
        <w:spacing w:line="240" w:lineRule="auto"/>
        <w:rPr>
          <w:color w:val="000000"/>
          <w:szCs w:val="22"/>
          <w:lang w:val="es-ES_tradnl"/>
        </w:rPr>
      </w:pPr>
    </w:p>
    <w:p w14:paraId="793BDF12" w14:textId="77777777" w:rsidR="002E5034" w:rsidRPr="003E0B98" w:rsidRDefault="002E5034" w:rsidP="004361AC">
      <w:pPr>
        <w:numPr>
          <w:ilvl w:val="12"/>
          <w:numId w:val="0"/>
        </w:numPr>
        <w:tabs>
          <w:tab w:val="clear" w:pos="567"/>
        </w:tabs>
        <w:spacing w:line="240" w:lineRule="auto"/>
        <w:rPr>
          <w:szCs w:val="22"/>
          <w:lang w:val="es-ES_tradnl"/>
        </w:rPr>
      </w:pPr>
      <w:r w:rsidRPr="003E0B98">
        <w:rPr>
          <w:color w:val="000000"/>
          <w:szCs w:val="22"/>
          <w:lang w:val="es-ES_tradnl"/>
        </w:rPr>
        <w:t xml:space="preserve">En estas enfermedades, </w:t>
      </w:r>
      <w:proofErr w:type="spellStart"/>
      <w:r w:rsidRPr="003E0B98">
        <w:rPr>
          <w:color w:val="000000"/>
          <w:szCs w:val="22"/>
          <w:lang w:val="es-ES_tradnl"/>
        </w:rPr>
        <w:t>Lucentis</w:t>
      </w:r>
      <w:proofErr w:type="spellEnd"/>
      <w:r w:rsidRPr="003E0B98">
        <w:rPr>
          <w:color w:val="000000"/>
          <w:szCs w:val="22"/>
          <w:lang w:val="es-ES_tradnl"/>
        </w:rPr>
        <w:t xml:space="preserve"> puede ayudar a estabilizar y, en muchos casos, mejorar su visión.</w:t>
      </w:r>
    </w:p>
    <w:p w14:paraId="08E9AB8E" w14:textId="77777777" w:rsidR="002E5034" w:rsidRPr="003E0B98" w:rsidRDefault="002E5034" w:rsidP="004361AC">
      <w:pPr>
        <w:numPr>
          <w:ilvl w:val="12"/>
          <w:numId w:val="0"/>
        </w:numPr>
        <w:tabs>
          <w:tab w:val="clear" w:pos="567"/>
        </w:tabs>
        <w:spacing w:line="240" w:lineRule="auto"/>
        <w:rPr>
          <w:color w:val="000000"/>
          <w:szCs w:val="22"/>
          <w:lang w:val="es-ES"/>
        </w:rPr>
      </w:pPr>
    </w:p>
    <w:p w14:paraId="07671D5D" w14:textId="77777777" w:rsidR="002E5034" w:rsidRPr="003E0B98" w:rsidRDefault="002E5034" w:rsidP="004361AC">
      <w:pPr>
        <w:numPr>
          <w:ilvl w:val="12"/>
          <w:numId w:val="0"/>
        </w:numPr>
        <w:tabs>
          <w:tab w:val="clear" w:pos="567"/>
        </w:tabs>
        <w:spacing w:line="240" w:lineRule="auto"/>
        <w:rPr>
          <w:color w:val="000000"/>
          <w:szCs w:val="22"/>
          <w:lang w:val="es-ES"/>
        </w:rPr>
      </w:pPr>
    </w:p>
    <w:p w14:paraId="19DE23CC" w14:textId="77777777" w:rsidR="002E5034" w:rsidRPr="003E0B98" w:rsidRDefault="002E5034" w:rsidP="004361AC">
      <w:pPr>
        <w:keepNext/>
        <w:tabs>
          <w:tab w:val="clear" w:pos="567"/>
        </w:tabs>
        <w:spacing w:line="240" w:lineRule="auto"/>
        <w:ind w:left="567" w:hanging="567"/>
        <w:rPr>
          <w:b/>
          <w:color w:val="000000"/>
          <w:szCs w:val="22"/>
          <w:lang w:val="es-ES_tradnl"/>
        </w:rPr>
      </w:pPr>
      <w:r w:rsidRPr="003E0B98">
        <w:rPr>
          <w:b/>
          <w:color w:val="000000"/>
          <w:szCs w:val="22"/>
          <w:lang w:val="es-ES_tradnl"/>
        </w:rPr>
        <w:t>2.</w:t>
      </w:r>
      <w:r w:rsidRPr="003E0B98">
        <w:rPr>
          <w:b/>
          <w:color w:val="000000"/>
          <w:szCs w:val="22"/>
          <w:lang w:val="es-ES_tradnl"/>
        </w:rPr>
        <w:tab/>
        <w:t xml:space="preserve">Qué necesita saber antes de que le administren </w:t>
      </w:r>
      <w:proofErr w:type="spellStart"/>
      <w:r w:rsidRPr="003E0B98">
        <w:rPr>
          <w:b/>
          <w:color w:val="000000"/>
          <w:szCs w:val="22"/>
          <w:lang w:val="es-ES_tradnl"/>
        </w:rPr>
        <w:t>Lucentis</w:t>
      </w:r>
      <w:proofErr w:type="spellEnd"/>
    </w:p>
    <w:p w14:paraId="7A10069F" w14:textId="77777777" w:rsidR="002E5034" w:rsidRPr="003E0B98" w:rsidRDefault="002E5034" w:rsidP="004361AC">
      <w:pPr>
        <w:keepNext/>
        <w:numPr>
          <w:ilvl w:val="12"/>
          <w:numId w:val="0"/>
        </w:numPr>
        <w:tabs>
          <w:tab w:val="clear" w:pos="567"/>
        </w:tabs>
        <w:spacing w:line="240" w:lineRule="auto"/>
        <w:rPr>
          <w:color w:val="000000"/>
          <w:szCs w:val="22"/>
          <w:lang w:val="es-ES_tradnl"/>
        </w:rPr>
      </w:pPr>
    </w:p>
    <w:p w14:paraId="53DB06D5" w14:textId="77777777" w:rsidR="002E5034" w:rsidRPr="003E0B98" w:rsidRDefault="002E5034" w:rsidP="004361AC">
      <w:pPr>
        <w:keepNext/>
        <w:numPr>
          <w:ilvl w:val="12"/>
          <w:numId w:val="0"/>
        </w:numPr>
        <w:tabs>
          <w:tab w:val="clear" w:pos="567"/>
        </w:tabs>
        <w:spacing w:line="240" w:lineRule="auto"/>
        <w:rPr>
          <w:b/>
          <w:color w:val="000000"/>
          <w:szCs w:val="22"/>
          <w:lang w:val="es-ES_tradnl"/>
        </w:rPr>
      </w:pPr>
      <w:r w:rsidRPr="003E0B98">
        <w:rPr>
          <w:b/>
          <w:color w:val="000000"/>
          <w:lang w:val="es-ES_tradnl"/>
        </w:rPr>
        <w:t xml:space="preserve">No le deben administrar </w:t>
      </w:r>
      <w:proofErr w:type="spellStart"/>
      <w:r w:rsidRPr="003E0B98">
        <w:rPr>
          <w:b/>
          <w:color w:val="000000"/>
          <w:szCs w:val="22"/>
          <w:lang w:val="es-ES_tradnl"/>
        </w:rPr>
        <w:t>Lucentis</w:t>
      </w:r>
      <w:proofErr w:type="spellEnd"/>
    </w:p>
    <w:p w14:paraId="14A20A00" w14:textId="77777777" w:rsidR="002E5034" w:rsidRPr="003E0B98" w:rsidRDefault="002E5034" w:rsidP="004361AC">
      <w:pPr>
        <w:numPr>
          <w:ilvl w:val="12"/>
          <w:numId w:val="0"/>
        </w:numPr>
        <w:tabs>
          <w:tab w:val="clear" w:pos="567"/>
        </w:tabs>
        <w:spacing w:line="240" w:lineRule="auto"/>
        <w:ind w:left="567" w:hanging="567"/>
        <w:rPr>
          <w:color w:val="000000"/>
          <w:szCs w:val="22"/>
          <w:lang w:val="es-ES"/>
        </w:rPr>
      </w:pPr>
      <w:r w:rsidRPr="003E0B98">
        <w:rPr>
          <w:color w:val="000000"/>
          <w:szCs w:val="22"/>
          <w:lang w:val="es-ES"/>
        </w:rPr>
        <w:t>-</w:t>
      </w:r>
      <w:r w:rsidRPr="003E0B98">
        <w:rPr>
          <w:color w:val="000000"/>
          <w:szCs w:val="22"/>
          <w:lang w:val="es-ES"/>
        </w:rPr>
        <w:tab/>
        <w:t xml:space="preserve">Si es alérgico al </w:t>
      </w:r>
      <w:proofErr w:type="spellStart"/>
      <w:r w:rsidRPr="003E0B98">
        <w:rPr>
          <w:color w:val="000000"/>
          <w:szCs w:val="22"/>
          <w:lang w:val="es-ES"/>
        </w:rPr>
        <w:t>ranibizumab</w:t>
      </w:r>
      <w:proofErr w:type="spellEnd"/>
      <w:r w:rsidRPr="003E0B98">
        <w:rPr>
          <w:color w:val="000000"/>
          <w:szCs w:val="22"/>
          <w:lang w:val="es-ES"/>
        </w:rPr>
        <w:t xml:space="preserve"> o a </w:t>
      </w:r>
      <w:r w:rsidR="00F55352" w:rsidRPr="003E0B98">
        <w:rPr>
          <w:color w:val="000000"/>
          <w:szCs w:val="22"/>
          <w:lang w:val="es-ES"/>
        </w:rPr>
        <w:t>alguno</w:t>
      </w:r>
      <w:r w:rsidRPr="003E0B98">
        <w:rPr>
          <w:color w:val="000000"/>
          <w:szCs w:val="22"/>
          <w:lang w:val="es-ES"/>
        </w:rPr>
        <w:t xml:space="preserve"> de los demás componentes de este medicamento </w:t>
      </w:r>
      <w:r w:rsidRPr="003E0B98">
        <w:rPr>
          <w:color w:val="000000"/>
          <w:szCs w:val="22"/>
          <w:lang w:val="es-ES_tradnl"/>
        </w:rPr>
        <w:t>(incluidos en la</w:t>
      </w:r>
      <w:r w:rsidRPr="003E0B98">
        <w:rPr>
          <w:color w:val="000000"/>
          <w:szCs w:val="22"/>
          <w:lang w:val="es-ES"/>
        </w:rPr>
        <w:t xml:space="preserve"> sección 6).</w:t>
      </w:r>
    </w:p>
    <w:p w14:paraId="276655B4" w14:textId="77777777" w:rsidR="002E5034" w:rsidRPr="003E0B98" w:rsidRDefault="002E5034" w:rsidP="004361AC">
      <w:pPr>
        <w:numPr>
          <w:ilvl w:val="12"/>
          <w:numId w:val="0"/>
        </w:numPr>
        <w:tabs>
          <w:tab w:val="clear" w:pos="567"/>
        </w:tabs>
        <w:spacing w:line="240" w:lineRule="auto"/>
        <w:ind w:left="567" w:hanging="567"/>
        <w:rPr>
          <w:color w:val="000000"/>
          <w:szCs w:val="22"/>
          <w:lang w:val="es-ES"/>
        </w:rPr>
      </w:pPr>
      <w:r w:rsidRPr="003E0B98">
        <w:rPr>
          <w:color w:val="000000"/>
          <w:szCs w:val="22"/>
          <w:lang w:val="es-ES"/>
        </w:rPr>
        <w:t>-</w:t>
      </w:r>
      <w:r w:rsidRPr="003E0B98">
        <w:rPr>
          <w:color w:val="000000"/>
          <w:szCs w:val="22"/>
          <w:lang w:val="es-ES"/>
        </w:rPr>
        <w:tab/>
        <w:t>Si tiene una infección en el ojo o alrededor del mismo.</w:t>
      </w:r>
    </w:p>
    <w:p w14:paraId="1BF29A9B" w14:textId="77777777" w:rsidR="002E5034" w:rsidRPr="003E0B98" w:rsidRDefault="002E5034" w:rsidP="004361AC">
      <w:pPr>
        <w:numPr>
          <w:ilvl w:val="12"/>
          <w:numId w:val="0"/>
        </w:numPr>
        <w:tabs>
          <w:tab w:val="clear" w:pos="567"/>
        </w:tabs>
        <w:spacing w:line="240" w:lineRule="auto"/>
        <w:ind w:left="567" w:hanging="567"/>
        <w:rPr>
          <w:color w:val="000000"/>
          <w:szCs w:val="22"/>
          <w:lang w:val="es-ES"/>
        </w:rPr>
      </w:pPr>
      <w:r w:rsidRPr="003E0B98">
        <w:rPr>
          <w:color w:val="000000"/>
          <w:szCs w:val="22"/>
          <w:lang w:val="es-ES"/>
        </w:rPr>
        <w:t>-</w:t>
      </w:r>
      <w:r w:rsidRPr="003E0B98">
        <w:rPr>
          <w:color w:val="000000"/>
          <w:szCs w:val="22"/>
          <w:lang w:val="es-ES"/>
        </w:rPr>
        <w:tab/>
        <w:t>Si tiene dolor o enrojecimiento (inflamación intraocular grave) en el ojo.</w:t>
      </w:r>
    </w:p>
    <w:p w14:paraId="4521F956" w14:textId="77777777" w:rsidR="002E5034" w:rsidRPr="003E0B98" w:rsidRDefault="002E5034" w:rsidP="004361AC">
      <w:pPr>
        <w:numPr>
          <w:ilvl w:val="12"/>
          <w:numId w:val="0"/>
        </w:numPr>
        <w:tabs>
          <w:tab w:val="clear" w:pos="567"/>
        </w:tabs>
        <w:spacing w:line="240" w:lineRule="auto"/>
        <w:ind w:right="-2"/>
        <w:rPr>
          <w:color w:val="000000"/>
          <w:szCs w:val="22"/>
          <w:lang w:val="es-ES"/>
        </w:rPr>
      </w:pPr>
    </w:p>
    <w:p w14:paraId="43672797" w14:textId="77777777" w:rsidR="002E5034" w:rsidRPr="003E0B98" w:rsidRDefault="002E5034" w:rsidP="004361AC">
      <w:pPr>
        <w:keepNext/>
        <w:numPr>
          <w:ilvl w:val="12"/>
          <w:numId w:val="0"/>
        </w:numPr>
        <w:tabs>
          <w:tab w:val="clear" w:pos="567"/>
        </w:tabs>
        <w:spacing w:line="240" w:lineRule="auto"/>
        <w:rPr>
          <w:color w:val="000000"/>
          <w:szCs w:val="22"/>
          <w:lang w:val="es-ES_tradnl"/>
        </w:rPr>
      </w:pPr>
      <w:r w:rsidRPr="003E0B98">
        <w:rPr>
          <w:b/>
          <w:szCs w:val="24"/>
          <w:lang w:val="es-ES_tradnl"/>
        </w:rPr>
        <w:t>Advertencias y precauciones</w:t>
      </w:r>
    </w:p>
    <w:p w14:paraId="6766B367" w14:textId="77777777" w:rsidR="002E5034" w:rsidRPr="003E0B98" w:rsidRDefault="002E5034" w:rsidP="004361AC">
      <w:pPr>
        <w:keepNext/>
        <w:numPr>
          <w:ilvl w:val="12"/>
          <w:numId w:val="0"/>
        </w:numPr>
        <w:tabs>
          <w:tab w:val="clear" w:pos="567"/>
        </w:tabs>
        <w:spacing w:line="240" w:lineRule="auto"/>
        <w:rPr>
          <w:szCs w:val="24"/>
          <w:lang w:val="es-ES_tradnl"/>
        </w:rPr>
      </w:pPr>
      <w:r w:rsidRPr="003E0B98">
        <w:rPr>
          <w:szCs w:val="24"/>
          <w:lang w:val="es-ES_tradnl"/>
        </w:rPr>
        <w:t xml:space="preserve">Consulte a su médico antes de que le administren </w:t>
      </w:r>
      <w:proofErr w:type="spellStart"/>
      <w:r w:rsidRPr="003E0B98">
        <w:rPr>
          <w:szCs w:val="24"/>
          <w:lang w:val="es-ES_tradnl"/>
        </w:rPr>
        <w:t>Lucentis</w:t>
      </w:r>
      <w:proofErr w:type="spellEnd"/>
    </w:p>
    <w:p w14:paraId="69FD77AB" w14:textId="77777777" w:rsidR="002E5034" w:rsidRPr="003E0B98" w:rsidRDefault="002E5034" w:rsidP="004361AC">
      <w:pPr>
        <w:numPr>
          <w:ilvl w:val="12"/>
          <w:numId w:val="0"/>
        </w:numPr>
        <w:tabs>
          <w:tab w:val="clear" w:pos="567"/>
        </w:tabs>
        <w:spacing w:line="240" w:lineRule="auto"/>
        <w:ind w:left="567" w:hanging="567"/>
        <w:rPr>
          <w:color w:val="000000"/>
          <w:szCs w:val="22"/>
          <w:lang w:val="es-ES"/>
        </w:rPr>
      </w:pPr>
      <w:r w:rsidRPr="003E0B98">
        <w:rPr>
          <w:color w:val="000000"/>
          <w:szCs w:val="22"/>
          <w:lang w:val="es-ES"/>
        </w:rPr>
        <w:t>-</w:t>
      </w:r>
      <w:r w:rsidRPr="003E0B98">
        <w:rPr>
          <w:color w:val="000000"/>
          <w:szCs w:val="22"/>
          <w:lang w:val="es-ES"/>
        </w:rPr>
        <w:tab/>
      </w:r>
      <w:proofErr w:type="spellStart"/>
      <w:r w:rsidRPr="003E0B98">
        <w:rPr>
          <w:color w:val="000000"/>
          <w:szCs w:val="22"/>
          <w:lang w:val="es-ES"/>
        </w:rPr>
        <w:t>Lucentis</w:t>
      </w:r>
      <w:proofErr w:type="spellEnd"/>
      <w:r w:rsidRPr="003E0B98">
        <w:rPr>
          <w:color w:val="000000"/>
          <w:szCs w:val="22"/>
          <w:lang w:val="es-ES"/>
        </w:rPr>
        <w:t xml:space="preserve"> se administra mediante una inyección en el ojo. Ocasionalmente, tras el tratamiento con </w:t>
      </w:r>
      <w:proofErr w:type="spellStart"/>
      <w:r w:rsidRPr="003E0B98">
        <w:rPr>
          <w:color w:val="000000"/>
          <w:szCs w:val="22"/>
          <w:lang w:val="es-ES"/>
        </w:rPr>
        <w:t>Lucentis</w:t>
      </w:r>
      <w:proofErr w:type="spellEnd"/>
      <w:r w:rsidRPr="003E0B98">
        <w:rPr>
          <w:color w:val="000000"/>
          <w:szCs w:val="22"/>
          <w:lang w:val="es-ES"/>
        </w:rPr>
        <w:t xml:space="preserve"> puede aparecer una infección en la parte interna del ojo, dolor o enrojecimiento (inflamación), </w:t>
      </w:r>
      <w:r w:rsidRPr="003E0B98">
        <w:rPr>
          <w:color w:val="000000"/>
          <w:szCs w:val="22"/>
          <w:lang w:val="es-ES_tradnl"/>
        </w:rPr>
        <w:t>desprendimiento o desgarro de una de las capas situadas en el fondo del ojo (desprendimiento o desgarro de la retina y desprendimiento o desgarro del epitelio pigmentario de la retina), o enturbiamiento del cristalino (catarata). Es importante identificar y tratar tal infección o desprendimiento de retina lo antes posible. Informe inmediatamente a su médico si nota signos como dolor en el ojo o aumento de las molestias en el ojo, si empeora el enrojecimiento en el ojo, visión borrosa o disminución de la visión, un aumento del número de pequeñas manchas en la visión o aumento de la sensibilidad a la luz.</w:t>
      </w:r>
    </w:p>
    <w:p w14:paraId="3BE4C1A0" w14:textId="77777777" w:rsidR="002E5034" w:rsidRPr="003E0B98" w:rsidRDefault="002E5034" w:rsidP="004361AC">
      <w:pPr>
        <w:numPr>
          <w:ilvl w:val="12"/>
          <w:numId w:val="0"/>
        </w:numPr>
        <w:tabs>
          <w:tab w:val="clear" w:pos="567"/>
        </w:tabs>
        <w:spacing w:line="240" w:lineRule="auto"/>
        <w:ind w:left="567" w:hanging="567"/>
        <w:rPr>
          <w:color w:val="000000"/>
          <w:szCs w:val="22"/>
          <w:lang w:val="es-ES_tradnl"/>
        </w:rPr>
      </w:pPr>
      <w:r w:rsidRPr="003E0B98">
        <w:rPr>
          <w:color w:val="000000"/>
          <w:szCs w:val="22"/>
          <w:lang w:val="es-ES_tradnl"/>
        </w:rPr>
        <w:t>-</w:t>
      </w:r>
      <w:r w:rsidRPr="003E0B98">
        <w:rPr>
          <w:color w:val="000000"/>
          <w:szCs w:val="22"/>
          <w:lang w:val="es-ES_tradnl"/>
        </w:rPr>
        <w:tab/>
        <w:t xml:space="preserve">En algunos pacientes, después de la inyección la presión en el ojo puede aumentar durante un corto periodo de tiempo. Es posible que usted no se </w:t>
      </w:r>
      <w:proofErr w:type="spellStart"/>
      <w:r w:rsidRPr="003E0B98">
        <w:rPr>
          <w:color w:val="000000"/>
          <w:szCs w:val="22"/>
          <w:lang w:val="es-ES_tradnl"/>
        </w:rPr>
        <w:t>de</w:t>
      </w:r>
      <w:proofErr w:type="spellEnd"/>
      <w:r w:rsidRPr="003E0B98">
        <w:rPr>
          <w:color w:val="000000"/>
          <w:szCs w:val="22"/>
          <w:lang w:val="es-ES_tradnl"/>
        </w:rPr>
        <w:t xml:space="preserve"> cuenta de ello, por lo que puede que su médico le realice un seguimiento de la presión ocular después de cada inyección.</w:t>
      </w:r>
    </w:p>
    <w:p w14:paraId="51E4DD2F" w14:textId="77777777" w:rsidR="002E5034" w:rsidRPr="003E0B98" w:rsidRDefault="002E5034" w:rsidP="004361AC">
      <w:pPr>
        <w:numPr>
          <w:ilvl w:val="12"/>
          <w:numId w:val="0"/>
        </w:numPr>
        <w:tabs>
          <w:tab w:val="clear" w:pos="567"/>
        </w:tabs>
        <w:spacing w:line="240" w:lineRule="auto"/>
        <w:ind w:left="567" w:hanging="567"/>
        <w:rPr>
          <w:color w:val="000000"/>
          <w:szCs w:val="22"/>
          <w:lang w:val="es-ES_tradnl"/>
        </w:rPr>
      </w:pPr>
      <w:r w:rsidRPr="003E0B98">
        <w:rPr>
          <w:color w:val="000000"/>
          <w:szCs w:val="22"/>
          <w:lang w:val="es-ES_tradnl"/>
        </w:rPr>
        <w:t>-</w:t>
      </w:r>
      <w:r w:rsidRPr="003E0B98">
        <w:rPr>
          <w:color w:val="000000"/>
          <w:szCs w:val="22"/>
          <w:lang w:val="es-ES_tradnl"/>
        </w:rPr>
        <w:tab/>
        <w:t xml:space="preserve">Informe a su médico si ha tenido enfermedades en los ojos o ha recibido algún tratamiento en los ojos anteriormente, o si ha sufrido un accidente cerebrovascular o ha tenido signos pasajeros de accidente cerebrovascular (debilidad o parálisis de un miembro o cara, dificultad en el habla o en la comprensión). Esta información se tendrá en consideración para evaluar si </w:t>
      </w:r>
      <w:proofErr w:type="spellStart"/>
      <w:r w:rsidRPr="003E0B98">
        <w:rPr>
          <w:color w:val="000000"/>
          <w:szCs w:val="22"/>
          <w:lang w:val="es-ES_tradnl"/>
        </w:rPr>
        <w:t>Lucentis</w:t>
      </w:r>
      <w:proofErr w:type="spellEnd"/>
      <w:r w:rsidRPr="003E0B98">
        <w:rPr>
          <w:color w:val="000000"/>
          <w:szCs w:val="22"/>
          <w:lang w:val="es-ES_tradnl"/>
        </w:rPr>
        <w:t xml:space="preserve"> es el tratamiento apropiado para usted.</w:t>
      </w:r>
    </w:p>
    <w:p w14:paraId="5406278B" w14:textId="77777777" w:rsidR="002E5034" w:rsidRPr="003E0B98" w:rsidRDefault="002E5034" w:rsidP="004361AC">
      <w:pPr>
        <w:numPr>
          <w:ilvl w:val="12"/>
          <w:numId w:val="0"/>
        </w:numPr>
        <w:tabs>
          <w:tab w:val="clear" w:pos="567"/>
        </w:tabs>
        <w:spacing w:line="240" w:lineRule="auto"/>
        <w:rPr>
          <w:color w:val="000000"/>
          <w:szCs w:val="22"/>
          <w:lang w:val="es-ES_tradnl"/>
        </w:rPr>
      </w:pPr>
    </w:p>
    <w:p w14:paraId="0B27E6AD" w14:textId="77777777" w:rsidR="007565D9" w:rsidRPr="003E0B98" w:rsidRDefault="007565D9" w:rsidP="004361AC">
      <w:pPr>
        <w:numPr>
          <w:ilvl w:val="12"/>
          <w:numId w:val="0"/>
        </w:numPr>
        <w:tabs>
          <w:tab w:val="clear" w:pos="567"/>
        </w:tabs>
        <w:spacing w:line="240" w:lineRule="auto"/>
        <w:rPr>
          <w:color w:val="000000"/>
          <w:szCs w:val="22"/>
          <w:lang w:val="es-ES"/>
        </w:rPr>
      </w:pPr>
      <w:r w:rsidRPr="003E0B98">
        <w:rPr>
          <w:color w:val="000000"/>
          <w:szCs w:val="22"/>
          <w:lang w:val="es-ES_tradnl"/>
        </w:rPr>
        <w:t xml:space="preserve">Para consultar información </w:t>
      </w:r>
      <w:r w:rsidR="00962371" w:rsidRPr="003E0B98">
        <w:rPr>
          <w:color w:val="000000"/>
          <w:szCs w:val="22"/>
          <w:lang w:val="es-ES_tradnl"/>
        </w:rPr>
        <w:t xml:space="preserve">más </w:t>
      </w:r>
      <w:r w:rsidRPr="003E0B98">
        <w:rPr>
          <w:color w:val="000000"/>
          <w:szCs w:val="22"/>
          <w:lang w:val="es-ES_tradnl"/>
        </w:rPr>
        <w:t xml:space="preserve">detallada sobre los efectos adversos que podrían </w:t>
      </w:r>
      <w:r w:rsidR="00962371" w:rsidRPr="003E0B98">
        <w:rPr>
          <w:color w:val="000000"/>
          <w:szCs w:val="22"/>
          <w:lang w:val="es-ES_tradnl"/>
        </w:rPr>
        <w:t xml:space="preserve">ocurrir durante el tratamiento con </w:t>
      </w:r>
      <w:proofErr w:type="spellStart"/>
      <w:r w:rsidR="00962371" w:rsidRPr="003E0B98">
        <w:rPr>
          <w:color w:val="000000"/>
          <w:szCs w:val="22"/>
          <w:lang w:val="es-ES_tradnl"/>
        </w:rPr>
        <w:t>Lucentis</w:t>
      </w:r>
      <w:proofErr w:type="spellEnd"/>
      <w:r w:rsidR="00962371" w:rsidRPr="003E0B98">
        <w:rPr>
          <w:color w:val="000000"/>
          <w:szCs w:val="22"/>
          <w:lang w:val="es-ES_tradnl"/>
        </w:rPr>
        <w:t xml:space="preserve">, ver sección 4 </w:t>
      </w:r>
      <w:r w:rsidR="00962371" w:rsidRPr="003E0B98">
        <w:rPr>
          <w:szCs w:val="22"/>
          <w:lang w:val="es-ES"/>
        </w:rPr>
        <w:t>(“Posibles efectos adversos”).</w:t>
      </w:r>
    </w:p>
    <w:p w14:paraId="14C932E6" w14:textId="77777777" w:rsidR="007565D9" w:rsidRPr="003E0B98" w:rsidRDefault="007565D9" w:rsidP="004361AC">
      <w:pPr>
        <w:numPr>
          <w:ilvl w:val="12"/>
          <w:numId w:val="0"/>
        </w:numPr>
        <w:tabs>
          <w:tab w:val="clear" w:pos="567"/>
        </w:tabs>
        <w:spacing w:line="240" w:lineRule="auto"/>
        <w:rPr>
          <w:color w:val="000000"/>
          <w:szCs w:val="22"/>
          <w:lang w:val="es-ES_tradnl"/>
        </w:rPr>
      </w:pPr>
    </w:p>
    <w:p w14:paraId="05B24FF0" w14:textId="77777777" w:rsidR="002E5034" w:rsidRPr="003E0B98" w:rsidRDefault="002E5034" w:rsidP="004361AC">
      <w:pPr>
        <w:keepNext/>
        <w:numPr>
          <w:ilvl w:val="12"/>
          <w:numId w:val="0"/>
        </w:numPr>
        <w:tabs>
          <w:tab w:val="clear" w:pos="567"/>
        </w:tabs>
        <w:spacing w:line="240" w:lineRule="auto"/>
        <w:rPr>
          <w:b/>
          <w:color w:val="000000"/>
          <w:szCs w:val="22"/>
          <w:lang w:val="es-ES_tradnl"/>
        </w:rPr>
      </w:pPr>
      <w:r w:rsidRPr="003E0B98">
        <w:rPr>
          <w:b/>
          <w:color w:val="000000"/>
          <w:lang w:val="es-ES_tradnl"/>
        </w:rPr>
        <w:t>Niños y adolescentes</w:t>
      </w:r>
      <w:r w:rsidRPr="003E0B98">
        <w:rPr>
          <w:b/>
          <w:color w:val="000000"/>
          <w:szCs w:val="22"/>
          <w:lang w:val="es-ES_tradnl"/>
        </w:rPr>
        <w:t xml:space="preserve"> (meno</w:t>
      </w:r>
      <w:r w:rsidR="00F919C5" w:rsidRPr="003E0B98">
        <w:rPr>
          <w:b/>
          <w:color w:val="000000"/>
          <w:szCs w:val="22"/>
          <w:lang w:val="es-ES_tradnl"/>
        </w:rPr>
        <w:t>res</w:t>
      </w:r>
      <w:r w:rsidRPr="003E0B98">
        <w:rPr>
          <w:b/>
          <w:color w:val="000000"/>
          <w:szCs w:val="22"/>
          <w:lang w:val="es-ES_tradnl"/>
        </w:rPr>
        <w:t xml:space="preserve"> </w:t>
      </w:r>
      <w:r w:rsidRPr="003E0B98">
        <w:rPr>
          <w:b/>
          <w:color w:val="000000"/>
          <w:lang w:val="es-ES_tradnl"/>
        </w:rPr>
        <w:t>de 18 años</w:t>
      </w:r>
      <w:r w:rsidRPr="003E0B98">
        <w:rPr>
          <w:b/>
          <w:color w:val="000000"/>
          <w:szCs w:val="22"/>
          <w:lang w:val="es-ES_tradnl"/>
        </w:rPr>
        <w:t>)</w:t>
      </w:r>
    </w:p>
    <w:p w14:paraId="24B16E60" w14:textId="1CF3B74A" w:rsidR="002E5034" w:rsidRPr="003E0B98" w:rsidRDefault="00935744" w:rsidP="004361AC">
      <w:pPr>
        <w:numPr>
          <w:ilvl w:val="12"/>
          <w:numId w:val="0"/>
        </w:numPr>
        <w:tabs>
          <w:tab w:val="clear" w:pos="567"/>
        </w:tabs>
        <w:spacing w:line="240" w:lineRule="auto"/>
        <w:rPr>
          <w:color w:val="000000"/>
          <w:szCs w:val="22"/>
          <w:lang w:val="es-ES_tradnl"/>
        </w:rPr>
      </w:pPr>
      <w:r w:rsidRPr="003E0B98">
        <w:rPr>
          <w:color w:val="000000"/>
          <w:szCs w:val="22"/>
          <w:lang w:val="es-ES_tradnl"/>
        </w:rPr>
        <w:t>Excepto para la retinopatía del prematuro, n</w:t>
      </w:r>
      <w:r w:rsidR="002E5034" w:rsidRPr="003E0B98">
        <w:rPr>
          <w:color w:val="000000"/>
          <w:szCs w:val="22"/>
          <w:lang w:val="es-ES_tradnl"/>
        </w:rPr>
        <w:t xml:space="preserve">o se recomienda el uso de </w:t>
      </w:r>
      <w:proofErr w:type="spellStart"/>
      <w:r w:rsidR="002E5034" w:rsidRPr="003E0B98">
        <w:rPr>
          <w:color w:val="000000"/>
          <w:szCs w:val="22"/>
          <w:lang w:val="es-ES_tradnl"/>
        </w:rPr>
        <w:t>Lucentis</w:t>
      </w:r>
      <w:proofErr w:type="spellEnd"/>
      <w:r w:rsidR="002E5034" w:rsidRPr="003E0B98">
        <w:rPr>
          <w:color w:val="000000"/>
          <w:szCs w:val="22"/>
          <w:lang w:val="es-ES_tradnl"/>
        </w:rPr>
        <w:t xml:space="preserve"> en niños y adolescentes</w:t>
      </w:r>
      <w:r w:rsidR="00F919C5" w:rsidRPr="003E0B98">
        <w:rPr>
          <w:color w:val="000000"/>
          <w:szCs w:val="22"/>
          <w:lang w:val="es-ES_tradnl"/>
        </w:rPr>
        <w:t>,</w:t>
      </w:r>
      <w:r w:rsidR="002E5034" w:rsidRPr="003E0B98">
        <w:rPr>
          <w:color w:val="000000"/>
          <w:szCs w:val="22"/>
          <w:lang w:val="es-ES_tradnl"/>
        </w:rPr>
        <w:t xml:space="preserve"> ya que no se ha </w:t>
      </w:r>
      <w:r w:rsidR="00023B56" w:rsidRPr="003E0B98">
        <w:rPr>
          <w:color w:val="000000"/>
          <w:szCs w:val="22"/>
          <w:lang w:val="es-ES_tradnl"/>
        </w:rPr>
        <w:t>establecido</w:t>
      </w:r>
      <w:r w:rsidR="002E5034" w:rsidRPr="003E0B98">
        <w:rPr>
          <w:color w:val="000000"/>
          <w:szCs w:val="22"/>
          <w:lang w:val="es-ES_tradnl"/>
        </w:rPr>
        <w:t xml:space="preserve"> en estos grupos de edad.</w:t>
      </w:r>
      <w:r w:rsidRPr="003E0B98">
        <w:rPr>
          <w:color w:val="000000"/>
          <w:szCs w:val="22"/>
          <w:lang w:val="es-ES_tradnl"/>
        </w:rPr>
        <w:t xml:space="preserve"> Para el tratamiento de bebés nacidos prematuramente con retinopatía del prematuro (</w:t>
      </w:r>
      <w:r w:rsidR="00153893" w:rsidRPr="003E0B98">
        <w:rPr>
          <w:color w:val="000000"/>
          <w:szCs w:val="22"/>
          <w:lang w:val="es-ES_tradnl"/>
        </w:rPr>
        <w:t>R</w:t>
      </w:r>
      <w:r w:rsidR="00440BE3" w:rsidRPr="003E0B98">
        <w:rPr>
          <w:color w:val="000000"/>
          <w:szCs w:val="22"/>
          <w:lang w:val="es-ES_tradnl"/>
        </w:rPr>
        <w:t>O</w:t>
      </w:r>
      <w:r w:rsidR="00153893" w:rsidRPr="003E0B98">
        <w:rPr>
          <w:color w:val="000000"/>
          <w:szCs w:val="22"/>
          <w:lang w:val="es-ES_tradnl"/>
        </w:rPr>
        <w:t>P</w:t>
      </w:r>
      <w:r w:rsidRPr="003E0B98">
        <w:rPr>
          <w:color w:val="000000"/>
          <w:szCs w:val="22"/>
          <w:lang w:val="es-ES_tradnl"/>
        </w:rPr>
        <w:t>) vea la otra cara del prospecto.</w:t>
      </w:r>
    </w:p>
    <w:p w14:paraId="45E41797" w14:textId="77777777" w:rsidR="002E5034" w:rsidRPr="003E0B98" w:rsidRDefault="002E5034" w:rsidP="004361AC">
      <w:pPr>
        <w:numPr>
          <w:ilvl w:val="12"/>
          <w:numId w:val="0"/>
        </w:numPr>
        <w:tabs>
          <w:tab w:val="clear" w:pos="567"/>
        </w:tabs>
        <w:spacing w:line="240" w:lineRule="auto"/>
        <w:rPr>
          <w:color w:val="000000"/>
          <w:szCs w:val="22"/>
          <w:lang w:val="es-ES_tradnl"/>
        </w:rPr>
      </w:pPr>
    </w:p>
    <w:p w14:paraId="5A69D6F8" w14:textId="77777777" w:rsidR="002E5034" w:rsidRPr="003E0B98" w:rsidRDefault="00F55352" w:rsidP="004361AC">
      <w:pPr>
        <w:keepNext/>
        <w:numPr>
          <w:ilvl w:val="12"/>
          <w:numId w:val="0"/>
        </w:numPr>
        <w:tabs>
          <w:tab w:val="clear" w:pos="567"/>
        </w:tabs>
        <w:spacing w:line="240" w:lineRule="auto"/>
        <w:rPr>
          <w:b/>
          <w:color w:val="000000"/>
          <w:szCs w:val="22"/>
          <w:lang w:val="es-ES_tradnl"/>
        </w:rPr>
      </w:pPr>
      <w:r w:rsidRPr="003E0B98">
        <w:rPr>
          <w:b/>
          <w:noProof/>
          <w:color w:val="000000"/>
          <w:lang w:val="es-ES_tradnl"/>
        </w:rPr>
        <w:t>O</w:t>
      </w:r>
      <w:r w:rsidR="002E5034" w:rsidRPr="003E0B98">
        <w:rPr>
          <w:b/>
          <w:noProof/>
          <w:color w:val="000000"/>
          <w:lang w:val="es-ES_tradnl"/>
        </w:rPr>
        <w:t>tros medicamentos</w:t>
      </w:r>
      <w:r w:rsidRPr="003E0B98">
        <w:rPr>
          <w:b/>
          <w:noProof/>
          <w:color w:val="000000"/>
          <w:lang w:val="es-ES_tradnl"/>
        </w:rPr>
        <w:t xml:space="preserve"> y Lucentis</w:t>
      </w:r>
    </w:p>
    <w:p w14:paraId="2968BD24" w14:textId="77777777" w:rsidR="002E5034" w:rsidRPr="003E0B98" w:rsidRDefault="002E5034" w:rsidP="004361AC">
      <w:pPr>
        <w:numPr>
          <w:ilvl w:val="12"/>
          <w:numId w:val="0"/>
        </w:numPr>
        <w:tabs>
          <w:tab w:val="clear" w:pos="567"/>
        </w:tabs>
        <w:spacing w:line="240" w:lineRule="auto"/>
        <w:ind w:right="-2"/>
        <w:rPr>
          <w:color w:val="000000"/>
          <w:szCs w:val="22"/>
          <w:lang w:val="es-ES_tradnl"/>
        </w:rPr>
      </w:pPr>
      <w:r w:rsidRPr="003E0B98">
        <w:rPr>
          <w:noProof/>
          <w:color w:val="000000"/>
          <w:lang w:val="es-ES_tradnl"/>
        </w:rPr>
        <w:t xml:space="preserve">Informe a su médico si está utilizando, ha utilizado recientemente </w:t>
      </w:r>
      <w:r w:rsidRPr="003E0B98">
        <w:rPr>
          <w:szCs w:val="24"/>
          <w:lang w:val="es-ES_tradnl"/>
        </w:rPr>
        <w:t xml:space="preserve">o </w:t>
      </w:r>
      <w:r w:rsidR="00F55352" w:rsidRPr="003E0B98">
        <w:rPr>
          <w:szCs w:val="24"/>
          <w:lang w:val="es-ES_tradnl"/>
        </w:rPr>
        <w:t>pudiera</w:t>
      </w:r>
      <w:r w:rsidRPr="003E0B98">
        <w:rPr>
          <w:szCs w:val="24"/>
          <w:lang w:val="es-ES_tradnl"/>
        </w:rPr>
        <w:t xml:space="preserve"> tener que utilizar cualquier</w:t>
      </w:r>
      <w:r w:rsidRPr="003E0B98">
        <w:rPr>
          <w:noProof/>
          <w:color w:val="000000"/>
          <w:lang w:val="es-ES_tradnl"/>
        </w:rPr>
        <w:t xml:space="preserve"> otro medicamento.</w:t>
      </w:r>
    </w:p>
    <w:p w14:paraId="322CC7C6" w14:textId="77777777" w:rsidR="002E5034" w:rsidRPr="003E0B98" w:rsidRDefault="002E5034" w:rsidP="004361AC">
      <w:pPr>
        <w:numPr>
          <w:ilvl w:val="12"/>
          <w:numId w:val="0"/>
        </w:numPr>
        <w:tabs>
          <w:tab w:val="clear" w:pos="567"/>
        </w:tabs>
        <w:spacing w:line="240" w:lineRule="auto"/>
        <w:ind w:right="-2"/>
        <w:rPr>
          <w:color w:val="000000"/>
          <w:szCs w:val="22"/>
          <w:lang w:val="es-ES_tradnl"/>
        </w:rPr>
      </w:pPr>
    </w:p>
    <w:p w14:paraId="7AF8CB85" w14:textId="77777777" w:rsidR="002E5034" w:rsidRPr="003E0B98" w:rsidRDefault="002E5034" w:rsidP="004361AC">
      <w:pPr>
        <w:keepNext/>
        <w:numPr>
          <w:ilvl w:val="12"/>
          <w:numId w:val="0"/>
        </w:numPr>
        <w:tabs>
          <w:tab w:val="clear" w:pos="567"/>
        </w:tabs>
        <w:spacing w:line="240" w:lineRule="auto"/>
        <w:rPr>
          <w:color w:val="000000"/>
          <w:szCs w:val="22"/>
          <w:lang w:val="es-ES_tradnl"/>
        </w:rPr>
      </w:pPr>
      <w:r w:rsidRPr="003E0B98">
        <w:rPr>
          <w:b/>
          <w:noProof/>
          <w:color w:val="000000"/>
          <w:lang w:val="es-ES_tradnl"/>
        </w:rPr>
        <w:t>Embarazo y lactancia</w:t>
      </w:r>
    </w:p>
    <w:p w14:paraId="35A4B04B" w14:textId="77777777" w:rsidR="002E5034" w:rsidRPr="003E0B98" w:rsidRDefault="002E5034" w:rsidP="004361AC">
      <w:pPr>
        <w:numPr>
          <w:ilvl w:val="12"/>
          <w:numId w:val="0"/>
        </w:numPr>
        <w:tabs>
          <w:tab w:val="clear" w:pos="567"/>
        </w:tabs>
        <w:spacing w:line="240" w:lineRule="auto"/>
        <w:ind w:left="567" w:right="-2" w:hanging="567"/>
        <w:rPr>
          <w:color w:val="000000"/>
          <w:szCs w:val="22"/>
          <w:lang w:val="es-ES_tradnl"/>
        </w:rPr>
      </w:pPr>
      <w:r w:rsidRPr="003E0B98">
        <w:rPr>
          <w:color w:val="000000"/>
          <w:szCs w:val="22"/>
          <w:lang w:val="es-ES_tradnl"/>
        </w:rPr>
        <w:t>-</w:t>
      </w:r>
      <w:r w:rsidRPr="003E0B98">
        <w:rPr>
          <w:color w:val="000000"/>
          <w:szCs w:val="22"/>
          <w:lang w:val="es-ES_tradnl"/>
        </w:rPr>
        <w:tab/>
      </w:r>
      <w:r w:rsidR="0049175E" w:rsidRPr="003E0B98">
        <w:rPr>
          <w:color w:val="000000"/>
          <w:szCs w:val="22"/>
          <w:lang w:val="es-ES_tradnl"/>
        </w:rPr>
        <w:t xml:space="preserve">Las mujeres que pudieran quedarse embarazadas </w:t>
      </w:r>
      <w:r w:rsidR="00D14378" w:rsidRPr="003E0B98">
        <w:rPr>
          <w:color w:val="000000"/>
          <w:szCs w:val="22"/>
          <w:lang w:val="es-ES_tradnl"/>
        </w:rPr>
        <w:t xml:space="preserve">deben utilizar un método anticonceptivo eficaz durante el tratamiento y durante al menos los tres meses posteriores a la última inyección de </w:t>
      </w:r>
      <w:proofErr w:type="spellStart"/>
      <w:r w:rsidR="00D14378" w:rsidRPr="003E0B98">
        <w:rPr>
          <w:color w:val="000000"/>
          <w:szCs w:val="22"/>
          <w:lang w:val="es-ES_tradnl"/>
        </w:rPr>
        <w:t>Lucentis</w:t>
      </w:r>
      <w:proofErr w:type="spellEnd"/>
      <w:r w:rsidRPr="003E0B98">
        <w:rPr>
          <w:color w:val="000000"/>
          <w:szCs w:val="22"/>
          <w:lang w:val="es-ES_tradnl"/>
        </w:rPr>
        <w:t>.</w:t>
      </w:r>
    </w:p>
    <w:p w14:paraId="0A0BF435" w14:textId="77777777" w:rsidR="002E5034" w:rsidRPr="003E0B98" w:rsidRDefault="002E5034" w:rsidP="004361AC">
      <w:pPr>
        <w:numPr>
          <w:ilvl w:val="12"/>
          <w:numId w:val="0"/>
        </w:numPr>
        <w:tabs>
          <w:tab w:val="clear" w:pos="567"/>
        </w:tabs>
        <w:spacing w:line="240" w:lineRule="auto"/>
        <w:ind w:left="567" w:right="-2" w:hanging="567"/>
        <w:rPr>
          <w:color w:val="000000"/>
          <w:szCs w:val="22"/>
          <w:lang w:val="es-ES_tradnl"/>
        </w:rPr>
      </w:pPr>
      <w:r w:rsidRPr="003E0B98">
        <w:rPr>
          <w:color w:val="000000"/>
          <w:szCs w:val="22"/>
          <w:lang w:val="es-ES_tradnl"/>
        </w:rPr>
        <w:t>-</w:t>
      </w:r>
      <w:r w:rsidRPr="003E0B98">
        <w:rPr>
          <w:color w:val="000000"/>
          <w:szCs w:val="22"/>
          <w:lang w:val="es-ES_tradnl"/>
        </w:rPr>
        <w:tab/>
      </w:r>
      <w:r w:rsidR="00D14378" w:rsidRPr="003E0B98">
        <w:rPr>
          <w:color w:val="000000"/>
          <w:szCs w:val="22"/>
          <w:lang w:val="es-ES_tradnl"/>
        </w:rPr>
        <w:t xml:space="preserve">No hay experiencia </w:t>
      </w:r>
      <w:r w:rsidR="00673BB2" w:rsidRPr="003E0B98">
        <w:rPr>
          <w:color w:val="000000"/>
          <w:szCs w:val="22"/>
          <w:lang w:val="es-ES_tradnl"/>
        </w:rPr>
        <w:t>en el</w:t>
      </w:r>
      <w:r w:rsidR="00D14378" w:rsidRPr="003E0B98">
        <w:rPr>
          <w:color w:val="000000"/>
          <w:szCs w:val="22"/>
          <w:lang w:val="es-ES_tradnl"/>
        </w:rPr>
        <w:t xml:space="preserve"> uso de </w:t>
      </w:r>
      <w:proofErr w:type="spellStart"/>
      <w:r w:rsidR="00D14378" w:rsidRPr="003E0B98">
        <w:rPr>
          <w:color w:val="000000"/>
          <w:szCs w:val="22"/>
          <w:lang w:val="es-ES_tradnl"/>
        </w:rPr>
        <w:t>Lucentis</w:t>
      </w:r>
      <w:proofErr w:type="spellEnd"/>
      <w:r w:rsidR="00D14378" w:rsidRPr="003E0B98">
        <w:rPr>
          <w:color w:val="000000"/>
          <w:szCs w:val="22"/>
          <w:lang w:val="es-ES_tradnl"/>
        </w:rPr>
        <w:t xml:space="preserve"> en mujeres embarazadas</w:t>
      </w:r>
      <w:r w:rsidRPr="003E0B98">
        <w:rPr>
          <w:color w:val="000000"/>
          <w:szCs w:val="22"/>
          <w:lang w:val="es-ES_tradnl"/>
        </w:rPr>
        <w:t>.</w:t>
      </w:r>
      <w:r w:rsidR="00673BB2" w:rsidRPr="003E0B98">
        <w:rPr>
          <w:color w:val="000000"/>
          <w:szCs w:val="22"/>
          <w:lang w:val="es-ES_tradnl"/>
        </w:rPr>
        <w:t xml:space="preserve"> </w:t>
      </w:r>
      <w:proofErr w:type="spellStart"/>
      <w:r w:rsidR="00941527" w:rsidRPr="003E0B98">
        <w:rPr>
          <w:color w:val="000000"/>
          <w:szCs w:val="22"/>
          <w:lang w:val="es-ES_tradnl"/>
        </w:rPr>
        <w:t>Lucentis</w:t>
      </w:r>
      <w:proofErr w:type="spellEnd"/>
      <w:r w:rsidR="00941527" w:rsidRPr="003E0B98">
        <w:rPr>
          <w:color w:val="000000"/>
          <w:szCs w:val="22"/>
          <w:lang w:val="es-ES_tradnl"/>
        </w:rPr>
        <w:t xml:space="preserve"> </w:t>
      </w:r>
      <w:r w:rsidR="00673BB2" w:rsidRPr="003E0B98">
        <w:rPr>
          <w:color w:val="000000"/>
          <w:szCs w:val="22"/>
          <w:lang w:val="es-ES_tradnl"/>
        </w:rPr>
        <w:t>no se debe usar durante el embarazo</w:t>
      </w:r>
      <w:r w:rsidR="00941527" w:rsidRPr="003E0B98">
        <w:rPr>
          <w:color w:val="000000"/>
          <w:szCs w:val="22"/>
          <w:lang w:val="es-ES_tradnl"/>
        </w:rPr>
        <w:t xml:space="preserve"> salvo que el beneficio potencial</w:t>
      </w:r>
      <w:r w:rsidR="00673BB2" w:rsidRPr="003E0B98">
        <w:rPr>
          <w:color w:val="000000"/>
          <w:szCs w:val="22"/>
          <w:lang w:val="es-ES_tradnl"/>
        </w:rPr>
        <w:t xml:space="preserve"> supere el riesgo potencial para el feto</w:t>
      </w:r>
      <w:r w:rsidR="00941527" w:rsidRPr="003E0B98">
        <w:rPr>
          <w:color w:val="000000"/>
          <w:szCs w:val="22"/>
          <w:lang w:val="es-ES_tradnl"/>
        </w:rPr>
        <w:t>.</w:t>
      </w:r>
      <w:r w:rsidR="00646368" w:rsidRPr="003E0B98">
        <w:rPr>
          <w:color w:val="000000"/>
          <w:szCs w:val="22"/>
          <w:lang w:val="es-ES_tradnl"/>
        </w:rPr>
        <w:t xml:space="preserve"> Si está embarazada, cree que podría estar embarazada o tiene intención de quedarse embarazada, consulte a su médico antes del tratamiento con </w:t>
      </w:r>
      <w:proofErr w:type="spellStart"/>
      <w:r w:rsidR="00646368" w:rsidRPr="003E0B98">
        <w:rPr>
          <w:color w:val="000000"/>
          <w:szCs w:val="22"/>
          <w:lang w:val="es-ES_tradnl"/>
        </w:rPr>
        <w:t>Lucentis</w:t>
      </w:r>
      <w:proofErr w:type="spellEnd"/>
      <w:r w:rsidR="00646368" w:rsidRPr="003E0B98">
        <w:rPr>
          <w:color w:val="000000"/>
          <w:szCs w:val="22"/>
          <w:lang w:val="es-ES_tradnl"/>
        </w:rPr>
        <w:t>.</w:t>
      </w:r>
    </w:p>
    <w:p w14:paraId="07A44942" w14:textId="08AB10FF" w:rsidR="002E5034" w:rsidRPr="003E0B98" w:rsidRDefault="002E5034" w:rsidP="004361AC">
      <w:pPr>
        <w:numPr>
          <w:ilvl w:val="12"/>
          <w:numId w:val="0"/>
        </w:numPr>
        <w:tabs>
          <w:tab w:val="clear" w:pos="567"/>
        </w:tabs>
        <w:spacing w:line="240" w:lineRule="auto"/>
        <w:ind w:left="567" w:right="-2" w:hanging="567"/>
        <w:rPr>
          <w:color w:val="000000"/>
          <w:szCs w:val="22"/>
          <w:lang w:val="es-ES_tradnl"/>
        </w:rPr>
      </w:pPr>
      <w:r w:rsidRPr="003E0B98">
        <w:rPr>
          <w:color w:val="000000"/>
          <w:szCs w:val="22"/>
          <w:lang w:val="es-ES_tradnl"/>
        </w:rPr>
        <w:t>-</w:t>
      </w:r>
      <w:r w:rsidRPr="003E0B98">
        <w:rPr>
          <w:color w:val="000000"/>
          <w:szCs w:val="22"/>
          <w:lang w:val="es-ES_tradnl"/>
        </w:rPr>
        <w:tab/>
      </w:r>
      <w:r w:rsidR="0034329C" w:rsidRPr="003E0B98">
        <w:rPr>
          <w:color w:val="000000"/>
          <w:szCs w:val="22"/>
          <w:lang w:val="es-ES_tradnl"/>
        </w:rPr>
        <w:t xml:space="preserve">Pequeñas cantidades de </w:t>
      </w:r>
      <w:proofErr w:type="spellStart"/>
      <w:r w:rsidR="0034329C" w:rsidRPr="003E0B98">
        <w:rPr>
          <w:color w:val="000000"/>
          <w:szCs w:val="22"/>
          <w:lang w:val="es-ES_tradnl"/>
        </w:rPr>
        <w:t>Lucentis</w:t>
      </w:r>
      <w:proofErr w:type="spellEnd"/>
      <w:r w:rsidR="0034329C" w:rsidRPr="003E0B98">
        <w:rPr>
          <w:color w:val="000000"/>
          <w:szCs w:val="22"/>
          <w:lang w:val="es-ES_tradnl"/>
        </w:rPr>
        <w:t xml:space="preserve"> pueden pasar a la leche materna, por lo que n</w:t>
      </w:r>
      <w:r w:rsidRPr="003E0B98">
        <w:rPr>
          <w:color w:val="000000"/>
          <w:szCs w:val="22"/>
          <w:lang w:val="es-ES_tradnl"/>
        </w:rPr>
        <w:t xml:space="preserve">o se recomienda el uso de </w:t>
      </w:r>
      <w:proofErr w:type="spellStart"/>
      <w:r w:rsidRPr="003E0B98">
        <w:rPr>
          <w:color w:val="000000"/>
          <w:szCs w:val="22"/>
          <w:lang w:val="es-ES_tradnl"/>
        </w:rPr>
        <w:t>Lucentis</w:t>
      </w:r>
      <w:proofErr w:type="spellEnd"/>
      <w:r w:rsidRPr="003E0B98">
        <w:rPr>
          <w:color w:val="000000"/>
          <w:szCs w:val="22"/>
          <w:lang w:val="es-ES_tradnl"/>
        </w:rPr>
        <w:t xml:space="preserve"> durante la lactancia.</w:t>
      </w:r>
      <w:r w:rsidRPr="003E0B98">
        <w:rPr>
          <w:noProof/>
          <w:color w:val="000000"/>
          <w:lang w:val="es-ES_tradnl"/>
        </w:rPr>
        <w:t xml:space="preserve"> Consulte a su médico o farmacéutico antes del tratamiento con Lucentis</w:t>
      </w:r>
      <w:r w:rsidRPr="003E0B98">
        <w:rPr>
          <w:color w:val="000000"/>
          <w:szCs w:val="22"/>
          <w:lang w:val="es-ES_tradnl"/>
        </w:rPr>
        <w:t>.</w:t>
      </w:r>
    </w:p>
    <w:p w14:paraId="449B1EB3" w14:textId="77777777" w:rsidR="002E5034" w:rsidRPr="003E0B98" w:rsidRDefault="002E5034" w:rsidP="004361AC">
      <w:pPr>
        <w:numPr>
          <w:ilvl w:val="12"/>
          <w:numId w:val="0"/>
        </w:numPr>
        <w:tabs>
          <w:tab w:val="clear" w:pos="567"/>
        </w:tabs>
        <w:spacing w:line="240" w:lineRule="auto"/>
        <w:ind w:right="-2"/>
        <w:rPr>
          <w:color w:val="000000"/>
          <w:szCs w:val="22"/>
          <w:lang w:val="es-ES_tradnl"/>
        </w:rPr>
      </w:pPr>
    </w:p>
    <w:p w14:paraId="0DF59BF0" w14:textId="77777777" w:rsidR="002E5034" w:rsidRPr="003E0B98" w:rsidRDefault="002E5034" w:rsidP="004361AC">
      <w:pPr>
        <w:keepNext/>
        <w:numPr>
          <w:ilvl w:val="12"/>
          <w:numId w:val="0"/>
        </w:numPr>
        <w:tabs>
          <w:tab w:val="clear" w:pos="567"/>
        </w:tabs>
        <w:spacing w:line="240" w:lineRule="auto"/>
        <w:rPr>
          <w:b/>
          <w:color w:val="000000"/>
          <w:szCs w:val="22"/>
          <w:lang w:val="es-ES_tradnl"/>
        </w:rPr>
      </w:pPr>
      <w:r w:rsidRPr="003E0B98">
        <w:rPr>
          <w:b/>
          <w:noProof/>
          <w:color w:val="000000"/>
          <w:lang w:val="es-ES_tradnl"/>
        </w:rPr>
        <w:t>Conducción y uso de máquinas</w:t>
      </w:r>
    </w:p>
    <w:p w14:paraId="226BF0AD" w14:textId="77777777" w:rsidR="002E5034" w:rsidRPr="003E0B98" w:rsidRDefault="002E5034" w:rsidP="004361AC">
      <w:pPr>
        <w:numPr>
          <w:ilvl w:val="12"/>
          <w:numId w:val="0"/>
        </w:numPr>
        <w:tabs>
          <w:tab w:val="clear" w:pos="567"/>
        </w:tabs>
        <w:spacing w:line="240" w:lineRule="auto"/>
        <w:ind w:right="-2"/>
        <w:rPr>
          <w:color w:val="000000"/>
          <w:szCs w:val="22"/>
          <w:lang w:val="es-ES_tradnl"/>
        </w:rPr>
      </w:pPr>
      <w:r w:rsidRPr="003E0B98">
        <w:rPr>
          <w:color w:val="000000"/>
          <w:szCs w:val="22"/>
          <w:lang w:val="es-ES_tradnl"/>
        </w:rPr>
        <w:t xml:space="preserve">Después del tratamiento con </w:t>
      </w:r>
      <w:proofErr w:type="spellStart"/>
      <w:r w:rsidRPr="003E0B98">
        <w:rPr>
          <w:color w:val="000000"/>
          <w:szCs w:val="22"/>
          <w:lang w:val="es-ES_tradnl"/>
        </w:rPr>
        <w:t>Lucentis</w:t>
      </w:r>
      <w:proofErr w:type="spellEnd"/>
      <w:r w:rsidRPr="003E0B98">
        <w:rPr>
          <w:color w:val="000000"/>
          <w:szCs w:val="22"/>
          <w:lang w:val="es-ES_tradnl"/>
        </w:rPr>
        <w:t xml:space="preserve"> usted puede experimentar visión borrosa temporalmente. Si esto le ocurre, no conduzca ni use máquinas hasta que este síntoma desaparezca.</w:t>
      </w:r>
    </w:p>
    <w:p w14:paraId="21FCCFF3" w14:textId="77777777" w:rsidR="002E5034" w:rsidRPr="003E0B98" w:rsidRDefault="002E5034" w:rsidP="004361AC">
      <w:pPr>
        <w:numPr>
          <w:ilvl w:val="12"/>
          <w:numId w:val="0"/>
        </w:numPr>
        <w:tabs>
          <w:tab w:val="clear" w:pos="567"/>
        </w:tabs>
        <w:spacing w:line="240" w:lineRule="auto"/>
        <w:ind w:right="-2"/>
        <w:rPr>
          <w:color w:val="000000"/>
          <w:szCs w:val="22"/>
          <w:lang w:val="es-ES_tradnl"/>
        </w:rPr>
      </w:pPr>
    </w:p>
    <w:p w14:paraId="7AC27278" w14:textId="77777777" w:rsidR="002E5034" w:rsidRPr="003E0B98" w:rsidRDefault="002E5034" w:rsidP="004361AC">
      <w:pPr>
        <w:numPr>
          <w:ilvl w:val="12"/>
          <w:numId w:val="0"/>
        </w:numPr>
        <w:tabs>
          <w:tab w:val="clear" w:pos="567"/>
        </w:tabs>
        <w:spacing w:line="240" w:lineRule="auto"/>
        <w:ind w:right="-2"/>
        <w:rPr>
          <w:color w:val="000000"/>
          <w:szCs w:val="22"/>
          <w:lang w:val="es-ES_tradnl"/>
        </w:rPr>
      </w:pPr>
    </w:p>
    <w:p w14:paraId="10AE5397" w14:textId="77777777" w:rsidR="002E5034" w:rsidRPr="003E0B98" w:rsidRDefault="002E5034" w:rsidP="004361AC">
      <w:pPr>
        <w:keepNext/>
        <w:tabs>
          <w:tab w:val="clear" w:pos="567"/>
        </w:tabs>
        <w:spacing w:line="240" w:lineRule="auto"/>
        <w:ind w:left="567" w:hanging="567"/>
        <w:rPr>
          <w:b/>
          <w:color w:val="000000"/>
          <w:szCs w:val="22"/>
          <w:lang w:val="es-ES_tradnl"/>
        </w:rPr>
      </w:pPr>
      <w:r w:rsidRPr="003E0B98">
        <w:rPr>
          <w:b/>
          <w:color w:val="000000"/>
          <w:szCs w:val="22"/>
          <w:lang w:val="es-ES_tradnl"/>
        </w:rPr>
        <w:t>3.</w:t>
      </w:r>
      <w:r w:rsidRPr="003E0B98">
        <w:rPr>
          <w:b/>
          <w:color w:val="000000"/>
          <w:szCs w:val="22"/>
          <w:lang w:val="es-ES_tradnl"/>
        </w:rPr>
        <w:tab/>
        <w:t xml:space="preserve">Cómo se administra </w:t>
      </w:r>
      <w:proofErr w:type="spellStart"/>
      <w:r w:rsidRPr="003E0B98">
        <w:rPr>
          <w:b/>
          <w:color w:val="000000"/>
          <w:szCs w:val="22"/>
          <w:lang w:val="es-ES_tradnl"/>
        </w:rPr>
        <w:t>Lucentis</w:t>
      </w:r>
      <w:proofErr w:type="spellEnd"/>
    </w:p>
    <w:p w14:paraId="0AC99436" w14:textId="77777777" w:rsidR="002E5034" w:rsidRPr="003E0B98" w:rsidRDefault="002E5034" w:rsidP="004361AC">
      <w:pPr>
        <w:keepNext/>
        <w:numPr>
          <w:ilvl w:val="12"/>
          <w:numId w:val="0"/>
        </w:numPr>
        <w:tabs>
          <w:tab w:val="clear" w:pos="567"/>
        </w:tabs>
        <w:spacing w:line="240" w:lineRule="auto"/>
        <w:rPr>
          <w:color w:val="000000"/>
          <w:szCs w:val="22"/>
          <w:lang w:val="es-ES_tradnl"/>
        </w:rPr>
      </w:pPr>
    </w:p>
    <w:p w14:paraId="7247929D" w14:textId="77777777" w:rsidR="002E5034" w:rsidRPr="003E0B98" w:rsidRDefault="002E5034" w:rsidP="004361AC">
      <w:pPr>
        <w:numPr>
          <w:ilvl w:val="12"/>
          <w:numId w:val="0"/>
        </w:numPr>
        <w:tabs>
          <w:tab w:val="clear" w:pos="567"/>
        </w:tabs>
        <w:spacing w:line="240" w:lineRule="auto"/>
        <w:ind w:right="-2"/>
        <w:rPr>
          <w:color w:val="000000"/>
          <w:szCs w:val="22"/>
          <w:lang w:val="es-ES_tradnl"/>
        </w:rPr>
      </w:pPr>
      <w:proofErr w:type="spellStart"/>
      <w:r w:rsidRPr="003E0B98">
        <w:rPr>
          <w:color w:val="000000"/>
          <w:szCs w:val="22"/>
          <w:lang w:val="es-ES_tradnl"/>
        </w:rPr>
        <w:t>Lucentis</w:t>
      </w:r>
      <w:proofErr w:type="spellEnd"/>
      <w:r w:rsidRPr="003E0B98">
        <w:rPr>
          <w:color w:val="000000"/>
          <w:szCs w:val="22"/>
          <w:lang w:val="es-ES_tradnl"/>
        </w:rPr>
        <w:t xml:space="preserve"> se administra por el oftalmólogo en forma de inyección única en el ojo bajo anestesia local. </w:t>
      </w:r>
      <w:r w:rsidRPr="003E0B98">
        <w:rPr>
          <w:color w:val="000000"/>
          <w:szCs w:val="22"/>
          <w:lang w:val="es-ES"/>
        </w:rPr>
        <w:t xml:space="preserve">La dosis habitual de una inyección es 0,05 ml (que contiene 0,5 mg de principio activo). El intervalo entre dos </w:t>
      </w:r>
      <w:r w:rsidR="005102EA" w:rsidRPr="003E0B98">
        <w:rPr>
          <w:color w:val="000000"/>
          <w:szCs w:val="22"/>
          <w:lang w:val="es-ES"/>
        </w:rPr>
        <w:t>dosis aplicadas en el mismo ojo</w:t>
      </w:r>
      <w:r w:rsidRPr="003E0B98">
        <w:rPr>
          <w:color w:val="000000"/>
          <w:szCs w:val="22"/>
          <w:lang w:val="es-ES"/>
        </w:rPr>
        <w:t xml:space="preserve"> debe ser </w:t>
      </w:r>
      <w:r w:rsidR="005102EA" w:rsidRPr="003E0B98">
        <w:rPr>
          <w:color w:val="000000"/>
          <w:szCs w:val="22"/>
          <w:lang w:val="es-ES"/>
        </w:rPr>
        <w:t>como mínimo de cuatro semanas</w:t>
      </w:r>
      <w:r w:rsidRPr="003E0B98">
        <w:rPr>
          <w:color w:val="000000"/>
          <w:szCs w:val="22"/>
          <w:lang w:val="es-ES_tradnl"/>
        </w:rPr>
        <w:t>. Todas las inyecciones serán administradas por un oftalmólogo.</w:t>
      </w:r>
    </w:p>
    <w:p w14:paraId="3ED07750" w14:textId="77777777" w:rsidR="002E5034" w:rsidRPr="003E0B98" w:rsidRDefault="002E5034" w:rsidP="004361AC">
      <w:pPr>
        <w:numPr>
          <w:ilvl w:val="12"/>
          <w:numId w:val="0"/>
        </w:numPr>
        <w:tabs>
          <w:tab w:val="clear" w:pos="567"/>
        </w:tabs>
        <w:spacing w:line="240" w:lineRule="auto"/>
        <w:ind w:right="-2"/>
        <w:rPr>
          <w:color w:val="000000"/>
          <w:szCs w:val="22"/>
          <w:lang w:val="es-ES_tradnl"/>
        </w:rPr>
      </w:pPr>
    </w:p>
    <w:p w14:paraId="5E7E0FA7" w14:textId="77777777" w:rsidR="002E5034" w:rsidRPr="003E0B98" w:rsidRDefault="002E5034" w:rsidP="004361AC">
      <w:pPr>
        <w:numPr>
          <w:ilvl w:val="12"/>
          <w:numId w:val="0"/>
        </w:numPr>
        <w:tabs>
          <w:tab w:val="clear" w:pos="567"/>
        </w:tabs>
        <w:spacing w:line="240" w:lineRule="auto"/>
        <w:ind w:right="-2"/>
        <w:rPr>
          <w:color w:val="000000"/>
          <w:szCs w:val="22"/>
          <w:lang w:val="es-ES_tradnl"/>
        </w:rPr>
      </w:pPr>
      <w:r w:rsidRPr="003E0B98">
        <w:rPr>
          <w:color w:val="000000"/>
          <w:szCs w:val="22"/>
          <w:lang w:val="es-ES_tradnl"/>
        </w:rPr>
        <w:t>Para prevenir una infección, antes de la inyección su médico le lavará el ojo cuidadosamente. Su médico también le administrará un anestésico local para reducir o prevenir cualquier dolor que pudiera sentir con la inyección.</w:t>
      </w:r>
    </w:p>
    <w:p w14:paraId="252B6079" w14:textId="77777777" w:rsidR="002E5034" w:rsidRPr="003E0B98" w:rsidRDefault="002E5034" w:rsidP="004361AC">
      <w:pPr>
        <w:numPr>
          <w:ilvl w:val="12"/>
          <w:numId w:val="0"/>
        </w:numPr>
        <w:tabs>
          <w:tab w:val="clear" w:pos="567"/>
        </w:tabs>
        <w:spacing w:line="240" w:lineRule="auto"/>
        <w:ind w:right="-2"/>
        <w:rPr>
          <w:color w:val="000000"/>
          <w:szCs w:val="22"/>
          <w:lang w:val="es-ES_tradnl"/>
        </w:rPr>
      </w:pPr>
    </w:p>
    <w:p w14:paraId="0C20BD87" w14:textId="77777777" w:rsidR="002E5034" w:rsidRPr="003E0B98" w:rsidRDefault="002E5034" w:rsidP="004361AC">
      <w:pPr>
        <w:numPr>
          <w:ilvl w:val="12"/>
          <w:numId w:val="0"/>
        </w:numPr>
        <w:tabs>
          <w:tab w:val="clear" w:pos="567"/>
        </w:tabs>
        <w:spacing w:line="240" w:lineRule="auto"/>
        <w:ind w:right="-2"/>
        <w:rPr>
          <w:color w:val="000000"/>
          <w:szCs w:val="22"/>
          <w:lang w:val="es-ES"/>
        </w:rPr>
      </w:pPr>
      <w:r w:rsidRPr="003E0B98">
        <w:rPr>
          <w:color w:val="000000"/>
          <w:szCs w:val="22"/>
          <w:lang w:val="es-ES"/>
        </w:rPr>
        <w:t xml:space="preserve">El tratamiento se inicia con una inyección de </w:t>
      </w:r>
      <w:proofErr w:type="spellStart"/>
      <w:r w:rsidRPr="003E0B98">
        <w:rPr>
          <w:color w:val="000000"/>
          <w:szCs w:val="22"/>
          <w:lang w:val="es-ES"/>
        </w:rPr>
        <w:t>Lucentis</w:t>
      </w:r>
      <w:proofErr w:type="spellEnd"/>
      <w:r w:rsidR="007457BA" w:rsidRPr="003E0B98">
        <w:rPr>
          <w:color w:val="000000"/>
          <w:szCs w:val="22"/>
          <w:lang w:val="es-ES"/>
        </w:rPr>
        <w:t xml:space="preserve"> cada</w:t>
      </w:r>
      <w:r w:rsidR="005102EA" w:rsidRPr="003E0B98">
        <w:rPr>
          <w:color w:val="000000"/>
          <w:szCs w:val="22"/>
          <w:lang w:val="es-ES"/>
        </w:rPr>
        <w:t xml:space="preserve"> mes</w:t>
      </w:r>
      <w:r w:rsidRPr="003E0B98">
        <w:rPr>
          <w:color w:val="000000"/>
          <w:szCs w:val="22"/>
          <w:lang w:val="es-ES"/>
        </w:rPr>
        <w:t xml:space="preserve">. Su médico </w:t>
      </w:r>
      <w:r w:rsidR="005102EA" w:rsidRPr="003E0B98">
        <w:rPr>
          <w:color w:val="000000"/>
          <w:szCs w:val="22"/>
          <w:lang w:val="es-ES"/>
        </w:rPr>
        <w:t>controlará</w:t>
      </w:r>
      <w:r w:rsidRPr="003E0B98">
        <w:rPr>
          <w:color w:val="000000"/>
          <w:szCs w:val="22"/>
          <w:lang w:val="es-ES"/>
        </w:rPr>
        <w:t xml:space="preserve"> la enfermedad de su ojo y dependiendo de cómo responda al tratamiento, decidirá si necesita o no recibir más tratamiento y cuándo necesita ser tratado.</w:t>
      </w:r>
    </w:p>
    <w:p w14:paraId="5F13A707" w14:textId="77777777" w:rsidR="002E5034" w:rsidRPr="003E0B98" w:rsidRDefault="002E5034" w:rsidP="004361AC">
      <w:pPr>
        <w:numPr>
          <w:ilvl w:val="12"/>
          <w:numId w:val="0"/>
        </w:numPr>
        <w:tabs>
          <w:tab w:val="clear" w:pos="567"/>
        </w:tabs>
        <w:spacing w:line="240" w:lineRule="auto"/>
        <w:ind w:right="-2"/>
        <w:rPr>
          <w:color w:val="000000"/>
          <w:szCs w:val="22"/>
          <w:lang w:val="es-ES_tradnl"/>
        </w:rPr>
      </w:pPr>
    </w:p>
    <w:p w14:paraId="0FFBA039" w14:textId="07E43727" w:rsidR="002E5034" w:rsidRPr="003E0B98" w:rsidRDefault="002E5034" w:rsidP="004361AC">
      <w:pPr>
        <w:numPr>
          <w:ilvl w:val="12"/>
          <w:numId w:val="0"/>
        </w:numPr>
        <w:tabs>
          <w:tab w:val="clear" w:pos="567"/>
        </w:tabs>
        <w:spacing w:line="240" w:lineRule="auto"/>
        <w:ind w:right="-2"/>
        <w:rPr>
          <w:color w:val="000000"/>
          <w:szCs w:val="22"/>
          <w:lang w:val="es-ES_tradnl"/>
        </w:rPr>
      </w:pPr>
      <w:r w:rsidRPr="003E0B98">
        <w:rPr>
          <w:color w:val="000000"/>
          <w:szCs w:val="22"/>
          <w:lang w:val="es-ES_tradnl"/>
        </w:rPr>
        <w:t xml:space="preserve">Al final del prospecto en el apartado “Cómo preparar y administrar </w:t>
      </w:r>
      <w:proofErr w:type="spellStart"/>
      <w:r w:rsidRPr="003E0B98">
        <w:rPr>
          <w:color w:val="000000"/>
          <w:szCs w:val="22"/>
          <w:lang w:val="es-ES_tradnl"/>
        </w:rPr>
        <w:t>Lucentis</w:t>
      </w:r>
      <w:proofErr w:type="spellEnd"/>
      <w:r w:rsidR="00490F86">
        <w:rPr>
          <w:color w:val="000000"/>
          <w:szCs w:val="22"/>
          <w:lang w:val="es-ES_tradnl"/>
        </w:rPr>
        <w:t xml:space="preserve"> en adultos</w:t>
      </w:r>
      <w:r w:rsidRPr="003E0B98">
        <w:rPr>
          <w:color w:val="000000"/>
          <w:szCs w:val="22"/>
          <w:lang w:val="es-ES_tradnl"/>
        </w:rPr>
        <w:t>” se dan instrucciones detalladas de uso.</w:t>
      </w:r>
    </w:p>
    <w:p w14:paraId="433E54AB" w14:textId="77777777" w:rsidR="002E5034" w:rsidRPr="003E0B98" w:rsidRDefault="002E5034" w:rsidP="004361AC">
      <w:pPr>
        <w:numPr>
          <w:ilvl w:val="12"/>
          <w:numId w:val="0"/>
        </w:numPr>
        <w:tabs>
          <w:tab w:val="clear" w:pos="567"/>
        </w:tabs>
        <w:spacing w:line="240" w:lineRule="auto"/>
        <w:ind w:right="-2"/>
        <w:rPr>
          <w:color w:val="000000"/>
          <w:szCs w:val="22"/>
          <w:lang w:val="es-ES_tradnl"/>
        </w:rPr>
      </w:pPr>
    </w:p>
    <w:p w14:paraId="4942F32C" w14:textId="77777777" w:rsidR="002E5034" w:rsidRPr="003E0B98" w:rsidRDefault="002E5034" w:rsidP="004361AC">
      <w:pPr>
        <w:keepNext/>
        <w:numPr>
          <w:ilvl w:val="12"/>
          <w:numId w:val="0"/>
        </w:numPr>
        <w:tabs>
          <w:tab w:val="clear" w:pos="567"/>
        </w:tabs>
        <w:spacing w:line="240" w:lineRule="auto"/>
        <w:rPr>
          <w:b/>
          <w:color w:val="000000"/>
          <w:szCs w:val="22"/>
          <w:lang w:val="es-ES_tradnl"/>
        </w:rPr>
      </w:pPr>
      <w:r w:rsidRPr="003E0B98">
        <w:rPr>
          <w:b/>
          <w:color w:val="000000"/>
          <w:szCs w:val="22"/>
          <w:lang w:val="es-ES_tradnl"/>
        </w:rPr>
        <w:t>Pacientes de edad avanzada (65 años y mayores)</w:t>
      </w:r>
    </w:p>
    <w:p w14:paraId="2877AAAA" w14:textId="77777777" w:rsidR="002E5034" w:rsidRPr="003E0B98" w:rsidRDefault="002E5034" w:rsidP="004361AC">
      <w:pPr>
        <w:numPr>
          <w:ilvl w:val="12"/>
          <w:numId w:val="0"/>
        </w:numPr>
        <w:tabs>
          <w:tab w:val="clear" w:pos="567"/>
        </w:tabs>
        <w:spacing w:line="240" w:lineRule="auto"/>
        <w:ind w:right="-2"/>
        <w:rPr>
          <w:color w:val="000000"/>
          <w:szCs w:val="22"/>
          <w:lang w:val="es-ES_tradnl"/>
        </w:rPr>
      </w:pPr>
      <w:proofErr w:type="spellStart"/>
      <w:r w:rsidRPr="003E0B98">
        <w:rPr>
          <w:color w:val="000000"/>
          <w:szCs w:val="22"/>
          <w:lang w:val="es-ES_tradnl"/>
        </w:rPr>
        <w:t>Lucentis</w:t>
      </w:r>
      <w:proofErr w:type="spellEnd"/>
      <w:r w:rsidRPr="003E0B98">
        <w:rPr>
          <w:color w:val="000000"/>
          <w:szCs w:val="22"/>
          <w:lang w:val="es-ES_tradnl"/>
        </w:rPr>
        <w:t xml:space="preserve"> puede utilizarse en personas de 65 </w:t>
      </w:r>
      <w:proofErr w:type="gramStart"/>
      <w:r w:rsidRPr="003E0B98">
        <w:rPr>
          <w:color w:val="000000"/>
          <w:szCs w:val="22"/>
          <w:lang w:val="es-ES_tradnl"/>
        </w:rPr>
        <w:t>años de edad</w:t>
      </w:r>
      <w:proofErr w:type="gramEnd"/>
      <w:r w:rsidRPr="003E0B98">
        <w:rPr>
          <w:color w:val="000000"/>
          <w:szCs w:val="22"/>
          <w:lang w:val="es-ES_tradnl"/>
        </w:rPr>
        <w:t xml:space="preserve"> o más, y no es necesario un ajuste de la dosis.</w:t>
      </w:r>
    </w:p>
    <w:p w14:paraId="11DB00C5" w14:textId="77777777" w:rsidR="002E5034" w:rsidRPr="003E0B98" w:rsidRDefault="002E5034" w:rsidP="004361AC">
      <w:pPr>
        <w:numPr>
          <w:ilvl w:val="12"/>
          <w:numId w:val="0"/>
        </w:numPr>
        <w:tabs>
          <w:tab w:val="clear" w:pos="567"/>
        </w:tabs>
        <w:spacing w:line="240" w:lineRule="auto"/>
        <w:ind w:right="-2"/>
        <w:rPr>
          <w:color w:val="000000"/>
          <w:szCs w:val="22"/>
          <w:lang w:val="es-ES_tradnl"/>
        </w:rPr>
      </w:pPr>
    </w:p>
    <w:p w14:paraId="19B94436" w14:textId="77777777" w:rsidR="002E5034" w:rsidRPr="003E0B98" w:rsidRDefault="002E5034" w:rsidP="004361AC">
      <w:pPr>
        <w:keepNext/>
        <w:numPr>
          <w:ilvl w:val="12"/>
          <w:numId w:val="0"/>
        </w:numPr>
        <w:tabs>
          <w:tab w:val="clear" w:pos="567"/>
        </w:tabs>
        <w:spacing w:line="240" w:lineRule="auto"/>
        <w:rPr>
          <w:b/>
          <w:color w:val="000000"/>
          <w:szCs w:val="22"/>
          <w:lang w:val="es-ES_tradnl"/>
        </w:rPr>
      </w:pPr>
      <w:r w:rsidRPr="003E0B98">
        <w:rPr>
          <w:b/>
          <w:color w:val="000000"/>
          <w:szCs w:val="22"/>
          <w:lang w:val="es-ES_tradnl"/>
        </w:rPr>
        <w:t xml:space="preserve">Antes de interrumpir el tratamiento con </w:t>
      </w:r>
      <w:proofErr w:type="spellStart"/>
      <w:r w:rsidRPr="003E0B98">
        <w:rPr>
          <w:b/>
          <w:color w:val="000000"/>
          <w:szCs w:val="22"/>
          <w:lang w:val="es-ES_tradnl"/>
        </w:rPr>
        <w:t>Lucentis</w:t>
      </w:r>
      <w:proofErr w:type="spellEnd"/>
    </w:p>
    <w:p w14:paraId="737A7965" w14:textId="77777777" w:rsidR="002E5034" w:rsidRPr="003E0B98" w:rsidRDefault="002E5034" w:rsidP="004361AC">
      <w:pPr>
        <w:numPr>
          <w:ilvl w:val="12"/>
          <w:numId w:val="0"/>
        </w:numPr>
        <w:tabs>
          <w:tab w:val="clear" w:pos="567"/>
        </w:tabs>
        <w:spacing w:line="240" w:lineRule="auto"/>
        <w:ind w:right="-2"/>
        <w:rPr>
          <w:color w:val="000000"/>
          <w:szCs w:val="22"/>
          <w:lang w:val="es-ES_tradnl"/>
        </w:rPr>
      </w:pPr>
      <w:r w:rsidRPr="003E0B98">
        <w:rPr>
          <w:color w:val="000000"/>
          <w:szCs w:val="22"/>
          <w:lang w:val="es-ES_tradnl"/>
        </w:rPr>
        <w:t xml:space="preserve">Si usted se está planteando interrumpir el tratamiento con </w:t>
      </w:r>
      <w:proofErr w:type="spellStart"/>
      <w:r w:rsidRPr="003E0B98">
        <w:rPr>
          <w:color w:val="000000"/>
          <w:szCs w:val="22"/>
          <w:lang w:val="es-ES_tradnl"/>
        </w:rPr>
        <w:t>Lucentis</w:t>
      </w:r>
      <w:proofErr w:type="spellEnd"/>
      <w:r w:rsidRPr="003E0B98">
        <w:rPr>
          <w:color w:val="000000"/>
          <w:szCs w:val="22"/>
          <w:lang w:val="es-ES_tradnl"/>
        </w:rPr>
        <w:t xml:space="preserve">, acuda a la siguiente consulta y coméntelo antes con su médico. Su médico le aconsejará y decidirá durante cuánto tiempo deberá ser tratado con </w:t>
      </w:r>
      <w:proofErr w:type="spellStart"/>
      <w:r w:rsidRPr="003E0B98">
        <w:rPr>
          <w:color w:val="000000"/>
          <w:szCs w:val="22"/>
          <w:lang w:val="es-ES_tradnl"/>
        </w:rPr>
        <w:t>Lucentis</w:t>
      </w:r>
      <w:proofErr w:type="spellEnd"/>
      <w:r w:rsidRPr="003E0B98">
        <w:rPr>
          <w:color w:val="000000"/>
          <w:szCs w:val="22"/>
          <w:lang w:val="es-ES_tradnl"/>
        </w:rPr>
        <w:t>.</w:t>
      </w:r>
    </w:p>
    <w:p w14:paraId="3C901738" w14:textId="77777777" w:rsidR="002E5034" w:rsidRPr="003E0B98" w:rsidRDefault="002E5034" w:rsidP="004361AC">
      <w:pPr>
        <w:numPr>
          <w:ilvl w:val="12"/>
          <w:numId w:val="0"/>
        </w:numPr>
        <w:tabs>
          <w:tab w:val="clear" w:pos="567"/>
        </w:tabs>
        <w:spacing w:line="240" w:lineRule="auto"/>
        <w:ind w:right="-2"/>
        <w:rPr>
          <w:color w:val="000000"/>
          <w:szCs w:val="22"/>
          <w:lang w:val="es-ES"/>
        </w:rPr>
      </w:pPr>
    </w:p>
    <w:p w14:paraId="7ED79F2C" w14:textId="77777777" w:rsidR="002E5034" w:rsidRPr="003E0B98" w:rsidRDefault="002E5034" w:rsidP="004361AC">
      <w:pPr>
        <w:numPr>
          <w:ilvl w:val="12"/>
          <w:numId w:val="0"/>
        </w:numPr>
        <w:tabs>
          <w:tab w:val="clear" w:pos="567"/>
        </w:tabs>
        <w:spacing w:line="240" w:lineRule="auto"/>
        <w:ind w:right="-2"/>
        <w:rPr>
          <w:color w:val="000000"/>
          <w:szCs w:val="22"/>
          <w:lang w:val="es-ES_tradnl"/>
        </w:rPr>
      </w:pPr>
      <w:r w:rsidRPr="003E0B98">
        <w:rPr>
          <w:noProof/>
          <w:color w:val="000000"/>
          <w:lang w:val="es-ES_tradnl"/>
        </w:rPr>
        <w:t>Si tiene cualquier otra duda sobre el uso de este medicamento, pregunte a su médico.</w:t>
      </w:r>
    </w:p>
    <w:p w14:paraId="31026767" w14:textId="77777777" w:rsidR="002E5034" w:rsidRPr="003E0B98" w:rsidRDefault="002E5034" w:rsidP="004361AC">
      <w:pPr>
        <w:numPr>
          <w:ilvl w:val="12"/>
          <w:numId w:val="0"/>
        </w:numPr>
        <w:tabs>
          <w:tab w:val="clear" w:pos="567"/>
        </w:tabs>
        <w:spacing w:line="240" w:lineRule="auto"/>
        <w:ind w:right="-2"/>
        <w:rPr>
          <w:color w:val="000000"/>
          <w:szCs w:val="22"/>
          <w:lang w:val="es-ES_tradnl"/>
        </w:rPr>
      </w:pPr>
    </w:p>
    <w:p w14:paraId="44459D2E" w14:textId="77777777" w:rsidR="002E5034" w:rsidRPr="003E0B98" w:rsidRDefault="002E5034" w:rsidP="004361AC">
      <w:pPr>
        <w:numPr>
          <w:ilvl w:val="12"/>
          <w:numId w:val="0"/>
        </w:numPr>
        <w:tabs>
          <w:tab w:val="clear" w:pos="567"/>
        </w:tabs>
        <w:spacing w:line="240" w:lineRule="auto"/>
        <w:ind w:right="-2"/>
        <w:rPr>
          <w:color w:val="000000"/>
          <w:szCs w:val="22"/>
          <w:lang w:val="es-ES_tradnl"/>
        </w:rPr>
      </w:pPr>
    </w:p>
    <w:p w14:paraId="3DABC17B" w14:textId="77777777" w:rsidR="002E5034" w:rsidRPr="003E0B98" w:rsidRDefault="002E5034" w:rsidP="004361AC">
      <w:pPr>
        <w:keepNext/>
        <w:numPr>
          <w:ilvl w:val="12"/>
          <w:numId w:val="0"/>
        </w:numPr>
        <w:tabs>
          <w:tab w:val="clear" w:pos="567"/>
        </w:tabs>
        <w:spacing w:line="240" w:lineRule="auto"/>
        <w:ind w:left="567" w:hanging="567"/>
        <w:rPr>
          <w:color w:val="000000"/>
          <w:szCs w:val="22"/>
          <w:lang w:val="es-ES_tradnl"/>
        </w:rPr>
      </w:pPr>
      <w:r w:rsidRPr="003E0B98">
        <w:rPr>
          <w:b/>
          <w:color w:val="000000"/>
          <w:szCs w:val="22"/>
          <w:lang w:val="es-ES_tradnl"/>
        </w:rPr>
        <w:t>4.</w:t>
      </w:r>
      <w:r w:rsidRPr="003E0B98">
        <w:rPr>
          <w:b/>
          <w:color w:val="000000"/>
          <w:szCs w:val="22"/>
          <w:lang w:val="es-ES_tradnl"/>
        </w:rPr>
        <w:tab/>
        <w:t>Posibles efectos adversos</w:t>
      </w:r>
    </w:p>
    <w:p w14:paraId="012A6860" w14:textId="77777777" w:rsidR="002E5034" w:rsidRPr="003E0B98" w:rsidRDefault="002E5034" w:rsidP="004361AC">
      <w:pPr>
        <w:keepNext/>
        <w:numPr>
          <w:ilvl w:val="12"/>
          <w:numId w:val="0"/>
        </w:numPr>
        <w:tabs>
          <w:tab w:val="clear" w:pos="567"/>
        </w:tabs>
        <w:spacing w:line="240" w:lineRule="auto"/>
        <w:rPr>
          <w:color w:val="000000"/>
          <w:szCs w:val="22"/>
          <w:lang w:val="es-ES_tradnl"/>
        </w:rPr>
      </w:pPr>
    </w:p>
    <w:p w14:paraId="52F2D270" w14:textId="77777777" w:rsidR="002E5034" w:rsidRPr="003E0B98" w:rsidRDefault="002E5034" w:rsidP="004361AC">
      <w:pPr>
        <w:numPr>
          <w:ilvl w:val="12"/>
          <w:numId w:val="0"/>
        </w:numPr>
        <w:tabs>
          <w:tab w:val="clear" w:pos="567"/>
        </w:tabs>
        <w:spacing w:line="240" w:lineRule="auto"/>
        <w:ind w:right="-2"/>
        <w:rPr>
          <w:color w:val="000000"/>
          <w:szCs w:val="22"/>
          <w:lang w:val="es-ES_tradnl"/>
        </w:rPr>
      </w:pPr>
      <w:r w:rsidRPr="003E0B98">
        <w:rPr>
          <w:noProof/>
          <w:color w:val="000000"/>
          <w:lang w:val="es-ES_tradnl"/>
        </w:rPr>
        <w:t xml:space="preserve">Al igual que todos los medicamentos, </w:t>
      </w:r>
      <w:r w:rsidR="00F55352" w:rsidRPr="003E0B98">
        <w:rPr>
          <w:noProof/>
          <w:color w:val="000000"/>
          <w:lang w:val="es-ES_tradnl"/>
        </w:rPr>
        <w:t>este medicamento</w:t>
      </w:r>
      <w:r w:rsidRPr="003E0B98">
        <w:rPr>
          <w:noProof/>
          <w:color w:val="000000"/>
          <w:lang w:val="es-ES_tradnl"/>
        </w:rPr>
        <w:t xml:space="preserve"> puede producir efectos adversos, aunque no todas las personas los sufran.</w:t>
      </w:r>
    </w:p>
    <w:p w14:paraId="487FE8EE" w14:textId="77777777" w:rsidR="002E5034" w:rsidRPr="003E0B98" w:rsidRDefault="002E5034" w:rsidP="004361AC">
      <w:pPr>
        <w:numPr>
          <w:ilvl w:val="12"/>
          <w:numId w:val="0"/>
        </w:numPr>
        <w:tabs>
          <w:tab w:val="clear" w:pos="567"/>
        </w:tabs>
        <w:spacing w:line="240" w:lineRule="auto"/>
        <w:ind w:right="-2"/>
        <w:rPr>
          <w:color w:val="000000"/>
          <w:szCs w:val="22"/>
          <w:lang w:val="es-ES_tradnl"/>
        </w:rPr>
      </w:pPr>
    </w:p>
    <w:p w14:paraId="6E17DA62" w14:textId="77777777" w:rsidR="002E5034" w:rsidRPr="003E0B98" w:rsidRDefault="002E5034" w:rsidP="004361AC">
      <w:pPr>
        <w:numPr>
          <w:ilvl w:val="12"/>
          <w:numId w:val="0"/>
        </w:numPr>
        <w:tabs>
          <w:tab w:val="clear" w:pos="567"/>
        </w:tabs>
        <w:spacing w:line="240" w:lineRule="auto"/>
        <w:ind w:right="-2"/>
        <w:rPr>
          <w:color w:val="000000"/>
          <w:szCs w:val="22"/>
          <w:lang w:val="es-ES_tradnl"/>
        </w:rPr>
      </w:pPr>
      <w:r w:rsidRPr="003E0B98">
        <w:rPr>
          <w:color w:val="000000"/>
          <w:szCs w:val="22"/>
          <w:lang w:val="es-ES_tradnl"/>
        </w:rPr>
        <w:t xml:space="preserve">Los efectos adversos asociados con la administración de </w:t>
      </w:r>
      <w:proofErr w:type="spellStart"/>
      <w:r w:rsidRPr="003E0B98">
        <w:rPr>
          <w:color w:val="000000"/>
          <w:szCs w:val="22"/>
          <w:lang w:val="es-ES_tradnl"/>
        </w:rPr>
        <w:t>Lucentis</w:t>
      </w:r>
      <w:proofErr w:type="spellEnd"/>
      <w:r w:rsidRPr="003E0B98">
        <w:rPr>
          <w:color w:val="000000"/>
          <w:szCs w:val="22"/>
          <w:lang w:val="es-ES_tradnl"/>
        </w:rPr>
        <w:t xml:space="preserve"> se deben o al propio medicamento o al procedimiento de inyección y la mayoría afectan al ojo.</w:t>
      </w:r>
    </w:p>
    <w:p w14:paraId="2421DF55" w14:textId="77777777" w:rsidR="002E5034" w:rsidRPr="003E0B98" w:rsidRDefault="002E5034" w:rsidP="004361AC">
      <w:pPr>
        <w:numPr>
          <w:ilvl w:val="12"/>
          <w:numId w:val="0"/>
        </w:numPr>
        <w:tabs>
          <w:tab w:val="clear" w:pos="567"/>
        </w:tabs>
        <w:spacing w:line="240" w:lineRule="auto"/>
        <w:ind w:right="-2"/>
        <w:rPr>
          <w:color w:val="000000"/>
          <w:szCs w:val="22"/>
          <w:lang w:val="es-ES_tradnl"/>
        </w:rPr>
      </w:pPr>
    </w:p>
    <w:p w14:paraId="428191ED" w14:textId="77777777" w:rsidR="002E5034" w:rsidRPr="003E0B98" w:rsidRDefault="002E5034" w:rsidP="004361AC">
      <w:pPr>
        <w:keepNext/>
        <w:numPr>
          <w:ilvl w:val="12"/>
          <w:numId w:val="0"/>
        </w:numPr>
        <w:tabs>
          <w:tab w:val="clear" w:pos="567"/>
        </w:tabs>
        <w:spacing w:line="240" w:lineRule="auto"/>
        <w:rPr>
          <w:color w:val="000000"/>
          <w:szCs w:val="22"/>
          <w:lang w:val="es-ES_tradnl"/>
        </w:rPr>
      </w:pPr>
      <w:r w:rsidRPr="003E0B98">
        <w:rPr>
          <w:color w:val="000000"/>
          <w:szCs w:val="22"/>
          <w:lang w:val="es-ES_tradnl"/>
        </w:rPr>
        <w:t xml:space="preserve">A </w:t>
      </w:r>
      <w:proofErr w:type="gramStart"/>
      <w:r w:rsidRPr="003E0B98">
        <w:rPr>
          <w:color w:val="000000"/>
          <w:szCs w:val="22"/>
          <w:lang w:val="es-ES_tradnl"/>
        </w:rPr>
        <w:t>continuación</w:t>
      </w:r>
      <w:proofErr w:type="gramEnd"/>
      <w:r w:rsidRPr="003E0B98">
        <w:rPr>
          <w:color w:val="000000"/>
          <w:szCs w:val="22"/>
          <w:lang w:val="es-ES_tradnl"/>
        </w:rPr>
        <w:t xml:space="preserve"> se describen los efectos adversos más graves:</w:t>
      </w:r>
    </w:p>
    <w:p w14:paraId="7FC806F6" w14:textId="77777777" w:rsidR="002E5034" w:rsidRPr="003E0B98" w:rsidRDefault="002E5034" w:rsidP="004361AC">
      <w:pPr>
        <w:numPr>
          <w:ilvl w:val="12"/>
          <w:numId w:val="0"/>
        </w:numPr>
        <w:tabs>
          <w:tab w:val="clear" w:pos="567"/>
        </w:tabs>
        <w:spacing w:line="240" w:lineRule="auto"/>
        <w:ind w:right="-2"/>
        <w:rPr>
          <w:color w:val="000000"/>
          <w:szCs w:val="22"/>
          <w:lang w:val="es-ES_tradnl"/>
        </w:rPr>
      </w:pPr>
      <w:r w:rsidRPr="003E0B98">
        <w:rPr>
          <w:b/>
          <w:color w:val="000000"/>
          <w:szCs w:val="22"/>
          <w:lang w:val="es-ES_tradnl"/>
        </w:rPr>
        <w:t>Efectos adversos graves frecuentes</w:t>
      </w:r>
      <w:r w:rsidRPr="003E0B98">
        <w:rPr>
          <w:color w:val="000000"/>
          <w:szCs w:val="22"/>
          <w:lang w:val="es-ES_tradnl"/>
        </w:rPr>
        <w:t xml:space="preserve"> </w:t>
      </w:r>
      <w:r w:rsidRPr="003E0B98">
        <w:rPr>
          <w:color w:val="000000"/>
          <w:szCs w:val="22"/>
          <w:lang w:val="es-ES"/>
        </w:rPr>
        <w:t xml:space="preserve">(pueden afectar hasta 1 de cada 10 pacientes): Desprendimiento o desgarro de una capa en la parte interna del ojo (desprendimiento o desgarro de la retina), que da como resultado </w:t>
      </w:r>
      <w:r w:rsidRPr="003E0B98">
        <w:rPr>
          <w:color w:val="000000"/>
          <w:szCs w:val="22"/>
          <w:lang w:val="es-ES_tradnl"/>
        </w:rPr>
        <w:t>destellos de luz con partículas flotantes que progresan a una pérdida de visión transitoria o a un enturbiamiento del cristalino (catarata).</w:t>
      </w:r>
    </w:p>
    <w:p w14:paraId="37C011B7" w14:textId="77777777" w:rsidR="002E5034" w:rsidRPr="003E0B98" w:rsidRDefault="002E5034" w:rsidP="004361AC">
      <w:pPr>
        <w:numPr>
          <w:ilvl w:val="12"/>
          <w:numId w:val="0"/>
        </w:numPr>
        <w:tabs>
          <w:tab w:val="clear" w:pos="567"/>
        </w:tabs>
        <w:spacing w:line="240" w:lineRule="auto"/>
        <w:ind w:right="-2"/>
        <w:rPr>
          <w:color w:val="000000"/>
          <w:szCs w:val="22"/>
          <w:lang w:val="es-ES_tradnl"/>
        </w:rPr>
      </w:pPr>
      <w:r w:rsidRPr="003E0B98">
        <w:rPr>
          <w:b/>
          <w:color w:val="000000"/>
          <w:szCs w:val="22"/>
          <w:lang w:val="es-ES"/>
        </w:rPr>
        <w:t>Efectos adversos graves poco frecuentes</w:t>
      </w:r>
      <w:r w:rsidRPr="003E0B98">
        <w:rPr>
          <w:color w:val="000000"/>
          <w:szCs w:val="22"/>
          <w:lang w:val="es-ES"/>
        </w:rPr>
        <w:t xml:space="preserve"> (pueden afectar hasta 1 de cada 100 pacientes): </w:t>
      </w:r>
      <w:r w:rsidRPr="003E0B98">
        <w:rPr>
          <w:color w:val="000000"/>
          <w:szCs w:val="22"/>
          <w:lang w:val="es-ES_tradnl"/>
        </w:rPr>
        <w:t>Ceguera, infección del globo ocular (</w:t>
      </w:r>
      <w:proofErr w:type="spellStart"/>
      <w:r w:rsidRPr="003E0B98">
        <w:rPr>
          <w:color w:val="000000"/>
          <w:szCs w:val="22"/>
          <w:lang w:val="es-ES_tradnl"/>
        </w:rPr>
        <w:t>endoftalmitis</w:t>
      </w:r>
      <w:proofErr w:type="spellEnd"/>
      <w:r w:rsidRPr="003E0B98">
        <w:rPr>
          <w:color w:val="000000"/>
          <w:szCs w:val="22"/>
          <w:lang w:val="es-ES_tradnl"/>
        </w:rPr>
        <w:t>) con inflamación de la parte interna del ojo.</w:t>
      </w:r>
    </w:p>
    <w:p w14:paraId="5E74672E" w14:textId="77777777" w:rsidR="002E5034" w:rsidRPr="003E0B98" w:rsidRDefault="002E5034" w:rsidP="004361AC">
      <w:pPr>
        <w:numPr>
          <w:ilvl w:val="12"/>
          <w:numId w:val="0"/>
        </w:numPr>
        <w:tabs>
          <w:tab w:val="clear" w:pos="567"/>
        </w:tabs>
        <w:spacing w:line="240" w:lineRule="auto"/>
        <w:ind w:right="-2"/>
        <w:rPr>
          <w:color w:val="000000"/>
          <w:szCs w:val="22"/>
          <w:lang w:val="es-ES_tradnl"/>
        </w:rPr>
      </w:pPr>
    </w:p>
    <w:p w14:paraId="32A7376A" w14:textId="77777777" w:rsidR="002E5034" w:rsidRPr="003E0B98" w:rsidRDefault="002E5034" w:rsidP="004361AC">
      <w:pPr>
        <w:numPr>
          <w:ilvl w:val="12"/>
          <w:numId w:val="0"/>
        </w:numPr>
        <w:tabs>
          <w:tab w:val="clear" w:pos="567"/>
        </w:tabs>
        <w:spacing w:line="240" w:lineRule="auto"/>
        <w:ind w:right="-2"/>
        <w:rPr>
          <w:b/>
          <w:color w:val="000000"/>
          <w:szCs w:val="22"/>
          <w:lang w:val="es-ES_tradnl"/>
        </w:rPr>
      </w:pPr>
      <w:r w:rsidRPr="003E0B98">
        <w:rPr>
          <w:color w:val="000000"/>
          <w:szCs w:val="22"/>
          <w:lang w:val="es-ES_tradnl"/>
        </w:rPr>
        <w:t xml:space="preserve">Los síntomas que podría experimentar </w:t>
      </w:r>
      <w:r w:rsidR="00C46148" w:rsidRPr="003E0B98">
        <w:rPr>
          <w:color w:val="000000"/>
          <w:szCs w:val="22"/>
          <w:lang w:val="es-ES_tradnl"/>
        </w:rPr>
        <w:t>son dolor o aumento de las molestias en el ojo, si empeora el enrojecimiento en el ojo, visión borrosa o disminución de la visión, un aumento del número de pequeñas manchas en la visión o aumento de la sensibilidad a la luz.</w:t>
      </w:r>
      <w:r w:rsidRPr="003E0B98">
        <w:rPr>
          <w:color w:val="000000"/>
          <w:szCs w:val="22"/>
          <w:lang w:val="es-ES_tradnl"/>
        </w:rPr>
        <w:t xml:space="preserve"> </w:t>
      </w:r>
      <w:r w:rsidRPr="003E0B98">
        <w:rPr>
          <w:b/>
          <w:color w:val="000000"/>
          <w:szCs w:val="22"/>
          <w:lang w:val="es-ES_tradnl"/>
        </w:rPr>
        <w:t>Informe a su médico inmediatamente si presenta alguno de estos efectos adversos.</w:t>
      </w:r>
    </w:p>
    <w:p w14:paraId="54059FF8" w14:textId="77777777" w:rsidR="002E5034" w:rsidRPr="003E0B98" w:rsidRDefault="002E5034" w:rsidP="004361AC">
      <w:pPr>
        <w:numPr>
          <w:ilvl w:val="12"/>
          <w:numId w:val="0"/>
        </w:numPr>
        <w:tabs>
          <w:tab w:val="clear" w:pos="567"/>
        </w:tabs>
        <w:spacing w:line="240" w:lineRule="auto"/>
        <w:ind w:right="-2"/>
        <w:rPr>
          <w:color w:val="000000"/>
          <w:szCs w:val="22"/>
          <w:lang w:val="es-ES_tradnl"/>
        </w:rPr>
      </w:pPr>
    </w:p>
    <w:p w14:paraId="76D6CB5A" w14:textId="77777777" w:rsidR="002E5034" w:rsidRPr="003E0B98" w:rsidRDefault="002E5034" w:rsidP="004361AC">
      <w:pPr>
        <w:keepNext/>
        <w:numPr>
          <w:ilvl w:val="12"/>
          <w:numId w:val="0"/>
        </w:numPr>
        <w:tabs>
          <w:tab w:val="clear" w:pos="567"/>
        </w:tabs>
        <w:spacing w:line="240" w:lineRule="auto"/>
        <w:rPr>
          <w:color w:val="000000"/>
          <w:szCs w:val="22"/>
          <w:lang w:val="es-ES_tradnl"/>
        </w:rPr>
      </w:pPr>
      <w:r w:rsidRPr="003E0B98">
        <w:rPr>
          <w:color w:val="000000"/>
          <w:szCs w:val="22"/>
          <w:lang w:val="es-ES_tradnl"/>
        </w:rPr>
        <w:t xml:space="preserve">A </w:t>
      </w:r>
      <w:proofErr w:type="gramStart"/>
      <w:r w:rsidRPr="003E0B98">
        <w:rPr>
          <w:color w:val="000000"/>
          <w:szCs w:val="22"/>
          <w:lang w:val="es-ES_tradnl"/>
        </w:rPr>
        <w:t>continuación</w:t>
      </w:r>
      <w:proofErr w:type="gramEnd"/>
      <w:r w:rsidRPr="003E0B98">
        <w:rPr>
          <w:color w:val="000000"/>
          <w:szCs w:val="22"/>
          <w:lang w:val="es-ES_tradnl"/>
        </w:rPr>
        <w:t xml:space="preserve"> se describen los efectos adversos comunicados más frecuentemente:</w:t>
      </w:r>
    </w:p>
    <w:p w14:paraId="294428DE" w14:textId="77777777" w:rsidR="002E5034" w:rsidRPr="003E0B98" w:rsidRDefault="002E5034" w:rsidP="004361AC">
      <w:pPr>
        <w:keepNext/>
        <w:numPr>
          <w:ilvl w:val="12"/>
          <w:numId w:val="0"/>
        </w:numPr>
        <w:tabs>
          <w:tab w:val="clear" w:pos="567"/>
        </w:tabs>
        <w:spacing w:line="240" w:lineRule="auto"/>
        <w:rPr>
          <w:color w:val="000000"/>
          <w:szCs w:val="22"/>
          <w:lang w:val="es-ES_tradnl"/>
        </w:rPr>
      </w:pPr>
      <w:r w:rsidRPr="003E0B98">
        <w:rPr>
          <w:b/>
          <w:color w:val="000000"/>
          <w:szCs w:val="22"/>
          <w:lang w:val="es-ES_tradnl"/>
        </w:rPr>
        <w:t xml:space="preserve">Efectos adversos muy frecuentes </w:t>
      </w:r>
      <w:r w:rsidRPr="003E0B98">
        <w:rPr>
          <w:color w:val="000000"/>
          <w:szCs w:val="22"/>
          <w:lang w:val="es-ES_tradnl"/>
        </w:rPr>
        <w:t>(pueden afectar a más de 1 de cada 10 pacientes)</w:t>
      </w:r>
    </w:p>
    <w:p w14:paraId="36E09927" w14:textId="77777777" w:rsidR="002E5034" w:rsidRPr="003E0B98" w:rsidRDefault="002E5034" w:rsidP="004361AC">
      <w:pPr>
        <w:numPr>
          <w:ilvl w:val="12"/>
          <w:numId w:val="0"/>
        </w:numPr>
        <w:tabs>
          <w:tab w:val="clear" w:pos="567"/>
        </w:tabs>
        <w:spacing w:line="240" w:lineRule="auto"/>
        <w:ind w:right="-2"/>
        <w:rPr>
          <w:color w:val="000000"/>
          <w:szCs w:val="22"/>
          <w:lang w:val="es-ES_tradnl"/>
        </w:rPr>
      </w:pPr>
      <w:r w:rsidRPr="003E0B98">
        <w:rPr>
          <w:color w:val="000000"/>
          <w:szCs w:val="22"/>
          <w:lang w:val="es-ES_tradnl"/>
        </w:rPr>
        <w:t>Los efectos adversos oculares incluyen: Inflamación del ojo, sangrado en la parte posterior del ojo (hemorragia en la retina), alteraciones visuales, dolor en el ojo, pequeñas partículas o manchas en la visión (partículas flotantes), sangre en el ojo, irritación del ojo, sensación de tener algo dentro del ojo, aumento de la producción de lágrima, inflamación o infección en el borde de los párpados, ojo seco, enrojecimiento o picor en el ojo y aumento de la presión en el ojo.</w:t>
      </w:r>
    </w:p>
    <w:p w14:paraId="6160321A" w14:textId="77777777" w:rsidR="002E5034" w:rsidRPr="003E0B98" w:rsidRDefault="002E5034" w:rsidP="004361AC">
      <w:pPr>
        <w:numPr>
          <w:ilvl w:val="12"/>
          <w:numId w:val="0"/>
        </w:numPr>
        <w:tabs>
          <w:tab w:val="clear" w:pos="567"/>
        </w:tabs>
        <w:spacing w:line="240" w:lineRule="auto"/>
        <w:ind w:right="-2"/>
        <w:rPr>
          <w:color w:val="000000"/>
          <w:szCs w:val="22"/>
          <w:lang w:val="es-ES"/>
        </w:rPr>
      </w:pPr>
      <w:r w:rsidRPr="003E0B98">
        <w:rPr>
          <w:color w:val="000000"/>
          <w:szCs w:val="22"/>
          <w:lang w:val="es-ES_tradnl"/>
        </w:rPr>
        <w:t>Los efectos adversos no oculares incluyen: Dolor de garganta, congestión nasal, goteo nasal, dolor de cabeza y dolor en las articulaciones.</w:t>
      </w:r>
    </w:p>
    <w:p w14:paraId="426EED7B" w14:textId="77777777" w:rsidR="002E5034" w:rsidRPr="003E0B98" w:rsidRDefault="002E5034" w:rsidP="004361AC">
      <w:pPr>
        <w:numPr>
          <w:ilvl w:val="12"/>
          <w:numId w:val="0"/>
        </w:numPr>
        <w:tabs>
          <w:tab w:val="clear" w:pos="567"/>
        </w:tabs>
        <w:spacing w:line="240" w:lineRule="auto"/>
        <w:ind w:right="-2"/>
        <w:rPr>
          <w:color w:val="000000"/>
          <w:szCs w:val="22"/>
          <w:lang w:val="es-ES"/>
        </w:rPr>
      </w:pPr>
    </w:p>
    <w:p w14:paraId="34995FF3" w14:textId="77777777" w:rsidR="002E5034" w:rsidRPr="003E0B98" w:rsidRDefault="002E5034" w:rsidP="004361AC">
      <w:pPr>
        <w:keepNext/>
        <w:numPr>
          <w:ilvl w:val="12"/>
          <w:numId w:val="0"/>
        </w:numPr>
        <w:tabs>
          <w:tab w:val="clear" w:pos="567"/>
        </w:tabs>
        <w:spacing w:line="240" w:lineRule="auto"/>
        <w:rPr>
          <w:color w:val="000000"/>
          <w:szCs w:val="22"/>
          <w:lang w:val="es-ES"/>
        </w:rPr>
      </w:pPr>
      <w:r w:rsidRPr="003E0B98">
        <w:rPr>
          <w:color w:val="000000"/>
          <w:szCs w:val="22"/>
          <w:lang w:val="es-ES"/>
        </w:rPr>
        <w:t xml:space="preserve">A </w:t>
      </w:r>
      <w:proofErr w:type="gramStart"/>
      <w:r w:rsidRPr="003E0B98">
        <w:rPr>
          <w:color w:val="000000"/>
          <w:szCs w:val="22"/>
          <w:lang w:val="es-ES"/>
        </w:rPr>
        <w:t>continuación</w:t>
      </w:r>
      <w:proofErr w:type="gramEnd"/>
      <w:r w:rsidRPr="003E0B98">
        <w:rPr>
          <w:color w:val="000000"/>
          <w:szCs w:val="22"/>
          <w:lang w:val="es-ES"/>
        </w:rPr>
        <w:t xml:space="preserve"> se describen otros efectos adversos que pueden ocurrir tras el tratamiento con </w:t>
      </w:r>
      <w:proofErr w:type="spellStart"/>
      <w:r w:rsidRPr="003E0B98">
        <w:rPr>
          <w:color w:val="000000"/>
          <w:szCs w:val="22"/>
          <w:lang w:val="es-ES"/>
        </w:rPr>
        <w:t>Lucentis</w:t>
      </w:r>
      <w:proofErr w:type="spellEnd"/>
      <w:r w:rsidRPr="003E0B98">
        <w:rPr>
          <w:color w:val="000000"/>
          <w:szCs w:val="22"/>
          <w:lang w:val="es-ES"/>
        </w:rPr>
        <w:t>:</w:t>
      </w:r>
    </w:p>
    <w:p w14:paraId="7B02C610" w14:textId="77777777" w:rsidR="002E5034" w:rsidRPr="003E0B98" w:rsidRDefault="002E5034" w:rsidP="004361AC">
      <w:pPr>
        <w:keepNext/>
        <w:numPr>
          <w:ilvl w:val="12"/>
          <w:numId w:val="0"/>
        </w:numPr>
        <w:tabs>
          <w:tab w:val="clear" w:pos="567"/>
        </w:tabs>
        <w:spacing w:line="240" w:lineRule="auto"/>
        <w:rPr>
          <w:color w:val="000000"/>
          <w:szCs w:val="22"/>
          <w:lang w:val="es-ES"/>
        </w:rPr>
      </w:pPr>
      <w:r w:rsidRPr="003E0B98">
        <w:rPr>
          <w:b/>
          <w:color w:val="000000"/>
          <w:szCs w:val="22"/>
          <w:lang w:val="es-ES"/>
        </w:rPr>
        <w:t>Efectos adversos frecuentes</w:t>
      </w:r>
    </w:p>
    <w:p w14:paraId="34755D62" w14:textId="77777777" w:rsidR="002E5034" w:rsidRPr="003E0B98" w:rsidRDefault="002E5034" w:rsidP="004361AC">
      <w:pPr>
        <w:numPr>
          <w:ilvl w:val="12"/>
          <w:numId w:val="0"/>
        </w:numPr>
        <w:tabs>
          <w:tab w:val="clear" w:pos="567"/>
        </w:tabs>
        <w:spacing w:line="240" w:lineRule="auto"/>
        <w:ind w:right="-2"/>
        <w:rPr>
          <w:color w:val="000000"/>
          <w:szCs w:val="22"/>
          <w:lang w:val="es-ES"/>
        </w:rPr>
      </w:pPr>
      <w:r w:rsidRPr="003E0B98">
        <w:rPr>
          <w:color w:val="000000"/>
          <w:szCs w:val="22"/>
          <w:lang w:val="es-ES"/>
        </w:rPr>
        <w:t xml:space="preserve">Los </w:t>
      </w:r>
      <w:r w:rsidRPr="003E0B98">
        <w:rPr>
          <w:color w:val="000000"/>
          <w:szCs w:val="22"/>
          <w:lang w:val="es-ES_tradnl"/>
        </w:rPr>
        <w:t xml:space="preserve">efectos adversos oculares incluyen: Disminución de la nitidez de la visión, hinchazón de una sección del ojo (úvea, córnea), inflamación de la córnea (parte delantera del ojo), </w:t>
      </w:r>
      <w:r w:rsidRPr="003E0B98">
        <w:rPr>
          <w:color w:val="000000"/>
          <w:szCs w:val="22"/>
          <w:lang w:val="es-ES"/>
        </w:rPr>
        <w:t xml:space="preserve">pequeñas marcas en la superficie del ojo, visión borrosa, sangrado en el lugar de inyección, </w:t>
      </w:r>
      <w:r w:rsidRPr="003E0B98">
        <w:rPr>
          <w:color w:val="000000"/>
          <w:szCs w:val="22"/>
          <w:lang w:val="es-ES_tradnl"/>
        </w:rPr>
        <w:t>sangrado en el ojo, secreción del ojo con picor, enrojecimiento e hinchazón (conjuntivitis), sensibilidad a la luz, molestias en el ojo, hinchazón del párpado, dolor en el párpado.</w:t>
      </w:r>
    </w:p>
    <w:p w14:paraId="158C3EF6" w14:textId="77777777" w:rsidR="002E5034" w:rsidRPr="003E0B98" w:rsidRDefault="002E5034" w:rsidP="004361AC">
      <w:pPr>
        <w:numPr>
          <w:ilvl w:val="12"/>
          <w:numId w:val="0"/>
        </w:numPr>
        <w:tabs>
          <w:tab w:val="clear" w:pos="567"/>
        </w:tabs>
        <w:spacing w:line="240" w:lineRule="auto"/>
        <w:ind w:right="-2"/>
        <w:rPr>
          <w:color w:val="000000"/>
          <w:szCs w:val="22"/>
          <w:lang w:val="es-ES"/>
        </w:rPr>
      </w:pPr>
      <w:r w:rsidRPr="003E0B98">
        <w:rPr>
          <w:color w:val="000000"/>
          <w:szCs w:val="22"/>
          <w:lang w:val="es-ES"/>
        </w:rPr>
        <w:t xml:space="preserve">Los </w:t>
      </w:r>
      <w:r w:rsidRPr="003E0B98">
        <w:rPr>
          <w:color w:val="000000"/>
          <w:szCs w:val="22"/>
          <w:lang w:val="es-ES_tradnl"/>
        </w:rPr>
        <w:t xml:space="preserve">efectos adversos no oculares incluyen: Infección de las vías urinarias, recuento de glóbulos rojos bajo (con síntomas tales como cansancio, dificultad al respirar, mareo, palidez), ansiedad, tos, </w:t>
      </w:r>
      <w:r w:rsidRPr="003E0B98">
        <w:rPr>
          <w:color w:val="000000"/>
          <w:szCs w:val="22"/>
          <w:lang w:val="es-ES"/>
        </w:rPr>
        <w:t>náuseas, reacciones alérgicas tales como erupción, urticaria, picor y enrojecimiento de la piel</w:t>
      </w:r>
      <w:r w:rsidRPr="003E0B98">
        <w:rPr>
          <w:color w:val="000000"/>
          <w:szCs w:val="22"/>
          <w:lang w:val="es-ES_tradnl"/>
        </w:rPr>
        <w:t>.</w:t>
      </w:r>
    </w:p>
    <w:p w14:paraId="40582C59" w14:textId="77777777" w:rsidR="002E5034" w:rsidRPr="003E0B98" w:rsidRDefault="002E5034" w:rsidP="004361AC">
      <w:pPr>
        <w:numPr>
          <w:ilvl w:val="12"/>
          <w:numId w:val="0"/>
        </w:numPr>
        <w:tabs>
          <w:tab w:val="clear" w:pos="567"/>
        </w:tabs>
        <w:spacing w:line="240" w:lineRule="auto"/>
        <w:ind w:right="-2"/>
        <w:rPr>
          <w:color w:val="000000"/>
          <w:szCs w:val="22"/>
          <w:lang w:val="es-ES_tradnl"/>
        </w:rPr>
      </w:pPr>
    </w:p>
    <w:p w14:paraId="11AA2907" w14:textId="77777777" w:rsidR="002E5034" w:rsidRPr="003E0B98" w:rsidRDefault="002E5034" w:rsidP="004361AC">
      <w:pPr>
        <w:keepNext/>
        <w:numPr>
          <w:ilvl w:val="12"/>
          <w:numId w:val="0"/>
        </w:numPr>
        <w:tabs>
          <w:tab w:val="clear" w:pos="567"/>
        </w:tabs>
        <w:spacing w:line="240" w:lineRule="auto"/>
        <w:rPr>
          <w:color w:val="000000"/>
          <w:szCs w:val="22"/>
          <w:lang w:val="es-ES"/>
        </w:rPr>
      </w:pPr>
      <w:r w:rsidRPr="003E0B98">
        <w:rPr>
          <w:b/>
          <w:color w:val="000000"/>
          <w:szCs w:val="22"/>
          <w:lang w:val="es-ES"/>
        </w:rPr>
        <w:t>Efectos adversos poco frecuentes</w:t>
      </w:r>
    </w:p>
    <w:p w14:paraId="47F4AB16" w14:textId="77777777" w:rsidR="002E5034" w:rsidRPr="003E0B98" w:rsidRDefault="002E5034" w:rsidP="004361AC">
      <w:pPr>
        <w:numPr>
          <w:ilvl w:val="12"/>
          <w:numId w:val="0"/>
        </w:numPr>
        <w:tabs>
          <w:tab w:val="clear" w:pos="567"/>
        </w:tabs>
        <w:spacing w:line="240" w:lineRule="auto"/>
        <w:ind w:right="-2"/>
        <w:rPr>
          <w:color w:val="000000"/>
          <w:szCs w:val="22"/>
          <w:lang w:val="es-ES"/>
        </w:rPr>
      </w:pPr>
      <w:r w:rsidRPr="003E0B98">
        <w:rPr>
          <w:color w:val="000000"/>
          <w:szCs w:val="22"/>
          <w:lang w:val="es-ES"/>
        </w:rPr>
        <w:t xml:space="preserve">Los </w:t>
      </w:r>
      <w:r w:rsidRPr="003E0B98">
        <w:rPr>
          <w:color w:val="000000"/>
          <w:szCs w:val="22"/>
          <w:lang w:val="es-ES_tradnl"/>
        </w:rPr>
        <w:t>efectos adversos oculares incluyen: Inflamación y sangrado en la parte anterior del ojo, acúmulo de pus en el ojo, cambios en la parte central de la superficie ocular, dolor o irritación en el lugar de inyección, sensación anormal en el ojo, irritación del párpado.</w:t>
      </w:r>
    </w:p>
    <w:p w14:paraId="10545804" w14:textId="77777777" w:rsidR="002E5034" w:rsidRPr="003E0B98" w:rsidRDefault="002E5034" w:rsidP="004361AC">
      <w:pPr>
        <w:numPr>
          <w:ilvl w:val="12"/>
          <w:numId w:val="0"/>
        </w:numPr>
        <w:tabs>
          <w:tab w:val="clear" w:pos="567"/>
        </w:tabs>
        <w:spacing w:line="240" w:lineRule="auto"/>
        <w:ind w:right="-2"/>
        <w:rPr>
          <w:color w:val="000000"/>
          <w:szCs w:val="22"/>
          <w:lang w:val="es-ES_tradnl"/>
        </w:rPr>
      </w:pPr>
    </w:p>
    <w:p w14:paraId="0EC14FF2" w14:textId="77777777" w:rsidR="002E5034" w:rsidRPr="003E0B98" w:rsidRDefault="002E5034" w:rsidP="004361AC">
      <w:pPr>
        <w:keepNext/>
        <w:numPr>
          <w:ilvl w:val="12"/>
          <w:numId w:val="0"/>
        </w:numPr>
        <w:tabs>
          <w:tab w:val="clear" w:pos="567"/>
        </w:tabs>
        <w:spacing w:line="240" w:lineRule="auto"/>
        <w:rPr>
          <w:szCs w:val="24"/>
          <w:lang w:val="es-ES_tradnl"/>
        </w:rPr>
      </w:pPr>
      <w:r w:rsidRPr="003E0B98">
        <w:rPr>
          <w:b/>
          <w:szCs w:val="24"/>
          <w:lang w:val="es-ES_tradnl"/>
        </w:rPr>
        <w:t>Comunicación de efectos adversos</w:t>
      </w:r>
    </w:p>
    <w:p w14:paraId="2924BD20" w14:textId="77777777" w:rsidR="002E5034" w:rsidRPr="003E0B98" w:rsidRDefault="002E5034" w:rsidP="004361AC">
      <w:pPr>
        <w:numPr>
          <w:ilvl w:val="12"/>
          <w:numId w:val="0"/>
        </w:numPr>
        <w:tabs>
          <w:tab w:val="clear" w:pos="567"/>
        </w:tabs>
        <w:spacing w:line="240" w:lineRule="auto"/>
        <w:ind w:right="-2"/>
        <w:rPr>
          <w:color w:val="000000"/>
          <w:szCs w:val="22"/>
          <w:lang w:val="es-ES"/>
        </w:rPr>
      </w:pPr>
      <w:r w:rsidRPr="003E0B98">
        <w:rPr>
          <w:szCs w:val="24"/>
          <w:lang w:val="es-ES_tradnl"/>
        </w:rPr>
        <w:t>Si experimenta cualquier tipo de efecto adverso, consulte</w:t>
      </w:r>
      <w:r w:rsidRPr="003E0B98">
        <w:rPr>
          <w:lang w:val="es-ES_tradnl"/>
        </w:rPr>
        <w:t xml:space="preserve"> a su médico</w:t>
      </w:r>
      <w:r w:rsidRPr="003E0B98">
        <w:rPr>
          <w:szCs w:val="24"/>
          <w:lang w:val="es-ES_tradnl"/>
        </w:rPr>
        <w:t>,</w:t>
      </w:r>
      <w:r w:rsidRPr="003E0B98">
        <w:rPr>
          <w:color w:val="FF0000"/>
          <w:szCs w:val="24"/>
          <w:lang w:val="es-ES_tradnl"/>
        </w:rPr>
        <w:t xml:space="preserve"> </w:t>
      </w:r>
      <w:r w:rsidRPr="003E0B98">
        <w:rPr>
          <w:szCs w:val="24"/>
          <w:lang w:val="es-ES_tradnl"/>
        </w:rPr>
        <w:t>incluso si se trata de posibles efectos adversos que no aparecen en este prospecto</w:t>
      </w:r>
      <w:r w:rsidRPr="003E0B98">
        <w:rPr>
          <w:lang w:val="es-ES_tradnl"/>
        </w:rPr>
        <w:t xml:space="preserve">. </w:t>
      </w:r>
      <w:r w:rsidRPr="003E0B98">
        <w:rPr>
          <w:noProof/>
          <w:szCs w:val="24"/>
          <w:lang w:val="es-ES_tradnl"/>
        </w:rPr>
        <w:t xml:space="preserve">También puede comunicarlos directamente a través del </w:t>
      </w:r>
      <w:r w:rsidRPr="003E0B98">
        <w:rPr>
          <w:noProof/>
          <w:szCs w:val="24"/>
          <w:shd w:val="pct15" w:color="auto" w:fill="auto"/>
          <w:lang w:val="es-ES_tradnl"/>
        </w:rPr>
        <w:t xml:space="preserve">sistema nacional de notificación incluido en el </w:t>
      </w:r>
      <w:hyperlink r:id="rId25" w:history="1">
        <w:r w:rsidR="00A513F8" w:rsidRPr="003E0B98">
          <w:rPr>
            <w:rStyle w:val="Hyperlink"/>
            <w:szCs w:val="22"/>
            <w:shd w:val="pct15" w:color="auto" w:fill="auto"/>
            <w:lang w:val="es-ES"/>
          </w:rPr>
          <w:t>Apéndice V</w:t>
        </w:r>
      </w:hyperlink>
      <w:r w:rsidRPr="003E0B98">
        <w:rPr>
          <w:noProof/>
          <w:szCs w:val="24"/>
          <w:lang w:val="es-ES_tradnl"/>
        </w:rPr>
        <w:t>. Mediante la comunicación de efectos adversos usted puede contribuir a proporcionar más información sobre la seguridad de este medicamento.</w:t>
      </w:r>
    </w:p>
    <w:p w14:paraId="01782FAC" w14:textId="77777777" w:rsidR="002E5034" w:rsidRPr="003E0B98" w:rsidRDefault="002E5034" w:rsidP="004361AC">
      <w:pPr>
        <w:numPr>
          <w:ilvl w:val="12"/>
          <w:numId w:val="0"/>
        </w:numPr>
        <w:tabs>
          <w:tab w:val="clear" w:pos="567"/>
        </w:tabs>
        <w:spacing w:line="240" w:lineRule="auto"/>
        <w:ind w:right="-2"/>
        <w:rPr>
          <w:color w:val="000000"/>
          <w:szCs w:val="22"/>
          <w:lang w:val="es-ES_tradnl"/>
        </w:rPr>
      </w:pPr>
    </w:p>
    <w:p w14:paraId="7AC9920D" w14:textId="77777777" w:rsidR="002E5034" w:rsidRPr="003E0B98" w:rsidRDefault="002E5034" w:rsidP="004361AC">
      <w:pPr>
        <w:numPr>
          <w:ilvl w:val="12"/>
          <w:numId w:val="0"/>
        </w:numPr>
        <w:tabs>
          <w:tab w:val="clear" w:pos="567"/>
        </w:tabs>
        <w:spacing w:line="240" w:lineRule="auto"/>
        <w:ind w:right="-2"/>
        <w:rPr>
          <w:color w:val="000000"/>
          <w:szCs w:val="22"/>
          <w:lang w:val="es-ES_tradnl"/>
        </w:rPr>
      </w:pPr>
    </w:p>
    <w:p w14:paraId="21F50240" w14:textId="77777777" w:rsidR="002E5034" w:rsidRPr="003E0B98" w:rsidRDefault="002E5034" w:rsidP="004361AC">
      <w:pPr>
        <w:keepNext/>
        <w:numPr>
          <w:ilvl w:val="12"/>
          <w:numId w:val="0"/>
        </w:numPr>
        <w:tabs>
          <w:tab w:val="clear" w:pos="567"/>
        </w:tabs>
        <w:spacing w:line="240" w:lineRule="auto"/>
        <w:rPr>
          <w:color w:val="000000"/>
          <w:szCs w:val="22"/>
          <w:lang w:val="es-ES_tradnl"/>
        </w:rPr>
      </w:pPr>
      <w:r w:rsidRPr="003E0B98">
        <w:rPr>
          <w:b/>
          <w:color w:val="000000"/>
          <w:szCs w:val="22"/>
          <w:lang w:val="es-ES_tradnl"/>
        </w:rPr>
        <w:t>5.</w:t>
      </w:r>
      <w:r w:rsidRPr="003E0B98">
        <w:rPr>
          <w:b/>
          <w:color w:val="000000"/>
          <w:szCs w:val="22"/>
          <w:lang w:val="es-ES_tradnl"/>
        </w:rPr>
        <w:tab/>
        <w:t xml:space="preserve">Conservación de </w:t>
      </w:r>
      <w:proofErr w:type="spellStart"/>
      <w:r w:rsidRPr="003E0B98">
        <w:rPr>
          <w:b/>
          <w:color w:val="000000"/>
          <w:szCs w:val="22"/>
          <w:lang w:val="es-ES_tradnl"/>
        </w:rPr>
        <w:t>Lucentis</w:t>
      </w:r>
      <w:proofErr w:type="spellEnd"/>
    </w:p>
    <w:p w14:paraId="4F640420" w14:textId="77777777" w:rsidR="002E5034" w:rsidRPr="003E0B98" w:rsidRDefault="002E5034" w:rsidP="004361AC">
      <w:pPr>
        <w:keepNext/>
        <w:numPr>
          <w:ilvl w:val="12"/>
          <w:numId w:val="0"/>
        </w:numPr>
        <w:tabs>
          <w:tab w:val="clear" w:pos="567"/>
        </w:tabs>
        <w:spacing w:line="240" w:lineRule="auto"/>
        <w:rPr>
          <w:color w:val="000000"/>
          <w:szCs w:val="22"/>
          <w:lang w:val="es-ES_tradnl"/>
        </w:rPr>
      </w:pPr>
    </w:p>
    <w:p w14:paraId="4AFF2647" w14:textId="77777777" w:rsidR="002E5034" w:rsidRPr="003E0B98" w:rsidRDefault="002E5034" w:rsidP="004361AC">
      <w:pPr>
        <w:numPr>
          <w:ilvl w:val="12"/>
          <w:numId w:val="0"/>
        </w:numPr>
        <w:tabs>
          <w:tab w:val="clear" w:pos="567"/>
        </w:tabs>
        <w:spacing w:line="240" w:lineRule="auto"/>
        <w:ind w:right="-2"/>
        <w:rPr>
          <w:color w:val="000000"/>
          <w:szCs w:val="22"/>
          <w:lang w:val="es-ES_tradnl"/>
        </w:rPr>
      </w:pPr>
      <w:r w:rsidRPr="003E0B98">
        <w:rPr>
          <w:color w:val="000000"/>
          <w:szCs w:val="22"/>
          <w:lang w:val="es-ES_tradnl"/>
        </w:rPr>
        <w:t>-</w:t>
      </w:r>
      <w:r w:rsidRPr="003E0B98">
        <w:rPr>
          <w:color w:val="000000"/>
          <w:szCs w:val="22"/>
          <w:lang w:val="es-ES_tradnl"/>
        </w:rPr>
        <w:tab/>
      </w:r>
      <w:r w:rsidRPr="003E0B98">
        <w:rPr>
          <w:noProof/>
          <w:color w:val="000000"/>
          <w:lang w:val="es-ES_tradnl"/>
        </w:rPr>
        <w:t>Mantener este medicamento fuera de la vista y del alcance de los niños.</w:t>
      </w:r>
    </w:p>
    <w:p w14:paraId="396C45CA" w14:textId="77777777" w:rsidR="002E5034" w:rsidRPr="003E0B98" w:rsidRDefault="002E5034" w:rsidP="004361AC">
      <w:pPr>
        <w:numPr>
          <w:ilvl w:val="0"/>
          <w:numId w:val="2"/>
        </w:numPr>
        <w:tabs>
          <w:tab w:val="clear" w:pos="567"/>
          <w:tab w:val="clear" w:pos="1494"/>
        </w:tabs>
        <w:spacing w:line="240" w:lineRule="auto"/>
        <w:ind w:left="567" w:right="-2" w:hanging="567"/>
        <w:rPr>
          <w:color w:val="000000"/>
          <w:szCs w:val="22"/>
          <w:lang w:val="es-ES_tradnl"/>
        </w:rPr>
      </w:pPr>
      <w:r w:rsidRPr="003E0B98">
        <w:rPr>
          <w:noProof/>
          <w:color w:val="000000"/>
          <w:lang w:val="es-ES_tradnl"/>
        </w:rPr>
        <w:t>No utilice este medicamento después de la fecha de caducidad que aparece en la caja después de CAD y en la etiqueta del vial después de EXP. La fecha de caducidad es el último día del mes que se indica.</w:t>
      </w:r>
    </w:p>
    <w:p w14:paraId="09BE219D" w14:textId="77777777" w:rsidR="00F7302E" w:rsidRPr="003E0B98" w:rsidRDefault="002E5034" w:rsidP="004361AC">
      <w:pPr>
        <w:numPr>
          <w:ilvl w:val="12"/>
          <w:numId w:val="0"/>
        </w:numPr>
        <w:tabs>
          <w:tab w:val="clear" w:pos="567"/>
        </w:tabs>
        <w:spacing w:line="240" w:lineRule="auto"/>
        <w:ind w:right="-2"/>
        <w:rPr>
          <w:color w:val="000000"/>
          <w:szCs w:val="22"/>
          <w:lang w:val="es-ES_tradnl"/>
        </w:rPr>
      </w:pPr>
      <w:r w:rsidRPr="003E0B98">
        <w:rPr>
          <w:color w:val="000000"/>
          <w:szCs w:val="22"/>
          <w:lang w:val="es-ES_tradnl"/>
        </w:rPr>
        <w:t>-</w:t>
      </w:r>
      <w:r w:rsidRPr="003E0B98">
        <w:rPr>
          <w:color w:val="000000"/>
          <w:szCs w:val="22"/>
          <w:lang w:val="es-ES_tradnl"/>
        </w:rPr>
        <w:tab/>
        <w:t>Conservar en nevera (entre 2°C y 8°C). No congelar.</w:t>
      </w:r>
    </w:p>
    <w:p w14:paraId="5E1C4599" w14:textId="77777777" w:rsidR="002E5034" w:rsidRPr="003E0B98" w:rsidRDefault="00F7302E" w:rsidP="004361AC">
      <w:pPr>
        <w:numPr>
          <w:ilvl w:val="12"/>
          <w:numId w:val="0"/>
        </w:numPr>
        <w:tabs>
          <w:tab w:val="clear" w:pos="567"/>
        </w:tabs>
        <w:spacing w:line="240" w:lineRule="auto"/>
        <w:ind w:left="567" w:right="-2" w:hanging="567"/>
        <w:rPr>
          <w:color w:val="000000"/>
          <w:szCs w:val="22"/>
          <w:lang w:val="es-ES_tradnl"/>
        </w:rPr>
      </w:pPr>
      <w:r w:rsidRPr="003E0B98">
        <w:rPr>
          <w:color w:val="000000"/>
          <w:szCs w:val="22"/>
          <w:lang w:val="es-ES_tradnl"/>
        </w:rPr>
        <w:t>-</w:t>
      </w:r>
      <w:r w:rsidRPr="003E0B98">
        <w:rPr>
          <w:color w:val="000000"/>
          <w:szCs w:val="22"/>
          <w:lang w:val="es-ES_tradnl"/>
        </w:rPr>
        <w:tab/>
        <w:t xml:space="preserve">Antes de usar, el vial sin abrir </w:t>
      </w:r>
      <w:r w:rsidR="00B01F45" w:rsidRPr="003E0B98">
        <w:rPr>
          <w:color w:val="000000"/>
          <w:szCs w:val="22"/>
          <w:lang w:val="es-ES_tradnl"/>
        </w:rPr>
        <w:t xml:space="preserve">se </w:t>
      </w:r>
      <w:r w:rsidRPr="003E0B98">
        <w:rPr>
          <w:color w:val="000000"/>
          <w:szCs w:val="22"/>
          <w:lang w:val="es-ES_tradnl"/>
        </w:rPr>
        <w:t>puede conservar a temperatura ambiente (</w:t>
      </w:r>
      <w:r w:rsidRPr="003E0B98">
        <w:rPr>
          <w:color w:val="000000"/>
          <w:szCs w:val="22"/>
          <w:lang w:val="es-ES"/>
        </w:rPr>
        <w:t>25°C) durante un máximo de 24 horas.</w:t>
      </w:r>
    </w:p>
    <w:p w14:paraId="7DA6D5F2" w14:textId="77777777" w:rsidR="002E5034" w:rsidRPr="003E0B98" w:rsidRDefault="002E5034" w:rsidP="004361AC">
      <w:pPr>
        <w:numPr>
          <w:ilvl w:val="12"/>
          <w:numId w:val="0"/>
        </w:numPr>
        <w:tabs>
          <w:tab w:val="clear" w:pos="567"/>
        </w:tabs>
        <w:spacing w:line="240" w:lineRule="auto"/>
        <w:ind w:right="-2"/>
        <w:rPr>
          <w:color w:val="000000"/>
          <w:szCs w:val="22"/>
          <w:lang w:val="es-ES_tradnl"/>
        </w:rPr>
      </w:pPr>
      <w:r w:rsidRPr="003E0B98">
        <w:rPr>
          <w:color w:val="000000"/>
          <w:szCs w:val="22"/>
          <w:lang w:val="es-ES_tradnl"/>
        </w:rPr>
        <w:t>-</w:t>
      </w:r>
      <w:r w:rsidRPr="003E0B98">
        <w:rPr>
          <w:color w:val="000000"/>
          <w:szCs w:val="22"/>
          <w:lang w:val="es-ES_tradnl"/>
        </w:rPr>
        <w:tab/>
        <w:t>Conservar el vial en el embalaje exterior para protegerlo de la luz.</w:t>
      </w:r>
    </w:p>
    <w:p w14:paraId="046A9D2E" w14:textId="77777777" w:rsidR="002E5034" w:rsidRPr="003E0B98" w:rsidRDefault="002E5034" w:rsidP="004361AC">
      <w:pPr>
        <w:numPr>
          <w:ilvl w:val="12"/>
          <w:numId w:val="0"/>
        </w:numPr>
        <w:tabs>
          <w:tab w:val="clear" w:pos="567"/>
        </w:tabs>
        <w:spacing w:line="240" w:lineRule="auto"/>
        <w:ind w:right="-2"/>
        <w:rPr>
          <w:color w:val="000000"/>
          <w:szCs w:val="22"/>
          <w:lang w:val="es-ES_tradnl"/>
        </w:rPr>
      </w:pPr>
      <w:r w:rsidRPr="003E0B98">
        <w:rPr>
          <w:color w:val="000000"/>
          <w:szCs w:val="22"/>
          <w:lang w:val="es-ES_tradnl"/>
        </w:rPr>
        <w:t>-</w:t>
      </w:r>
      <w:r w:rsidRPr="003E0B98">
        <w:rPr>
          <w:color w:val="000000"/>
          <w:szCs w:val="22"/>
          <w:lang w:val="es-ES_tradnl"/>
        </w:rPr>
        <w:tab/>
        <w:t>No utilice ningún envase que esté dañado.</w:t>
      </w:r>
    </w:p>
    <w:p w14:paraId="091C8F5C" w14:textId="77777777" w:rsidR="002E5034" w:rsidRPr="003E0B98" w:rsidRDefault="002E5034" w:rsidP="004361AC">
      <w:pPr>
        <w:numPr>
          <w:ilvl w:val="12"/>
          <w:numId w:val="0"/>
        </w:numPr>
        <w:tabs>
          <w:tab w:val="clear" w:pos="567"/>
        </w:tabs>
        <w:spacing w:line="240" w:lineRule="auto"/>
        <w:ind w:right="-2"/>
        <w:rPr>
          <w:color w:val="000000"/>
          <w:szCs w:val="22"/>
          <w:lang w:val="es-ES_tradnl"/>
        </w:rPr>
      </w:pPr>
    </w:p>
    <w:p w14:paraId="27B45EE4" w14:textId="77777777" w:rsidR="002E5034" w:rsidRPr="003E0B98" w:rsidRDefault="002E5034" w:rsidP="004361AC">
      <w:pPr>
        <w:numPr>
          <w:ilvl w:val="12"/>
          <w:numId w:val="0"/>
        </w:numPr>
        <w:tabs>
          <w:tab w:val="clear" w:pos="567"/>
        </w:tabs>
        <w:spacing w:line="240" w:lineRule="auto"/>
        <w:ind w:right="-2"/>
        <w:rPr>
          <w:color w:val="000000"/>
          <w:szCs w:val="22"/>
          <w:lang w:val="es-ES_tradnl"/>
        </w:rPr>
      </w:pPr>
    </w:p>
    <w:p w14:paraId="4DA91995" w14:textId="77777777" w:rsidR="002E5034" w:rsidRPr="003E0B98" w:rsidRDefault="002E5034" w:rsidP="004361AC">
      <w:pPr>
        <w:keepNext/>
        <w:numPr>
          <w:ilvl w:val="12"/>
          <w:numId w:val="0"/>
        </w:numPr>
        <w:tabs>
          <w:tab w:val="clear" w:pos="567"/>
        </w:tabs>
        <w:spacing w:line="240" w:lineRule="auto"/>
        <w:rPr>
          <w:b/>
          <w:color w:val="000000"/>
          <w:lang w:val="es-ES_tradnl"/>
        </w:rPr>
      </w:pPr>
      <w:r w:rsidRPr="003E0B98">
        <w:rPr>
          <w:b/>
          <w:color w:val="000000"/>
          <w:szCs w:val="22"/>
          <w:lang w:val="es-ES_tradnl"/>
        </w:rPr>
        <w:t>6.</w:t>
      </w:r>
      <w:r w:rsidRPr="003E0B98">
        <w:rPr>
          <w:b/>
          <w:color w:val="000000"/>
          <w:szCs w:val="22"/>
          <w:lang w:val="es-ES_tradnl"/>
        </w:rPr>
        <w:tab/>
        <w:t>Contenido del envase e información adicional</w:t>
      </w:r>
    </w:p>
    <w:p w14:paraId="6B475147" w14:textId="77777777" w:rsidR="002E5034" w:rsidRPr="003E0B98" w:rsidRDefault="002E5034" w:rsidP="004361AC">
      <w:pPr>
        <w:keepNext/>
        <w:numPr>
          <w:ilvl w:val="12"/>
          <w:numId w:val="0"/>
        </w:numPr>
        <w:tabs>
          <w:tab w:val="clear" w:pos="567"/>
        </w:tabs>
        <w:spacing w:line="240" w:lineRule="auto"/>
        <w:rPr>
          <w:color w:val="000000"/>
          <w:szCs w:val="22"/>
          <w:lang w:val="es-ES_tradnl"/>
        </w:rPr>
      </w:pPr>
    </w:p>
    <w:p w14:paraId="2A05FD11" w14:textId="77777777" w:rsidR="002E5034" w:rsidRPr="003E0B98" w:rsidRDefault="002E5034" w:rsidP="004361AC">
      <w:pPr>
        <w:keepNext/>
        <w:numPr>
          <w:ilvl w:val="12"/>
          <w:numId w:val="0"/>
        </w:numPr>
        <w:tabs>
          <w:tab w:val="clear" w:pos="567"/>
        </w:tabs>
        <w:spacing w:line="240" w:lineRule="auto"/>
        <w:rPr>
          <w:b/>
          <w:color w:val="000000"/>
          <w:szCs w:val="22"/>
          <w:lang w:val="es-ES_tradnl"/>
        </w:rPr>
      </w:pPr>
      <w:r w:rsidRPr="003E0B98">
        <w:rPr>
          <w:b/>
          <w:color w:val="000000"/>
          <w:szCs w:val="22"/>
          <w:lang w:val="es-ES_tradnl"/>
        </w:rPr>
        <w:t xml:space="preserve">Composición de </w:t>
      </w:r>
      <w:proofErr w:type="spellStart"/>
      <w:r w:rsidRPr="003E0B98">
        <w:rPr>
          <w:b/>
          <w:color w:val="000000"/>
          <w:szCs w:val="22"/>
          <w:lang w:val="es-ES_tradnl"/>
        </w:rPr>
        <w:t>Lucentis</w:t>
      </w:r>
      <w:proofErr w:type="spellEnd"/>
    </w:p>
    <w:p w14:paraId="42CA3AC9" w14:textId="77777777" w:rsidR="002E5034" w:rsidRPr="003E0B98" w:rsidRDefault="002E5034" w:rsidP="004361AC">
      <w:pPr>
        <w:numPr>
          <w:ilvl w:val="12"/>
          <w:numId w:val="0"/>
        </w:numPr>
        <w:tabs>
          <w:tab w:val="clear" w:pos="567"/>
        </w:tabs>
        <w:spacing w:line="240" w:lineRule="auto"/>
        <w:ind w:left="567" w:right="-2" w:hanging="567"/>
        <w:rPr>
          <w:color w:val="000000"/>
          <w:szCs w:val="22"/>
          <w:lang w:val="es-ES_tradnl"/>
        </w:rPr>
      </w:pPr>
      <w:r w:rsidRPr="003E0B98">
        <w:rPr>
          <w:color w:val="000000"/>
          <w:szCs w:val="22"/>
          <w:lang w:val="es-ES_tradnl"/>
        </w:rPr>
        <w:t>-</w:t>
      </w:r>
      <w:r w:rsidRPr="003E0B98">
        <w:rPr>
          <w:color w:val="000000"/>
          <w:szCs w:val="22"/>
          <w:lang w:val="es-ES_tradnl"/>
        </w:rPr>
        <w:tab/>
        <w:t xml:space="preserve">El principio activo es </w:t>
      </w:r>
      <w:proofErr w:type="spellStart"/>
      <w:r w:rsidRPr="003E0B98">
        <w:rPr>
          <w:color w:val="000000"/>
          <w:szCs w:val="22"/>
          <w:lang w:val="es-ES_tradnl"/>
        </w:rPr>
        <w:t>ranibizumab</w:t>
      </w:r>
      <w:proofErr w:type="spellEnd"/>
      <w:r w:rsidRPr="003E0B98">
        <w:rPr>
          <w:color w:val="000000"/>
          <w:szCs w:val="22"/>
          <w:lang w:val="es-ES_tradnl"/>
        </w:rPr>
        <w:t xml:space="preserve">. Cada ml contiene 10 mg de </w:t>
      </w:r>
      <w:proofErr w:type="spellStart"/>
      <w:r w:rsidRPr="003E0B98">
        <w:rPr>
          <w:color w:val="000000"/>
          <w:szCs w:val="22"/>
          <w:lang w:val="es-ES_tradnl"/>
        </w:rPr>
        <w:t>ranibizumab</w:t>
      </w:r>
      <w:proofErr w:type="spellEnd"/>
      <w:r w:rsidRPr="003E0B98">
        <w:rPr>
          <w:color w:val="000000"/>
          <w:szCs w:val="22"/>
          <w:lang w:val="es-ES_tradnl"/>
        </w:rPr>
        <w:t>.</w:t>
      </w:r>
      <w:r w:rsidR="001B6EE6" w:rsidRPr="003E0B98">
        <w:rPr>
          <w:color w:val="000000"/>
          <w:szCs w:val="22"/>
          <w:lang w:val="es-ES_tradnl"/>
        </w:rPr>
        <w:t xml:space="preserve"> </w:t>
      </w:r>
      <w:r w:rsidR="001B6EE6" w:rsidRPr="003E0B98">
        <w:rPr>
          <w:color w:val="000000"/>
          <w:szCs w:val="22"/>
          <w:lang w:val="es-ES"/>
        </w:rPr>
        <w:t xml:space="preserve">Cada vial contiene 2,3 mg de </w:t>
      </w:r>
      <w:proofErr w:type="spellStart"/>
      <w:r w:rsidR="001B6EE6" w:rsidRPr="003E0B98">
        <w:rPr>
          <w:color w:val="000000"/>
          <w:szCs w:val="22"/>
          <w:lang w:val="es-ES"/>
        </w:rPr>
        <w:t>ranibizumab</w:t>
      </w:r>
      <w:proofErr w:type="spellEnd"/>
      <w:r w:rsidR="001B6EE6" w:rsidRPr="003E0B98">
        <w:rPr>
          <w:color w:val="000000"/>
          <w:szCs w:val="22"/>
          <w:lang w:val="es-ES"/>
        </w:rPr>
        <w:t xml:space="preserve"> en 0,23 ml de solución.</w:t>
      </w:r>
      <w:r w:rsidR="000406E0" w:rsidRPr="003E0B98">
        <w:rPr>
          <w:color w:val="000000"/>
          <w:szCs w:val="22"/>
          <w:lang w:val="es-ES"/>
        </w:rPr>
        <w:t xml:space="preserve"> Esto aporta una cantidad adecuada para proporcionar una dosis única de 0,05 ml, que contiene 0,5 mg de </w:t>
      </w:r>
      <w:proofErr w:type="spellStart"/>
      <w:r w:rsidR="000406E0" w:rsidRPr="003E0B98">
        <w:rPr>
          <w:color w:val="000000"/>
          <w:szCs w:val="22"/>
          <w:lang w:val="es-ES"/>
        </w:rPr>
        <w:t>ranibizumab</w:t>
      </w:r>
      <w:proofErr w:type="spellEnd"/>
      <w:r w:rsidR="000406E0" w:rsidRPr="003E0B98">
        <w:rPr>
          <w:color w:val="000000"/>
          <w:szCs w:val="22"/>
          <w:lang w:val="es-ES"/>
        </w:rPr>
        <w:t>.</w:t>
      </w:r>
    </w:p>
    <w:p w14:paraId="633E010B" w14:textId="77777777" w:rsidR="002E5034" w:rsidRPr="003E0B98" w:rsidRDefault="002E5034" w:rsidP="004361AC">
      <w:pPr>
        <w:tabs>
          <w:tab w:val="clear" w:pos="567"/>
        </w:tabs>
        <w:spacing w:line="240" w:lineRule="auto"/>
        <w:ind w:left="567" w:hanging="567"/>
        <w:rPr>
          <w:color w:val="000000"/>
          <w:szCs w:val="22"/>
          <w:lang w:val="es-ES_tradnl"/>
        </w:rPr>
      </w:pPr>
      <w:r w:rsidRPr="003E0B98">
        <w:rPr>
          <w:color w:val="000000"/>
          <w:szCs w:val="22"/>
          <w:lang w:val="es-ES_tradnl"/>
        </w:rPr>
        <w:t>-</w:t>
      </w:r>
      <w:r w:rsidRPr="003E0B98">
        <w:rPr>
          <w:color w:val="000000"/>
          <w:szCs w:val="22"/>
          <w:lang w:val="es-ES_tradnl"/>
        </w:rPr>
        <w:tab/>
        <w:t>Los demás componentes son</w:t>
      </w:r>
      <w:r w:rsidRPr="003E0B98">
        <w:rPr>
          <w:iCs/>
          <w:color w:val="000000"/>
          <w:szCs w:val="22"/>
          <w:lang w:val="es-ES_tradnl"/>
        </w:rPr>
        <w:t xml:space="preserve"> </w:t>
      </w:r>
      <w:proofErr w:type="gramStart"/>
      <w:r w:rsidRPr="003E0B98">
        <w:rPr>
          <w:iCs/>
          <w:color w:val="000000"/>
          <w:szCs w:val="22"/>
        </w:rPr>
        <w:t>α</w:t>
      </w:r>
      <w:r w:rsidRPr="003E0B98">
        <w:rPr>
          <w:iCs/>
          <w:color w:val="000000"/>
          <w:szCs w:val="22"/>
          <w:lang w:val="es-ES_tradnl"/>
        </w:rPr>
        <w:t>,</w:t>
      </w:r>
      <w:r w:rsidRPr="003E0B98">
        <w:rPr>
          <w:iCs/>
          <w:color w:val="000000"/>
          <w:szCs w:val="22"/>
        </w:rPr>
        <w:t>α</w:t>
      </w:r>
      <w:proofErr w:type="gramEnd"/>
      <w:r w:rsidRPr="003E0B98">
        <w:rPr>
          <w:iCs/>
          <w:color w:val="000000"/>
          <w:szCs w:val="22"/>
          <w:lang w:val="es-ES_tradnl"/>
        </w:rPr>
        <w:t>-</w:t>
      </w:r>
      <w:proofErr w:type="spellStart"/>
      <w:r w:rsidRPr="003E0B98">
        <w:rPr>
          <w:iCs/>
          <w:color w:val="000000"/>
          <w:szCs w:val="22"/>
          <w:lang w:val="es-ES_tradnl"/>
        </w:rPr>
        <w:t>trehalosa</w:t>
      </w:r>
      <w:proofErr w:type="spellEnd"/>
      <w:r w:rsidRPr="003E0B98">
        <w:rPr>
          <w:iCs/>
          <w:color w:val="000000"/>
          <w:szCs w:val="22"/>
          <w:lang w:val="es-ES_tradnl"/>
        </w:rPr>
        <w:t xml:space="preserve"> </w:t>
      </w:r>
      <w:proofErr w:type="spellStart"/>
      <w:r w:rsidRPr="003E0B98">
        <w:rPr>
          <w:iCs/>
          <w:color w:val="000000"/>
          <w:szCs w:val="22"/>
          <w:lang w:val="es-ES_tradnl"/>
        </w:rPr>
        <w:t>dihidrato</w:t>
      </w:r>
      <w:proofErr w:type="spellEnd"/>
      <w:r w:rsidRPr="003E0B98">
        <w:rPr>
          <w:iCs/>
          <w:color w:val="000000"/>
          <w:szCs w:val="22"/>
          <w:lang w:val="es-ES_tradnl"/>
        </w:rPr>
        <w:t xml:space="preserve">; hidrocloruro de histidina </w:t>
      </w:r>
      <w:proofErr w:type="spellStart"/>
      <w:r w:rsidRPr="003E0B98">
        <w:rPr>
          <w:iCs/>
          <w:color w:val="000000"/>
          <w:szCs w:val="22"/>
          <w:lang w:val="es-ES_tradnl"/>
        </w:rPr>
        <w:t>monohidrato</w:t>
      </w:r>
      <w:proofErr w:type="spellEnd"/>
      <w:r w:rsidRPr="003E0B98">
        <w:rPr>
          <w:iCs/>
          <w:color w:val="000000"/>
          <w:szCs w:val="22"/>
          <w:lang w:val="es-ES_tradnl"/>
        </w:rPr>
        <w:t>; histidina; polisorbato 20; agua para inyectables</w:t>
      </w:r>
      <w:r w:rsidRPr="003E0B98">
        <w:rPr>
          <w:color w:val="000000"/>
          <w:szCs w:val="22"/>
          <w:lang w:val="es-ES_tradnl"/>
        </w:rPr>
        <w:t>.</w:t>
      </w:r>
    </w:p>
    <w:p w14:paraId="5CBADC89" w14:textId="77777777" w:rsidR="002E5034" w:rsidRPr="003E0B98" w:rsidRDefault="002E5034" w:rsidP="004361AC">
      <w:pPr>
        <w:numPr>
          <w:ilvl w:val="12"/>
          <w:numId w:val="0"/>
        </w:numPr>
        <w:tabs>
          <w:tab w:val="clear" w:pos="567"/>
        </w:tabs>
        <w:spacing w:line="240" w:lineRule="auto"/>
        <w:ind w:right="-2"/>
        <w:rPr>
          <w:color w:val="000000"/>
          <w:szCs w:val="22"/>
          <w:lang w:val="es-ES_tradnl"/>
        </w:rPr>
      </w:pPr>
    </w:p>
    <w:p w14:paraId="07AB4FEF" w14:textId="77777777" w:rsidR="002E5034" w:rsidRPr="003E0B98" w:rsidRDefault="002E5034" w:rsidP="004361AC">
      <w:pPr>
        <w:keepNext/>
        <w:numPr>
          <w:ilvl w:val="12"/>
          <w:numId w:val="0"/>
        </w:numPr>
        <w:tabs>
          <w:tab w:val="clear" w:pos="567"/>
        </w:tabs>
        <w:spacing w:line="240" w:lineRule="auto"/>
        <w:rPr>
          <w:b/>
          <w:color w:val="000000"/>
          <w:szCs w:val="22"/>
          <w:lang w:val="es-ES_tradnl"/>
        </w:rPr>
      </w:pPr>
      <w:r w:rsidRPr="003E0B98">
        <w:rPr>
          <w:b/>
          <w:color w:val="000000"/>
          <w:lang w:val="es-ES_tradnl"/>
        </w:rPr>
        <w:t>Aspecto del producto y contenido del envase</w:t>
      </w:r>
    </w:p>
    <w:p w14:paraId="52264755" w14:textId="5E782801" w:rsidR="002E5034" w:rsidRPr="003E0B98" w:rsidRDefault="002E5034" w:rsidP="004361AC">
      <w:pPr>
        <w:numPr>
          <w:ilvl w:val="12"/>
          <w:numId w:val="0"/>
        </w:numPr>
        <w:tabs>
          <w:tab w:val="clear" w:pos="567"/>
        </w:tabs>
        <w:spacing w:line="240" w:lineRule="auto"/>
        <w:ind w:right="-2"/>
        <w:rPr>
          <w:color w:val="000000"/>
          <w:szCs w:val="22"/>
          <w:lang w:val="es-ES_tradnl"/>
        </w:rPr>
      </w:pPr>
      <w:proofErr w:type="spellStart"/>
      <w:r w:rsidRPr="003E0B98">
        <w:rPr>
          <w:color w:val="000000"/>
          <w:szCs w:val="22"/>
          <w:lang w:val="es-ES_tradnl"/>
        </w:rPr>
        <w:t>Lucentis</w:t>
      </w:r>
      <w:proofErr w:type="spellEnd"/>
      <w:r w:rsidRPr="003E0B98">
        <w:rPr>
          <w:color w:val="000000"/>
          <w:szCs w:val="22"/>
          <w:lang w:val="es-ES_tradnl"/>
        </w:rPr>
        <w:t xml:space="preserve"> es una solución inyectable contenida en un vial </w:t>
      </w:r>
      <w:r w:rsidRPr="003E0B98">
        <w:rPr>
          <w:color w:val="000000"/>
          <w:lang w:val="es-ES_tradnl"/>
        </w:rPr>
        <w:t xml:space="preserve">(0,23 ml). La solución es transparente, </w:t>
      </w:r>
      <w:r w:rsidRPr="003E0B98">
        <w:rPr>
          <w:color w:val="000000"/>
          <w:szCs w:val="22"/>
          <w:lang w:val="es-ES_tradnl"/>
        </w:rPr>
        <w:t xml:space="preserve">de incolora a amarillo </w:t>
      </w:r>
      <w:r w:rsidR="00490F86">
        <w:rPr>
          <w:color w:val="000000"/>
          <w:szCs w:val="22"/>
          <w:lang w:val="es-ES_tradnl"/>
        </w:rPr>
        <w:t xml:space="preserve">pardusco </w:t>
      </w:r>
      <w:r w:rsidRPr="003E0B98">
        <w:rPr>
          <w:color w:val="000000"/>
          <w:szCs w:val="22"/>
          <w:lang w:val="es-ES_tradnl"/>
        </w:rPr>
        <w:t>pálido y acuosa.</w:t>
      </w:r>
    </w:p>
    <w:p w14:paraId="218B7AF9" w14:textId="77777777" w:rsidR="002E5034" w:rsidRPr="003E0B98" w:rsidRDefault="002E5034" w:rsidP="004361AC">
      <w:pPr>
        <w:numPr>
          <w:ilvl w:val="12"/>
          <w:numId w:val="0"/>
        </w:numPr>
        <w:tabs>
          <w:tab w:val="clear" w:pos="567"/>
        </w:tabs>
        <w:spacing w:line="240" w:lineRule="auto"/>
        <w:ind w:right="-2"/>
        <w:rPr>
          <w:color w:val="000000"/>
          <w:szCs w:val="22"/>
          <w:lang w:val="es-ES_tradnl"/>
        </w:rPr>
      </w:pPr>
    </w:p>
    <w:p w14:paraId="7EF955EE" w14:textId="471FDAFA" w:rsidR="009A51D6" w:rsidRPr="003E0B98" w:rsidRDefault="009A51D6" w:rsidP="004361AC">
      <w:pPr>
        <w:keepNext/>
        <w:numPr>
          <w:ilvl w:val="12"/>
          <w:numId w:val="0"/>
        </w:numPr>
        <w:tabs>
          <w:tab w:val="clear" w:pos="567"/>
        </w:tabs>
        <w:spacing w:line="240" w:lineRule="auto"/>
        <w:rPr>
          <w:color w:val="000000"/>
          <w:szCs w:val="22"/>
          <w:lang w:val="es-ES_tradnl"/>
        </w:rPr>
      </w:pPr>
      <w:r w:rsidRPr="003E0B98">
        <w:rPr>
          <w:color w:val="000000"/>
          <w:szCs w:val="22"/>
          <w:lang w:val="es-ES_tradnl"/>
        </w:rPr>
        <w:t xml:space="preserve">Se dispone de </w:t>
      </w:r>
      <w:r w:rsidR="00BF42DF" w:rsidRPr="003E0B98">
        <w:rPr>
          <w:color w:val="000000"/>
          <w:szCs w:val="22"/>
          <w:lang w:val="es-ES_tradnl"/>
        </w:rPr>
        <w:t xml:space="preserve">dos </w:t>
      </w:r>
      <w:r w:rsidRPr="003E0B98">
        <w:rPr>
          <w:color w:val="000000"/>
          <w:szCs w:val="22"/>
          <w:lang w:val="es-ES_tradnl"/>
        </w:rPr>
        <w:t>tipos de envase diferentes:</w:t>
      </w:r>
    </w:p>
    <w:p w14:paraId="1563739A" w14:textId="77777777" w:rsidR="009A51D6" w:rsidRPr="003E0B98" w:rsidRDefault="009A51D6" w:rsidP="004361AC">
      <w:pPr>
        <w:keepNext/>
        <w:numPr>
          <w:ilvl w:val="12"/>
          <w:numId w:val="0"/>
        </w:numPr>
        <w:tabs>
          <w:tab w:val="clear" w:pos="567"/>
        </w:tabs>
        <w:spacing w:line="240" w:lineRule="auto"/>
        <w:rPr>
          <w:color w:val="000000"/>
          <w:szCs w:val="22"/>
          <w:lang w:val="es-ES_tradnl"/>
        </w:rPr>
      </w:pPr>
    </w:p>
    <w:p w14:paraId="2356A7AD" w14:textId="77777777" w:rsidR="009A51D6" w:rsidRPr="003E0B98" w:rsidRDefault="009A51D6" w:rsidP="004361AC">
      <w:pPr>
        <w:keepNext/>
        <w:tabs>
          <w:tab w:val="clear" w:pos="567"/>
        </w:tabs>
        <w:spacing w:line="240" w:lineRule="auto"/>
        <w:rPr>
          <w:color w:val="000000"/>
          <w:szCs w:val="22"/>
          <w:u w:val="single"/>
          <w:lang w:val="es-ES_tradnl"/>
        </w:rPr>
      </w:pPr>
      <w:r w:rsidRPr="003E0B98">
        <w:rPr>
          <w:color w:val="000000"/>
          <w:szCs w:val="22"/>
          <w:u w:val="single"/>
          <w:lang w:val="es-ES_tradnl"/>
        </w:rPr>
        <w:t>Envase solo con vial</w:t>
      </w:r>
    </w:p>
    <w:p w14:paraId="4E6B4B53" w14:textId="77777777" w:rsidR="009A51D6" w:rsidRPr="003E0B98" w:rsidRDefault="009A51D6" w:rsidP="004361AC">
      <w:pPr>
        <w:numPr>
          <w:ilvl w:val="12"/>
          <w:numId w:val="0"/>
        </w:numPr>
        <w:tabs>
          <w:tab w:val="clear" w:pos="567"/>
        </w:tabs>
        <w:spacing w:line="240" w:lineRule="auto"/>
        <w:ind w:right="-2"/>
        <w:rPr>
          <w:color w:val="000000"/>
          <w:szCs w:val="22"/>
          <w:lang w:val="es-ES_tradnl"/>
        </w:rPr>
      </w:pPr>
      <w:r w:rsidRPr="003E0B98">
        <w:rPr>
          <w:color w:val="000000"/>
          <w:szCs w:val="22"/>
          <w:lang w:val="es-ES_tradnl"/>
        </w:rPr>
        <w:t xml:space="preserve">Envase que contiene un vial de vidrio con </w:t>
      </w:r>
      <w:proofErr w:type="spellStart"/>
      <w:r w:rsidRPr="003E0B98">
        <w:rPr>
          <w:color w:val="000000"/>
          <w:szCs w:val="22"/>
          <w:lang w:val="es-ES_tradnl"/>
        </w:rPr>
        <w:t>ranibizumab</w:t>
      </w:r>
      <w:proofErr w:type="spellEnd"/>
      <w:r w:rsidRPr="003E0B98">
        <w:rPr>
          <w:color w:val="000000"/>
          <w:szCs w:val="22"/>
          <w:lang w:val="es-ES_tradnl"/>
        </w:rPr>
        <w:t xml:space="preserve">, con tapón de goma de </w:t>
      </w:r>
      <w:proofErr w:type="spellStart"/>
      <w:r w:rsidRPr="003E0B98">
        <w:rPr>
          <w:color w:val="000000"/>
          <w:szCs w:val="22"/>
          <w:lang w:val="es-ES_tradnl"/>
        </w:rPr>
        <w:t>clorobutilo</w:t>
      </w:r>
      <w:proofErr w:type="spellEnd"/>
      <w:r w:rsidRPr="003E0B98">
        <w:rPr>
          <w:color w:val="000000"/>
          <w:szCs w:val="22"/>
          <w:lang w:val="es-ES_tradnl"/>
        </w:rPr>
        <w:t>. El vial es para un solo uso.</w:t>
      </w:r>
    </w:p>
    <w:p w14:paraId="053580D4" w14:textId="77777777" w:rsidR="00D05A8A" w:rsidRPr="003E0B98" w:rsidRDefault="00D05A8A" w:rsidP="004361AC">
      <w:pPr>
        <w:numPr>
          <w:ilvl w:val="12"/>
          <w:numId w:val="0"/>
        </w:numPr>
        <w:tabs>
          <w:tab w:val="clear" w:pos="567"/>
        </w:tabs>
        <w:spacing w:line="240" w:lineRule="auto"/>
        <w:ind w:right="-2"/>
        <w:rPr>
          <w:color w:val="000000"/>
          <w:szCs w:val="22"/>
          <w:lang w:val="es-ES_tradnl"/>
        </w:rPr>
      </w:pPr>
    </w:p>
    <w:p w14:paraId="709BF80A" w14:textId="77777777" w:rsidR="00D05A8A" w:rsidRPr="003E0B98" w:rsidRDefault="00D05A8A" w:rsidP="004361AC">
      <w:pPr>
        <w:keepNext/>
        <w:tabs>
          <w:tab w:val="clear" w:pos="567"/>
        </w:tabs>
        <w:spacing w:line="240" w:lineRule="auto"/>
        <w:rPr>
          <w:color w:val="000000"/>
          <w:szCs w:val="22"/>
          <w:u w:val="single"/>
          <w:lang w:val="es-ES_tradnl"/>
        </w:rPr>
      </w:pPr>
      <w:r w:rsidRPr="003E0B98">
        <w:rPr>
          <w:color w:val="000000"/>
          <w:szCs w:val="22"/>
          <w:u w:val="single"/>
          <w:lang w:val="es-ES_tradnl"/>
        </w:rPr>
        <w:t>Envase de vial + aguja con filtro</w:t>
      </w:r>
    </w:p>
    <w:p w14:paraId="2A878C39" w14:textId="77777777" w:rsidR="00D05A8A" w:rsidRPr="003E0B98" w:rsidRDefault="00D05A8A" w:rsidP="004361AC">
      <w:pPr>
        <w:numPr>
          <w:ilvl w:val="12"/>
          <w:numId w:val="0"/>
        </w:numPr>
        <w:tabs>
          <w:tab w:val="clear" w:pos="567"/>
        </w:tabs>
        <w:spacing w:line="240" w:lineRule="auto"/>
        <w:ind w:right="-2"/>
        <w:rPr>
          <w:color w:val="000000"/>
          <w:szCs w:val="22"/>
          <w:lang w:val="es-ES_tradnl"/>
        </w:rPr>
      </w:pPr>
      <w:r w:rsidRPr="003E0B98">
        <w:rPr>
          <w:color w:val="000000"/>
          <w:szCs w:val="22"/>
          <w:lang w:val="es-ES_tradnl"/>
        </w:rPr>
        <w:t xml:space="preserve">Envase que contiene un vial de vidrio con </w:t>
      </w:r>
      <w:proofErr w:type="spellStart"/>
      <w:r w:rsidRPr="003E0B98">
        <w:rPr>
          <w:color w:val="000000"/>
          <w:szCs w:val="22"/>
          <w:lang w:val="es-ES_tradnl"/>
        </w:rPr>
        <w:t>ranibizumab</w:t>
      </w:r>
      <w:proofErr w:type="spellEnd"/>
      <w:r w:rsidRPr="003E0B98">
        <w:rPr>
          <w:color w:val="000000"/>
          <w:szCs w:val="22"/>
          <w:lang w:val="es-ES_tradnl"/>
        </w:rPr>
        <w:t xml:space="preserve">, con tapón de goma de </w:t>
      </w:r>
      <w:proofErr w:type="spellStart"/>
      <w:r w:rsidRPr="003E0B98">
        <w:rPr>
          <w:color w:val="000000"/>
          <w:szCs w:val="22"/>
          <w:lang w:val="es-ES_tradnl"/>
        </w:rPr>
        <w:t>clorobutilo</w:t>
      </w:r>
      <w:proofErr w:type="spellEnd"/>
      <w:r w:rsidRPr="003E0B98">
        <w:rPr>
          <w:color w:val="000000"/>
          <w:szCs w:val="22"/>
          <w:lang w:val="es-ES_tradnl"/>
        </w:rPr>
        <w:t xml:space="preserve"> y una aguja roma con filtro </w:t>
      </w:r>
      <w:r w:rsidRPr="003E0B98">
        <w:rPr>
          <w:color w:val="000000"/>
          <w:lang w:val="es-ES_tradnl"/>
        </w:rPr>
        <w:t xml:space="preserve">(18G x 1½″, 1,2 mm x 40 mm, 5 micrómetros) </w:t>
      </w:r>
      <w:r w:rsidRPr="003E0B98">
        <w:rPr>
          <w:color w:val="000000"/>
          <w:szCs w:val="22"/>
          <w:lang w:val="es-ES_tradnl"/>
        </w:rPr>
        <w:t>para extraer el contenido del vial. Todos los componentes son para un solo uso.</w:t>
      </w:r>
    </w:p>
    <w:p w14:paraId="2D1B3276" w14:textId="77777777" w:rsidR="009A51D6" w:rsidRPr="003E0B98" w:rsidRDefault="009A51D6" w:rsidP="004361AC">
      <w:pPr>
        <w:numPr>
          <w:ilvl w:val="12"/>
          <w:numId w:val="0"/>
        </w:numPr>
        <w:tabs>
          <w:tab w:val="clear" w:pos="567"/>
        </w:tabs>
        <w:spacing w:line="240" w:lineRule="auto"/>
        <w:ind w:right="-2"/>
        <w:rPr>
          <w:color w:val="000000"/>
          <w:szCs w:val="22"/>
          <w:lang w:val="es-ES_tradnl"/>
        </w:rPr>
      </w:pPr>
    </w:p>
    <w:p w14:paraId="076BA4D9" w14:textId="77777777" w:rsidR="002E5034" w:rsidRPr="003E0B98" w:rsidRDefault="002E5034" w:rsidP="004361AC">
      <w:pPr>
        <w:keepNext/>
        <w:numPr>
          <w:ilvl w:val="12"/>
          <w:numId w:val="0"/>
        </w:numPr>
        <w:tabs>
          <w:tab w:val="clear" w:pos="567"/>
        </w:tabs>
        <w:spacing w:line="240" w:lineRule="auto"/>
        <w:rPr>
          <w:b/>
          <w:color w:val="000000"/>
          <w:szCs w:val="22"/>
          <w:lang w:val="es-ES_tradnl"/>
        </w:rPr>
      </w:pPr>
      <w:r w:rsidRPr="003E0B98">
        <w:rPr>
          <w:b/>
          <w:color w:val="000000"/>
          <w:szCs w:val="22"/>
          <w:lang w:val="es-ES_tradnl"/>
        </w:rPr>
        <w:t>Titular de la autorización de comercialización</w:t>
      </w:r>
    </w:p>
    <w:p w14:paraId="479FD35A" w14:textId="77777777" w:rsidR="002E5034" w:rsidRPr="003E0B98" w:rsidRDefault="002E5034" w:rsidP="004361AC">
      <w:pPr>
        <w:keepNext/>
        <w:numPr>
          <w:ilvl w:val="12"/>
          <w:numId w:val="0"/>
        </w:numPr>
        <w:tabs>
          <w:tab w:val="clear" w:pos="567"/>
        </w:tabs>
        <w:spacing w:line="240" w:lineRule="auto"/>
        <w:rPr>
          <w:color w:val="000000"/>
          <w:szCs w:val="22"/>
        </w:rPr>
      </w:pPr>
      <w:r w:rsidRPr="003E0B98">
        <w:rPr>
          <w:color w:val="000000"/>
          <w:szCs w:val="22"/>
        </w:rPr>
        <w:t xml:space="preserve">Novartis </w:t>
      </w:r>
      <w:proofErr w:type="spellStart"/>
      <w:r w:rsidRPr="003E0B98">
        <w:rPr>
          <w:color w:val="000000"/>
          <w:szCs w:val="22"/>
        </w:rPr>
        <w:t>Europharm</w:t>
      </w:r>
      <w:proofErr w:type="spellEnd"/>
      <w:r w:rsidRPr="003E0B98">
        <w:rPr>
          <w:color w:val="000000"/>
          <w:szCs w:val="22"/>
        </w:rPr>
        <w:t xml:space="preserve"> Limited</w:t>
      </w:r>
    </w:p>
    <w:p w14:paraId="597BF837" w14:textId="77777777" w:rsidR="00442EE6" w:rsidRPr="003E0B98" w:rsidRDefault="00442EE6" w:rsidP="004361AC">
      <w:pPr>
        <w:keepNext/>
        <w:spacing w:line="240" w:lineRule="auto"/>
        <w:rPr>
          <w:color w:val="000000"/>
        </w:rPr>
      </w:pPr>
      <w:r w:rsidRPr="003E0B98">
        <w:rPr>
          <w:color w:val="000000"/>
        </w:rPr>
        <w:t>Vista Building</w:t>
      </w:r>
    </w:p>
    <w:p w14:paraId="03EE2BA1" w14:textId="77777777" w:rsidR="00442EE6" w:rsidRPr="003E0B98" w:rsidRDefault="00442EE6" w:rsidP="004361AC">
      <w:pPr>
        <w:keepNext/>
        <w:spacing w:line="240" w:lineRule="auto"/>
        <w:rPr>
          <w:color w:val="000000"/>
        </w:rPr>
      </w:pPr>
      <w:r w:rsidRPr="003E0B98">
        <w:rPr>
          <w:color w:val="000000"/>
        </w:rPr>
        <w:t>Elm Park, Merrion Road</w:t>
      </w:r>
    </w:p>
    <w:p w14:paraId="630C6434" w14:textId="77777777" w:rsidR="00442EE6" w:rsidRPr="003E0B98" w:rsidRDefault="00442EE6" w:rsidP="004361AC">
      <w:pPr>
        <w:keepNext/>
        <w:spacing w:line="240" w:lineRule="auto"/>
        <w:rPr>
          <w:color w:val="000000"/>
          <w:lang w:val="es-ES"/>
        </w:rPr>
      </w:pPr>
      <w:proofErr w:type="spellStart"/>
      <w:r w:rsidRPr="003E0B98">
        <w:rPr>
          <w:color w:val="000000"/>
          <w:lang w:val="es-ES"/>
        </w:rPr>
        <w:t>Dublin</w:t>
      </w:r>
      <w:proofErr w:type="spellEnd"/>
      <w:r w:rsidRPr="003E0B98">
        <w:rPr>
          <w:color w:val="000000"/>
          <w:lang w:val="es-ES"/>
        </w:rPr>
        <w:t xml:space="preserve"> 4</w:t>
      </w:r>
    </w:p>
    <w:p w14:paraId="6D6CF8E1" w14:textId="77777777" w:rsidR="002E5034" w:rsidRPr="003E0B98" w:rsidRDefault="00442EE6" w:rsidP="004361AC">
      <w:pPr>
        <w:numPr>
          <w:ilvl w:val="12"/>
          <w:numId w:val="0"/>
        </w:numPr>
        <w:tabs>
          <w:tab w:val="clear" w:pos="567"/>
        </w:tabs>
        <w:spacing w:line="240" w:lineRule="auto"/>
        <w:ind w:right="-2"/>
        <w:rPr>
          <w:color w:val="000000"/>
          <w:szCs w:val="22"/>
          <w:lang w:val="es-ES_tradnl"/>
        </w:rPr>
      </w:pPr>
      <w:r w:rsidRPr="003E0B98">
        <w:rPr>
          <w:color w:val="000000"/>
          <w:lang w:val="es-ES"/>
        </w:rPr>
        <w:t>Irlanda</w:t>
      </w:r>
    </w:p>
    <w:p w14:paraId="0894AF5A" w14:textId="77777777" w:rsidR="002E5034" w:rsidRPr="003E0B98" w:rsidRDefault="002E5034" w:rsidP="004361AC">
      <w:pPr>
        <w:numPr>
          <w:ilvl w:val="12"/>
          <w:numId w:val="0"/>
        </w:numPr>
        <w:tabs>
          <w:tab w:val="clear" w:pos="567"/>
        </w:tabs>
        <w:spacing w:line="240" w:lineRule="auto"/>
        <w:ind w:right="-2"/>
        <w:rPr>
          <w:color w:val="000000"/>
          <w:szCs w:val="22"/>
          <w:lang w:val="es-ES_tradnl"/>
        </w:rPr>
      </w:pPr>
    </w:p>
    <w:p w14:paraId="4B17BA7B" w14:textId="77777777" w:rsidR="002E5034" w:rsidRPr="003E0B98" w:rsidRDefault="002E5034" w:rsidP="004361AC">
      <w:pPr>
        <w:keepNext/>
        <w:numPr>
          <w:ilvl w:val="12"/>
          <w:numId w:val="0"/>
        </w:numPr>
        <w:tabs>
          <w:tab w:val="clear" w:pos="567"/>
        </w:tabs>
        <w:spacing w:line="240" w:lineRule="auto"/>
        <w:rPr>
          <w:b/>
          <w:color w:val="000000"/>
          <w:szCs w:val="22"/>
          <w:lang w:val="es-ES_tradnl"/>
        </w:rPr>
      </w:pPr>
      <w:r w:rsidRPr="003E0B98">
        <w:rPr>
          <w:b/>
          <w:noProof/>
          <w:color w:val="000000"/>
          <w:lang w:val="es-ES_tradnl"/>
        </w:rPr>
        <w:t>Responsable de la fabricación</w:t>
      </w:r>
    </w:p>
    <w:p w14:paraId="7F8C9FD0" w14:textId="77777777" w:rsidR="003C169A" w:rsidRDefault="003C169A" w:rsidP="004361AC">
      <w:pPr>
        <w:keepNext/>
        <w:tabs>
          <w:tab w:val="left" w:pos="1650"/>
        </w:tabs>
        <w:spacing w:line="240" w:lineRule="auto"/>
        <w:rPr>
          <w:lang w:val="fr-FR"/>
        </w:rPr>
      </w:pPr>
      <w:r w:rsidRPr="009902DA">
        <w:rPr>
          <w:lang w:val="fr-FR"/>
        </w:rPr>
        <w:t xml:space="preserve">Novartis </w:t>
      </w:r>
      <w:proofErr w:type="spellStart"/>
      <w:r w:rsidRPr="009902DA">
        <w:rPr>
          <w:lang w:val="fr-FR"/>
        </w:rPr>
        <w:t>Farmacéutica</w:t>
      </w:r>
      <w:proofErr w:type="spellEnd"/>
      <w:r w:rsidRPr="009902DA">
        <w:rPr>
          <w:lang w:val="fr-FR"/>
        </w:rPr>
        <w:t>, S.A.</w:t>
      </w:r>
    </w:p>
    <w:p w14:paraId="50DBE792" w14:textId="77777777" w:rsidR="003C169A" w:rsidRDefault="003C169A" w:rsidP="004361AC">
      <w:pPr>
        <w:keepNext/>
        <w:tabs>
          <w:tab w:val="left" w:pos="1650"/>
        </w:tabs>
        <w:spacing w:line="240" w:lineRule="auto"/>
        <w:rPr>
          <w:lang w:val="fr-FR"/>
        </w:rPr>
      </w:pPr>
      <w:r w:rsidRPr="009902DA">
        <w:rPr>
          <w:lang w:val="fr-FR"/>
        </w:rPr>
        <w:t xml:space="preserve">Gran Via de les </w:t>
      </w:r>
      <w:proofErr w:type="spellStart"/>
      <w:r w:rsidRPr="009902DA">
        <w:rPr>
          <w:lang w:val="fr-FR"/>
        </w:rPr>
        <w:t>Corts</w:t>
      </w:r>
      <w:proofErr w:type="spellEnd"/>
      <w:r w:rsidRPr="009902DA">
        <w:rPr>
          <w:lang w:val="fr-FR"/>
        </w:rPr>
        <w:t xml:space="preserve"> Catalanes, 764</w:t>
      </w:r>
    </w:p>
    <w:p w14:paraId="1F4FB35E" w14:textId="77777777" w:rsidR="003C169A" w:rsidRDefault="003C169A" w:rsidP="004361AC">
      <w:pPr>
        <w:keepNext/>
        <w:tabs>
          <w:tab w:val="left" w:pos="1650"/>
        </w:tabs>
        <w:spacing w:line="240" w:lineRule="auto"/>
        <w:rPr>
          <w:lang w:val="fr-FR"/>
        </w:rPr>
      </w:pPr>
      <w:r w:rsidRPr="009902DA">
        <w:rPr>
          <w:lang w:val="fr-FR"/>
        </w:rPr>
        <w:t>08013 Barcelona</w:t>
      </w:r>
    </w:p>
    <w:p w14:paraId="4FA0E321" w14:textId="77777777" w:rsidR="003C169A" w:rsidRDefault="003C169A" w:rsidP="004361AC">
      <w:pPr>
        <w:numPr>
          <w:ilvl w:val="12"/>
          <w:numId w:val="0"/>
        </w:numPr>
        <w:ind w:right="-2"/>
        <w:rPr>
          <w:noProof/>
          <w:color w:val="000000"/>
          <w:szCs w:val="22"/>
          <w:lang w:val="es-ES"/>
        </w:rPr>
      </w:pPr>
      <w:r>
        <w:rPr>
          <w:noProof/>
          <w:color w:val="000000"/>
          <w:szCs w:val="22"/>
          <w:lang w:val="es-ES"/>
        </w:rPr>
        <w:t>España</w:t>
      </w:r>
    </w:p>
    <w:p w14:paraId="6A365BDA" w14:textId="77777777" w:rsidR="003C169A" w:rsidRPr="009902DA" w:rsidRDefault="003C169A" w:rsidP="004361AC">
      <w:pPr>
        <w:tabs>
          <w:tab w:val="left" w:pos="1650"/>
        </w:tabs>
        <w:spacing w:line="240" w:lineRule="auto"/>
        <w:rPr>
          <w:iCs/>
          <w:color w:val="000000"/>
          <w:szCs w:val="22"/>
          <w:lang w:val="fr-FR"/>
        </w:rPr>
      </w:pPr>
    </w:p>
    <w:p w14:paraId="426EA57E" w14:textId="77777777" w:rsidR="003C169A" w:rsidRPr="00724E97" w:rsidRDefault="003C169A" w:rsidP="004361AC">
      <w:pPr>
        <w:keepNext/>
        <w:tabs>
          <w:tab w:val="left" w:pos="1650"/>
        </w:tabs>
        <w:spacing w:line="240" w:lineRule="auto"/>
        <w:rPr>
          <w:shd w:val="pct15" w:color="auto" w:fill="auto"/>
          <w:lang w:val="fr-FR"/>
        </w:rPr>
      </w:pPr>
      <w:r w:rsidRPr="00724E97">
        <w:rPr>
          <w:shd w:val="pct15" w:color="auto" w:fill="auto"/>
          <w:lang w:val="fr-FR"/>
        </w:rPr>
        <w:t xml:space="preserve">Lek Pharmaceuticals </w:t>
      </w:r>
      <w:proofErr w:type="spellStart"/>
      <w:r w:rsidRPr="00724E97">
        <w:rPr>
          <w:shd w:val="pct15" w:color="auto" w:fill="auto"/>
          <w:lang w:val="fr-FR"/>
        </w:rPr>
        <w:t>d.d.</w:t>
      </w:r>
      <w:proofErr w:type="spellEnd"/>
    </w:p>
    <w:p w14:paraId="29CFB0CF" w14:textId="77777777" w:rsidR="003C169A" w:rsidRPr="00724E97" w:rsidRDefault="003C169A" w:rsidP="004361AC">
      <w:pPr>
        <w:keepNext/>
        <w:tabs>
          <w:tab w:val="left" w:pos="1650"/>
        </w:tabs>
        <w:spacing w:line="240" w:lineRule="auto"/>
        <w:rPr>
          <w:shd w:val="pct15" w:color="auto" w:fill="auto"/>
          <w:lang w:val="fr-FR"/>
        </w:rPr>
      </w:pPr>
      <w:proofErr w:type="spellStart"/>
      <w:r w:rsidRPr="00724E97">
        <w:rPr>
          <w:shd w:val="pct15" w:color="auto" w:fill="auto"/>
          <w:lang w:val="fr-FR"/>
        </w:rPr>
        <w:t>Verovškova</w:t>
      </w:r>
      <w:proofErr w:type="spellEnd"/>
      <w:r w:rsidRPr="00724E97">
        <w:rPr>
          <w:shd w:val="pct15" w:color="auto" w:fill="auto"/>
          <w:lang w:val="fr-FR"/>
        </w:rPr>
        <w:t xml:space="preserve"> </w:t>
      </w:r>
      <w:proofErr w:type="spellStart"/>
      <w:r w:rsidRPr="00724E97">
        <w:rPr>
          <w:shd w:val="pct15" w:color="auto" w:fill="auto"/>
          <w:lang w:val="fr-FR"/>
        </w:rPr>
        <w:t>ulica</w:t>
      </w:r>
      <w:proofErr w:type="spellEnd"/>
      <w:r w:rsidRPr="00724E97">
        <w:rPr>
          <w:shd w:val="pct15" w:color="auto" w:fill="auto"/>
          <w:lang w:val="fr-FR"/>
        </w:rPr>
        <w:t xml:space="preserve"> 57</w:t>
      </w:r>
    </w:p>
    <w:p w14:paraId="1FBECD78" w14:textId="77777777" w:rsidR="003C169A" w:rsidRPr="00724E97" w:rsidRDefault="003C169A" w:rsidP="004361AC">
      <w:pPr>
        <w:keepNext/>
        <w:tabs>
          <w:tab w:val="left" w:pos="1650"/>
        </w:tabs>
        <w:spacing w:line="240" w:lineRule="auto"/>
        <w:rPr>
          <w:shd w:val="pct15" w:color="auto" w:fill="auto"/>
          <w:lang w:val="fr-FR"/>
        </w:rPr>
      </w:pPr>
      <w:r w:rsidRPr="00724E97">
        <w:rPr>
          <w:shd w:val="pct15" w:color="auto" w:fill="auto"/>
          <w:lang w:val="fr-FR"/>
        </w:rPr>
        <w:t>Ljubljana, 1526</w:t>
      </w:r>
    </w:p>
    <w:p w14:paraId="75DD2704" w14:textId="77777777" w:rsidR="003C169A" w:rsidRPr="00724E97" w:rsidRDefault="003C169A" w:rsidP="004361AC">
      <w:pPr>
        <w:spacing w:line="240" w:lineRule="auto"/>
        <w:rPr>
          <w:shd w:val="pct15" w:color="auto" w:fill="auto"/>
          <w:lang w:val="es-ES"/>
        </w:rPr>
      </w:pPr>
      <w:r w:rsidRPr="00724E97">
        <w:rPr>
          <w:shd w:val="pct15" w:color="auto" w:fill="auto"/>
          <w:lang w:val="es-ES"/>
        </w:rPr>
        <w:t>Eslovenia</w:t>
      </w:r>
    </w:p>
    <w:p w14:paraId="402ECE06" w14:textId="77777777" w:rsidR="003C169A" w:rsidRPr="00724E97" w:rsidRDefault="003C169A" w:rsidP="004361AC">
      <w:pPr>
        <w:tabs>
          <w:tab w:val="left" w:pos="1650"/>
        </w:tabs>
        <w:spacing w:line="240" w:lineRule="auto"/>
        <w:rPr>
          <w:iCs/>
          <w:color w:val="000000"/>
          <w:szCs w:val="22"/>
          <w:shd w:val="pct15" w:color="auto" w:fill="auto"/>
          <w:lang w:val="fr-FR"/>
        </w:rPr>
      </w:pPr>
    </w:p>
    <w:p w14:paraId="6859CFA8" w14:textId="4135DEEE" w:rsidR="002E5034" w:rsidRPr="00724E97" w:rsidDel="00C42161" w:rsidRDefault="002E5034" w:rsidP="004361AC">
      <w:pPr>
        <w:keepNext/>
        <w:numPr>
          <w:ilvl w:val="12"/>
          <w:numId w:val="0"/>
        </w:numPr>
        <w:rPr>
          <w:del w:id="19" w:author="Author"/>
          <w:szCs w:val="22"/>
          <w:shd w:val="pct15" w:color="auto" w:fill="auto"/>
          <w:lang w:val="fr-CH"/>
        </w:rPr>
      </w:pPr>
      <w:del w:id="20" w:author="Author">
        <w:r w:rsidRPr="00724E97" w:rsidDel="00C42161">
          <w:rPr>
            <w:szCs w:val="22"/>
            <w:shd w:val="pct15" w:color="auto" w:fill="auto"/>
            <w:lang w:val="fr-CH"/>
          </w:rPr>
          <w:delText>Novartis Pharma GmbH</w:delText>
        </w:r>
      </w:del>
    </w:p>
    <w:p w14:paraId="58804B1A" w14:textId="4AA3F095" w:rsidR="002E5034" w:rsidRPr="00724E97" w:rsidDel="00C42161" w:rsidRDefault="002E5034" w:rsidP="004361AC">
      <w:pPr>
        <w:keepNext/>
        <w:numPr>
          <w:ilvl w:val="12"/>
          <w:numId w:val="0"/>
        </w:numPr>
        <w:rPr>
          <w:del w:id="21" w:author="Author"/>
          <w:szCs w:val="22"/>
          <w:shd w:val="pct15" w:color="auto" w:fill="auto"/>
          <w:lang w:val="fr-CH"/>
        </w:rPr>
      </w:pPr>
      <w:del w:id="22" w:author="Author">
        <w:r w:rsidRPr="00724E97" w:rsidDel="00C42161">
          <w:rPr>
            <w:szCs w:val="22"/>
            <w:shd w:val="pct15" w:color="auto" w:fill="auto"/>
            <w:lang w:val="fr-CH"/>
          </w:rPr>
          <w:delText>Roonstrasse 25</w:delText>
        </w:r>
      </w:del>
    </w:p>
    <w:p w14:paraId="4CCE13F0" w14:textId="635ADB95" w:rsidR="002E5034" w:rsidRPr="00724E97" w:rsidDel="00C42161" w:rsidRDefault="002E5034" w:rsidP="004361AC">
      <w:pPr>
        <w:keepNext/>
        <w:numPr>
          <w:ilvl w:val="12"/>
          <w:numId w:val="0"/>
        </w:numPr>
        <w:rPr>
          <w:del w:id="23" w:author="Author"/>
          <w:szCs w:val="22"/>
          <w:shd w:val="pct15" w:color="auto" w:fill="auto"/>
          <w:lang w:val="fr-CH"/>
        </w:rPr>
      </w:pPr>
      <w:del w:id="24" w:author="Author">
        <w:r w:rsidRPr="00724E97" w:rsidDel="00C42161">
          <w:rPr>
            <w:szCs w:val="22"/>
            <w:shd w:val="pct15" w:color="auto" w:fill="auto"/>
            <w:lang w:val="fr-CH"/>
          </w:rPr>
          <w:delText>90429 Nuremberg</w:delText>
        </w:r>
      </w:del>
    </w:p>
    <w:p w14:paraId="18DFC2D2" w14:textId="2CC00FD8" w:rsidR="002E5034" w:rsidRPr="00724E97" w:rsidDel="00C42161" w:rsidRDefault="002E5034" w:rsidP="004361AC">
      <w:pPr>
        <w:numPr>
          <w:ilvl w:val="12"/>
          <w:numId w:val="0"/>
        </w:numPr>
        <w:tabs>
          <w:tab w:val="clear" w:pos="567"/>
        </w:tabs>
        <w:spacing w:line="240" w:lineRule="auto"/>
        <w:ind w:right="-2"/>
        <w:rPr>
          <w:del w:id="25" w:author="Author"/>
          <w:color w:val="000000"/>
          <w:szCs w:val="22"/>
          <w:shd w:val="pct15" w:color="auto" w:fill="auto"/>
          <w:lang w:val="fr-CH"/>
        </w:rPr>
      </w:pPr>
      <w:del w:id="26" w:author="Author">
        <w:r w:rsidRPr="00724E97" w:rsidDel="00C42161">
          <w:rPr>
            <w:szCs w:val="22"/>
            <w:shd w:val="pct15" w:color="auto" w:fill="auto"/>
            <w:lang w:val="fr-CH"/>
          </w:rPr>
          <w:delText>Alemania</w:delText>
        </w:r>
      </w:del>
    </w:p>
    <w:p w14:paraId="5B41A397" w14:textId="5F2C895D" w:rsidR="002E5034" w:rsidDel="00C42161" w:rsidRDefault="002E5034" w:rsidP="004361AC">
      <w:pPr>
        <w:numPr>
          <w:ilvl w:val="12"/>
          <w:numId w:val="0"/>
        </w:numPr>
        <w:tabs>
          <w:tab w:val="clear" w:pos="567"/>
        </w:tabs>
        <w:spacing w:line="240" w:lineRule="auto"/>
        <w:ind w:right="-2"/>
        <w:rPr>
          <w:del w:id="27" w:author="Author"/>
          <w:color w:val="000000"/>
          <w:szCs w:val="22"/>
          <w:lang w:val="fr-CH"/>
        </w:rPr>
      </w:pPr>
    </w:p>
    <w:p w14:paraId="70D4960A" w14:textId="77777777" w:rsidR="004361AC" w:rsidRPr="004361AC" w:rsidRDefault="004361AC" w:rsidP="004361AC">
      <w:pPr>
        <w:keepNext/>
        <w:tabs>
          <w:tab w:val="clear" w:pos="567"/>
        </w:tabs>
        <w:spacing w:line="240" w:lineRule="auto"/>
        <w:rPr>
          <w:rFonts w:eastAsia="Aptos"/>
          <w:szCs w:val="22"/>
          <w:shd w:val="pct15" w:color="auto" w:fill="auto"/>
          <w:lang w:val="en-US" w:eastAsia="de-CH"/>
        </w:rPr>
      </w:pPr>
      <w:r w:rsidRPr="004361AC">
        <w:rPr>
          <w:rFonts w:eastAsia="Aptos"/>
          <w:szCs w:val="22"/>
          <w:shd w:val="pct15" w:color="auto" w:fill="auto"/>
          <w:lang w:val="en-US" w:eastAsia="de-CH"/>
        </w:rPr>
        <w:t>Novartis Pharma GmbH</w:t>
      </w:r>
    </w:p>
    <w:p w14:paraId="268CE808" w14:textId="77777777" w:rsidR="004361AC" w:rsidRPr="004361AC" w:rsidRDefault="004361AC" w:rsidP="004361AC">
      <w:pPr>
        <w:keepNext/>
        <w:tabs>
          <w:tab w:val="clear" w:pos="567"/>
        </w:tabs>
        <w:spacing w:line="240" w:lineRule="auto"/>
        <w:rPr>
          <w:rFonts w:eastAsia="Aptos"/>
          <w:szCs w:val="22"/>
          <w:shd w:val="pct15" w:color="auto" w:fill="auto"/>
          <w:lang w:val="en-US" w:eastAsia="de-CH"/>
        </w:rPr>
      </w:pPr>
      <w:r w:rsidRPr="004361AC">
        <w:rPr>
          <w:rFonts w:eastAsia="Aptos"/>
          <w:szCs w:val="22"/>
          <w:shd w:val="pct15" w:color="auto" w:fill="auto"/>
          <w:lang w:val="en-US" w:eastAsia="de-CH"/>
        </w:rPr>
        <w:t>Sophie-Germain-Strasse 10</w:t>
      </w:r>
    </w:p>
    <w:p w14:paraId="06AE520D" w14:textId="77777777" w:rsidR="004361AC" w:rsidRPr="004361AC" w:rsidRDefault="004361AC" w:rsidP="004361AC">
      <w:pPr>
        <w:keepNext/>
        <w:tabs>
          <w:tab w:val="clear" w:pos="567"/>
        </w:tabs>
        <w:spacing w:line="240" w:lineRule="auto"/>
        <w:rPr>
          <w:rFonts w:eastAsia="Aptos"/>
          <w:szCs w:val="22"/>
          <w:shd w:val="pct15" w:color="auto" w:fill="auto"/>
          <w:lang w:val="en-US" w:eastAsia="de-CH"/>
        </w:rPr>
      </w:pPr>
      <w:r w:rsidRPr="004361AC">
        <w:rPr>
          <w:rFonts w:eastAsia="Aptos"/>
          <w:szCs w:val="22"/>
          <w:shd w:val="pct15" w:color="auto" w:fill="auto"/>
          <w:lang w:val="en-US" w:eastAsia="de-CH"/>
        </w:rPr>
        <w:t>90443 Nürnberg</w:t>
      </w:r>
    </w:p>
    <w:p w14:paraId="3533A44A" w14:textId="688E79B6" w:rsidR="004361AC" w:rsidRDefault="004361AC" w:rsidP="004361AC">
      <w:pPr>
        <w:numPr>
          <w:ilvl w:val="12"/>
          <w:numId w:val="0"/>
        </w:numPr>
        <w:tabs>
          <w:tab w:val="clear" w:pos="567"/>
        </w:tabs>
        <w:spacing w:line="240" w:lineRule="auto"/>
        <w:ind w:right="-2"/>
        <w:rPr>
          <w:color w:val="000000"/>
          <w:szCs w:val="22"/>
          <w:lang w:val="fr-CH"/>
        </w:rPr>
      </w:pPr>
      <w:r w:rsidRPr="004361AC">
        <w:rPr>
          <w:rFonts w:eastAsia="Aptos"/>
          <w:kern w:val="2"/>
          <w:szCs w:val="22"/>
          <w:shd w:val="pct15" w:color="auto" w:fill="auto"/>
          <w:lang w:val="de-CH"/>
          <w14:ligatures w14:val="standardContextual"/>
        </w:rPr>
        <w:t>Alemania</w:t>
      </w:r>
    </w:p>
    <w:p w14:paraId="02949E6F" w14:textId="77777777" w:rsidR="004361AC" w:rsidRPr="003E0B98" w:rsidRDefault="004361AC" w:rsidP="004361AC">
      <w:pPr>
        <w:numPr>
          <w:ilvl w:val="12"/>
          <w:numId w:val="0"/>
        </w:numPr>
        <w:tabs>
          <w:tab w:val="clear" w:pos="567"/>
        </w:tabs>
        <w:spacing w:line="240" w:lineRule="auto"/>
        <w:ind w:right="-2"/>
        <w:rPr>
          <w:color w:val="000000"/>
          <w:szCs w:val="22"/>
          <w:lang w:val="fr-CH"/>
        </w:rPr>
      </w:pPr>
    </w:p>
    <w:p w14:paraId="002DC5A1" w14:textId="77777777" w:rsidR="002E5034" w:rsidRPr="003E0B98" w:rsidRDefault="002E5034" w:rsidP="004361AC">
      <w:pPr>
        <w:keepNext/>
        <w:numPr>
          <w:ilvl w:val="12"/>
          <w:numId w:val="0"/>
        </w:numPr>
        <w:tabs>
          <w:tab w:val="clear" w:pos="567"/>
        </w:tabs>
        <w:spacing w:line="240" w:lineRule="auto"/>
        <w:rPr>
          <w:color w:val="000000"/>
          <w:szCs w:val="22"/>
          <w:lang w:val="es-ES_tradnl"/>
        </w:rPr>
      </w:pPr>
      <w:r w:rsidRPr="003E0B98">
        <w:rPr>
          <w:color w:val="000000"/>
          <w:szCs w:val="22"/>
          <w:lang w:val="es-ES"/>
        </w:rPr>
        <w:t>Pueden solicitar más información respecto a este medicamento dirigiéndose al representante local del titular de la autorización de comercialización:</w:t>
      </w:r>
    </w:p>
    <w:p w14:paraId="770368EF" w14:textId="77777777" w:rsidR="002E5034" w:rsidRPr="003E0B98" w:rsidRDefault="002E5034" w:rsidP="004361AC">
      <w:pPr>
        <w:keepNext/>
        <w:numPr>
          <w:ilvl w:val="12"/>
          <w:numId w:val="0"/>
        </w:numPr>
        <w:tabs>
          <w:tab w:val="clear" w:pos="567"/>
        </w:tabs>
        <w:spacing w:line="240" w:lineRule="auto"/>
        <w:rPr>
          <w:color w:val="000000"/>
          <w:szCs w:val="22"/>
          <w:lang w:val="es-ES"/>
        </w:rPr>
      </w:pPr>
    </w:p>
    <w:tbl>
      <w:tblPr>
        <w:tblW w:w="9181" w:type="dxa"/>
        <w:tblLayout w:type="fixed"/>
        <w:tblLook w:val="0000" w:firstRow="0" w:lastRow="0" w:firstColumn="0" w:lastColumn="0" w:noHBand="0" w:noVBand="0"/>
      </w:tblPr>
      <w:tblGrid>
        <w:gridCol w:w="4503"/>
        <w:gridCol w:w="4678"/>
      </w:tblGrid>
      <w:tr w:rsidR="002E5034" w:rsidRPr="003E0B98" w14:paraId="60E8FCA3" w14:textId="77777777" w:rsidTr="00606F06">
        <w:trPr>
          <w:cantSplit/>
        </w:trPr>
        <w:tc>
          <w:tcPr>
            <w:tcW w:w="4503" w:type="dxa"/>
          </w:tcPr>
          <w:p w14:paraId="58DD828C" w14:textId="77777777" w:rsidR="002E5034" w:rsidRPr="003E0B98" w:rsidRDefault="002E5034" w:rsidP="004361AC">
            <w:pPr>
              <w:rPr>
                <w:color w:val="000000"/>
                <w:szCs w:val="22"/>
                <w:lang w:val="fr-FR"/>
              </w:rPr>
            </w:pPr>
            <w:proofErr w:type="spellStart"/>
            <w:r w:rsidRPr="003E0B98">
              <w:rPr>
                <w:b/>
                <w:color w:val="000000"/>
                <w:szCs w:val="22"/>
                <w:lang w:val="fr-FR"/>
              </w:rPr>
              <w:t>België</w:t>
            </w:r>
            <w:proofErr w:type="spellEnd"/>
            <w:r w:rsidRPr="003E0B98">
              <w:rPr>
                <w:b/>
                <w:color w:val="000000"/>
                <w:szCs w:val="22"/>
                <w:lang w:val="fr-FR"/>
              </w:rPr>
              <w:t>/Belgique/</w:t>
            </w:r>
            <w:proofErr w:type="spellStart"/>
            <w:r w:rsidRPr="003E0B98">
              <w:rPr>
                <w:b/>
                <w:color w:val="000000"/>
                <w:szCs w:val="22"/>
                <w:lang w:val="fr-FR"/>
              </w:rPr>
              <w:t>Belgien</w:t>
            </w:r>
            <w:proofErr w:type="spellEnd"/>
          </w:p>
          <w:p w14:paraId="44E62879" w14:textId="77777777" w:rsidR="002E5034" w:rsidRPr="003E0B98" w:rsidRDefault="002E5034" w:rsidP="004361AC">
            <w:pPr>
              <w:rPr>
                <w:color w:val="000000"/>
                <w:szCs w:val="22"/>
                <w:lang w:val="fr-FR"/>
              </w:rPr>
            </w:pPr>
            <w:r w:rsidRPr="003E0B98">
              <w:rPr>
                <w:color w:val="000000"/>
                <w:szCs w:val="22"/>
                <w:lang w:val="fr-FR"/>
              </w:rPr>
              <w:t>Novartis Pharma N.V.</w:t>
            </w:r>
          </w:p>
          <w:p w14:paraId="4CAB8E36" w14:textId="77777777" w:rsidR="002E5034" w:rsidRPr="003E0B98" w:rsidRDefault="002E5034" w:rsidP="004361AC">
            <w:pPr>
              <w:rPr>
                <w:color w:val="000000"/>
                <w:szCs w:val="22"/>
              </w:rPr>
            </w:pPr>
            <w:proofErr w:type="spellStart"/>
            <w:r w:rsidRPr="003E0B98">
              <w:rPr>
                <w:color w:val="000000"/>
                <w:szCs w:val="22"/>
              </w:rPr>
              <w:t>Tél</w:t>
            </w:r>
            <w:proofErr w:type="spellEnd"/>
            <w:r w:rsidRPr="003E0B98">
              <w:rPr>
                <w:color w:val="000000"/>
                <w:szCs w:val="22"/>
              </w:rPr>
              <w:t>/Tel: +32 2 246 16 11</w:t>
            </w:r>
          </w:p>
          <w:p w14:paraId="6C7B88CD" w14:textId="77777777" w:rsidR="002E5034" w:rsidRPr="003E0B98" w:rsidRDefault="002E5034" w:rsidP="004361AC">
            <w:pPr>
              <w:ind w:right="34"/>
              <w:rPr>
                <w:color w:val="000000"/>
                <w:szCs w:val="22"/>
              </w:rPr>
            </w:pPr>
          </w:p>
        </w:tc>
        <w:tc>
          <w:tcPr>
            <w:tcW w:w="4678" w:type="dxa"/>
          </w:tcPr>
          <w:p w14:paraId="5A3C22D9" w14:textId="77777777" w:rsidR="002E5034" w:rsidRPr="003E0B98" w:rsidRDefault="002E5034" w:rsidP="004361AC">
            <w:pPr>
              <w:rPr>
                <w:color w:val="000000"/>
                <w:szCs w:val="22"/>
                <w:lang w:val="es-ES"/>
              </w:rPr>
            </w:pPr>
            <w:proofErr w:type="spellStart"/>
            <w:r w:rsidRPr="003E0B98">
              <w:rPr>
                <w:b/>
                <w:color w:val="000000"/>
                <w:szCs w:val="22"/>
                <w:lang w:val="es-ES"/>
              </w:rPr>
              <w:t>Lietuva</w:t>
            </w:r>
            <w:proofErr w:type="spellEnd"/>
          </w:p>
          <w:p w14:paraId="5011BAC5" w14:textId="731ADB24" w:rsidR="002E5034" w:rsidRPr="003E0B98" w:rsidRDefault="00993B4D" w:rsidP="004361AC">
            <w:pPr>
              <w:ind w:right="-449"/>
              <w:rPr>
                <w:color w:val="000000"/>
                <w:szCs w:val="22"/>
                <w:lang w:val="es-ES"/>
              </w:rPr>
            </w:pPr>
            <w:r w:rsidRPr="003E0B98">
              <w:rPr>
                <w:szCs w:val="22"/>
                <w:lang w:val="lt-LT"/>
              </w:rPr>
              <w:t>SIA Novartis Baltics Lietuvos filialas</w:t>
            </w:r>
          </w:p>
          <w:p w14:paraId="5336EC89" w14:textId="77777777" w:rsidR="002E5034" w:rsidRPr="003E0B98" w:rsidRDefault="002E5034" w:rsidP="004361AC">
            <w:pPr>
              <w:ind w:right="-449"/>
              <w:rPr>
                <w:color w:val="000000"/>
                <w:szCs w:val="22"/>
                <w:lang w:val="fr-FR"/>
              </w:rPr>
            </w:pPr>
            <w:proofErr w:type="gramStart"/>
            <w:r w:rsidRPr="003E0B98">
              <w:rPr>
                <w:color w:val="000000"/>
                <w:szCs w:val="22"/>
                <w:lang w:val="fr-FR"/>
              </w:rPr>
              <w:t>Tel:</w:t>
            </w:r>
            <w:proofErr w:type="gramEnd"/>
            <w:r w:rsidRPr="003E0B98">
              <w:rPr>
                <w:color w:val="000000"/>
                <w:szCs w:val="22"/>
                <w:lang w:val="fr-FR"/>
              </w:rPr>
              <w:t xml:space="preserve"> +370 5 269 16 50</w:t>
            </w:r>
          </w:p>
          <w:p w14:paraId="7D1D1CDB" w14:textId="77777777" w:rsidR="002E5034" w:rsidRPr="003E0B98" w:rsidRDefault="002E5034" w:rsidP="004361AC">
            <w:pPr>
              <w:suppressAutoHyphens/>
              <w:rPr>
                <w:color w:val="000000"/>
                <w:szCs w:val="22"/>
                <w:lang w:val="fr-FR"/>
              </w:rPr>
            </w:pPr>
          </w:p>
        </w:tc>
      </w:tr>
      <w:tr w:rsidR="002E5034" w:rsidRPr="00174177" w14:paraId="52E3A3B9" w14:textId="77777777" w:rsidTr="00606F06">
        <w:trPr>
          <w:cantSplit/>
        </w:trPr>
        <w:tc>
          <w:tcPr>
            <w:tcW w:w="4503" w:type="dxa"/>
          </w:tcPr>
          <w:p w14:paraId="6530D573" w14:textId="77777777" w:rsidR="002E5034" w:rsidRPr="003E0B98" w:rsidRDefault="002E5034" w:rsidP="004361AC">
            <w:pPr>
              <w:rPr>
                <w:b/>
                <w:color w:val="000000"/>
                <w:szCs w:val="22"/>
                <w:lang w:val="es-ES"/>
              </w:rPr>
            </w:pPr>
            <w:proofErr w:type="spellStart"/>
            <w:r w:rsidRPr="003E0B98">
              <w:rPr>
                <w:b/>
                <w:color w:val="000000"/>
                <w:szCs w:val="22"/>
              </w:rPr>
              <w:t>България</w:t>
            </w:r>
            <w:proofErr w:type="spellEnd"/>
          </w:p>
          <w:p w14:paraId="1D798D9F" w14:textId="2C8FB356" w:rsidR="002E5034" w:rsidRPr="003E0B98" w:rsidRDefault="00993B4D" w:rsidP="004361AC">
            <w:pPr>
              <w:rPr>
                <w:color w:val="000000"/>
                <w:szCs w:val="22"/>
                <w:lang w:val="es-ES"/>
              </w:rPr>
            </w:pPr>
            <w:r w:rsidRPr="003E0B98">
              <w:rPr>
                <w:szCs w:val="22"/>
                <w:lang w:val="es-ES"/>
              </w:rPr>
              <w:t>Novartis Bulgaria EOOD</w:t>
            </w:r>
          </w:p>
          <w:p w14:paraId="5B3AD55E" w14:textId="77777777" w:rsidR="002E5034" w:rsidRPr="003E0B98" w:rsidRDefault="002E5034" w:rsidP="004361AC">
            <w:pPr>
              <w:rPr>
                <w:color w:val="000000"/>
                <w:szCs w:val="22"/>
                <w:lang w:val="es-ES"/>
              </w:rPr>
            </w:pPr>
            <w:r w:rsidRPr="003E0B98">
              <w:rPr>
                <w:color w:val="000000"/>
                <w:szCs w:val="22"/>
              </w:rPr>
              <w:t>Тел</w:t>
            </w:r>
            <w:r w:rsidRPr="003E0B98">
              <w:rPr>
                <w:color w:val="000000"/>
                <w:szCs w:val="22"/>
                <w:lang w:val="es-ES"/>
              </w:rPr>
              <w:t>.: +359 2 489 98 28</w:t>
            </w:r>
          </w:p>
          <w:p w14:paraId="7B18515C" w14:textId="77777777" w:rsidR="002E5034" w:rsidRPr="003E0B98" w:rsidRDefault="002E5034" w:rsidP="004361AC">
            <w:pPr>
              <w:tabs>
                <w:tab w:val="left" w:pos="-720"/>
              </w:tabs>
              <w:suppressAutoHyphens/>
              <w:rPr>
                <w:b/>
                <w:color w:val="000000"/>
                <w:szCs w:val="22"/>
                <w:lang w:val="es-ES"/>
              </w:rPr>
            </w:pPr>
          </w:p>
        </w:tc>
        <w:tc>
          <w:tcPr>
            <w:tcW w:w="4678" w:type="dxa"/>
          </w:tcPr>
          <w:p w14:paraId="6EF62AEF" w14:textId="77777777" w:rsidR="002E5034" w:rsidRPr="003E0B98" w:rsidRDefault="002E5034" w:rsidP="004361AC">
            <w:pPr>
              <w:rPr>
                <w:color w:val="000000"/>
                <w:szCs w:val="22"/>
                <w:lang w:val="de-CH"/>
              </w:rPr>
            </w:pPr>
            <w:r w:rsidRPr="003E0B98">
              <w:rPr>
                <w:b/>
                <w:color w:val="000000"/>
                <w:szCs w:val="22"/>
                <w:lang w:val="de-CH"/>
              </w:rPr>
              <w:t>Luxembourg/Luxemburg</w:t>
            </w:r>
          </w:p>
          <w:p w14:paraId="74D9FE0B" w14:textId="77777777" w:rsidR="002E5034" w:rsidRPr="003E0B98" w:rsidRDefault="002E5034" w:rsidP="004361AC">
            <w:pPr>
              <w:rPr>
                <w:color w:val="000000"/>
                <w:szCs w:val="22"/>
                <w:lang w:val="de-CH"/>
              </w:rPr>
            </w:pPr>
            <w:r w:rsidRPr="003E0B98">
              <w:rPr>
                <w:color w:val="000000"/>
                <w:szCs w:val="22"/>
                <w:lang w:val="de-CH"/>
              </w:rPr>
              <w:t>Novartis Pharma N.V.</w:t>
            </w:r>
          </w:p>
          <w:p w14:paraId="69F3E980" w14:textId="77777777" w:rsidR="002E5034" w:rsidRPr="003E0B98" w:rsidRDefault="002E5034" w:rsidP="004361AC">
            <w:pPr>
              <w:rPr>
                <w:color w:val="000000"/>
                <w:szCs w:val="22"/>
                <w:lang w:val="es-ES"/>
              </w:rPr>
            </w:pPr>
            <w:proofErr w:type="spellStart"/>
            <w:r w:rsidRPr="003E0B98">
              <w:rPr>
                <w:color w:val="000000"/>
                <w:szCs w:val="22"/>
                <w:lang w:val="es-ES"/>
              </w:rPr>
              <w:t>Tél</w:t>
            </w:r>
            <w:proofErr w:type="spellEnd"/>
            <w:r w:rsidRPr="003E0B98">
              <w:rPr>
                <w:color w:val="000000"/>
                <w:szCs w:val="22"/>
                <w:lang w:val="es-ES"/>
              </w:rPr>
              <w:t>/Tel: +32 2 246 16 11</w:t>
            </w:r>
          </w:p>
          <w:p w14:paraId="4D51B6EE" w14:textId="77777777" w:rsidR="002E5034" w:rsidRPr="003E0B98" w:rsidRDefault="002E5034" w:rsidP="004361AC">
            <w:pPr>
              <w:suppressAutoHyphens/>
              <w:rPr>
                <w:color w:val="000000"/>
                <w:szCs w:val="22"/>
                <w:lang w:val="es-ES"/>
              </w:rPr>
            </w:pPr>
          </w:p>
        </w:tc>
      </w:tr>
      <w:tr w:rsidR="002E5034" w:rsidRPr="003E0B98" w14:paraId="24FD737F" w14:textId="77777777" w:rsidTr="00606F06">
        <w:trPr>
          <w:cantSplit/>
        </w:trPr>
        <w:tc>
          <w:tcPr>
            <w:tcW w:w="4503" w:type="dxa"/>
          </w:tcPr>
          <w:p w14:paraId="020CD331" w14:textId="77777777" w:rsidR="002E5034" w:rsidRPr="003E0B98" w:rsidRDefault="002E5034" w:rsidP="004361AC">
            <w:pPr>
              <w:tabs>
                <w:tab w:val="left" w:pos="-720"/>
              </w:tabs>
              <w:suppressAutoHyphens/>
              <w:rPr>
                <w:color w:val="000000"/>
                <w:szCs w:val="22"/>
                <w:lang w:val="sv-SE"/>
              </w:rPr>
            </w:pPr>
            <w:r w:rsidRPr="003E0B98">
              <w:rPr>
                <w:b/>
                <w:color w:val="000000"/>
                <w:szCs w:val="22"/>
                <w:lang w:val="sv-SE"/>
              </w:rPr>
              <w:t>Česká republika</w:t>
            </w:r>
          </w:p>
          <w:p w14:paraId="410EB041" w14:textId="77777777" w:rsidR="002E5034" w:rsidRPr="003E0B98" w:rsidRDefault="002E5034" w:rsidP="004361AC">
            <w:pPr>
              <w:tabs>
                <w:tab w:val="left" w:pos="-720"/>
              </w:tabs>
              <w:suppressAutoHyphens/>
              <w:rPr>
                <w:color w:val="000000"/>
                <w:szCs w:val="22"/>
                <w:lang w:val="sv-SE"/>
              </w:rPr>
            </w:pPr>
            <w:r w:rsidRPr="003E0B98">
              <w:rPr>
                <w:color w:val="000000"/>
                <w:szCs w:val="22"/>
                <w:lang w:val="sv-SE"/>
              </w:rPr>
              <w:t>Novartis s.r.o.</w:t>
            </w:r>
          </w:p>
          <w:p w14:paraId="6B8C82F5" w14:textId="77777777" w:rsidR="002E5034" w:rsidRPr="003E0B98" w:rsidRDefault="002E5034" w:rsidP="004361AC">
            <w:pPr>
              <w:rPr>
                <w:color w:val="000000"/>
                <w:szCs w:val="22"/>
              </w:rPr>
            </w:pPr>
            <w:r w:rsidRPr="003E0B98">
              <w:rPr>
                <w:color w:val="000000"/>
                <w:szCs w:val="22"/>
              </w:rPr>
              <w:t>Tel: +420 225 775 111</w:t>
            </w:r>
          </w:p>
          <w:p w14:paraId="0888DD94" w14:textId="77777777" w:rsidR="002E5034" w:rsidRPr="003E0B98" w:rsidRDefault="002E5034" w:rsidP="004361AC">
            <w:pPr>
              <w:tabs>
                <w:tab w:val="left" w:pos="-720"/>
              </w:tabs>
              <w:suppressAutoHyphens/>
              <w:rPr>
                <w:color w:val="000000"/>
                <w:szCs w:val="22"/>
              </w:rPr>
            </w:pPr>
          </w:p>
        </w:tc>
        <w:tc>
          <w:tcPr>
            <w:tcW w:w="4678" w:type="dxa"/>
          </w:tcPr>
          <w:p w14:paraId="05A931E3" w14:textId="77777777" w:rsidR="002E5034" w:rsidRPr="003E0B98" w:rsidRDefault="002E5034" w:rsidP="004361AC">
            <w:pPr>
              <w:spacing w:line="260" w:lineRule="atLeast"/>
              <w:rPr>
                <w:b/>
                <w:color w:val="000000"/>
                <w:szCs w:val="22"/>
              </w:rPr>
            </w:pPr>
            <w:proofErr w:type="spellStart"/>
            <w:r w:rsidRPr="003E0B98">
              <w:rPr>
                <w:b/>
                <w:color w:val="000000"/>
                <w:szCs w:val="22"/>
              </w:rPr>
              <w:t>Magyarország</w:t>
            </w:r>
            <w:proofErr w:type="spellEnd"/>
          </w:p>
          <w:p w14:paraId="46EB9101" w14:textId="1FDFC43C" w:rsidR="002E5034" w:rsidRPr="003E0B98" w:rsidRDefault="002E5034" w:rsidP="004361AC">
            <w:pPr>
              <w:spacing w:line="260" w:lineRule="atLeast"/>
              <w:rPr>
                <w:color w:val="000000"/>
                <w:szCs w:val="22"/>
              </w:rPr>
            </w:pPr>
            <w:r w:rsidRPr="003E0B98">
              <w:rPr>
                <w:color w:val="000000"/>
                <w:szCs w:val="22"/>
              </w:rPr>
              <w:t xml:space="preserve">Novartis </w:t>
            </w:r>
            <w:proofErr w:type="spellStart"/>
            <w:r w:rsidRPr="003E0B98">
              <w:rPr>
                <w:color w:val="000000"/>
                <w:szCs w:val="22"/>
              </w:rPr>
              <w:t>Hungária</w:t>
            </w:r>
            <w:proofErr w:type="spellEnd"/>
            <w:r w:rsidRPr="003E0B98">
              <w:rPr>
                <w:color w:val="000000"/>
                <w:szCs w:val="22"/>
              </w:rPr>
              <w:t xml:space="preserve"> Kft.</w:t>
            </w:r>
          </w:p>
          <w:p w14:paraId="5626AE66" w14:textId="77777777" w:rsidR="002E5034" w:rsidRPr="003E0B98" w:rsidRDefault="002E5034" w:rsidP="004361AC">
            <w:pPr>
              <w:tabs>
                <w:tab w:val="left" w:pos="-720"/>
              </w:tabs>
              <w:suppressAutoHyphens/>
              <w:rPr>
                <w:color w:val="000000"/>
                <w:szCs w:val="22"/>
              </w:rPr>
            </w:pPr>
            <w:r w:rsidRPr="003E0B98">
              <w:rPr>
                <w:color w:val="000000"/>
                <w:szCs w:val="22"/>
              </w:rPr>
              <w:t>Tel.: +36 1 457 65 00</w:t>
            </w:r>
          </w:p>
        </w:tc>
      </w:tr>
      <w:tr w:rsidR="002E5034" w:rsidRPr="003E0B98" w14:paraId="4E16F890" w14:textId="77777777" w:rsidTr="00606F06">
        <w:trPr>
          <w:cantSplit/>
        </w:trPr>
        <w:tc>
          <w:tcPr>
            <w:tcW w:w="4503" w:type="dxa"/>
          </w:tcPr>
          <w:p w14:paraId="2A448CF4" w14:textId="77777777" w:rsidR="002E5034" w:rsidRPr="003E0B98" w:rsidRDefault="002E5034" w:rsidP="004361AC">
            <w:pPr>
              <w:rPr>
                <w:color w:val="000000"/>
                <w:szCs w:val="22"/>
              </w:rPr>
            </w:pPr>
            <w:r w:rsidRPr="003E0B98">
              <w:rPr>
                <w:b/>
                <w:color w:val="000000"/>
                <w:szCs w:val="22"/>
              </w:rPr>
              <w:t>Danmark</w:t>
            </w:r>
          </w:p>
          <w:p w14:paraId="22E040DD" w14:textId="77777777" w:rsidR="002E5034" w:rsidRPr="003E0B98" w:rsidRDefault="002E5034" w:rsidP="004361AC">
            <w:pPr>
              <w:rPr>
                <w:color w:val="000000"/>
                <w:szCs w:val="22"/>
              </w:rPr>
            </w:pPr>
            <w:r w:rsidRPr="003E0B98">
              <w:rPr>
                <w:color w:val="000000"/>
                <w:szCs w:val="22"/>
              </w:rPr>
              <w:t>Novartis Healthcare A/S</w:t>
            </w:r>
          </w:p>
          <w:p w14:paraId="1025180F" w14:textId="77777777" w:rsidR="002E5034" w:rsidRPr="003E0B98" w:rsidRDefault="002E5034" w:rsidP="004361AC">
            <w:pPr>
              <w:rPr>
                <w:color w:val="000000"/>
                <w:szCs w:val="22"/>
              </w:rPr>
            </w:pPr>
            <w:proofErr w:type="spellStart"/>
            <w:r w:rsidRPr="003E0B98">
              <w:rPr>
                <w:color w:val="000000"/>
                <w:szCs w:val="22"/>
              </w:rPr>
              <w:t>Tlf</w:t>
            </w:r>
            <w:proofErr w:type="spellEnd"/>
            <w:r w:rsidRPr="003E0B98">
              <w:rPr>
                <w:color w:val="000000"/>
                <w:szCs w:val="22"/>
              </w:rPr>
              <w:t>: +45 39 16 84 00</w:t>
            </w:r>
          </w:p>
          <w:p w14:paraId="7A18ACA5" w14:textId="77777777" w:rsidR="002E5034" w:rsidRPr="003E0B98" w:rsidRDefault="002E5034" w:rsidP="004361AC">
            <w:pPr>
              <w:tabs>
                <w:tab w:val="left" w:pos="-720"/>
              </w:tabs>
              <w:suppressAutoHyphens/>
              <w:rPr>
                <w:color w:val="000000"/>
                <w:szCs w:val="22"/>
              </w:rPr>
            </w:pPr>
          </w:p>
        </w:tc>
        <w:tc>
          <w:tcPr>
            <w:tcW w:w="4678" w:type="dxa"/>
          </w:tcPr>
          <w:p w14:paraId="1FA434CC" w14:textId="77777777" w:rsidR="002E5034" w:rsidRPr="003E0B98" w:rsidRDefault="002E5034" w:rsidP="004361AC">
            <w:pPr>
              <w:tabs>
                <w:tab w:val="left" w:pos="-720"/>
                <w:tab w:val="left" w:pos="4536"/>
              </w:tabs>
              <w:suppressAutoHyphens/>
              <w:rPr>
                <w:b/>
                <w:color w:val="000000"/>
                <w:szCs w:val="22"/>
                <w:lang w:val="es-ES"/>
              </w:rPr>
            </w:pPr>
            <w:r w:rsidRPr="003E0B98">
              <w:rPr>
                <w:b/>
                <w:color w:val="000000"/>
                <w:szCs w:val="22"/>
                <w:lang w:val="es-ES"/>
              </w:rPr>
              <w:t>Malta</w:t>
            </w:r>
          </w:p>
          <w:p w14:paraId="798A3D83" w14:textId="77777777" w:rsidR="002E5034" w:rsidRPr="003E0B98" w:rsidRDefault="002E5034" w:rsidP="004361AC">
            <w:pPr>
              <w:rPr>
                <w:color w:val="000000"/>
                <w:szCs w:val="22"/>
                <w:lang w:val="fr-FR"/>
              </w:rPr>
            </w:pPr>
            <w:r w:rsidRPr="003E0B98">
              <w:rPr>
                <w:color w:val="000000"/>
                <w:szCs w:val="22"/>
                <w:lang w:val="fr-FR"/>
              </w:rPr>
              <w:t>Novartis Pharma Services Inc.</w:t>
            </w:r>
          </w:p>
          <w:p w14:paraId="4766CEC3" w14:textId="77777777" w:rsidR="002E5034" w:rsidRPr="003E0B98" w:rsidRDefault="002E5034" w:rsidP="004361AC">
            <w:pPr>
              <w:tabs>
                <w:tab w:val="left" w:pos="-720"/>
              </w:tabs>
              <w:suppressAutoHyphens/>
              <w:rPr>
                <w:color w:val="000000"/>
                <w:szCs w:val="22"/>
                <w:lang w:val="fr-FR"/>
              </w:rPr>
            </w:pPr>
            <w:proofErr w:type="gramStart"/>
            <w:r w:rsidRPr="003E0B98">
              <w:rPr>
                <w:color w:val="000000"/>
                <w:szCs w:val="22"/>
                <w:lang w:val="fr-FR"/>
              </w:rPr>
              <w:t>Tel:</w:t>
            </w:r>
            <w:proofErr w:type="gramEnd"/>
            <w:r w:rsidRPr="003E0B98">
              <w:rPr>
                <w:color w:val="000000"/>
                <w:szCs w:val="22"/>
                <w:lang w:val="fr-FR"/>
              </w:rPr>
              <w:t xml:space="preserve"> +356 2122 2872</w:t>
            </w:r>
          </w:p>
        </w:tc>
      </w:tr>
      <w:tr w:rsidR="002E5034" w:rsidRPr="003C169A" w14:paraId="057E8733" w14:textId="77777777" w:rsidTr="00606F06">
        <w:trPr>
          <w:cantSplit/>
        </w:trPr>
        <w:tc>
          <w:tcPr>
            <w:tcW w:w="4503" w:type="dxa"/>
          </w:tcPr>
          <w:p w14:paraId="624A9177" w14:textId="77777777" w:rsidR="002E5034" w:rsidRPr="003E0B98" w:rsidRDefault="002E5034" w:rsidP="004361AC">
            <w:pPr>
              <w:rPr>
                <w:color w:val="000000"/>
                <w:szCs w:val="22"/>
                <w:lang w:val="de-CH"/>
              </w:rPr>
            </w:pPr>
            <w:r w:rsidRPr="003E0B98">
              <w:rPr>
                <w:b/>
                <w:color w:val="000000"/>
                <w:szCs w:val="22"/>
                <w:lang w:val="de-CH"/>
              </w:rPr>
              <w:t>Deutschland</w:t>
            </w:r>
          </w:p>
          <w:p w14:paraId="61BB644F" w14:textId="77777777" w:rsidR="002E5034" w:rsidRPr="003E0B98" w:rsidRDefault="002E5034" w:rsidP="004361AC">
            <w:pPr>
              <w:rPr>
                <w:i/>
                <w:color w:val="000000"/>
                <w:szCs w:val="22"/>
                <w:lang w:val="de-CH"/>
              </w:rPr>
            </w:pPr>
            <w:r w:rsidRPr="003E0B98">
              <w:rPr>
                <w:color w:val="000000"/>
                <w:szCs w:val="22"/>
                <w:lang w:val="de-CH"/>
              </w:rPr>
              <w:t>Novartis Pharma GmbH</w:t>
            </w:r>
          </w:p>
          <w:p w14:paraId="6D0421FC" w14:textId="77777777" w:rsidR="002E5034" w:rsidRPr="003E0B98" w:rsidRDefault="002E5034" w:rsidP="004361AC">
            <w:pPr>
              <w:rPr>
                <w:color w:val="000000"/>
                <w:szCs w:val="22"/>
                <w:lang w:val="de-CH"/>
              </w:rPr>
            </w:pPr>
            <w:r w:rsidRPr="003E0B98">
              <w:rPr>
                <w:color w:val="000000"/>
                <w:szCs w:val="22"/>
                <w:lang w:val="de-CH"/>
              </w:rPr>
              <w:t>Tel: +49 911 273 0</w:t>
            </w:r>
          </w:p>
          <w:p w14:paraId="5298A0FB" w14:textId="77777777" w:rsidR="002E5034" w:rsidRPr="003E0B98" w:rsidRDefault="002E5034" w:rsidP="004361AC">
            <w:pPr>
              <w:tabs>
                <w:tab w:val="left" w:pos="-720"/>
              </w:tabs>
              <w:suppressAutoHyphens/>
              <w:rPr>
                <w:color w:val="000000"/>
                <w:szCs w:val="22"/>
                <w:lang w:val="de-CH"/>
              </w:rPr>
            </w:pPr>
          </w:p>
        </w:tc>
        <w:tc>
          <w:tcPr>
            <w:tcW w:w="4678" w:type="dxa"/>
          </w:tcPr>
          <w:p w14:paraId="44648E55" w14:textId="77777777" w:rsidR="002E5034" w:rsidRPr="003E0B98" w:rsidRDefault="002E5034" w:rsidP="004361AC">
            <w:pPr>
              <w:suppressAutoHyphens/>
              <w:rPr>
                <w:color w:val="000000"/>
                <w:szCs w:val="22"/>
                <w:lang w:val="sv-SE"/>
              </w:rPr>
            </w:pPr>
            <w:r w:rsidRPr="003E0B98">
              <w:rPr>
                <w:b/>
                <w:color w:val="000000"/>
                <w:szCs w:val="22"/>
                <w:lang w:val="sv-SE"/>
              </w:rPr>
              <w:t>Nederland</w:t>
            </w:r>
          </w:p>
          <w:p w14:paraId="60B521DA" w14:textId="77777777" w:rsidR="002E5034" w:rsidRPr="003E0B98" w:rsidRDefault="002E5034" w:rsidP="004361AC">
            <w:pPr>
              <w:rPr>
                <w:iCs/>
                <w:color w:val="000000"/>
                <w:szCs w:val="22"/>
                <w:lang w:val="sv-SE"/>
              </w:rPr>
            </w:pPr>
            <w:r w:rsidRPr="003E0B98">
              <w:rPr>
                <w:iCs/>
                <w:color w:val="000000"/>
                <w:szCs w:val="22"/>
                <w:lang w:val="sv-SE"/>
              </w:rPr>
              <w:t>Novartis Pharma B.V.</w:t>
            </w:r>
          </w:p>
          <w:p w14:paraId="1FE09345" w14:textId="66A4186A" w:rsidR="002E5034" w:rsidRPr="000267EA" w:rsidRDefault="002E5034" w:rsidP="004361AC">
            <w:pPr>
              <w:rPr>
                <w:color w:val="000000"/>
                <w:szCs w:val="22"/>
                <w:lang w:val="de-CH"/>
              </w:rPr>
            </w:pPr>
            <w:r w:rsidRPr="000267EA">
              <w:rPr>
                <w:color w:val="000000"/>
                <w:szCs w:val="22"/>
                <w:lang w:val="de-CH"/>
              </w:rPr>
              <w:t xml:space="preserve">Tel: +31 </w:t>
            </w:r>
            <w:r w:rsidR="00993B4D" w:rsidRPr="000267EA">
              <w:rPr>
                <w:color w:val="000000"/>
                <w:szCs w:val="22"/>
                <w:lang w:val="de-CH"/>
              </w:rPr>
              <w:t>88</w:t>
            </w:r>
            <w:r w:rsidRPr="000267EA">
              <w:rPr>
                <w:color w:val="000000"/>
                <w:szCs w:val="22"/>
                <w:lang w:val="de-CH"/>
              </w:rPr>
              <w:t xml:space="preserve"> </w:t>
            </w:r>
            <w:r w:rsidR="00993B4D" w:rsidRPr="000267EA">
              <w:rPr>
                <w:color w:val="000000"/>
                <w:szCs w:val="22"/>
                <w:lang w:val="de-CH"/>
              </w:rPr>
              <w:t>04</w:t>
            </w:r>
            <w:r w:rsidRPr="000267EA">
              <w:rPr>
                <w:color w:val="000000"/>
                <w:szCs w:val="22"/>
                <w:lang w:val="de-CH"/>
              </w:rPr>
              <w:t xml:space="preserve"> </w:t>
            </w:r>
            <w:r w:rsidR="00993B4D" w:rsidRPr="000267EA">
              <w:rPr>
                <w:color w:val="000000"/>
                <w:szCs w:val="22"/>
                <w:lang w:val="de-CH"/>
              </w:rPr>
              <w:t>52</w:t>
            </w:r>
            <w:r w:rsidRPr="000267EA">
              <w:rPr>
                <w:color w:val="000000"/>
                <w:szCs w:val="22"/>
                <w:lang w:val="de-CH"/>
              </w:rPr>
              <w:t xml:space="preserve"> 111</w:t>
            </w:r>
          </w:p>
        </w:tc>
      </w:tr>
      <w:tr w:rsidR="002E5034" w:rsidRPr="003E0B98" w14:paraId="6830CEC9" w14:textId="77777777" w:rsidTr="00606F06">
        <w:trPr>
          <w:cantSplit/>
        </w:trPr>
        <w:tc>
          <w:tcPr>
            <w:tcW w:w="4503" w:type="dxa"/>
          </w:tcPr>
          <w:p w14:paraId="62156DCA" w14:textId="77777777" w:rsidR="002E5034" w:rsidRPr="003E0B98" w:rsidRDefault="002E5034" w:rsidP="004361AC">
            <w:pPr>
              <w:tabs>
                <w:tab w:val="left" w:pos="-720"/>
              </w:tabs>
              <w:suppressAutoHyphens/>
              <w:rPr>
                <w:b/>
                <w:bCs/>
                <w:color w:val="000000"/>
                <w:szCs w:val="22"/>
                <w:lang w:val="fr-FR"/>
              </w:rPr>
            </w:pPr>
            <w:proofErr w:type="spellStart"/>
            <w:r w:rsidRPr="003E0B98">
              <w:rPr>
                <w:b/>
                <w:bCs/>
                <w:color w:val="000000"/>
                <w:szCs w:val="22"/>
                <w:lang w:val="fr-FR"/>
              </w:rPr>
              <w:t>Eesti</w:t>
            </w:r>
            <w:proofErr w:type="spellEnd"/>
          </w:p>
          <w:p w14:paraId="6B21DC69" w14:textId="40498595" w:rsidR="002E5034" w:rsidRPr="003E0B98" w:rsidRDefault="00993B4D" w:rsidP="004361AC">
            <w:pPr>
              <w:tabs>
                <w:tab w:val="left" w:pos="-720"/>
              </w:tabs>
              <w:suppressAutoHyphens/>
              <w:rPr>
                <w:color w:val="000000"/>
                <w:szCs w:val="22"/>
                <w:lang w:val="fr-FR"/>
              </w:rPr>
            </w:pPr>
            <w:r w:rsidRPr="003E0B98">
              <w:rPr>
                <w:szCs w:val="22"/>
                <w:lang w:val="et-EE"/>
              </w:rPr>
              <w:t>SIA Novartis Baltics Eesti filiaal</w:t>
            </w:r>
          </w:p>
          <w:p w14:paraId="0D1195EB" w14:textId="77777777" w:rsidR="002E5034" w:rsidRPr="003E0B98" w:rsidRDefault="002E5034" w:rsidP="004361AC">
            <w:pPr>
              <w:tabs>
                <w:tab w:val="left" w:pos="-720"/>
              </w:tabs>
              <w:suppressAutoHyphens/>
              <w:rPr>
                <w:color w:val="000000"/>
                <w:szCs w:val="22"/>
                <w:lang w:val="fr-FR"/>
              </w:rPr>
            </w:pPr>
            <w:proofErr w:type="gramStart"/>
            <w:r w:rsidRPr="003E0B98">
              <w:rPr>
                <w:color w:val="000000"/>
                <w:szCs w:val="22"/>
                <w:lang w:val="fr-FR"/>
              </w:rPr>
              <w:t>Tel:</w:t>
            </w:r>
            <w:proofErr w:type="gramEnd"/>
            <w:r w:rsidRPr="003E0B98">
              <w:rPr>
                <w:color w:val="000000"/>
                <w:szCs w:val="22"/>
                <w:lang w:val="fr-FR"/>
              </w:rPr>
              <w:t xml:space="preserve"> +372 66 30 810</w:t>
            </w:r>
          </w:p>
          <w:p w14:paraId="76B10FE4" w14:textId="77777777" w:rsidR="002E5034" w:rsidRPr="003E0B98" w:rsidRDefault="002E5034" w:rsidP="004361AC">
            <w:pPr>
              <w:tabs>
                <w:tab w:val="left" w:pos="-720"/>
              </w:tabs>
              <w:suppressAutoHyphens/>
              <w:rPr>
                <w:color w:val="000000"/>
                <w:szCs w:val="22"/>
                <w:lang w:val="fr-FR"/>
              </w:rPr>
            </w:pPr>
          </w:p>
        </w:tc>
        <w:tc>
          <w:tcPr>
            <w:tcW w:w="4678" w:type="dxa"/>
          </w:tcPr>
          <w:p w14:paraId="01BB8E86" w14:textId="77777777" w:rsidR="002E5034" w:rsidRPr="003E0B98" w:rsidRDefault="002E5034" w:rsidP="004361AC">
            <w:pPr>
              <w:rPr>
                <w:color w:val="000000"/>
                <w:szCs w:val="22"/>
                <w:lang w:val="sv-SE"/>
              </w:rPr>
            </w:pPr>
            <w:r w:rsidRPr="003E0B98">
              <w:rPr>
                <w:b/>
                <w:color w:val="000000"/>
                <w:szCs w:val="22"/>
                <w:lang w:val="sv-SE"/>
              </w:rPr>
              <w:t>Norge</w:t>
            </w:r>
          </w:p>
          <w:p w14:paraId="1357655A" w14:textId="77777777" w:rsidR="002E5034" w:rsidRPr="003E0B98" w:rsidRDefault="002E5034" w:rsidP="004361AC">
            <w:pPr>
              <w:rPr>
                <w:color w:val="000000"/>
                <w:szCs w:val="22"/>
                <w:lang w:val="sv-SE"/>
              </w:rPr>
            </w:pPr>
            <w:r w:rsidRPr="003E0B98">
              <w:rPr>
                <w:color w:val="000000"/>
                <w:szCs w:val="22"/>
                <w:lang w:val="sv-SE"/>
              </w:rPr>
              <w:t>Novartis Norge AS</w:t>
            </w:r>
          </w:p>
          <w:p w14:paraId="1AD7E9CB" w14:textId="77777777" w:rsidR="002E5034" w:rsidRPr="003E0B98" w:rsidRDefault="002E5034" w:rsidP="004361AC">
            <w:pPr>
              <w:tabs>
                <w:tab w:val="left" w:pos="-720"/>
              </w:tabs>
              <w:suppressAutoHyphens/>
              <w:rPr>
                <w:color w:val="000000"/>
                <w:szCs w:val="22"/>
                <w:lang w:val="sv-SE"/>
              </w:rPr>
            </w:pPr>
            <w:r w:rsidRPr="003E0B98">
              <w:rPr>
                <w:color w:val="000000"/>
                <w:szCs w:val="22"/>
                <w:lang w:val="sv-SE"/>
              </w:rPr>
              <w:t>Tlf: +47 23 05 20 00</w:t>
            </w:r>
          </w:p>
        </w:tc>
      </w:tr>
      <w:tr w:rsidR="002E5034" w:rsidRPr="003C169A" w14:paraId="12883FA9" w14:textId="77777777" w:rsidTr="00606F06">
        <w:trPr>
          <w:cantSplit/>
        </w:trPr>
        <w:tc>
          <w:tcPr>
            <w:tcW w:w="4503" w:type="dxa"/>
          </w:tcPr>
          <w:p w14:paraId="3379DE25" w14:textId="77777777" w:rsidR="002E5034" w:rsidRPr="003E0B98" w:rsidRDefault="002E5034" w:rsidP="004361AC">
            <w:pPr>
              <w:rPr>
                <w:color w:val="000000"/>
                <w:szCs w:val="22"/>
                <w:lang w:val="sv-SE"/>
              </w:rPr>
            </w:pPr>
            <w:proofErr w:type="spellStart"/>
            <w:r w:rsidRPr="003E0B98">
              <w:rPr>
                <w:b/>
                <w:color w:val="000000"/>
                <w:szCs w:val="22"/>
              </w:rPr>
              <w:t>Ελλάδ</w:t>
            </w:r>
            <w:proofErr w:type="spellEnd"/>
            <w:r w:rsidRPr="003E0B98">
              <w:rPr>
                <w:b/>
                <w:color w:val="000000"/>
                <w:szCs w:val="22"/>
              </w:rPr>
              <w:t>α</w:t>
            </w:r>
          </w:p>
          <w:p w14:paraId="654C0536" w14:textId="77777777" w:rsidR="002E5034" w:rsidRPr="003E0B98" w:rsidRDefault="002E5034" w:rsidP="004361AC">
            <w:pPr>
              <w:rPr>
                <w:color w:val="000000"/>
                <w:szCs w:val="22"/>
                <w:lang w:val="sv-SE"/>
              </w:rPr>
            </w:pPr>
            <w:r w:rsidRPr="003E0B98">
              <w:rPr>
                <w:color w:val="000000"/>
                <w:szCs w:val="22"/>
                <w:lang w:val="sv-SE"/>
              </w:rPr>
              <w:t>Novartis (Hellas) A.E.B.E.</w:t>
            </w:r>
          </w:p>
          <w:p w14:paraId="3070C54E" w14:textId="77777777" w:rsidR="002E5034" w:rsidRPr="003E0B98" w:rsidRDefault="002E5034" w:rsidP="004361AC">
            <w:pPr>
              <w:rPr>
                <w:color w:val="000000"/>
                <w:szCs w:val="22"/>
              </w:rPr>
            </w:pPr>
            <w:proofErr w:type="spellStart"/>
            <w:r w:rsidRPr="003E0B98">
              <w:rPr>
                <w:color w:val="000000"/>
                <w:szCs w:val="22"/>
              </w:rPr>
              <w:t>Τηλ</w:t>
            </w:r>
            <w:proofErr w:type="spellEnd"/>
            <w:r w:rsidRPr="003E0B98">
              <w:rPr>
                <w:color w:val="000000"/>
                <w:szCs w:val="22"/>
              </w:rPr>
              <w:t>: +30 210 281 17 12</w:t>
            </w:r>
          </w:p>
          <w:p w14:paraId="714E0F42" w14:textId="77777777" w:rsidR="002E5034" w:rsidRPr="003E0B98" w:rsidRDefault="002E5034" w:rsidP="004361AC">
            <w:pPr>
              <w:tabs>
                <w:tab w:val="left" w:pos="-720"/>
              </w:tabs>
              <w:suppressAutoHyphens/>
              <w:rPr>
                <w:color w:val="000000"/>
                <w:szCs w:val="22"/>
              </w:rPr>
            </w:pPr>
          </w:p>
        </w:tc>
        <w:tc>
          <w:tcPr>
            <w:tcW w:w="4678" w:type="dxa"/>
          </w:tcPr>
          <w:p w14:paraId="5AAC5395" w14:textId="77777777" w:rsidR="002E5034" w:rsidRPr="003E0B98" w:rsidRDefault="002E5034" w:rsidP="004361AC">
            <w:pPr>
              <w:rPr>
                <w:color w:val="000000"/>
                <w:szCs w:val="22"/>
                <w:lang w:val="de-CH"/>
              </w:rPr>
            </w:pPr>
            <w:r w:rsidRPr="003E0B98">
              <w:rPr>
                <w:b/>
                <w:color w:val="000000"/>
                <w:szCs w:val="22"/>
                <w:lang w:val="de-CH"/>
              </w:rPr>
              <w:t>Österreich</w:t>
            </w:r>
          </w:p>
          <w:p w14:paraId="200F57AB" w14:textId="77777777" w:rsidR="002E5034" w:rsidRPr="003E0B98" w:rsidRDefault="002E5034" w:rsidP="004361AC">
            <w:pPr>
              <w:rPr>
                <w:i/>
                <w:color w:val="000000"/>
                <w:szCs w:val="22"/>
                <w:lang w:val="de-CH"/>
              </w:rPr>
            </w:pPr>
            <w:r w:rsidRPr="003E0B98">
              <w:rPr>
                <w:color w:val="000000"/>
                <w:szCs w:val="22"/>
                <w:lang w:val="de-CH"/>
              </w:rPr>
              <w:t>Novartis Pharma GmbH</w:t>
            </w:r>
          </w:p>
          <w:p w14:paraId="07A2FB1D" w14:textId="77777777" w:rsidR="002E5034" w:rsidRPr="003E0B98" w:rsidRDefault="002E5034" w:rsidP="004361AC">
            <w:pPr>
              <w:rPr>
                <w:color w:val="000000"/>
                <w:szCs w:val="22"/>
                <w:lang w:val="de-CH"/>
              </w:rPr>
            </w:pPr>
            <w:r w:rsidRPr="003E0B98">
              <w:rPr>
                <w:color w:val="000000"/>
                <w:szCs w:val="22"/>
                <w:lang w:val="de-CH"/>
              </w:rPr>
              <w:t>Tel: +43 1 86 6570</w:t>
            </w:r>
          </w:p>
        </w:tc>
      </w:tr>
      <w:tr w:rsidR="002E5034" w:rsidRPr="003E0B98" w14:paraId="4F0FF0A5" w14:textId="77777777" w:rsidTr="00606F06">
        <w:trPr>
          <w:cantSplit/>
        </w:trPr>
        <w:tc>
          <w:tcPr>
            <w:tcW w:w="4503" w:type="dxa"/>
          </w:tcPr>
          <w:p w14:paraId="0FFEEBBF" w14:textId="77777777" w:rsidR="002E5034" w:rsidRPr="003E0B98" w:rsidRDefault="002E5034" w:rsidP="004361AC">
            <w:pPr>
              <w:tabs>
                <w:tab w:val="left" w:pos="-720"/>
                <w:tab w:val="left" w:pos="4536"/>
              </w:tabs>
              <w:suppressAutoHyphens/>
              <w:rPr>
                <w:b/>
                <w:color w:val="000000"/>
                <w:szCs w:val="22"/>
                <w:lang w:val="es-ES"/>
              </w:rPr>
            </w:pPr>
            <w:r w:rsidRPr="003E0B98">
              <w:rPr>
                <w:b/>
                <w:color w:val="000000"/>
                <w:szCs w:val="22"/>
                <w:lang w:val="es-ES"/>
              </w:rPr>
              <w:t>España</w:t>
            </w:r>
          </w:p>
          <w:p w14:paraId="41A6BE73" w14:textId="77777777" w:rsidR="002E5034" w:rsidRPr="003E0B98" w:rsidRDefault="002E5034" w:rsidP="004361AC">
            <w:pPr>
              <w:rPr>
                <w:color w:val="000000"/>
                <w:szCs w:val="22"/>
                <w:lang w:val="es-ES"/>
              </w:rPr>
            </w:pPr>
            <w:r w:rsidRPr="003E0B98">
              <w:rPr>
                <w:color w:val="000000"/>
                <w:szCs w:val="22"/>
                <w:lang w:val="es-ES"/>
              </w:rPr>
              <w:t>Novartis Farmacéutica, S.A.</w:t>
            </w:r>
          </w:p>
          <w:p w14:paraId="34E5273B" w14:textId="77777777" w:rsidR="002E5034" w:rsidRPr="003E0B98" w:rsidRDefault="002E5034" w:rsidP="004361AC">
            <w:pPr>
              <w:rPr>
                <w:color w:val="000000"/>
                <w:szCs w:val="22"/>
              </w:rPr>
            </w:pPr>
            <w:r w:rsidRPr="003E0B98">
              <w:rPr>
                <w:color w:val="000000"/>
                <w:szCs w:val="22"/>
              </w:rPr>
              <w:t>Tel: +34 93 306 42 00</w:t>
            </w:r>
          </w:p>
          <w:p w14:paraId="561EDA06" w14:textId="77777777" w:rsidR="002E5034" w:rsidRPr="003E0B98" w:rsidRDefault="002E5034" w:rsidP="004361AC">
            <w:pPr>
              <w:tabs>
                <w:tab w:val="left" w:pos="-720"/>
              </w:tabs>
              <w:suppressAutoHyphens/>
              <w:rPr>
                <w:color w:val="000000"/>
                <w:szCs w:val="22"/>
              </w:rPr>
            </w:pPr>
          </w:p>
        </w:tc>
        <w:tc>
          <w:tcPr>
            <w:tcW w:w="4678" w:type="dxa"/>
          </w:tcPr>
          <w:p w14:paraId="789EFEFA" w14:textId="77777777" w:rsidR="002E5034" w:rsidRPr="003E0B98" w:rsidRDefault="002E5034" w:rsidP="004361AC">
            <w:pPr>
              <w:rPr>
                <w:b/>
                <w:color w:val="000000"/>
                <w:szCs w:val="22"/>
                <w:lang w:val="sv-SE"/>
              </w:rPr>
            </w:pPr>
            <w:r w:rsidRPr="003E0B98">
              <w:rPr>
                <w:b/>
                <w:color w:val="000000"/>
                <w:szCs w:val="22"/>
                <w:lang w:val="sv-SE"/>
              </w:rPr>
              <w:t>Polska</w:t>
            </w:r>
          </w:p>
          <w:p w14:paraId="06A8C51E" w14:textId="77777777" w:rsidR="002E5034" w:rsidRPr="003E0B98" w:rsidRDefault="002E5034" w:rsidP="004361AC">
            <w:pPr>
              <w:rPr>
                <w:color w:val="000000"/>
                <w:szCs w:val="22"/>
                <w:lang w:val="sv-SE"/>
              </w:rPr>
            </w:pPr>
            <w:r w:rsidRPr="003E0B98">
              <w:rPr>
                <w:color w:val="000000"/>
                <w:szCs w:val="22"/>
                <w:lang w:val="sv-SE"/>
              </w:rPr>
              <w:t>Novartis Poland Sp. z o.o.</w:t>
            </w:r>
          </w:p>
          <w:p w14:paraId="139ED2F6" w14:textId="77777777" w:rsidR="002E5034" w:rsidRPr="003E0B98" w:rsidRDefault="002E5034" w:rsidP="004361AC">
            <w:pPr>
              <w:rPr>
                <w:color w:val="000000"/>
                <w:szCs w:val="22"/>
                <w:lang w:val="fr-CH"/>
              </w:rPr>
            </w:pPr>
            <w:r w:rsidRPr="003E0B98">
              <w:rPr>
                <w:color w:val="000000"/>
                <w:szCs w:val="22"/>
                <w:lang w:val="fr-CH"/>
              </w:rPr>
              <w:t>Tel</w:t>
            </w:r>
            <w:proofErr w:type="gramStart"/>
            <w:r w:rsidRPr="003E0B98">
              <w:rPr>
                <w:color w:val="000000"/>
                <w:szCs w:val="22"/>
                <w:lang w:val="fr-CH"/>
              </w:rPr>
              <w:t>.:</w:t>
            </w:r>
            <w:proofErr w:type="gramEnd"/>
            <w:r w:rsidRPr="003E0B98">
              <w:rPr>
                <w:color w:val="000000"/>
                <w:szCs w:val="22"/>
                <w:lang w:val="fr-CH"/>
              </w:rPr>
              <w:t xml:space="preserve"> +48 22 </w:t>
            </w:r>
            <w:r w:rsidRPr="003E0B98">
              <w:rPr>
                <w:szCs w:val="22"/>
                <w:lang w:val="fr-CH"/>
              </w:rPr>
              <w:t>375 4888</w:t>
            </w:r>
          </w:p>
        </w:tc>
      </w:tr>
      <w:tr w:rsidR="002E5034" w:rsidRPr="003E0B98" w14:paraId="7CFBB4CD" w14:textId="77777777" w:rsidTr="00606F06">
        <w:trPr>
          <w:cantSplit/>
        </w:trPr>
        <w:tc>
          <w:tcPr>
            <w:tcW w:w="4503" w:type="dxa"/>
          </w:tcPr>
          <w:p w14:paraId="318FDC82" w14:textId="77777777" w:rsidR="002E5034" w:rsidRPr="003E0B98" w:rsidRDefault="002E5034" w:rsidP="004361AC">
            <w:pPr>
              <w:tabs>
                <w:tab w:val="left" w:pos="-720"/>
                <w:tab w:val="left" w:pos="4536"/>
              </w:tabs>
              <w:suppressAutoHyphens/>
              <w:rPr>
                <w:b/>
                <w:color w:val="000000"/>
                <w:szCs w:val="22"/>
                <w:lang w:val="fr-FR"/>
              </w:rPr>
            </w:pPr>
            <w:r w:rsidRPr="003E0B98">
              <w:rPr>
                <w:b/>
                <w:color w:val="000000"/>
                <w:szCs w:val="22"/>
                <w:lang w:val="fr-FR"/>
              </w:rPr>
              <w:t>France</w:t>
            </w:r>
          </w:p>
          <w:p w14:paraId="770B36A6" w14:textId="77777777" w:rsidR="002E5034" w:rsidRPr="003E0B98" w:rsidRDefault="002E5034" w:rsidP="004361AC">
            <w:pPr>
              <w:rPr>
                <w:color w:val="000000"/>
                <w:szCs w:val="22"/>
                <w:lang w:val="fr-FR"/>
              </w:rPr>
            </w:pPr>
            <w:r w:rsidRPr="003E0B98">
              <w:rPr>
                <w:color w:val="000000"/>
                <w:szCs w:val="22"/>
                <w:lang w:val="fr-FR"/>
              </w:rPr>
              <w:t>Novartis Pharma S.A.S.</w:t>
            </w:r>
          </w:p>
          <w:p w14:paraId="043C6CD4" w14:textId="77777777" w:rsidR="002E5034" w:rsidRPr="003E0B98" w:rsidRDefault="002E5034" w:rsidP="004361AC">
            <w:pPr>
              <w:rPr>
                <w:color w:val="000000"/>
                <w:szCs w:val="22"/>
                <w:lang w:val="fr-FR"/>
              </w:rPr>
            </w:pPr>
            <w:proofErr w:type="gramStart"/>
            <w:r w:rsidRPr="003E0B98">
              <w:rPr>
                <w:color w:val="000000"/>
                <w:szCs w:val="22"/>
                <w:lang w:val="fr-FR"/>
              </w:rPr>
              <w:t>Tél:</w:t>
            </w:r>
            <w:proofErr w:type="gramEnd"/>
            <w:r w:rsidRPr="003E0B98">
              <w:rPr>
                <w:color w:val="000000"/>
                <w:szCs w:val="22"/>
                <w:lang w:val="fr-FR"/>
              </w:rPr>
              <w:t xml:space="preserve"> +33 1 55 47 66 00</w:t>
            </w:r>
          </w:p>
          <w:p w14:paraId="1D27B17F" w14:textId="77777777" w:rsidR="002E5034" w:rsidRPr="003E0B98" w:rsidRDefault="002E5034" w:rsidP="004361AC">
            <w:pPr>
              <w:rPr>
                <w:b/>
                <w:color w:val="000000"/>
                <w:szCs w:val="22"/>
                <w:lang w:val="fr-FR"/>
              </w:rPr>
            </w:pPr>
          </w:p>
        </w:tc>
        <w:tc>
          <w:tcPr>
            <w:tcW w:w="4678" w:type="dxa"/>
          </w:tcPr>
          <w:p w14:paraId="16D11C9F" w14:textId="77777777" w:rsidR="002E5034" w:rsidRPr="003E0B98" w:rsidRDefault="002E5034" w:rsidP="004361AC">
            <w:pPr>
              <w:rPr>
                <w:color w:val="000000"/>
                <w:szCs w:val="22"/>
                <w:lang w:val="es-ES"/>
              </w:rPr>
            </w:pPr>
            <w:r w:rsidRPr="003E0B98">
              <w:rPr>
                <w:b/>
                <w:color w:val="000000"/>
                <w:szCs w:val="22"/>
                <w:lang w:val="es-ES"/>
              </w:rPr>
              <w:t>Portugal</w:t>
            </w:r>
          </w:p>
          <w:p w14:paraId="6F43BE2D" w14:textId="77777777" w:rsidR="002E5034" w:rsidRPr="003E0B98" w:rsidRDefault="002E5034" w:rsidP="004361AC">
            <w:pPr>
              <w:pStyle w:val="Text"/>
              <w:spacing w:before="0"/>
              <w:rPr>
                <w:color w:val="000000"/>
                <w:sz w:val="22"/>
                <w:szCs w:val="22"/>
                <w:lang w:val="es-ES" w:eastAsia="en-US"/>
              </w:rPr>
            </w:pPr>
            <w:r w:rsidRPr="003E0B98">
              <w:rPr>
                <w:color w:val="000000"/>
                <w:sz w:val="22"/>
                <w:szCs w:val="22"/>
                <w:lang w:val="es-ES" w:eastAsia="en-US"/>
              </w:rPr>
              <w:t xml:space="preserve">Novartis </w:t>
            </w:r>
            <w:proofErr w:type="spellStart"/>
            <w:r w:rsidRPr="003E0B98">
              <w:rPr>
                <w:color w:val="000000"/>
                <w:sz w:val="22"/>
                <w:szCs w:val="22"/>
                <w:lang w:val="es-ES" w:eastAsia="en-US"/>
              </w:rPr>
              <w:t>Farma</w:t>
            </w:r>
            <w:proofErr w:type="spellEnd"/>
            <w:r w:rsidRPr="003E0B98">
              <w:rPr>
                <w:color w:val="000000"/>
                <w:sz w:val="22"/>
                <w:szCs w:val="22"/>
                <w:lang w:val="es-ES" w:eastAsia="en-US"/>
              </w:rPr>
              <w:t xml:space="preserve"> - </w:t>
            </w:r>
            <w:proofErr w:type="spellStart"/>
            <w:r w:rsidRPr="003E0B98">
              <w:rPr>
                <w:color w:val="000000"/>
                <w:sz w:val="22"/>
                <w:szCs w:val="22"/>
                <w:lang w:val="es-ES" w:eastAsia="en-US"/>
              </w:rPr>
              <w:t>Produtos</w:t>
            </w:r>
            <w:proofErr w:type="spellEnd"/>
            <w:r w:rsidRPr="003E0B98">
              <w:rPr>
                <w:color w:val="000000"/>
                <w:sz w:val="22"/>
                <w:szCs w:val="22"/>
                <w:lang w:val="es-ES" w:eastAsia="en-US"/>
              </w:rPr>
              <w:t xml:space="preserve"> </w:t>
            </w:r>
            <w:proofErr w:type="spellStart"/>
            <w:r w:rsidRPr="003E0B98">
              <w:rPr>
                <w:color w:val="000000"/>
                <w:sz w:val="22"/>
                <w:szCs w:val="22"/>
                <w:lang w:val="es-ES" w:eastAsia="en-US"/>
              </w:rPr>
              <w:t>Farmacêuticos</w:t>
            </w:r>
            <w:proofErr w:type="spellEnd"/>
            <w:r w:rsidRPr="003E0B98">
              <w:rPr>
                <w:color w:val="000000"/>
                <w:sz w:val="22"/>
                <w:szCs w:val="22"/>
                <w:lang w:val="es-ES" w:eastAsia="en-US"/>
              </w:rPr>
              <w:t>, S.A.</w:t>
            </w:r>
          </w:p>
          <w:p w14:paraId="14E3A9F4" w14:textId="77777777" w:rsidR="002E5034" w:rsidRPr="003E0B98" w:rsidRDefault="002E5034" w:rsidP="004361AC">
            <w:pPr>
              <w:tabs>
                <w:tab w:val="left" w:pos="-720"/>
              </w:tabs>
              <w:suppressAutoHyphens/>
              <w:rPr>
                <w:color w:val="000000"/>
                <w:szCs w:val="22"/>
              </w:rPr>
            </w:pPr>
            <w:r w:rsidRPr="003E0B98">
              <w:rPr>
                <w:color w:val="000000"/>
                <w:szCs w:val="22"/>
              </w:rPr>
              <w:t>Tel: +351 21 000 8600</w:t>
            </w:r>
          </w:p>
        </w:tc>
      </w:tr>
      <w:tr w:rsidR="002E5034" w:rsidRPr="003E0B98" w14:paraId="1B34F910" w14:textId="77777777" w:rsidTr="00606F06">
        <w:trPr>
          <w:cantSplit/>
        </w:trPr>
        <w:tc>
          <w:tcPr>
            <w:tcW w:w="4503" w:type="dxa"/>
          </w:tcPr>
          <w:p w14:paraId="5F542165" w14:textId="77777777" w:rsidR="002E5034" w:rsidRPr="003E0B98" w:rsidRDefault="002E5034" w:rsidP="004361AC">
            <w:pPr>
              <w:rPr>
                <w:rFonts w:eastAsia="PMingLiU"/>
                <w:b/>
                <w:lang w:val="sv-SE"/>
              </w:rPr>
            </w:pPr>
            <w:r w:rsidRPr="003E0B98">
              <w:rPr>
                <w:rFonts w:eastAsia="PMingLiU"/>
                <w:b/>
                <w:lang w:val="sv-SE"/>
              </w:rPr>
              <w:t>Hrvatska</w:t>
            </w:r>
          </w:p>
          <w:p w14:paraId="39920286" w14:textId="77777777" w:rsidR="002E5034" w:rsidRPr="003E0B98" w:rsidRDefault="002E5034" w:rsidP="004361AC">
            <w:pPr>
              <w:rPr>
                <w:lang w:val="sv-SE"/>
              </w:rPr>
            </w:pPr>
            <w:r w:rsidRPr="003E0B98">
              <w:rPr>
                <w:lang w:val="sv-SE"/>
              </w:rPr>
              <w:t>Novartis Hrvatska d.o.o.</w:t>
            </w:r>
          </w:p>
          <w:p w14:paraId="3177988F" w14:textId="77777777" w:rsidR="002E5034" w:rsidRPr="003E0B98" w:rsidRDefault="002E5034" w:rsidP="004361AC">
            <w:r w:rsidRPr="003E0B98">
              <w:t>Tel. +385 1 6274 220</w:t>
            </w:r>
          </w:p>
          <w:p w14:paraId="54248389" w14:textId="77777777" w:rsidR="002E5034" w:rsidRPr="003E0B98" w:rsidRDefault="002E5034" w:rsidP="004361AC">
            <w:pPr>
              <w:rPr>
                <w:b/>
                <w:color w:val="000000"/>
                <w:szCs w:val="22"/>
              </w:rPr>
            </w:pPr>
          </w:p>
        </w:tc>
        <w:tc>
          <w:tcPr>
            <w:tcW w:w="4678" w:type="dxa"/>
          </w:tcPr>
          <w:p w14:paraId="17D6F397" w14:textId="77777777" w:rsidR="002E5034" w:rsidRPr="003E0B98" w:rsidRDefault="002E5034" w:rsidP="004361AC">
            <w:pPr>
              <w:autoSpaceDE w:val="0"/>
              <w:autoSpaceDN w:val="0"/>
              <w:adjustRightInd w:val="0"/>
              <w:spacing w:line="240" w:lineRule="atLeast"/>
              <w:rPr>
                <w:b/>
                <w:bCs/>
                <w:color w:val="000000"/>
                <w:szCs w:val="22"/>
                <w:lang w:val="fr-FR"/>
              </w:rPr>
            </w:pPr>
            <w:proofErr w:type="spellStart"/>
            <w:r w:rsidRPr="003E0B98">
              <w:rPr>
                <w:b/>
                <w:bCs/>
                <w:color w:val="000000"/>
                <w:szCs w:val="22"/>
                <w:lang w:val="fr-FR"/>
              </w:rPr>
              <w:t>România</w:t>
            </w:r>
            <w:proofErr w:type="spellEnd"/>
          </w:p>
          <w:p w14:paraId="2C4BB303" w14:textId="77777777" w:rsidR="002E5034" w:rsidRPr="003E0B98" w:rsidRDefault="002E5034" w:rsidP="004361AC">
            <w:pPr>
              <w:autoSpaceDE w:val="0"/>
              <w:autoSpaceDN w:val="0"/>
              <w:adjustRightInd w:val="0"/>
              <w:spacing w:line="240" w:lineRule="atLeast"/>
              <w:rPr>
                <w:color w:val="000000"/>
                <w:szCs w:val="22"/>
                <w:lang w:val="fr-FR"/>
              </w:rPr>
            </w:pPr>
            <w:r w:rsidRPr="003E0B98">
              <w:rPr>
                <w:color w:val="000000"/>
                <w:szCs w:val="22"/>
                <w:lang w:val="fr-FR"/>
              </w:rPr>
              <w:t xml:space="preserve">Novartis Pharma Services </w:t>
            </w:r>
            <w:r w:rsidRPr="003E0B98">
              <w:rPr>
                <w:color w:val="2F2F2F"/>
                <w:szCs w:val="22"/>
                <w:lang w:val="es-ES"/>
              </w:rPr>
              <w:t>Romania SRL</w:t>
            </w:r>
          </w:p>
          <w:p w14:paraId="6F1F34AE" w14:textId="77777777" w:rsidR="002E5034" w:rsidRPr="003E0B98" w:rsidRDefault="002E5034" w:rsidP="004361AC">
            <w:pPr>
              <w:tabs>
                <w:tab w:val="left" w:pos="-720"/>
              </w:tabs>
              <w:suppressAutoHyphens/>
              <w:rPr>
                <w:color w:val="000000"/>
                <w:szCs w:val="22"/>
                <w:lang w:val="fr-FR"/>
              </w:rPr>
            </w:pPr>
            <w:proofErr w:type="gramStart"/>
            <w:r w:rsidRPr="003E0B98">
              <w:rPr>
                <w:color w:val="000000"/>
                <w:szCs w:val="22"/>
                <w:lang w:val="fr-FR"/>
              </w:rPr>
              <w:t>Tel:</w:t>
            </w:r>
            <w:proofErr w:type="gramEnd"/>
            <w:r w:rsidRPr="003E0B98">
              <w:rPr>
                <w:color w:val="000000"/>
                <w:szCs w:val="22"/>
                <w:lang w:val="fr-FR"/>
              </w:rPr>
              <w:t xml:space="preserve"> +40 21 31299 01</w:t>
            </w:r>
          </w:p>
        </w:tc>
      </w:tr>
      <w:tr w:rsidR="002E5034" w:rsidRPr="003E0B98" w14:paraId="7EA211EE" w14:textId="77777777" w:rsidTr="00606F06">
        <w:trPr>
          <w:cantSplit/>
        </w:trPr>
        <w:tc>
          <w:tcPr>
            <w:tcW w:w="4503" w:type="dxa"/>
          </w:tcPr>
          <w:p w14:paraId="5A43AC68" w14:textId="77777777" w:rsidR="002E5034" w:rsidRPr="003E0B98" w:rsidRDefault="002E5034" w:rsidP="004361AC">
            <w:pPr>
              <w:rPr>
                <w:color w:val="000000"/>
                <w:szCs w:val="22"/>
              </w:rPr>
            </w:pPr>
            <w:r w:rsidRPr="003E0B98">
              <w:rPr>
                <w:b/>
                <w:color w:val="000000"/>
                <w:szCs w:val="22"/>
              </w:rPr>
              <w:t>Ireland</w:t>
            </w:r>
          </w:p>
          <w:p w14:paraId="713A0A90" w14:textId="77777777" w:rsidR="002E5034" w:rsidRPr="003E0B98" w:rsidRDefault="002E5034" w:rsidP="004361AC">
            <w:pPr>
              <w:rPr>
                <w:color w:val="000000"/>
                <w:szCs w:val="22"/>
              </w:rPr>
            </w:pPr>
            <w:r w:rsidRPr="003E0B98">
              <w:rPr>
                <w:color w:val="000000"/>
                <w:szCs w:val="22"/>
              </w:rPr>
              <w:t>Novartis Ireland Limited</w:t>
            </w:r>
          </w:p>
          <w:p w14:paraId="5AB42F05" w14:textId="77777777" w:rsidR="002E5034" w:rsidRPr="003E0B98" w:rsidRDefault="002E5034" w:rsidP="004361AC">
            <w:pPr>
              <w:rPr>
                <w:color w:val="000000"/>
                <w:szCs w:val="22"/>
              </w:rPr>
            </w:pPr>
            <w:r w:rsidRPr="003E0B98">
              <w:rPr>
                <w:color w:val="000000"/>
                <w:szCs w:val="22"/>
              </w:rPr>
              <w:t>Tel: +353 1 260 12 55</w:t>
            </w:r>
          </w:p>
          <w:p w14:paraId="4D7CC4A2" w14:textId="77777777" w:rsidR="002E5034" w:rsidRPr="003E0B98" w:rsidRDefault="002E5034" w:rsidP="004361AC">
            <w:pPr>
              <w:tabs>
                <w:tab w:val="left" w:pos="-720"/>
              </w:tabs>
              <w:suppressAutoHyphens/>
              <w:rPr>
                <w:color w:val="000000"/>
                <w:szCs w:val="22"/>
              </w:rPr>
            </w:pPr>
          </w:p>
        </w:tc>
        <w:tc>
          <w:tcPr>
            <w:tcW w:w="4678" w:type="dxa"/>
          </w:tcPr>
          <w:p w14:paraId="46905152" w14:textId="77777777" w:rsidR="002E5034" w:rsidRPr="003E0B98" w:rsidRDefault="002E5034" w:rsidP="004361AC">
            <w:pPr>
              <w:rPr>
                <w:color w:val="000000"/>
                <w:szCs w:val="22"/>
                <w:lang w:val="es-ES"/>
              </w:rPr>
            </w:pPr>
            <w:proofErr w:type="spellStart"/>
            <w:r w:rsidRPr="003E0B98">
              <w:rPr>
                <w:b/>
                <w:color w:val="000000"/>
                <w:szCs w:val="22"/>
                <w:lang w:val="es-ES"/>
              </w:rPr>
              <w:t>Slovenija</w:t>
            </w:r>
            <w:proofErr w:type="spellEnd"/>
          </w:p>
          <w:p w14:paraId="298C81CB" w14:textId="77777777" w:rsidR="002E5034" w:rsidRPr="003E0B98" w:rsidRDefault="002E5034" w:rsidP="004361AC">
            <w:pPr>
              <w:rPr>
                <w:color w:val="000000"/>
                <w:szCs w:val="22"/>
                <w:lang w:val="es-ES"/>
              </w:rPr>
            </w:pPr>
            <w:r w:rsidRPr="003E0B98">
              <w:rPr>
                <w:color w:val="000000"/>
                <w:szCs w:val="22"/>
                <w:lang w:val="es-ES"/>
              </w:rPr>
              <w:t xml:space="preserve">Novartis </w:t>
            </w:r>
            <w:proofErr w:type="spellStart"/>
            <w:r w:rsidRPr="003E0B98">
              <w:rPr>
                <w:color w:val="000000"/>
                <w:szCs w:val="22"/>
                <w:lang w:val="es-ES"/>
              </w:rPr>
              <w:t>Pharma</w:t>
            </w:r>
            <w:proofErr w:type="spellEnd"/>
            <w:r w:rsidRPr="003E0B98">
              <w:rPr>
                <w:color w:val="000000"/>
                <w:szCs w:val="22"/>
                <w:lang w:val="es-ES"/>
              </w:rPr>
              <w:t xml:space="preserve"> </w:t>
            </w:r>
            <w:proofErr w:type="spellStart"/>
            <w:r w:rsidRPr="003E0B98">
              <w:rPr>
                <w:color w:val="000000"/>
                <w:szCs w:val="22"/>
                <w:lang w:val="es-ES"/>
              </w:rPr>
              <w:t>Services</w:t>
            </w:r>
            <w:proofErr w:type="spellEnd"/>
            <w:r w:rsidRPr="003E0B98">
              <w:rPr>
                <w:color w:val="000000"/>
                <w:szCs w:val="22"/>
                <w:lang w:val="es-ES"/>
              </w:rPr>
              <w:t xml:space="preserve"> Inc.</w:t>
            </w:r>
          </w:p>
          <w:p w14:paraId="0E5C1BC5" w14:textId="77777777" w:rsidR="002E5034" w:rsidRPr="003E0B98" w:rsidRDefault="002E5034" w:rsidP="004361AC">
            <w:pPr>
              <w:rPr>
                <w:color w:val="000000"/>
                <w:szCs w:val="22"/>
              </w:rPr>
            </w:pPr>
            <w:r w:rsidRPr="003E0B98">
              <w:rPr>
                <w:color w:val="000000"/>
                <w:szCs w:val="22"/>
              </w:rPr>
              <w:t>Tel: +386 1 300 75 50</w:t>
            </w:r>
          </w:p>
        </w:tc>
      </w:tr>
      <w:tr w:rsidR="002E5034" w:rsidRPr="003E0B98" w14:paraId="2FFD2F77" w14:textId="77777777" w:rsidTr="00606F06">
        <w:trPr>
          <w:cantSplit/>
        </w:trPr>
        <w:tc>
          <w:tcPr>
            <w:tcW w:w="4503" w:type="dxa"/>
          </w:tcPr>
          <w:p w14:paraId="2A96CE99" w14:textId="77777777" w:rsidR="002E5034" w:rsidRPr="003E0B98" w:rsidRDefault="002E5034" w:rsidP="004361AC">
            <w:pPr>
              <w:rPr>
                <w:b/>
                <w:color w:val="000000"/>
                <w:szCs w:val="22"/>
              </w:rPr>
            </w:pPr>
            <w:proofErr w:type="spellStart"/>
            <w:r w:rsidRPr="003E0B98">
              <w:rPr>
                <w:b/>
                <w:color w:val="000000"/>
                <w:szCs w:val="22"/>
              </w:rPr>
              <w:t>Ísland</w:t>
            </w:r>
            <w:proofErr w:type="spellEnd"/>
          </w:p>
          <w:p w14:paraId="7680963A" w14:textId="77777777" w:rsidR="002E5034" w:rsidRPr="003E0B98" w:rsidRDefault="002E5034" w:rsidP="004361AC">
            <w:pPr>
              <w:rPr>
                <w:color w:val="000000"/>
                <w:szCs w:val="22"/>
              </w:rPr>
            </w:pPr>
            <w:proofErr w:type="spellStart"/>
            <w:r w:rsidRPr="003E0B98">
              <w:rPr>
                <w:color w:val="000000"/>
                <w:szCs w:val="22"/>
              </w:rPr>
              <w:t>Vistor</w:t>
            </w:r>
            <w:proofErr w:type="spellEnd"/>
            <w:r w:rsidRPr="003E0B98">
              <w:rPr>
                <w:color w:val="000000"/>
                <w:szCs w:val="22"/>
              </w:rPr>
              <w:t xml:space="preserve"> hf.</w:t>
            </w:r>
          </w:p>
          <w:p w14:paraId="3E101652" w14:textId="77777777" w:rsidR="002E5034" w:rsidRPr="003E0B98" w:rsidRDefault="002E5034" w:rsidP="004361AC">
            <w:pPr>
              <w:tabs>
                <w:tab w:val="left" w:pos="-720"/>
              </w:tabs>
              <w:suppressAutoHyphens/>
              <w:rPr>
                <w:color w:val="000000"/>
                <w:szCs w:val="22"/>
              </w:rPr>
            </w:pPr>
            <w:proofErr w:type="spellStart"/>
            <w:r w:rsidRPr="003E0B98">
              <w:rPr>
                <w:color w:val="000000"/>
                <w:szCs w:val="22"/>
              </w:rPr>
              <w:t>Sími</w:t>
            </w:r>
            <w:proofErr w:type="spellEnd"/>
            <w:r w:rsidRPr="003E0B98">
              <w:rPr>
                <w:color w:val="000000"/>
                <w:szCs w:val="22"/>
              </w:rPr>
              <w:t>: +354 535 7000</w:t>
            </w:r>
          </w:p>
          <w:p w14:paraId="0A352D52" w14:textId="77777777" w:rsidR="002E5034" w:rsidRPr="003E0B98" w:rsidRDefault="002E5034" w:rsidP="004361AC">
            <w:pPr>
              <w:rPr>
                <w:b/>
                <w:color w:val="000000"/>
                <w:szCs w:val="22"/>
              </w:rPr>
            </w:pPr>
          </w:p>
        </w:tc>
        <w:tc>
          <w:tcPr>
            <w:tcW w:w="4678" w:type="dxa"/>
          </w:tcPr>
          <w:p w14:paraId="35185AFC" w14:textId="77777777" w:rsidR="002E5034" w:rsidRPr="003E0B98" w:rsidRDefault="002E5034" w:rsidP="004361AC">
            <w:pPr>
              <w:tabs>
                <w:tab w:val="left" w:pos="-720"/>
              </w:tabs>
              <w:suppressAutoHyphens/>
              <w:rPr>
                <w:b/>
                <w:color w:val="000000"/>
                <w:szCs w:val="22"/>
                <w:lang w:val="da-DK"/>
              </w:rPr>
            </w:pPr>
            <w:r w:rsidRPr="003E0B98">
              <w:rPr>
                <w:b/>
                <w:color w:val="000000"/>
                <w:szCs w:val="22"/>
                <w:lang w:val="da-DK"/>
              </w:rPr>
              <w:t>Slovenská republika</w:t>
            </w:r>
          </w:p>
          <w:p w14:paraId="0267583B" w14:textId="77777777" w:rsidR="002E5034" w:rsidRPr="003E0B98" w:rsidRDefault="002E5034" w:rsidP="004361AC">
            <w:pPr>
              <w:rPr>
                <w:i/>
                <w:color w:val="000000"/>
                <w:szCs w:val="22"/>
                <w:lang w:val="da-DK"/>
              </w:rPr>
            </w:pPr>
            <w:r w:rsidRPr="003E0B98">
              <w:rPr>
                <w:color w:val="000000"/>
                <w:szCs w:val="22"/>
                <w:lang w:val="da-DK"/>
              </w:rPr>
              <w:t>Novartis Slovakia s.r.o.</w:t>
            </w:r>
          </w:p>
          <w:p w14:paraId="51B08B60" w14:textId="77777777" w:rsidR="002E5034" w:rsidRPr="003E0B98" w:rsidRDefault="002E5034" w:rsidP="004361AC">
            <w:pPr>
              <w:rPr>
                <w:color w:val="000000"/>
                <w:szCs w:val="22"/>
                <w:lang w:val="da-DK"/>
              </w:rPr>
            </w:pPr>
            <w:r w:rsidRPr="003E0B98">
              <w:rPr>
                <w:color w:val="000000"/>
                <w:szCs w:val="22"/>
                <w:lang w:val="da-DK"/>
              </w:rPr>
              <w:t>Tel: +421 2 5542 5439</w:t>
            </w:r>
          </w:p>
          <w:p w14:paraId="7CDFC7B4" w14:textId="77777777" w:rsidR="002E5034" w:rsidRPr="003E0B98" w:rsidRDefault="002E5034" w:rsidP="004361AC">
            <w:pPr>
              <w:tabs>
                <w:tab w:val="left" w:pos="-720"/>
              </w:tabs>
              <w:suppressAutoHyphens/>
              <w:rPr>
                <w:b/>
                <w:color w:val="000000"/>
                <w:szCs w:val="22"/>
                <w:lang w:val="da-DK"/>
              </w:rPr>
            </w:pPr>
          </w:p>
        </w:tc>
      </w:tr>
      <w:tr w:rsidR="002E5034" w:rsidRPr="003E0B98" w14:paraId="03C5B1F5" w14:textId="77777777" w:rsidTr="00606F06">
        <w:trPr>
          <w:cantSplit/>
        </w:trPr>
        <w:tc>
          <w:tcPr>
            <w:tcW w:w="4503" w:type="dxa"/>
          </w:tcPr>
          <w:p w14:paraId="1F12B170" w14:textId="77777777" w:rsidR="002E5034" w:rsidRPr="003E0B98" w:rsidRDefault="002E5034" w:rsidP="004361AC">
            <w:pPr>
              <w:rPr>
                <w:color w:val="000000"/>
                <w:szCs w:val="22"/>
                <w:lang w:val="it-IT"/>
              </w:rPr>
            </w:pPr>
            <w:r w:rsidRPr="003E0B98">
              <w:rPr>
                <w:b/>
                <w:color w:val="000000"/>
                <w:szCs w:val="22"/>
                <w:lang w:val="it-IT"/>
              </w:rPr>
              <w:t>Italia</w:t>
            </w:r>
          </w:p>
          <w:p w14:paraId="2B2DDAEC" w14:textId="77777777" w:rsidR="002E5034" w:rsidRPr="003E0B98" w:rsidRDefault="002E5034" w:rsidP="004361AC">
            <w:pPr>
              <w:rPr>
                <w:color w:val="000000"/>
                <w:szCs w:val="22"/>
                <w:lang w:val="it-IT"/>
              </w:rPr>
            </w:pPr>
            <w:r w:rsidRPr="003E0B98">
              <w:rPr>
                <w:color w:val="000000"/>
                <w:szCs w:val="22"/>
                <w:lang w:val="it-IT"/>
              </w:rPr>
              <w:t>Novartis Farma S.p.A.</w:t>
            </w:r>
          </w:p>
          <w:p w14:paraId="19346348" w14:textId="77777777" w:rsidR="002E5034" w:rsidRPr="003E0B98" w:rsidRDefault="002E5034" w:rsidP="004361AC">
            <w:pPr>
              <w:rPr>
                <w:b/>
                <w:color w:val="000000"/>
                <w:szCs w:val="22"/>
              </w:rPr>
            </w:pPr>
            <w:r w:rsidRPr="003E0B98">
              <w:rPr>
                <w:color w:val="000000"/>
                <w:szCs w:val="22"/>
              </w:rPr>
              <w:t>Tel: +39 02 96 54 1</w:t>
            </w:r>
          </w:p>
        </w:tc>
        <w:tc>
          <w:tcPr>
            <w:tcW w:w="4678" w:type="dxa"/>
          </w:tcPr>
          <w:p w14:paraId="09D188F1" w14:textId="77777777" w:rsidR="002E5034" w:rsidRPr="003E0B98" w:rsidRDefault="002E5034" w:rsidP="004361AC">
            <w:pPr>
              <w:tabs>
                <w:tab w:val="left" w:pos="-720"/>
                <w:tab w:val="left" w:pos="4536"/>
              </w:tabs>
              <w:suppressAutoHyphens/>
              <w:rPr>
                <w:color w:val="000000"/>
                <w:szCs w:val="22"/>
                <w:lang w:val="sv-SE"/>
              </w:rPr>
            </w:pPr>
            <w:r w:rsidRPr="003E0B98">
              <w:rPr>
                <w:b/>
                <w:color w:val="000000"/>
                <w:szCs w:val="22"/>
                <w:lang w:val="sv-SE"/>
              </w:rPr>
              <w:t>Suomi/Finland</w:t>
            </w:r>
          </w:p>
          <w:p w14:paraId="467F397A" w14:textId="77777777" w:rsidR="002E5034" w:rsidRPr="003E0B98" w:rsidRDefault="002E5034" w:rsidP="004361AC">
            <w:pPr>
              <w:rPr>
                <w:color w:val="000000"/>
                <w:szCs w:val="22"/>
                <w:lang w:val="sv-SE"/>
              </w:rPr>
            </w:pPr>
            <w:r w:rsidRPr="003E0B98">
              <w:rPr>
                <w:color w:val="000000"/>
                <w:szCs w:val="22"/>
                <w:lang w:val="sv-SE"/>
              </w:rPr>
              <w:t>Novartis Finland Oy</w:t>
            </w:r>
          </w:p>
          <w:p w14:paraId="19CCD271" w14:textId="77777777" w:rsidR="002E5034" w:rsidRPr="003E0B98" w:rsidRDefault="002E5034" w:rsidP="004361AC">
            <w:pPr>
              <w:rPr>
                <w:color w:val="000000"/>
                <w:szCs w:val="22"/>
                <w:lang w:val="sv-SE"/>
              </w:rPr>
            </w:pPr>
            <w:r w:rsidRPr="003E0B98">
              <w:rPr>
                <w:color w:val="000000"/>
                <w:szCs w:val="22"/>
                <w:lang w:val="sv-SE"/>
              </w:rPr>
              <w:t xml:space="preserve">Puh/Tel: </w:t>
            </w:r>
            <w:r w:rsidRPr="003E0B98">
              <w:rPr>
                <w:color w:val="000000"/>
                <w:szCs w:val="22"/>
                <w:lang w:val="sv-SE" w:bidi="he-IL"/>
              </w:rPr>
              <w:t>+358 (0)10 6133 200</w:t>
            </w:r>
          </w:p>
          <w:p w14:paraId="61B1F9B6" w14:textId="77777777" w:rsidR="002E5034" w:rsidRPr="003E0B98" w:rsidRDefault="002E5034" w:rsidP="004361AC">
            <w:pPr>
              <w:tabs>
                <w:tab w:val="left" w:pos="-720"/>
              </w:tabs>
              <w:suppressAutoHyphens/>
              <w:rPr>
                <w:b/>
                <w:color w:val="000000"/>
                <w:szCs w:val="22"/>
                <w:lang w:val="sv-SE"/>
              </w:rPr>
            </w:pPr>
          </w:p>
        </w:tc>
      </w:tr>
      <w:tr w:rsidR="002E5034" w:rsidRPr="003C169A" w14:paraId="3696A44A" w14:textId="77777777" w:rsidTr="00606F06">
        <w:trPr>
          <w:cantSplit/>
        </w:trPr>
        <w:tc>
          <w:tcPr>
            <w:tcW w:w="4503" w:type="dxa"/>
          </w:tcPr>
          <w:p w14:paraId="5248BAA0" w14:textId="77777777" w:rsidR="002E5034" w:rsidRPr="003E0B98" w:rsidRDefault="002E5034" w:rsidP="004361AC">
            <w:pPr>
              <w:rPr>
                <w:b/>
                <w:color w:val="000000"/>
                <w:szCs w:val="22"/>
                <w:lang w:val="fr-FR"/>
              </w:rPr>
            </w:pPr>
            <w:proofErr w:type="spellStart"/>
            <w:r w:rsidRPr="003E0B98">
              <w:rPr>
                <w:b/>
                <w:color w:val="000000"/>
                <w:szCs w:val="22"/>
              </w:rPr>
              <w:t>Κύ</w:t>
            </w:r>
            <w:proofErr w:type="spellEnd"/>
            <w:r w:rsidRPr="003E0B98">
              <w:rPr>
                <w:b/>
                <w:color w:val="000000"/>
                <w:szCs w:val="22"/>
              </w:rPr>
              <w:t>προς</w:t>
            </w:r>
          </w:p>
          <w:p w14:paraId="4B2C75EC" w14:textId="77777777" w:rsidR="002E5034" w:rsidRPr="003E0B98" w:rsidRDefault="002E5034" w:rsidP="004361AC">
            <w:pPr>
              <w:rPr>
                <w:color w:val="000000"/>
                <w:szCs w:val="22"/>
                <w:lang w:val="fr-FR"/>
              </w:rPr>
            </w:pPr>
            <w:r w:rsidRPr="003E0B98">
              <w:rPr>
                <w:color w:val="000000"/>
                <w:szCs w:val="22"/>
                <w:lang w:val="fr-FR"/>
              </w:rPr>
              <w:t>Novartis Pharma Services Inc.</w:t>
            </w:r>
          </w:p>
          <w:p w14:paraId="03B4CADC" w14:textId="77777777" w:rsidR="002E5034" w:rsidRPr="003E0B98" w:rsidRDefault="002E5034" w:rsidP="004361AC">
            <w:pPr>
              <w:tabs>
                <w:tab w:val="left" w:pos="-720"/>
              </w:tabs>
              <w:suppressAutoHyphens/>
              <w:rPr>
                <w:color w:val="000000"/>
                <w:szCs w:val="22"/>
                <w:lang w:val="sv-SE"/>
              </w:rPr>
            </w:pPr>
            <w:proofErr w:type="spellStart"/>
            <w:r w:rsidRPr="003E0B98">
              <w:rPr>
                <w:color w:val="000000"/>
                <w:szCs w:val="22"/>
              </w:rPr>
              <w:t>Τηλ</w:t>
            </w:r>
            <w:proofErr w:type="spellEnd"/>
            <w:r w:rsidRPr="003E0B98">
              <w:rPr>
                <w:color w:val="000000"/>
                <w:szCs w:val="22"/>
                <w:lang w:val="sv-SE"/>
              </w:rPr>
              <w:t>: +357 22 690 690</w:t>
            </w:r>
          </w:p>
          <w:p w14:paraId="49D71185" w14:textId="77777777" w:rsidR="002E5034" w:rsidRPr="003E0B98" w:rsidRDefault="002E5034" w:rsidP="004361AC">
            <w:pPr>
              <w:rPr>
                <w:b/>
                <w:color w:val="000000"/>
                <w:szCs w:val="22"/>
                <w:lang w:val="sv-SE"/>
              </w:rPr>
            </w:pPr>
          </w:p>
        </w:tc>
        <w:tc>
          <w:tcPr>
            <w:tcW w:w="4678" w:type="dxa"/>
          </w:tcPr>
          <w:p w14:paraId="5AC7EC9D" w14:textId="77777777" w:rsidR="002E5034" w:rsidRPr="003E0B98" w:rsidRDefault="002E5034" w:rsidP="004361AC">
            <w:pPr>
              <w:tabs>
                <w:tab w:val="left" w:pos="-720"/>
                <w:tab w:val="left" w:pos="4536"/>
              </w:tabs>
              <w:suppressAutoHyphens/>
              <w:rPr>
                <w:b/>
                <w:color w:val="000000"/>
                <w:szCs w:val="22"/>
                <w:lang w:val="sv-SE"/>
              </w:rPr>
            </w:pPr>
            <w:r w:rsidRPr="003E0B98">
              <w:rPr>
                <w:b/>
                <w:color w:val="000000"/>
                <w:szCs w:val="22"/>
                <w:lang w:val="sv-SE"/>
              </w:rPr>
              <w:t>Sverige</w:t>
            </w:r>
          </w:p>
          <w:p w14:paraId="42CD1FF2" w14:textId="77777777" w:rsidR="002E5034" w:rsidRPr="003E0B98" w:rsidRDefault="002E5034" w:rsidP="004361AC">
            <w:pPr>
              <w:rPr>
                <w:color w:val="000000"/>
                <w:szCs w:val="22"/>
                <w:lang w:val="sv-SE"/>
              </w:rPr>
            </w:pPr>
            <w:r w:rsidRPr="003E0B98">
              <w:rPr>
                <w:color w:val="000000"/>
                <w:szCs w:val="22"/>
                <w:lang w:val="sv-SE"/>
              </w:rPr>
              <w:t>Novartis Sverige AB</w:t>
            </w:r>
          </w:p>
          <w:p w14:paraId="524F69BE" w14:textId="77777777" w:rsidR="002E5034" w:rsidRPr="003E0B98" w:rsidRDefault="002E5034" w:rsidP="004361AC">
            <w:pPr>
              <w:rPr>
                <w:color w:val="000000"/>
                <w:szCs w:val="22"/>
                <w:lang w:val="sv-SE"/>
              </w:rPr>
            </w:pPr>
            <w:r w:rsidRPr="003E0B98">
              <w:rPr>
                <w:color w:val="000000"/>
                <w:szCs w:val="22"/>
                <w:lang w:val="sv-SE"/>
              </w:rPr>
              <w:t>Tel: +46 8 732 32 00</w:t>
            </w:r>
          </w:p>
          <w:p w14:paraId="4B988E44" w14:textId="77777777" w:rsidR="002E5034" w:rsidRPr="003E0B98" w:rsidRDefault="002E5034" w:rsidP="004361AC">
            <w:pPr>
              <w:tabs>
                <w:tab w:val="left" w:pos="-720"/>
                <w:tab w:val="left" w:pos="4536"/>
              </w:tabs>
              <w:suppressAutoHyphens/>
              <w:rPr>
                <w:b/>
                <w:color w:val="000000"/>
                <w:szCs w:val="22"/>
                <w:lang w:val="sv-SE"/>
              </w:rPr>
            </w:pPr>
          </w:p>
        </w:tc>
      </w:tr>
      <w:tr w:rsidR="002E5034" w:rsidRPr="003E0B98" w14:paraId="1E8F1648" w14:textId="77777777" w:rsidTr="00606F06">
        <w:trPr>
          <w:cantSplit/>
        </w:trPr>
        <w:tc>
          <w:tcPr>
            <w:tcW w:w="4503" w:type="dxa"/>
          </w:tcPr>
          <w:p w14:paraId="4C297FB4" w14:textId="77777777" w:rsidR="002E5034" w:rsidRPr="003E0B98" w:rsidRDefault="002E5034" w:rsidP="004361AC">
            <w:pPr>
              <w:rPr>
                <w:b/>
                <w:color w:val="000000"/>
                <w:szCs w:val="22"/>
                <w:lang w:val="es-ES"/>
              </w:rPr>
            </w:pPr>
            <w:proofErr w:type="spellStart"/>
            <w:r w:rsidRPr="003E0B98">
              <w:rPr>
                <w:b/>
                <w:color w:val="000000"/>
                <w:szCs w:val="22"/>
                <w:lang w:val="es-ES"/>
              </w:rPr>
              <w:t>Latvija</w:t>
            </w:r>
            <w:proofErr w:type="spellEnd"/>
          </w:p>
          <w:p w14:paraId="6F14E78B" w14:textId="405ECFCF" w:rsidR="002E5034" w:rsidRPr="003E0B98" w:rsidRDefault="00993B4D" w:rsidP="004361AC">
            <w:pPr>
              <w:rPr>
                <w:color w:val="000000"/>
                <w:szCs w:val="22"/>
                <w:lang w:val="es-ES"/>
              </w:rPr>
            </w:pPr>
            <w:r w:rsidRPr="003E0B98">
              <w:rPr>
                <w:szCs w:val="22"/>
                <w:lang w:val="it-IT"/>
              </w:rPr>
              <w:t>SIA Novartis Baltics</w:t>
            </w:r>
          </w:p>
          <w:p w14:paraId="1003A075" w14:textId="77777777" w:rsidR="002E5034" w:rsidRPr="003E0B98" w:rsidRDefault="002E5034" w:rsidP="004361AC">
            <w:pPr>
              <w:tabs>
                <w:tab w:val="left" w:pos="-720"/>
              </w:tabs>
              <w:suppressAutoHyphens/>
              <w:rPr>
                <w:color w:val="000000"/>
                <w:szCs w:val="22"/>
                <w:lang w:val="es-ES"/>
              </w:rPr>
            </w:pPr>
            <w:r w:rsidRPr="003E0B98">
              <w:rPr>
                <w:color w:val="000000"/>
                <w:szCs w:val="22"/>
                <w:lang w:val="es-ES"/>
              </w:rPr>
              <w:t>Tel: +371 67 887 070</w:t>
            </w:r>
          </w:p>
          <w:p w14:paraId="762F5DC6" w14:textId="77777777" w:rsidR="002E5034" w:rsidRPr="003E0B98" w:rsidRDefault="002E5034" w:rsidP="004361AC">
            <w:pPr>
              <w:tabs>
                <w:tab w:val="left" w:pos="-720"/>
              </w:tabs>
              <w:suppressAutoHyphens/>
              <w:rPr>
                <w:color w:val="000000"/>
                <w:szCs w:val="22"/>
                <w:lang w:val="es-ES"/>
              </w:rPr>
            </w:pPr>
          </w:p>
        </w:tc>
        <w:tc>
          <w:tcPr>
            <w:tcW w:w="4678" w:type="dxa"/>
          </w:tcPr>
          <w:p w14:paraId="2B816868" w14:textId="77777777" w:rsidR="002E5034" w:rsidRPr="003E0B98" w:rsidRDefault="002E5034" w:rsidP="001D72A8">
            <w:pPr>
              <w:rPr>
                <w:color w:val="000000"/>
                <w:szCs w:val="22"/>
              </w:rPr>
            </w:pPr>
          </w:p>
        </w:tc>
      </w:tr>
    </w:tbl>
    <w:p w14:paraId="725679FB" w14:textId="77777777" w:rsidR="002E5034" w:rsidRPr="003E0B98" w:rsidRDefault="002E5034" w:rsidP="004361AC">
      <w:pPr>
        <w:numPr>
          <w:ilvl w:val="12"/>
          <w:numId w:val="0"/>
        </w:numPr>
        <w:tabs>
          <w:tab w:val="clear" w:pos="567"/>
        </w:tabs>
        <w:spacing w:line="240" w:lineRule="auto"/>
        <w:ind w:right="-2"/>
        <w:rPr>
          <w:color w:val="000000"/>
          <w:szCs w:val="22"/>
        </w:rPr>
      </w:pPr>
    </w:p>
    <w:p w14:paraId="7A928A5E" w14:textId="77777777" w:rsidR="002E5034" w:rsidRPr="003E0B98" w:rsidRDefault="002E5034" w:rsidP="004361AC">
      <w:pPr>
        <w:numPr>
          <w:ilvl w:val="12"/>
          <w:numId w:val="0"/>
        </w:numPr>
        <w:tabs>
          <w:tab w:val="clear" w:pos="567"/>
        </w:tabs>
        <w:spacing w:line="240" w:lineRule="auto"/>
        <w:ind w:right="-2"/>
        <w:rPr>
          <w:color w:val="000000"/>
          <w:szCs w:val="22"/>
          <w:lang w:val="es-ES_tradnl"/>
        </w:rPr>
      </w:pPr>
      <w:r w:rsidRPr="003E0B98">
        <w:rPr>
          <w:b/>
          <w:noProof/>
          <w:color w:val="000000"/>
          <w:lang w:val="es-ES_tradnl"/>
        </w:rPr>
        <w:t>Fecha de la última revisión de este prospecto:</w:t>
      </w:r>
    </w:p>
    <w:p w14:paraId="62D31F79" w14:textId="77777777" w:rsidR="002E5034" w:rsidRPr="003E0B98" w:rsidRDefault="002E5034" w:rsidP="004361AC">
      <w:pPr>
        <w:numPr>
          <w:ilvl w:val="12"/>
          <w:numId w:val="0"/>
        </w:numPr>
        <w:tabs>
          <w:tab w:val="clear" w:pos="567"/>
        </w:tabs>
        <w:spacing w:line="240" w:lineRule="auto"/>
        <w:ind w:right="-2"/>
        <w:rPr>
          <w:color w:val="000000"/>
          <w:szCs w:val="22"/>
          <w:lang w:val="es-ES_tradnl"/>
        </w:rPr>
      </w:pPr>
    </w:p>
    <w:p w14:paraId="586B5161" w14:textId="77777777" w:rsidR="002E5034" w:rsidRPr="003E0B98" w:rsidRDefault="002E5034" w:rsidP="004361AC">
      <w:pPr>
        <w:keepNext/>
        <w:numPr>
          <w:ilvl w:val="12"/>
          <w:numId w:val="0"/>
        </w:numPr>
        <w:tabs>
          <w:tab w:val="clear" w:pos="567"/>
        </w:tabs>
        <w:spacing w:line="240" w:lineRule="auto"/>
        <w:rPr>
          <w:b/>
          <w:noProof/>
          <w:szCs w:val="22"/>
          <w:lang w:val="es-ES_tradnl"/>
        </w:rPr>
      </w:pPr>
      <w:r w:rsidRPr="003E0B98">
        <w:rPr>
          <w:b/>
          <w:noProof/>
          <w:szCs w:val="22"/>
          <w:lang w:val="es-ES_tradnl"/>
        </w:rPr>
        <w:t>Otras fuentes de información</w:t>
      </w:r>
    </w:p>
    <w:p w14:paraId="281DC9B6" w14:textId="02FA8913" w:rsidR="002E5034" w:rsidRPr="003E0B98" w:rsidRDefault="002E5034" w:rsidP="004361AC">
      <w:pPr>
        <w:numPr>
          <w:ilvl w:val="12"/>
          <w:numId w:val="0"/>
        </w:numPr>
        <w:tabs>
          <w:tab w:val="clear" w:pos="567"/>
        </w:tabs>
        <w:spacing w:line="240" w:lineRule="auto"/>
        <w:ind w:right="-2"/>
        <w:rPr>
          <w:color w:val="000000"/>
          <w:szCs w:val="22"/>
          <w:lang w:val="es-ES_tradnl"/>
        </w:rPr>
      </w:pPr>
      <w:r w:rsidRPr="003E0B98">
        <w:rPr>
          <w:noProof/>
          <w:szCs w:val="22"/>
          <w:lang w:val="es-ES_tradnl"/>
        </w:rPr>
        <w:t>La información detallada de este medicamento está disponible en la página web de la Agencia Europea</w:t>
      </w:r>
      <w:r w:rsidRPr="003E0B98">
        <w:rPr>
          <w:color w:val="000000"/>
          <w:szCs w:val="22"/>
          <w:lang w:val="es-ES"/>
        </w:rPr>
        <w:t xml:space="preserve"> de Medicamentos: </w:t>
      </w:r>
      <w:hyperlink r:id="rId26" w:history="1">
        <w:r w:rsidR="00872B1B" w:rsidRPr="003E0B98">
          <w:rPr>
            <w:rStyle w:val="Hyperlink"/>
            <w:szCs w:val="22"/>
            <w:lang w:val="es-ES_tradnl"/>
          </w:rPr>
          <w:t>http://www.ema.europa.eu</w:t>
        </w:r>
      </w:hyperlink>
    </w:p>
    <w:p w14:paraId="55058772" w14:textId="77777777" w:rsidR="00872B1B" w:rsidRPr="003E0B98" w:rsidRDefault="00872B1B" w:rsidP="004361AC">
      <w:pPr>
        <w:numPr>
          <w:ilvl w:val="12"/>
          <w:numId w:val="0"/>
        </w:numPr>
        <w:tabs>
          <w:tab w:val="clear" w:pos="567"/>
        </w:tabs>
        <w:spacing w:line="240" w:lineRule="auto"/>
        <w:ind w:right="-2"/>
        <w:rPr>
          <w:color w:val="000000"/>
          <w:szCs w:val="22"/>
          <w:lang w:val="es-ES_tradnl"/>
        </w:rPr>
      </w:pPr>
    </w:p>
    <w:p w14:paraId="19D00BEF" w14:textId="767305C7" w:rsidR="002E5034" w:rsidRPr="003E0B98" w:rsidRDefault="002E5034" w:rsidP="004361AC">
      <w:pPr>
        <w:numPr>
          <w:ilvl w:val="12"/>
          <w:numId w:val="0"/>
        </w:numPr>
        <w:tabs>
          <w:tab w:val="clear" w:pos="567"/>
        </w:tabs>
        <w:spacing w:line="240" w:lineRule="auto"/>
        <w:ind w:right="-2"/>
        <w:rPr>
          <w:color w:val="000000"/>
          <w:szCs w:val="22"/>
          <w:lang w:val="es-ES_tradnl"/>
        </w:rPr>
      </w:pPr>
      <w:r w:rsidRPr="003E0B98">
        <w:rPr>
          <w:color w:val="000000"/>
          <w:szCs w:val="22"/>
          <w:lang w:val="es-ES"/>
        </w:rPr>
        <w:br w:type="page"/>
      </w:r>
      <w:r w:rsidRPr="003E0B98">
        <w:rPr>
          <w:b/>
          <w:caps/>
          <w:noProof/>
          <w:lang w:val="es-ES_tradnl"/>
        </w:rPr>
        <w:t>Esta información está destinada únicamente a profesionales sanitario</w:t>
      </w:r>
      <w:r w:rsidR="00893471" w:rsidRPr="003E0B98">
        <w:rPr>
          <w:b/>
          <w:caps/>
          <w:noProof/>
          <w:lang w:val="es-ES_tradnl"/>
        </w:rPr>
        <w:t>S</w:t>
      </w:r>
      <w:r w:rsidRPr="003E0B98">
        <w:rPr>
          <w:b/>
          <w:caps/>
          <w:noProof/>
          <w:lang w:val="es-ES_tradnl"/>
        </w:rPr>
        <w:t>:</w:t>
      </w:r>
    </w:p>
    <w:p w14:paraId="5D6687DE" w14:textId="77777777" w:rsidR="002E5034" w:rsidRPr="003E0B98" w:rsidRDefault="002E5034" w:rsidP="004361AC">
      <w:pPr>
        <w:numPr>
          <w:ilvl w:val="12"/>
          <w:numId w:val="0"/>
        </w:numPr>
        <w:tabs>
          <w:tab w:val="clear" w:pos="567"/>
        </w:tabs>
        <w:spacing w:line="240" w:lineRule="auto"/>
        <w:ind w:right="-2"/>
        <w:rPr>
          <w:color w:val="000000"/>
          <w:szCs w:val="22"/>
          <w:lang w:val="es-ES"/>
        </w:rPr>
      </w:pPr>
    </w:p>
    <w:p w14:paraId="41774AC1" w14:textId="77777777" w:rsidR="002E5034" w:rsidRPr="003E0B98" w:rsidRDefault="002E5034" w:rsidP="004361AC">
      <w:pPr>
        <w:numPr>
          <w:ilvl w:val="12"/>
          <w:numId w:val="0"/>
        </w:numPr>
        <w:tabs>
          <w:tab w:val="clear" w:pos="567"/>
        </w:tabs>
        <w:spacing w:line="240" w:lineRule="auto"/>
        <w:ind w:right="-2"/>
        <w:rPr>
          <w:color w:val="000000"/>
          <w:szCs w:val="22"/>
          <w:lang w:val="es-ES"/>
        </w:rPr>
      </w:pPr>
      <w:r w:rsidRPr="003E0B98">
        <w:rPr>
          <w:color w:val="000000"/>
          <w:szCs w:val="22"/>
          <w:lang w:val="es-ES"/>
        </w:rPr>
        <w:t xml:space="preserve">Ver también la sección 3 “Cómo se administra </w:t>
      </w:r>
      <w:proofErr w:type="spellStart"/>
      <w:r w:rsidRPr="003E0B98">
        <w:rPr>
          <w:color w:val="000000"/>
          <w:szCs w:val="22"/>
          <w:lang w:val="es-ES"/>
        </w:rPr>
        <w:t>Lucentis</w:t>
      </w:r>
      <w:proofErr w:type="spellEnd"/>
      <w:r w:rsidRPr="003E0B98">
        <w:rPr>
          <w:color w:val="000000"/>
          <w:szCs w:val="22"/>
          <w:lang w:val="es-ES"/>
        </w:rPr>
        <w:t>”.</w:t>
      </w:r>
    </w:p>
    <w:p w14:paraId="187BB8AA" w14:textId="77777777" w:rsidR="002E5034" w:rsidRPr="003E0B98" w:rsidRDefault="002E5034" w:rsidP="004361AC">
      <w:pPr>
        <w:numPr>
          <w:ilvl w:val="12"/>
          <w:numId w:val="0"/>
        </w:numPr>
        <w:tabs>
          <w:tab w:val="clear" w:pos="567"/>
        </w:tabs>
        <w:spacing w:line="240" w:lineRule="auto"/>
        <w:ind w:right="-2"/>
        <w:rPr>
          <w:color w:val="000000"/>
          <w:szCs w:val="22"/>
          <w:lang w:val="es-ES"/>
        </w:rPr>
      </w:pPr>
    </w:p>
    <w:p w14:paraId="5D681079" w14:textId="77777777" w:rsidR="00935744" w:rsidRPr="003E0B98" w:rsidRDefault="00935744" w:rsidP="004361AC">
      <w:pPr>
        <w:numPr>
          <w:ilvl w:val="12"/>
          <w:numId w:val="0"/>
        </w:numPr>
        <w:tabs>
          <w:tab w:val="clear" w:pos="567"/>
          <w:tab w:val="left" w:pos="720"/>
        </w:tabs>
        <w:spacing w:line="240" w:lineRule="auto"/>
        <w:ind w:right="-2"/>
        <w:rPr>
          <w:b/>
          <w:color w:val="FFFFFF"/>
          <w:szCs w:val="22"/>
          <w:shd w:val="solid" w:color="auto" w:fill="auto"/>
          <w:lang w:val="es-ES"/>
        </w:rPr>
      </w:pPr>
      <w:r w:rsidRPr="003E0B98">
        <w:rPr>
          <w:b/>
          <w:color w:val="FFFFFF"/>
          <w:szCs w:val="22"/>
          <w:shd w:val="solid" w:color="auto" w:fill="auto"/>
          <w:lang w:val="es-ES"/>
        </w:rPr>
        <w:t xml:space="preserve">Cómo preparar y administrar </w:t>
      </w:r>
      <w:proofErr w:type="spellStart"/>
      <w:r w:rsidRPr="003E0B98">
        <w:rPr>
          <w:b/>
          <w:color w:val="FFFFFF"/>
          <w:szCs w:val="22"/>
          <w:shd w:val="solid" w:color="auto" w:fill="auto"/>
          <w:lang w:val="es-ES"/>
        </w:rPr>
        <w:t>Lucentis</w:t>
      </w:r>
      <w:proofErr w:type="spellEnd"/>
      <w:r w:rsidRPr="003E0B98">
        <w:rPr>
          <w:b/>
          <w:color w:val="FFFFFF"/>
          <w:szCs w:val="22"/>
          <w:shd w:val="solid" w:color="auto" w:fill="auto"/>
          <w:lang w:val="es-ES"/>
        </w:rPr>
        <w:t xml:space="preserve"> en adultos</w:t>
      </w:r>
    </w:p>
    <w:p w14:paraId="7C4CCD11" w14:textId="77777777" w:rsidR="002E5034" w:rsidRPr="003E0B98" w:rsidRDefault="002E5034" w:rsidP="004361AC">
      <w:pPr>
        <w:numPr>
          <w:ilvl w:val="12"/>
          <w:numId w:val="0"/>
        </w:numPr>
        <w:tabs>
          <w:tab w:val="clear" w:pos="567"/>
        </w:tabs>
        <w:spacing w:line="240" w:lineRule="auto"/>
        <w:ind w:right="-2"/>
        <w:rPr>
          <w:color w:val="000000"/>
          <w:szCs w:val="22"/>
          <w:lang w:val="es-ES"/>
        </w:rPr>
      </w:pPr>
    </w:p>
    <w:p w14:paraId="29640096" w14:textId="77777777" w:rsidR="002E5034" w:rsidRPr="003E0B98" w:rsidRDefault="002E5034" w:rsidP="004361AC">
      <w:pPr>
        <w:numPr>
          <w:ilvl w:val="12"/>
          <w:numId w:val="0"/>
        </w:numPr>
        <w:tabs>
          <w:tab w:val="clear" w:pos="567"/>
        </w:tabs>
        <w:spacing w:line="240" w:lineRule="auto"/>
        <w:ind w:right="-2"/>
        <w:rPr>
          <w:color w:val="000000"/>
          <w:szCs w:val="22"/>
          <w:lang w:val="es-ES"/>
        </w:rPr>
      </w:pPr>
      <w:r w:rsidRPr="003E0B98">
        <w:rPr>
          <w:color w:val="000000"/>
          <w:szCs w:val="22"/>
          <w:lang w:val="es-ES"/>
        </w:rPr>
        <w:t>Vial para un solo uso. Únicamente para vía intravítrea.</w:t>
      </w:r>
    </w:p>
    <w:p w14:paraId="7C773442" w14:textId="77777777" w:rsidR="002E5034" w:rsidRPr="003E0B98" w:rsidRDefault="002E5034" w:rsidP="004361AC">
      <w:pPr>
        <w:numPr>
          <w:ilvl w:val="12"/>
          <w:numId w:val="0"/>
        </w:numPr>
        <w:tabs>
          <w:tab w:val="clear" w:pos="567"/>
        </w:tabs>
        <w:spacing w:line="240" w:lineRule="auto"/>
        <w:ind w:right="-2"/>
        <w:rPr>
          <w:color w:val="000000"/>
          <w:szCs w:val="22"/>
          <w:lang w:val="es-ES"/>
        </w:rPr>
      </w:pPr>
    </w:p>
    <w:p w14:paraId="041CC9E8" w14:textId="77777777" w:rsidR="002E5034" w:rsidRPr="003E0B98" w:rsidRDefault="002E5034" w:rsidP="004361AC">
      <w:pPr>
        <w:numPr>
          <w:ilvl w:val="12"/>
          <w:numId w:val="0"/>
        </w:numPr>
        <w:tabs>
          <w:tab w:val="clear" w:pos="567"/>
        </w:tabs>
        <w:spacing w:line="240" w:lineRule="auto"/>
        <w:ind w:right="-2"/>
        <w:rPr>
          <w:color w:val="000000"/>
          <w:szCs w:val="22"/>
          <w:lang w:val="es-ES_tradnl"/>
        </w:rPr>
      </w:pPr>
      <w:proofErr w:type="spellStart"/>
      <w:r w:rsidRPr="003E0B98">
        <w:rPr>
          <w:color w:val="000000"/>
          <w:szCs w:val="22"/>
          <w:lang w:val="es-ES"/>
        </w:rPr>
        <w:t>Lucentis</w:t>
      </w:r>
      <w:proofErr w:type="spellEnd"/>
      <w:r w:rsidRPr="003E0B98">
        <w:rPr>
          <w:color w:val="000000"/>
          <w:szCs w:val="22"/>
          <w:lang w:val="es-ES"/>
        </w:rPr>
        <w:t xml:space="preserve"> debe ser administrado por un oftalmólogo que tenga experiencia en la administración de inyecciones intravítreas.</w:t>
      </w:r>
    </w:p>
    <w:p w14:paraId="5F7A7B8E" w14:textId="77777777" w:rsidR="002E5034" w:rsidRPr="003E0B98" w:rsidRDefault="002E5034" w:rsidP="004361AC">
      <w:pPr>
        <w:numPr>
          <w:ilvl w:val="12"/>
          <w:numId w:val="0"/>
        </w:numPr>
        <w:tabs>
          <w:tab w:val="clear" w:pos="567"/>
        </w:tabs>
        <w:spacing w:line="240" w:lineRule="auto"/>
        <w:ind w:right="-2"/>
        <w:rPr>
          <w:color w:val="000000"/>
          <w:szCs w:val="22"/>
          <w:lang w:val="es-ES_tradnl"/>
        </w:rPr>
      </w:pPr>
    </w:p>
    <w:p w14:paraId="78E2F237" w14:textId="5E60B04D" w:rsidR="002E5034" w:rsidRPr="003E0B98" w:rsidRDefault="002E5034" w:rsidP="004361AC">
      <w:pPr>
        <w:numPr>
          <w:ilvl w:val="12"/>
          <w:numId w:val="0"/>
        </w:numPr>
        <w:tabs>
          <w:tab w:val="clear" w:pos="567"/>
        </w:tabs>
        <w:spacing w:line="240" w:lineRule="auto"/>
        <w:ind w:right="-2"/>
        <w:rPr>
          <w:color w:val="000000"/>
          <w:szCs w:val="22"/>
          <w:lang w:val="es-ES_tradnl"/>
        </w:rPr>
      </w:pPr>
      <w:r w:rsidRPr="003E0B98">
        <w:rPr>
          <w:color w:val="000000"/>
          <w:lang w:val="es-ES"/>
        </w:rPr>
        <w:t>En la DMAE exudativa</w:t>
      </w:r>
      <w:r w:rsidR="00AB7195" w:rsidRPr="003E0B98">
        <w:rPr>
          <w:color w:val="000000"/>
          <w:lang w:val="es-ES"/>
        </w:rPr>
        <w:t>, en la NVC</w:t>
      </w:r>
      <w:r w:rsidR="00FE4432" w:rsidRPr="003E0B98">
        <w:rPr>
          <w:color w:val="000000"/>
          <w:lang w:val="es-ES"/>
        </w:rPr>
        <w:t>, en RDP</w:t>
      </w:r>
      <w:r w:rsidRPr="003E0B98">
        <w:rPr>
          <w:color w:val="000000"/>
          <w:lang w:val="es-ES"/>
        </w:rPr>
        <w:t xml:space="preserve"> y e</w:t>
      </w:r>
      <w:r w:rsidRPr="003E0B98">
        <w:rPr>
          <w:color w:val="000000"/>
          <w:szCs w:val="22"/>
          <w:lang w:val="es-ES_tradnl"/>
        </w:rPr>
        <w:t xml:space="preserve">n la </w:t>
      </w:r>
      <w:r w:rsidRPr="003E0B98">
        <w:rPr>
          <w:color w:val="000000"/>
          <w:szCs w:val="22"/>
          <w:lang w:val="es-ES"/>
        </w:rPr>
        <w:t>alteración</w:t>
      </w:r>
      <w:r w:rsidRPr="003E0B98">
        <w:rPr>
          <w:color w:val="000000"/>
          <w:szCs w:val="22"/>
          <w:lang w:val="es-ES_tradnl"/>
        </w:rPr>
        <w:t xml:space="preserve"> visual debida a EMD </w:t>
      </w:r>
      <w:r w:rsidR="00AB7195" w:rsidRPr="003E0B98">
        <w:rPr>
          <w:color w:val="000000"/>
          <w:szCs w:val="22"/>
          <w:lang w:val="es-ES_tradnl"/>
        </w:rPr>
        <w:t xml:space="preserve">o </w:t>
      </w:r>
      <w:r w:rsidRPr="003E0B98">
        <w:rPr>
          <w:color w:val="000000"/>
          <w:szCs w:val="22"/>
          <w:lang w:val="es-ES_tradnl"/>
        </w:rPr>
        <w:t xml:space="preserve">a edema macular secundario a OVR la dosis recomendada de </w:t>
      </w:r>
      <w:proofErr w:type="spellStart"/>
      <w:r w:rsidRPr="003E0B98">
        <w:rPr>
          <w:color w:val="000000"/>
          <w:szCs w:val="22"/>
          <w:lang w:val="es-ES_tradnl"/>
        </w:rPr>
        <w:t>Lucentis</w:t>
      </w:r>
      <w:proofErr w:type="spellEnd"/>
      <w:r w:rsidRPr="003E0B98">
        <w:rPr>
          <w:color w:val="000000"/>
          <w:szCs w:val="22"/>
          <w:lang w:val="es-ES_tradnl"/>
        </w:rPr>
        <w:t xml:space="preserve"> es 0,5 mg </w:t>
      </w:r>
      <w:r w:rsidRPr="003E0B98">
        <w:rPr>
          <w:color w:val="000000"/>
          <w:szCs w:val="22"/>
          <w:lang w:val="es-ES"/>
        </w:rPr>
        <w:t>administrada en forma de inyección intravítrea única. Esto corresponde a un volumen de inyección de 0,05 ml.</w:t>
      </w:r>
      <w:r w:rsidR="00BF1A13" w:rsidRPr="003E0B98">
        <w:rPr>
          <w:color w:val="000000"/>
          <w:szCs w:val="22"/>
          <w:lang w:val="es-ES"/>
        </w:rPr>
        <w:t xml:space="preserve"> El intervalo entre dos dosis inyectadas en el mismo ojo debe ser como mínimo de cuatro semanas.</w:t>
      </w:r>
    </w:p>
    <w:p w14:paraId="35731CF2" w14:textId="77777777" w:rsidR="002E5034" w:rsidRPr="003E0B98" w:rsidRDefault="002E5034" w:rsidP="004361AC">
      <w:pPr>
        <w:numPr>
          <w:ilvl w:val="12"/>
          <w:numId w:val="0"/>
        </w:numPr>
        <w:tabs>
          <w:tab w:val="clear" w:pos="567"/>
        </w:tabs>
        <w:spacing w:line="240" w:lineRule="auto"/>
        <w:ind w:right="-2"/>
        <w:rPr>
          <w:color w:val="000000"/>
          <w:szCs w:val="22"/>
          <w:lang w:val="es-ES_tradnl"/>
        </w:rPr>
      </w:pPr>
    </w:p>
    <w:p w14:paraId="1C2A3839" w14:textId="7F9BC57C" w:rsidR="002E5034" w:rsidRPr="003E0B98" w:rsidRDefault="002E5034" w:rsidP="004361AC">
      <w:pPr>
        <w:numPr>
          <w:ilvl w:val="12"/>
          <w:numId w:val="0"/>
        </w:numPr>
        <w:tabs>
          <w:tab w:val="clear" w:pos="567"/>
        </w:tabs>
        <w:spacing w:line="240" w:lineRule="auto"/>
        <w:ind w:right="-2"/>
        <w:rPr>
          <w:color w:val="000000"/>
          <w:szCs w:val="22"/>
          <w:lang w:val="es-ES"/>
        </w:rPr>
      </w:pPr>
      <w:r w:rsidRPr="003E0B98">
        <w:rPr>
          <w:color w:val="000000"/>
          <w:szCs w:val="22"/>
          <w:lang w:val="es-ES"/>
        </w:rPr>
        <w:t xml:space="preserve">El tratamiento se </w:t>
      </w:r>
      <w:r w:rsidR="00BF1A13" w:rsidRPr="003E0B98">
        <w:rPr>
          <w:color w:val="000000"/>
          <w:szCs w:val="22"/>
          <w:lang w:val="es-ES"/>
        </w:rPr>
        <w:t>inicia con una inyección al mes</w:t>
      </w:r>
      <w:r w:rsidRPr="003E0B98">
        <w:rPr>
          <w:color w:val="000000"/>
          <w:szCs w:val="22"/>
          <w:lang w:val="es-ES"/>
        </w:rPr>
        <w:t xml:space="preserve"> hasta alcanzar la agudeza visual máxima</w:t>
      </w:r>
      <w:r w:rsidR="00705864" w:rsidRPr="003E0B98">
        <w:rPr>
          <w:color w:val="000000"/>
          <w:szCs w:val="22"/>
          <w:lang w:val="es-ES"/>
        </w:rPr>
        <w:t xml:space="preserve"> y/o no haya signos de actividad de la enfermedad, es decir ningún cambio en la agudeza visual ni en otros signos y síntomas de la enfermedad bajo tratamiento continuado</w:t>
      </w:r>
      <w:r w:rsidR="00E320D0" w:rsidRPr="003E0B98">
        <w:rPr>
          <w:color w:val="000000"/>
          <w:szCs w:val="22"/>
          <w:lang w:val="es-ES"/>
        </w:rPr>
        <w:t>.</w:t>
      </w:r>
      <w:r w:rsidR="004D6075" w:rsidRPr="003E0B98">
        <w:rPr>
          <w:lang w:val="es-ES"/>
        </w:rPr>
        <w:t xml:space="preserve"> </w:t>
      </w:r>
      <w:r w:rsidR="004D6075" w:rsidRPr="003E0B98">
        <w:rPr>
          <w:color w:val="000000"/>
          <w:szCs w:val="22"/>
          <w:lang w:val="es-ES"/>
        </w:rPr>
        <w:t>En pacientes con DMAE exudativa, EMD</w:t>
      </w:r>
      <w:r w:rsidR="00FE4432" w:rsidRPr="003E0B98">
        <w:rPr>
          <w:color w:val="000000"/>
          <w:szCs w:val="22"/>
          <w:lang w:val="es-ES"/>
        </w:rPr>
        <w:t>, RDP</w:t>
      </w:r>
      <w:r w:rsidR="004D6075" w:rsidRPr="003E0B98">
        <w:rPr>
          <w:color w:val="000000"/>
          <w:szCs w:val="22"/>
          <w:lang w:val="es-ES"/>
        </w:rPr>
        <w:t xml:space="preserve"> y OVR inicialmente pueden ser necesarias tres o más inyecciones consecutivas administradas mensualmente.</w:t>
      </w:r>
    </w:p>
    <w:p w14:paraId="1ABBA10D" w14:textId="77777777" w:rsidR="002E5034" w:rsidRPr="003E0B98" w:rsidRDefault="002E5034" w:rsidP="004361AC">
      <w:pPr>
        <w:numPr>
          <w:ilvl w:val="12"/>
          <w:numId w:val="0"/>
        </w:numPr>
        <w:tabs>
          <w:tab w:val="clear" w:pos="567"/>
        </w:tabs>
        <w:spacing w:line="240" w:lineRule="auto"/>
        <w:ind w:right="-2"/>
        <w:rPr>
          <w:color w:val="000000"/>
          <w:szCs w:val="22"/>
          <w:lang w:val="es-ES"/>
        </w:rPr>
      </w:pPr>
    </w:p>
    <w:p w14:paraId="2B1E27FF" w14:textId="77777777" w:rsidR="002E5034" w:rsidRPr="003E0B98" w:rsidRDefault="002E5034" w:rsidP="004361AC">
      <w:pPr>
        <w:numPr>
          <w:ilvl w:val="12"/>
          <w:numId w:val="0"/>
        </w:numPr>
        <w:tabs>
          <w:tab w:val="clear" w:pos="567"/>
        </w:tabs>
        <w:spacing w:line="240" w:lineRule="auto"/>
        <w:ind w:right="-2"/>
        <w:rPr>
          <w:color w:val="000000"/>
          <w:szCs w:val="22"/>
          <w:lang w:val="es-ES"/>
        </w:rPr>
      </w:pPr>
      <w:r w:rsidRPr="003E0B98">
        <w:rPr>
          <w:color w:val="000000"/>
          <w:szCs w:val="22"/>
          <w:lang w:val="es-ES"/>
        </w:rPr>
        <w:t>A partir de ese momento</w:t>
      </w:r>
      <w:r w:rsidR="0030202A" w:rsidRPr="003E0B98">
        <w:rPr>
          <w:color w:val="000000"/>
          <w:szCs w:val="22"/>
          <w:lang w:val="es-ES"/>
        </w:rPr>
        <w:t>, los intervalos de monitorización y tratamiento se deben determinar según criterio médico y en base a la actividad de la enfermedad, valorada mediante la agudeza visual y/o parámetros anatómicos.</w:t>
      </w:r>
    </w:p>
    <w:p w14:paraId="3EF124EC" w14:textId="77777777" w:rsidR="0030202A" w:rsidRPr="003E0B98" w:rsidRDefault="0030202A" w:rsidP="004361AC">
      <w:pPr>
        <w:numPr>
          <w:ilvl w:val="12"/>
          <w:numId w:val="0"/>
        </w:numPr>
        <w:tabs>
          <w:tab w:val="clear" w:pos="567"/>
        </w:tabs>
        <w:spacing w:line="240" w:lineRule="auto"/>
        <w:ind w:right="-2"/>
        <w:rPr>
          <w:color w:val="000000"/>
          <w:szCs w:val="22"/>
          <w:lang w:val="es-ES"/>
        </w:rPr>
      </w:pPr>
    </w:p>
    <w:p w14:paraId="44224FEB" w14:textId="77777777" w:rsidR="00220D7F" w:rsidRPr="003E0B98" w:rsidRDefault="00220D7F" w:rsidP="004361AC">
      <w:pPr>
        <w:numPr>
          <w:ilvl w:val="12"/>
          <w:numId w:val="0"/>
        </w:numPr>
        <w:tabs>
          <w:tab w:val="clear" w:pos="567"/>
        </w:tabs>
        <w:spacing w:line="240" w:lineRule="auto"/>
        <w:ind w:right="-2"/>
        <w:rPr>
          <w:color w:val="000000"/>
          <w:szCs w:val="22"/>
          <w:lang w:val="es-ES"/>
        </w:rPr>
      </w:pPr>
      <w:r w:rsidRPr="003E0B98">
        <w:rPr>
          <w:color w:val="000000"/>
          <w:szCs w:val="22"/>
          <w:lang w:val="es-ES"/>
        </w:rPr>
        <w:t xml:space="preserve">Se debe interrumpir el tratamiento con </w:t>
      </w:r>
      <w:proofErr w:type="spellStart"/>
      <w:r w:rsidRPr="003E0B98">
        <w:rPr>
          <w:color w:val="000000"/>
          <w:szCs w:val="22"/>
          <w:lang w:val="es-ES"/>
        </w:rPr>
        <w:t>Lucentis</w:t>
      </w:r>
      <w:proofErr w:type="spellEnd"/>
      <w:r w:rsidRPr="003E0B98">
        <w:rPr>
          <w:color w:val="000000"/>
          <w:szCs w:val="22"/>
          <w:lang w:val="es-ES"/>
        </w:rPr>
        <w:t xml:space="preserve"> si bajo criterio del médico, los parámetros visuales y anatómicos indican que el paciente no se está beneficiando del tratamiento continuado.</w:t>
      </w:r>
    </w:p>
    <w:p w14:paraId="7360D092" w14:textId="77777777" w:rsidR="00220D7F" w:rsidRPr="003E0B98" w:rsidRDefault="00220D7F" w:rsidP="004361AC">
      <w:pPr>
        <w:numPr>
          <w:ilvl w:val="12"/>
          <w:numId w:val="0"/>
        </w:numPr>
        <w:tabs>
          <w:tab w:val="clear" w:pos="567"/>
        </w:tabs>
        <w:spacing w:line="240" w:lineRule="auto"/>
        <w:ind w:right="-2"/>
        <w:rPr>
          <w:color w:val="000000"/>
          <w:szCs w:val="22"/>
          <w:lang w:val="es-ES"/>
        </w:rPr>
      </w:pPr>
    </w:p>
    <w:p w14:paraId="642E67F3" w14:textId="77777777" w:rsidR="0030202A" w:rsidRPr="003E0B98" w:rsidRDefault="0030202A" w:rsidP="004361AC">
      <w:pPr>
        <w:numPr>
          <w:ilvl w:val="12"/>
          <w:numId w:val="0"/>
        </w:numPr>
        <w:tabs>
          <w:tab w:val="clear" w:pos="567"/>
        </w:tabs>
        <w:spacing w:line="240" w:lineRule="auto"/>
        <w:ind w:right="-2"/>
        <w:rPr>
          <w:color w:val="000000"/>
          <w:szCs w:val="22"/>
          <w:lang w:val="es-ES"/>
        </w:rPr>
      </w:pPr>
      <w:r w:rsidRPr="003E0B98">
        <w:rPr>
          <w:color w:val="000000"/>
          <w:szCs w:val="22"/>
          <w:lang w:val="es-ES"/>
        </w:rPr>
        <w:t>La monitorización para determinar la actividad de la enfermedad puede incluir examen clínico, control funcional o técnicas de imagen (p. ej. tomografía de coherencia óptica o angiografía con fluoresceína).</w:t>
      </w:r>
    </w:p>
    <w:p w14:paraId="6356B94E" w14:textId="77777777" w:rsidR="0030202A" w:rsidRPr="003E0B98" w:rsidRDefault="0030202A" w:rsidP="004361AC">
      <w:pPr>
        <w:numPr>
          <w:ilvl w:val="12"/>
          <w:numId w:val="0"/>
        </w:numPr>
        <w:tabs>
          <w:tab w:val="clear" w:pos="567"/>
        </w:tabs>
        <w:spacing w:line="240" w:lineRule="auto"/>
        <w:ind w:right="-2"/>
        <w:rPr>
          <w:color w:val="000000"/>
          <w:szCs w:val="22"/>
          <w:lang w:val="es-ES"/>
        </w:rPr>
      </w:pPr>
    </w:p>
    <w:p w14:paraId="110FD1FC" w14:textId="6BCD8204" w:rsidR="0030202A" w:rsidRPr="003E0B98" w:rsidRDefault="0030202A" w:rsidP="004361AC">
      <w:pPr>
        <w:numPr>
          <w:ilvl w:val="12"/>
          <w:numId w:val="0"/>
        </w:numPr>
        <w:tabs>
          <w:tab w:val="clear" w:pos="567"/>
        </w:tabs>
        <w:spacing w:line="240" w:lineRule="auto"/>
        <w:ind w:right="-2"/>
        <w:rPr>
          <w:color w:val="000000"/>
          <w:szCs w:val="22"/>
          <w:lang w:val="es-ES"/>
        </w:rPr>
      </w:pPr>
      <w:r w:rsidRPr="003E0B98">
        <w:rPr>
          <w:color w:val="000000"/>
          <w:szCs w:val="22"/>
          <w:lang w:val="es-ES"/>
        </w:rPr>
        <w:t xml:space="preserve">Si se está tratando a los pacientes </w:t>
      </w:r>
      <w:proofErr w:type="gramStart"/>
      <w:r w:rsidRPr="003E0B98">
        <w:rPr>
          <w:color w:val="000000"/>
          <w:szCs w:val="22"/>
          <w:lang w:val="es-ES"/>
        </w:rPr>
        <w:t>de acuerdo a</w:t>
      </w:r>
      <w:proofErr w:type="gramEnd"/>
      <w:r w:rsidRPr="003E0B98">
        <w:rPr>
          <w:color w:val="000000"/>
          <w:szCs w:val="22"/>
          <w:lang w:val="es-ES"/>
        </w:rPr>
        <w:t xml:space="preserve"> un régimen de tratar y extender, una vez se ha alcanzado la agudeza visual máxima y/o no hay signo</w:t>
      </w:r>
      <w:r w:rsidR="00D93FA1" w:rsidRPr="003E0B98">
        <w:rPr>
          <w:color w:val="000000"/>
          <w:szCs w:val="22"/>
          <w:lang w:val="es-ES"/>
        </w:rPr>
        <w:t>s</w:t>
      </w:r>
      <w:r w:rsidRPr="003E0B98">
        <w:rPr>
          <w:color w:val="000000"/>
          <w:szCs w:val="22"/>
          <w:lang w:val="es-ES"/>
        </w:rPr>
        <w:t xml:space="preserve"> de actividad de la enfermedad, los intervalos de tratamiento se pueden espaciar de forma gradual hasta que vuelvan a aparecer signos de actividad de la enfermedad o alteración visual. En el caso de la DMAE exudativa el intervalo de tratamiento no debe espaciarse en más de dos semanas </w:t>
      </w:r>
      <w:r w:rsidR="00E44B25" w:rsidRPr="003E0B98">
        <w:rPr>
          <w:color w:val="000000"/>
          <w:szCs w:val="22"/>
          <w:lang w:val="es-ES"/>
        </w:rPr>
        <w:t xml:space="preserve">cada vez </w:t>
      </w:r>
      <w:r w:rsidRPr="003E0B98">
        <w:rPr>
          <w:color w:val="000000"/>
          <w:szCs w:val="22"/>
          <w:lang w:val="es-ES"/>
        </w:rPr>
        <w:t>y en el caso de</w:t>
      </w:r>
      <w:r w:rsidR="00E44B25" w:rsidRPr="003E0B98">
        <w:rPr>
          <w:color w:val="000000"/>
          <w:szCs w:val="22"/>
          <w:lang w:val="es-ES"/>
        </w:rPr>
        <w:t>l</w:t>
      </w:r>
      <w:r w:rsidRPr="003E0B98">
        <w:rPr>
          <w:color w:val="000000"/>
          <w:szCs w:val="22"/>
          <w:lang w:val="es-ES"/>
        </w:rPr>
        <w:t xml:space="preserve"> EMD se puede espaciar </w:t>
      </w:r>
      <w:r w:rsidR="00E44B25" w:rsidRPr="003E0B98">
        <w:rPr>
          <w:color w:val="000000"/>
          <w:szCs w:val="22"/>
          <w:lang w:val="es-ES"/>
        </w:rPr>
        <w:t>hasta</w:t>
      </w:r>
      <w:r w:rsidRPr="003E0B98">
        <w:rPr>
          <w:color w:val="000000"/>
          <w:szCs w:val="22"/>
          <w:lang w:val="es-ES"/>
        </w:rPr>
        <w:t xml:space="preserve"> un mes</w:t>
      </w:r>
      <w:r w:rsidR="00E44B25" w:rsidRPr="003E0B98">
        <w:rPr>
          <w:color w:val="000000"/>
          <w:szCs w:val="22"/>
          <w:lang w:val="es-ES"/>
        </w:rPr>
        <w:t xml:space="preserve"> cada vez</w:t>
      </w:r>
      <w:r w:rsidRPr="003E0B98">
        <w:rPr>
          <w:color w:val="000000"/>
          <w:szCs w:val="22"/>
          <w:lang w:val="es-ES"/>
        </w:rPr>
        <w:t xml:space="preserve">. </w:t>
      </w:r>
      <w:r w:rsidR="00A23B74" w:rsidRPr="003E0B98">
        <w:rPr>
          <w:color w:val="000000"/>
          <w:szCs w:val="22"/>
          <w:lang w:val="es-ES"/>
        </w:rPr>
        <w:t xml:space="preserve">Para la </w:t>
      </w:r>
      <w:r w:rsidR="00FE4432" w:rsidRPr="003E0B98">
        <w:rPr>
          <w:color w:val="000000"/>
          <w:szCs w:val="22"/>
          <w:lang w:val="es-ES"/>
        </w:rPr>
        <w:t xml:space="preserve">RDP y la </w:t>
      </w:r>
      <w:r w:rsidR="00A23B74" w:rsidRPr="003E0B98">
        <w:rPr>
          <w:color w:val="000000"/>
          <w:szCs w:val="22"/>
          <w:lang w:val="es-ES"/>
        </w:rPr>
        <w:t xml:space="preserve">OVR, los intervalos de tratamiento también pueden espaciarse de forma gradual, sin </w:t>
      </w:r>
      <w:proofErr w:type="gramStart"/>
      <w:r w:rsidR="00A23B74" w:rsidRPr="003E0B98">
        <w:rPr>
          <w:color w:val="000000"/>
          <w:szCs w:val="22"/>
          <w:lang w:val="es-ES"/>
        </w:rPr>
        <w:t>embargo</w:t>
      </w:r>
      <w:proofErr w:type="gramEnd"/>
      <w:r w:rsidR="00A23B74" w:rsidRPr="003E0B98">
        <w:rPr>
          <w:color w:val="000000"/>
          <w:szCs w:val="22"/>
          <w:lang w:val="es-ES"/>
        </w:rPr>
        <w:t xml:space="preserve"> los datos que hay no son suficientes para determinar la duración de estos intervalos. </w:t>
      </w:r>
      <w:r w:rsidRPr="003E0B98">
        <w:rPr>
          <w:color w:val="000000"/>
          <w:szCs w:val="22"/>
          <w:lang w:val="es-ES"/>
        </w:rPr>
        <w:t xml:space="preserve">Si vuelve a aparecer actividad de la enfermedad, </w:t>
      </w:r>
      <w:r w:rsidR="00217279" w:rsidRPr="003E0B98">
        <w:rPr>
          <w:color w:val="000000"/>
          <w:szCs w:val="22"/>
          <w:lang w:val="es-ES"/>
        </w:rPr>
        <w:t xml:space="preserve">se </w:t>
      </w:r>
      <w:r w:rsidRPr="003E0B98">
        <w:rPr>
          <w:color w:val="000000"/>
          <w:szCs w:val="22"/>
          <w:lang w:val="es-ES"/>
        </w:rPr>
        <w:t>debe acortar el intervalo de tratamiento de manera consecuente.</w:t>
      </w:r>
    </w:p>
    <w:p w14:paraId="26F77290" w14:textId="77777777" w:rsidR="0030202A" w:rsidRPr="003E0B98" w:rsidRDefault="0030202A" w:rsidP="004361AC">
      <w:pPr>
        <w:numPr>
          <w:ilvl w:val="12"/>
          <w:numId w:val="0"/>
        </w:numPr>
        <w:tabs>
          <w:tab w:val="clear" w:pos="567"/>
        </w:tabs>
        <w:spacing w:line="240" w:lineRule="auto"/>
        <w:ind w:right="-2"/>
        <w:rPr>
          <w:color w:val="000000"/>
          <w:szCs w:val="22"/>
          <w:lang w:val="es-ES"/>
        </w:rPr>
      </w:pPr>
    </w:p>
    <w:p w14:paraId="7DF2B2C2" w14:textId="77777777" w:rsidR="00AB7195" w:rsidRPr="003E0B98" w:rsidRDefault="00AB7195" w:rsidP="004361AC">
      <w:pPr>
        <w:numPr>
          <w:ilvl w:val="12"/>
          <w:numId w:val="0"/>
        </w:numPr>
        <w:tabs>
          <w:tab w:val="clear" w:pos="567"/>
        </w:tabs>
        <w:spacing w:line="240" w:lineRule="auto"/>
        <w:ind w:right="-2"/>
        <w:rPr>
          <w:color w:val="000000"/>
          <w:szCs w:val="22"/>
          <w:lang w:val="es-ES"/>
        </w:rPr>
      </w:pPr>
      <w:r w:rsidRPr="003E0B98">
        <w:rPr>
          <w:color w:val="000000"/>
          <w:szCs w:val="22"/>
          <w:lang w:val="es-ES"/>
        </w:rPr>
        <w:t xml:space="preserve">El tratamiento de la alteración visual debida a NVC se debe determinar para cada paciente de forma individualizada en base a la actividad de la enfermedad. Algunos pacientes pueden necesitar </w:t>
      </w:r>
      <w:r w:rsidR="00450BD6" w:rsidRPr="003E0B98">
        <w:rPr>
          <w:color w:val="000000"/>
          <w:szCs w:val="22"/>
          <w:lang w:val="es-ES"/>
        </w:rPr>
        <w:t>sólo</w:t>
      </w:r>
      <w:r w:rsidRPr="003E0B98">
        <w:rPr>
          <w:color w:val="000000"/>
          <w:szCs w:val="22"/>
          <w:lang w:val="es-ES"/>
        </w:rPr>
        <w:t xml:space="preserve"> una inyección durante los primeros 12 meses; otros pueden necesitar tratamiento con mayor frecuencia, incluyendo una inyección mensual. En el caso de NVC secundaria a miopía patológica (MP), muchos pacientes pueden necesitar </w:t>
      </w:r>
      <w:r w:rsidR="00450BD6" w:rsidRPr="003E0B98">
        <w:rPr>
          <w:color w:val="000000"/>
          <w:szCs w:val="22"/>
          <w:lang w:val="es-ES"/>
        </w:rPr>
        <w:t>sólo</w:t>
      </w:r>
      <w:r w:rsidRPr="003E0B98">
        <w:rPr>
          <w:color w:val="000000"/>
          <w:szCs w:val="22"/>
          <w:lang w:val="es-ES"/>
        </w:rPr>
        <w:t xml:space="preserve"> una o dos inyecciones durante el primer año.</w:t>
      </w:r>
    </w:p>
    <w:p w14:paraId="62C0C25F" w14:textId="77777777" w:rsidR="002E5034" w:rsidRPr="003E0B98" w:rsidRDefault="002E5034" w:rsidP="004361AC">
      <w:pPr>
        <w:numPr>
          <w:ilvl w:val="12"/>
          <w:numId w:val="0"/>
        </w:numPr>
        <w:tabs>
          <w:tab w:val="clear" w:pos="567"/>
        </w:tabs>
        <w:spacing w:line="240" w:lineRule="auto"/>
        <w:ind w:right="-2"/>
        <w:rPr>
          <w:color w:val="000000"/>
          <w:szCs w:val="22"/>
          <w:lang w:val="es-ES"/>
        </w:rPr>
      </w:pPr>
    </w:p>
    <w:p w14:paraId="17EDA722" w14:textId="77777777" w:rsidR="002E5034" w:rsidRPr="003E0B98" w:rsidRDefault="002E5034" w:rsidP="004361AC">
      <w:pPr>
        <w:keepNext/>
        <w:tabs>
          <w:tab w:val="clear" w:pos="567"/>
        </w:tabs>
        <w:spacing w:line="240" w:lineRule="auto"/>
        <w:rPr>
          <w:i/>
          <w:color w:val="000000"/>
          <w:szCs w:val="22"/>
          <w:lang w:val="es-ES"/>
        </w:rPr>
      </w:pPr>
      <w:proofErr w:type="spellStart"/>
      <w:r w:rsidRPr="003E0B98">
        <w:rPr>
          <w:i/>
          <w:color w:val="000000"/>
          <w:szCs w:val="22"/>
          <w:lang w:val="es-ES"/>
        </w:rPr>
        <w:t>Lucentis</w:t>
      </w:r>
      <w:proofErr w:type="spellEnd"/>
      <w:r w:rsidRPr="003E0B98">
        <w:rPr>
          <w:i/>
          <w:color w:val="000000"/>
          <w:szCs w:val="22"/>
          <w:lang w:val="es-ES"/>
        </w:rPr>
        <w:t xml:space="preserve"> y fotocoagulación con láser en EMD y edema macular secundario a oclusión de la rama venosa retiniana (ORVR)</w:t>
      </w:r>
    </w:p>
    <w:p w14:paraId="1331770E" w14:textId="77777777" w:rsidR="002E5034" w:rsidRPr="003E0B98" w:rsidRDefault="002E5034" w:rsidP="004361AC">
      <w:pPr>
        <w:tabs>
          <w:tab w:val="clear" w:pos="567"/>
        </w:tabs>
        <w:spacing w:line="240" w:lineRule="auto"/>
        <w:rPr>
          <w:color w:val="000000"/>
          <w:szCs w:val="22"/>
          <w:lang w:val="es-ES_tradnl"/>
        </w:rPr>
      </w:pPr>
      <w:r w:rsidRPr="003E0B98">
        <w:rPr>
          <w:color w:val="000000"/>
          <w:szCs w:val="22"/>
          <w:lang w:val="es-ES"/>
        </w:rPr>
        <w:t xml:space="preserve">Existe alguna experiencia con </w:t>
      </w:r>
      <w:proofErr w:type="spellStart"/>
      <w:r w:rsidRPr="003E0B98">
        <w:rPr>
          <w:color w:val="000000"/>
          <w:szCs w:val="22"/>
          <w:lang w:val="es-ES"/>
        </w:rPr>
        <w:t>Lucentis</w:t>
      </w:r>
      <w:proofErr w:type="spellEnd"/>
      <w:r w:rsidRPr="003E0B98">
        <w:rPr>
          <w:color w:val="000000"/>
          <w:szCs w:val="22"/>
          <w:lang w:val="es-ES"/>
        </w:rPr>
        <w:t xml:space="preserve"> administrado concomitantemente con fotocoagulación con láser. Cuando se administren en el mismo día, </w:t>
      </w:r>
      <w:proofErr w:type="spellStart"/>
      <w:r w:rsidRPr="003E0B98">
        <w:rPr>
          <w:color w:val="000000"/>
          <w:szCs w:val="22"/>
          <w:lang w:val="es-ES"/>
        </w:rPr>
        <w:t>Lucentis</w:t>
      </w:r>
      <w:proofErr w:type="spellEnd"/>
      <w:r w:rsidRPr="003E0B98">
        <w:rPr>
          <w:color w:val="000000"/>
          <w:szCs w:val="22"/>
          <w:lang w:val="es-ES"/>
        </w:rPr>
        <w:t xml:space="preserve"> debe ser administrado como mínimo 30 minutos después de la fotocoagulación con láser. </w:t>
      </w:r>
      <w:proofErr w:type="spellStart"/>
      <w:r w:rsidRPr="003E0B98">
        <w:rPr>
          <w:color w:val="000000"/>
          <w:szCs w:val="22"/>
          <w:lang w:val="es-ES"/>
        </w:rPr>
        <w:t>Lucentis</w:t>
      </w:r>
      <w:proofErr w:type="spellEnd"/>
      <w:r w:rsidRPr="003E0B98">
        <w:rPr>
          <w:color w:val="000000"/>
          <w:szCs w:val="22"/>
          <w:lang w:val="es-ES"/>
        </w:rPr>
        <w:t xml:space="preserve"> puede administrarse en pacientes que han recibido fotocoagulación con láser previamente.</w:t>
      </w:r>
    </w:p>
    <w:p w14:paraId="6BB1144C" w14:textId="77777777" w:rsidR="002E5034" w:rsidRPr="003E0B98" w:rsidRDefault="002E5034" w:rsidP="004361AC">
      <w:pPr>
        <w:numPr>
          <w:ilvl w:val="12"/>
          <w:numId w:val="0"/>
        </w:numPr>
        <w:tabs>
          <w:tab w:val="clear" w:pos="567"/>
        </w:tabs>
        <w:spacing w:line="240" w:lineRule="auto"/>
        <w:ind w:right="-2"/>
        <w:rPr>
          <w:color w:val="000000"/>
          <w:szCs w:val="22"/>
          <w:lang w:val="es-ES_tradnl"/>
        </w:rPr>
      </w:pPr>
    </w:p>
    <w:p w14:paraId="03649B01" w14:textId="77777777" w:rsidR="002E5034" w:rsidRPr="003E0B98" w:rsidRDefault="002E5034" w:rsidP="004361AC">
      <w:pPr>
        <w:keepNext/>
        <w:tabs>
          <w:tab w:val="clear" w:pos="567"/>
        </w:tabs>
        <w:spacing w:line="240" w:lineRule="auto"/>
        <w:rPr>
          <w:i/>
          <w:color w:val="000000"/>
          <w:szCs w:val="22"/>
          <w:lang w:val="es-ES"/>
        </w:rPr>
      </w:pPr>
      <w:proofErr w:type="spellStart"/>
      <w:r w:rsidRPr="003E0B98">
        <w:rPr>
          <w:i/>
          <w:color w:val="000000"/>
          <w:szCs w:val="22"/>
          <w:lang w:val="es-ES"/>
        </w:rPr>
        <w:t>Lucentis</w:t>
      </w:r>
      <w:proofErr w:type="spellEnd"/>
      <w:r w:rsidRPr="003E0B98">
        <w:rPr>
          <w:i/>
          <w:color w:val="000000"/>
          <w:szCs w:val="22"/>
          <w:lang w:val="es-ES"/>
        </w:rPr>
        <w:t xml:space="preserve"> y la terapia fotodinámica con </w:t>
      </w:r>
      <w:proofErr w:type="spellStart"/>
      <w:r w:rsidR="00A4396E" w:rsidRPr="003E0B98">
        <w:rPr>
          <w:i/>
          <w:color w:val="000000"/>
          <w:szCs w:val="22"/>
          <w:lang w:val="es-ES"/>
        </w:rPr>
        <w:t>verteporfina</w:t>
      </w:r>
      <w:proofErr w:type="spellEnd"/>
      <w:r w:rsidRPr="003E0B98">
        <w:rPr>
          <w:i/>
          <w:color w:val="000000"/>
          <w:szCs w:val="22"/>
          <w:lang w:val="es-ES"/>
        </w:rPr>
        <w:t xml:space="preserve"> en la NVC secundaria a MP</w:t>
      </w:r>
    </w:p>
    <w:p w14:paraId="459B1E59" w14:textId="77777777" w:rsidR="002E5034" w:rsidRPr="003E0B98" w:rsidRDefault="002E5034" w:rsidP="004361AC">
      <w:pPr>
        <w:tabs>
          <w:tab w:val="clear" w:pos="567"/>
        </w:tabs>
        <w:spacing w:line="240" w:lineRule="auto"/>
        <w:rPr>
          <w:color w:val="000000"/>
          <w:szCs w:val="22"/>
          <w:lang w:val="es-ES"/>
        </w:rPr>
      </w:pPr>
      <w:r w:rsidRPr="003E0B98">
        <w:rPr>
          <w:color w:val="000000"/>
          <w:szCs w:val="22"/>
          <w:lang w:val="es-ES"/>
        </w:rPr>
        <w:t xml:space="preserve">No hay experiencia en la administración concomitante de </w:t>
      </w:r>
      <w:proofErr w:type="spellStart"/>
      <w:r w:rsidRPr="003E0B98">
        <w:rPr>
          <w:color w:val="000000"/>
          <w:szCs w:val="22"/>
          <w:lang w:val="es-ES"/>
        </w:rPr>
        <w:t>Lucentis</w:t>
      </w:r>
      <w:proofErr w:type="spellEnd"/>
      <w:r w:rsidRPr="003E0B98">
        <w:rPr>
          <w:color w:val="000000"/>
          <w:szCs w:val="22"/>
          <w:lang w:val="es-ES"/>
        </w:rPr>
        <w:t xml:space="preserve"> y </w:t>
      </w:r>
      <w:proofErr w:type="spellStart"/>
      <w:r w:rsidR="00A4396E" w:rsidRPr="003E0B98">
        <w:rPr>
          <w:color w:val="000000"/>
          <w:szCs w:val="22"/>
          <w:lang w:val="es-ES"/>
        </w:rPr>
        <w:t>verteporfina</w:t>
      </w:r>
      <w:proofErr w:type="spellEnd"/>
      <w:r w:rsidRPr="003E0B98">
        <w:rPr>
          <w:color w:val="000000"/>
          <w:szCs w:val="22"/>
          <w:lang w:val="es-ES"/>
        </w:rPr>
        <w:t>.</w:t>
      </w:r>
    </w:p>
    <w:p w14:paraId="6AE823E1" w14:textId="77777777" w:rsidR="002E5034" w:rsidRPr="003E0B98" w:rsidRDefault="002E5034" w:rsidP="004361AC">
      <w:pPr>
        <w:numPr>
          <w:ilvl w:val="12"/>
          <w:numId w:val="0"/>
        </w:numPr>
        <w:tabs>
          <w:tab w:val="clear" w:pos="567"/>
        </w:tabs>
        <w:spacing w:line="240" w:lineRule="auto"/>
        <w:ind w:right="-2"/>
        <w:rPr>
          <w:color w:val="000000"/>
          <w:szCs w:val="22"/>
          <w:lang w:val="es-ES"/>
        </w:rPr>
      </w:pPr>
    </w:p>
    <w:p w14:paraId="66B56FFD" w14:textId="77777777" w:rsidR="002E5034" w:rsidRPr="003E0B98" w:rsidRDefault="002E5034" w:rsidP="004361AC">
      <w:pPr>
        <w:numPr>
          <w:ilvl w:val="12"/>
          <w:numId w:val="0"/>
        </w:numPr>
        <w:tabs>
          <w:tab w:val="clear" w:pos="567"/>
        </w:tabs>
        <w:spacing w:line="240" w:lineRule="auto"/>
        <w:ind w:right="-2"/>
        <w:rPr>
          <w:color w:val="000000"/>
          <w:szCs w:val="22"/>
          <w:lang w:val="es-ES_tradnl"/>
        </w:rPr>
      </w:pPr>
      <w:r w:rsidRPr="003E0B98">
        <w:rPr>
          <w:color w:val="000000"/>
          <w:szCs w:val="22"/>
          <w:lang w:val="es-ES"/>
        </w:rPr>
        <w:t xml:space="preserve">Antes de la administración de </w:t>
      </w:r>
      <w:proofErr w:type="spellStart"/>
      <w:r w:rsidRPr="003E0B98">
        <w:rPr>
          <w:color w:val="000000"/>
          <w:szCs w:val="22"/>
          <w:lang w:val="es-ES"/>
        </w:rPr>
        <w:t>Lucentis</w:t>
      </w:r>
      <w:proofErr w:type="spellEnd"/>
      <w:r w:rsidRPr="003E0B98">
        <w:rPr>
          <w:color w:val="000000"/>
          <w:szCs w:val="22"/>
          <w:lang w:val="es-ES"/>
        </w:rPr>
        <w:t xml:space="preserve"> se debe comprobar visualmente la ausencia de partículas y decoloración.</w:t>
      </w:r>
    </w:p>
    <w:p w14:paraId="5996237C" w14:textId="77777777" w:rsidR="002E5034" w:rsidRPr="003E0B98" w:rsidRDefault="002E5034" w:rsidP="004361AC">
      <w:pPr>
        <w:numPr>
          <w:ilvl w:val="12"/>
          <w:numId w:val="0"/>
        </w:numPr>
        <w:tabs>
          <w:tab w:val="clear" w:pos="567"/>
        </w:tabs>
        <w:spacing w:line="240" w:lineRule="auto"/>
        <w:ind w:right="-2"/>
        <w:rPr>
          <w:color w:val="000000"/>
          <w:szCs w:val="22"/>
          <w:lang w:val="es-ES_tradnl"/>
        </w:rPr>
      </w:pPr>
    </w:p>
    <w:p w14:paraId="6FDC3F6F" w14:textId="77777777" w:rsidR="002E5034" w:rsidRPr="003E0B98" w:rsidRDefault="002E5034" w:rsidP="004361AC">
      <w:pPr>
        <w:numPr>
          <w:ilvl w:val="12"/>
          <w:numId w:val="0"/>
        </w:numPr>
        <w:tabs>
          <w:tab w:val="clear" w:pos="567"/>
        </w:tabs>
        <w:spacing w:line="240" w:lineRule="auto"/>
        <w:ind w:right="-2"/>
        <w:rPr>
          <w:color w:val="000000"/>
          <w:szCs w:val="22"/>
          <w:lang w:val="es-ES"/>
        </w:rPr>
      </w:pPr>
      <w:r w:rsidRPr="003E0B98">
        <w:rPr>
          <w:color w:val="000000"/>
          <w:szCs w:val="22"/>
          <w:lang w:val="es-ES"/>
        </w:rPr>
        <w:t xml:space="preserve">El procedimiento de inyección deberá llevarse a cabo bajo condiciones asépticas, que incluyen el lavado quirúrgico de las manos, el uso de guantes estériles, un campo estéril, un </w:t>
      </w:r>
      <w:proofErr w:type="spellStart"/>
      <w:r w:rsidRPr="003E0B98">
        <w:rPr>
          <w:color w:val="000000"/>
          <w:szCs w:val="22"/>
          <w:lang w:val="es-ES"/>
        </w:rPr>
        <w:t>blefarostato</w:t>
      </w:r>
      <w:proofErr w:type="spellEnd"/>
      <w:r w:rsidRPr="003E0B98">
        <w:rPr>
          <w:color w:val="000000"/>
          <w:szCs w:val="22"/>
          <w:lang w:val="es-ES"/>
        </w:rPr>
        <w:t xml:space="preserve"> estéril para los párpados (o equivalente) y la disponibilidad de una paracentesis estéril (en caso necesario). Antes de realizar el procedimiento de inyección intravítrea, se deberá evaluar detalladamente la historia clínica del paciente en cuanto a reacciones de hipersensibilidad. Antes de la inyección se debe administrar una anestesia adecuada y un microbicida tópico de amplio espectro</w:t>
      </w:r>
      <w:r w:rsidR="006372E2" w:rsidRPr="003E0B98">
        <w:rPr>
          <w:color w:val="000000"/>
          <w:szCs w:val="22"/>
          <w:lang w:val="es-ES"/>
        </w:rPr>
        <w:t xml:space="preserve"> para desinfectar la piel de la zona periocular, párpado y superficie ocular, de acuerdo con la práctica local</w:t>
      </w:r>
      <w:r w:rsidRPr="003E0B98">
        <w:rPr>
          <w:color w:val="000000"/>
          <w:szCs w:val="22"/>
          <w:lang w:val="es-ES"/>
        </w:rPr>
        <w:t>.</w:t>
      </w:r>
    </w:p>
    <w:p w14:paraId="3EB5BC9C" w14:textId="77777777" w:rsidR="00272274" w:rsidRPr="003E0B98" w:rsidRDefault="00272274" w:rsidP="004361AC">
      <w:pPr>
        <w:tabs>
          <w:tab w:val="clear" w:pos="567"/>
        </w:tabs>
        <w:spacing w:line="240" w:lineRule="auto"/>
        <w:rPr>
          <w:color w:val="000000"/>
          <w:szCs w:val="22"/>
          <w:lang w:val="es-ES_tradnl"/>
        </w:rPr>
      </w:pPr>
    </w:p>
    <w:p w14:paraId="5D119558" w14:textId="77777777" w:rsidR="00272274" w:rsidRPr="003E0B98" w:rsidRDefault="00272274" w:rsidP="004361AC">
      <w:pPr>
        <w:keepNext/>
        <w:tabs>
          <w:tab w:val="clear" w:pos="567"/>
        </w:tabs>
        <w:spacing w:line="240" w:lineRule="auto"/>
        <w:rPr>
          <w:color w:val="000000"/>
          <w:szCs w:val="22"/>
          <w:lang w:val="es-ES_tradnl"/>
        </w:rPr>
      </w:pPr>
      <w:r w:rsidRPr="003E0B98">
        <w:rPr>
          <w:color w:val="000000"/>
          <w:szCs w:val="22"/>
          <w:u w:val="single"/>
          <w:lang w:val="es-ES_tradnl"/>
        </w:rPr>
        <w:t>Envase solo con vial</w:t>
      </w:r>
    </w:p>
    <w:p w14:paraId="069B47A9" w14:textId="77777777" w:rsidR="00272274" w:rsidRPr="003E0B98" w:rsidRDefault="00272274" w:rsidP="004361AC">
      <w:pPr>
        <w:tabs>
          <w:tab w:val="clear" w:pos="567"/>
        </w:tabs>
        <w:spacing w:line="240" w:lineRule="auto"/>
        <w:rPr>
          <w:color w:val="000000"/>
          <w:szCs w:val="22"/>
          <w:lang w:val="es-ES_tradnl"/>
        </w:rPr>
      </w:pPr>
      <w:r w:rsidRPr="003E0B98">
        <w:rPr>
          <w:color w:val="000000"/>
          <w:szCs w:val="22"/>
          <w:lang w:val="es-ES_tradnl"/>
        </w:rPr>
        <w:t>El vial es para un solo uso. Tras la inyección se debe desechar cualquier sobrante de producto no utilizado. No se debe utilizar ningún vial que muestre signos de deterioro o manipulación. La esterilidad sólo se puede garantizar si el sellado del envase se mantiene intacto.</w:t>
      </w:r>
    </w:p>
    <w:p w14:paraId="0E18C715" w14:textId="77777777" w:rsidR="00272274" w:rsidRPr="003E0B98" w:rsidRDefault="00272274" w:rsidP="004361AC">
      <w:pPr>
        <w:tabs>
          <w:tab w:val="clear" w:pos="567"/>
        </w:tabs>
        <w:spacing w:line="240" w:lineRule="auto"/>
        <w:rPr>
          <w:color w:val="000000"/>
          <w:szCs w:val="22"/>
          <w:lang w:val="es-ES_tradnl"/>
        </w:rPr>
      </w:pPr>
    </w:p>
    <w:p w14:paraId="679A3C4E" w14:textId="77777777" w:rsidR="00272274" w:rsidRPr="003E0B98" w:rsidRDefault="00272274" w:rsidP="004361AC">
      <w:pPr>
        <w:keepNext/>
        <w:tabs>
          <w:tab w:val="clear" w:pos="567"/>
        </w:tabs>
        <w:spacing w:line="240" w:lineRule="auto"/>
        <w:rPr>
          <w:color w:val="000000"/>
          <w:szCs w:val="22"/>
          <w:lang w:val="es-ES"/>
        </w:rPr>
      </w:pPr>
      <w:r w:rsidRPr="003E0B98">
        <w:rPr>
          <w:color w:val="000000"/>
          <w:szCs w:val="22"/>
          <w:lang w:val="es-ES"/>
        </w:rPr>
        <w:t xml:space="preserve">Para la preparación y la inyección intravítrea se necesitan los siguientes productos sanitarios </w:t>
      </w:r>
      <w:r w:rsidR="003E5C9D" w:rsidRPr="003E0B98">
        <w:rPr>
          <w:color w:val="000000"/>
          <w:szCs w:val="22"/>
          <w:lang w:val="es-ES"/>
        </w:rPr>
        <w:t>(para</w:t>
      </w:r>
      <w:r w:rsidRPr="003E0B98">
        <w:rPr>
          <w:color w:val="000000"/>
          <w:szCs w:val="22"/>
          <w:lang w:val="es-ES"/>
        </w:rPr>
        <w:t xml:space="preserve"> un solo uso</w:t>
      </w:r>
      <w:r w:rsidR="003E5C9D" w:rsidRPr="003E0B98">
        <w:rPr>
          <w:color w:val="000000"/>
          <w:szCs w:val="22"/>
          <w:lang w:val="es-ES"/>
        </w:rPr>
        <w:t>)</w:t>
      </w:r>
      <w:r w:rsidRPr="003E0B98">
        <w:rPr>
          <w:color w:val="000000"/>
          <w:szCs w:val="22"/>
          <w:lang w:val="es-ES"/>
        </w:rPr>
        <w:t>:</w:t>
      </w:r>
    </w:p>
    <w:p w14:paraId="230867B6" w14:textId="77777777" w:rsidR="00272274" w:rsidRPr="003E0B98" w:rsidRDefault="00272274" w:rsidP="004361AC">
      <w:pPr>
        <w:tabs>
          <w:tab w:val="clear" w:pos="567"/>
        </w:tabs>
        <w:spacing w:line="240" w:lineRule="auto"/>
        <w:ind w:left="567" w:hanging="567"/>
        <w:rPr>
          <w:color w:val="000000"/>
          <w:szCs w:val="22"/>
          <w:lang w:val="es-ES"/>
        </w:rPr>
      </w:pPr>
      <w:r w:rsidRPr="003E0B98">
        <w:rPr>
          <w:color w:val="000000"/>
          <w:szCs w:val="22"/>
          <w:lang w:val="es-ES"/>
        </w:rPr>
        <w:t>-</w:t>
      </w:r>
      <w:r w:rsidRPr="003E0B98">
        <w:rPr>
          <w:color w:val="000000"/>
          <w:szCs w:val="22"/>
          <w:lang w:val="es-ES"/>
        </w:rPr>
        <w:tab/>
        <w:t>una aguja con filtro de 5 µm (18G)</w:t>
      </w:r>
    </w:p>
    <w:p w14:paraId="147F6FC3" w14:textId="77777777" w:rsidR="00272274" w:rsidRPr="003E0B98" w:rsidRDefault="00272274" w:rsidP="004361AC">
      <w:pPr>
        <w:tabs>
          <w:tab w:val="clear" w:pos="567"/>
        </w:tabs>
        <w:spacing w:line="240" w:lineRule="auto"/>
        <w:ind w:left="567" w:hanging="567"/>
        <w:rPr>
          <w:color w:val="000000"/>
          <w:szCs w:val="22"/>
          <w:lang w:val="es-ES"/>
        </w:rPr>
      </w:pPr>
      <w:r w:rsidRPr="003E0B98">
        <w:rPr>
          <w:color w:val="000000"/>
          <w:szCs w:val="22"/>
          <w:lang w:val="es-ES"/>
        </w:rPr>
        <w:t>-</w:t>
      </w:r>
      <w:r w:rsidRPr="003E0B98">
        <w:rPr>
          <w:color w:val="000000"/>
          <w:szCs w:val="22"/>
          <w:lang w:val="es-ES"/>
        </w:rPr>
        <w:tab/>
        <w:t>una jeringa estéril de 1 ml</w:t>
      </w:r>
      <w:r w:rsidR="00A4396E" w:rsidRPr="003E0B98">
        <w:rPr>
          <w:color w:val="000000"/>
          <w:szCs w:val="22"/>
          <w:lang w:val="es-ES"/>
        </w:rPr>
        <w:t xml:space="preserve"> (que incluya una marca en 0,05 ml)</w:t>
      </w:r>
    </w:p>
    <w:p w14:paraId="77EF399E" w14:textId="77777777" w:rsidR="00272274" w:rsidRPr="003E0B98" w:rsidRDefault="00272274" w:rsidP="004361AC">
      <w:pPr>
        <w:tabs>
          <w:tab w:val="clear" w:pos="567"/>
        </w:tabs>
        <w:spacing w:line="240" w:lineRule="auto"/>
        <w:ind w:left="567" w:hanging="567"/>
        <w:rPr>
          <w:color w:val="000000"/>
          <w:szCs w:val="22"/>
          <w:lang w:val="es-ES"/>
        </w:rPr>
      </w:pPr>
      <w:r w:rsidRPr="003E0B98">
        <w:rPr>
          <w:color w:val="000000"/>
          <w:szCs w:val="22"/>
          <w:lang w:val="es-ES"/>
        </w:rPr>
        <w:t>-</w:t>
      </w:r>
      <w:r w:rsidRPr="003E0B98">
        <w:rPr>
          <w:color w:val="000000"/>
          <w:szCs w:val="22"/>
          <w:lang w:val="es-ES"/>
        </w:rPr>
        <w:tab/>
        <w:t xml:space="preserve">una </w:t>
      </w:r>
      <w:r w:rsidRPr="003E0B98">
        <w:rPr>
          <w:color w:val="000000"/>
          <w:lang w:val="es-ES_tradnl"/>
        </w:rPr>
        <w:t>aguja para inyección</w:t>
      </w:r>
      <w:r w:rsidRPr="003E0B98">
        <w:rPr>
          <w:color w:val="000000"/>
          <w:szCs w:val="22"/>
          <w:lang w:val="es-ES"/>
        </w:rPr>
        <w:t xml:space="preserve"> (30G x </w:t>
      </w:r>
      <w:r w:rsidRPr="003E0B98">
        <w:rPr>
          <w:color w:val="000000"/>
          <w:lang w:val="es-ES"/>
        </w:rPr>
        <w:t>½</w:t>
      </w:r>
      <w:r w:rsidRPr="003E0B98">
        <w:rPr>
          <w:color w:val="000000"/>
          <w:lang w:val="es-ES_tradnl"/>
        </w:rPr>
        <w:t>″</w:t>
      </w:r>
      <w:r w:rsidRPr="003E0B98">
        <w:rPr>
          <w:color w:val="000000"/>
          <w:szCs w:val="22"/>
          <w:lang w:val="es-ES"/>
        </w:rPr>
        <w:t>).</w:t>
      </w:r>
    </w:p>
    <w:p w14:paraId="2F8261ED" w14:textId="77777777" w:rsidR="00272274" w:rsidRPr="003E0B98" w:rsidRDefault="00272274" w:rsidP="004361AC">
      <w:pPr>
        <w:tabs>
          <w:tab w:val="clear" w:pos="567"/>
        </w:tabs>
        <w:spacing w:line="240" w:lineRule="auto"/>
        <w:rPr>
          <w:color w:val="000000"/>
          <w:szCs w:val="22"/>
          <w:lang w:val="es-ES_tradnl"/>
        </w:rPr>
      </w:pPr>
      <w:r w:rsidRPr="003E0B98">
        <w:rPr>
          <w:color w:val="000000"/>
          <w:szCs w:val="22"/>
          <w:lang w:val="es-ES"/>
        </w:rPr>
        <w:t xml:space="preserve">Estos productos sanitarios no se incluyen en el envase de </w:t>
      </w:r>
      <w:proofErr w:type="spellStart"/>
      <w:r w:rsidRPr="003E0B98">
        <w:rPr>
          <w:color w:val="000000"/>
          <w:szCs w:val="22"/>
          <w:lang w:val="es-ES"/>
        </w:rPr>
        <w:t>Lucentis</w:t>
      </w:r>
      <w:proofErr w:type="spellEnd"/>
      <w:r w:rsidRPr="003E0B98">
        <w:rPr>
          <w:color w:val="000000"/>
          <w:szCs w:val="22"/>
          <w:lang w:val="es-ES"/>
        </w:rPr>
        <w:t>.</w:t>
      </w:r>
    </w:p>
    <w:p w14:paraId="37F3A0EF" w14:textId="77777777" w:rsidR="00272274" w:rsidRPr="003E0B98" w:rsidRDefault="00272274" w:rsidP="004361AC">
      <w:pPr>
        <w:tabs>
          <w:tab w:val="clear" w:pos="567"/>
        </w:tabs>
        <w:spacing w:line="240" w:lineRule="auto"/>
        <w:rPr>
          <w:color w:val="000000"/>
          <w:szCs w:val="22"/>
          <w:lang w:val="es-ES_tradnl"/>
        </w:rPr>
      </w:pPr>
    </w:p>
    <w:p w14:paraId="1871B084" w14:textId="77777777" w:rsidR="00272274" w:rsidRPr="003E0B98" w:rsidRDefault="00272274" w:rsidP="004361AC">
      <w:pPr>
        <w:keepNext/>
        <w:tabs>
          <w:tab w:val="clear" w:pos="567"/>
        </w:tabs>
        <w:spacing w:line="240" w:lineRule="auto"/>
        <w:rPr>
          <w:color w:val="000000"/>
          <w:szCs w:val="22"/>
          <w:lang w:val="es-ES_tradnl"/>
        </w:rPr>
      </w:pPr>
      <w:r w:rsidRPr="003E0B98">
        <w:rPr>
          <w:color w:val="000000"/>
          <w:szCs w:val="22"/>
          <w:u w:val="single"/>
          <w:lang w:val="es-ES_tradnl"/>
        </w:rPr>
        <w:t>Envase de vial + aguja con filtro</w:t>
      </w:r>
    </w:p>
    <w:p w14:paraId="5C8D7A90" w14:textId="77777777" w:rsidR="00272274" w:rsidRPr="003E0B98" w:rsidRDefault="00D33A5E" w:rsidP="004361AC">
      <w:pPr>
        <w:tabs>
          <w:tab w:val="clear" w:pos="567"/>
        </w:tabs>
        <w:spacing w:line="240" w:lineRule="auto"/>
        <w:rPr>
          <w:color w:val="000000"/>
          <w:szCs w:val="22"/>
          <w:lang w:val="es-ES_tradnl"/>
        </w:rPr>
      </w:pPr>
      <w:r w:rsidRPr="003E0B98">
        <w:rPr>
          <w:color w:val="000000"/>
          <w:szCs w:val="22"/>
          <w:lang w:val="es-ES_tradnl"/>
        </w:rPr>
        <w:t xml:space="preserve">Todos los componentes son estériles y para un solo uso. </w:t>
      </w:r>
      <w:r w:rsidR="00272274" w:rsidRPr="003E0B98">
        <w:rPr>
          <w:color w:val="000000"/>
          <w:szCs w:val="22"/>
          <w:lang w:val="es-ES_tradnl"/>
        </w:rPr>
        <w:t xml:space="preserve">No </w:t>
      </w:r>
      <w:r w:rsidRPr="003E0B98">
        <w:rPr>
          <w:color w:val="000000"/>
          <w:szCs w:val="22"/>
          <w:lang w:val="es-ES_tradnl"/>
        </w:rPr>
        <w:t xml:space="preserve">se </w:t>
      </w:r>
      <w:r w:rsidR="00272274" w:rsidRPr="003E0B98">
        <w:rPr>
          <w:color w:val="000000"/>
          <w:szCs w:val="22"/>
          <w:lang w:val="es-ES_tradnl"/>
        </w:rPr>
        <w:t>debe utilizar ningún componente cuyo envase muestre signos de deterioro o manipulación. La esterilidad sólo se puede garantizar si el sellado del envase de los componentes se mantiene intacto.</w:t>
      </w:r>
      <w:r w:rsidRPr="003E0B98">
        <w:rPr>
          <w:color w:val="000000"/>
          <w:szCs w:val="22"/>
          <w:lang w:val="es-ES_tradnl"/>
        </w:rPr>
        <w:t xml:space="preserve"> La reutilización puede dar lugar a una infección u otra enfermedad/lesión.</w:t>
      </w:r>
    </w:p>
    <w:p w14:paraId="3AA3D282" w14:textId="77777777" w:rsidR="00272274" w:rsidRPr="003E0B98" w:rsidRDefault="00272274" w:rsidP="004361AC">
      <w:pPr>
        <w:tabs>
          <w:tab w:val="clear" w:pos="567"/>
        </w:tabs>
        <w:spacing w:line="240" w:lineRule="auto"/>
        <w:rPr>
          <w:color w:val="000000"/>
          <w:szCs w:val="22"/>
          <w:lang w:val="es-ES_tradnl"/>
        </w:rPr>
      </w:pPr>
    </w:p>
    <w:p w14:paraId="39CFAA28" w14:textId="77777777" w:rsidR="00272274" w:rsidRPr="003E0B98" w:rsidRDefault="00272274" w:rsidP="004361AC">
      <w:pPr>
        <w:keepNext/>
        <w:tabs>
          <w:tab w:val="clear" w:pos="567"/>
        </w:tabs>
        <w:spacing w:line="240" w:lineRule="auto"/>
        <w:rPr>
          <w:color w:val="000000"/>
          <w:szCs w:val="22"/>
          <w:lang w:val="es-ES"/>
        </w:rPr>
      </w:pPr>
      <w:r w:rsidRPr="003E0B98">
        <w:rPr>
          <w:color w:val="000000"/>
          <w:szCs w:val="22"/>
          <w:lang w:val="es-ES"/>
        </w:rPr>
        <w:t xml:space="preserve">Para la preparación y la inyección intravítrea se necesitan los siguientes productos sanitarios </w:t>
      </w:r>
      <w:r w:rsidR="003E5C9D" w:rsidRPr="003E0B98">
        <w:rPr>
          <w:color w:val="000000"/>
          <w:szCs w:val="22"/>
          <w:lang w:val="es-ES"/>
        </w:rPr>
        <w:t>(para</w:t>
      </w:r>
      <w:r w:rsidRPr="003E0B98">
        <w:rPr>
          <w:color w:val="000000"/>
          <w:szCs w:val="22"/>
          <w:lang w:val="es-ES"/>
        </w:rPr>
        <w:t xml:space="preserve"> un solo uso</w:t>
      </w:r>
      <w:r w:rsidR="003E5C9D" w:rsidRPr="003E0B98">
        <w:rPr>
          <w:color w:val="000000"/>
          <w:szCs w:val="22"/>
          <w:lang w:val="es-ES"/>
        </w:rPr>
        <w:t>)</w:t>
      </w:r>
      <w:r w:rsidRPr="003E0B98">
        <w:rPr>
          <w:color w:val="000000"/>
          <w:szCs w:val="22"/>
          <w:lang w:val="es-ES"/>
        </w:rPr>
        <w:t>:</w:t>
      </w:r>
    </w:p>
    <w:p w14:paraId="6EBF8DB4" w14:textId="77777777" w:rsidR="00272274" w:rsidRPr="003E0B98" w:rsidRDefault="00272274" w:rsidP="004361AC">
      <w:pPr>
        <w:keepNext/>
        <w:tabs>
          <w:tab w:val="clear" w:pos="567"/>
        </w:tabs>
        <w:spacing w:line="240" w:lineRule="auto"/>
        <w:ind w:left="567" w:hanging="567"/>
        <w:rPr>
          <w:color w:val="000000"/>
          <w:szCs w:val="22"/>
          <w:lang w:val="es-ES"/>
        </w:rPr>
      </w:pPr>
      <w:r w:rsidRPr="003E0B98">
        <w:rPr>
          <w:color w:val="000000"/>
          <w:szCs w:val="22"/>
          <w:lang w:val="es-ES"/>
        </w:rPr>
        <w:t>-</w:t>
      </w:r>
      <w:r w:rsidRPr="003E0B98">
        <w:rPr>
          <w:color w:val="000000"/>
          <w:szCs w:val="22"/>
          <w:lang w:val="es-ES"/>
        </w:rPr>
        <w:tab/>
        <w:t>una aguja con filtro de 5 µm (18G x 1½″, 1,2 mm x 40 mm, suministrada)</w:t>
      </w:r>
    </w:p>
    <w:p w14:paraId="45AC360A" w14:textId="77777777" w:rsidR="00272274" w:rsidRPr="003E0B98" w:rsidRDefault="00272274" w:rsidP="004361AC">
      <w:pPr>
        <w:keepNext/>
        <w:tabs>
          <w:tab w:val="clear" w:pos="567"/>
        </w:tabs>
        <w:spacing w:line="240" w:lineRule="auto"/>
        <w:ind w:left="567" w:hanging="567"/>
        <w:rPr>
          <w:color w:val="000000"/>
          <w:szCs w:val="22"/>
          <w:lang w:val="es-ES"/>
        </w:rPr>
      </w:pPr>
      <w:r w:rsidRPr="003E0B98">
        <w:rPr>
          <w:color w:val="000000"/>
          <w:szCs w:val="22"/>
          <w:lang w:val="es-ES"/>
        </w:rPr>
        <w:t>-</w:t>
      </w:r>
      <w:r w:rsidRPr="003E0B98">
        <w:rPr>
          <w:color w:val="000000"/>
          <w:szCs w:val="22"/>
          <w:lang w:val="es-ES"/>
        </w:rPr>
        <w:tab/>
        <w:t>una jeringa estéril de 1 ml (</w:t>
      </w:r>
      <w:r w:rsidR="00A4396E" w:rsidRPr="003E0B98">
        <w:rPr>
          <w:color w:val="000000"/>
          <w:szCs w:val="22"/>
          <w:lang w:val="es-ES"/>
        </w:rPr>
        <w:t xml:space="preserve">que incluya una marca en 0,05 ml, </w:t>
      </w:r>
      <w:r w:rsidRPr="003E0B98">
        <w:rPr>
          <w:color w:val="000000"/>
          <w:szCs w:val="22"/>
          <w:lang w:val="es-ES"/>
        </w:rPr>
        <w:t xml:space="preserve">no incluida en </w:t>
      </w:r>
      <w:r w:rsidR="00D33A5E" w:rsidRPr="003E0B98">
        <w:rPr>
          <w:color w:val="000000"/>
          <w:szCs w:val="22"/>
          <w:lang w:val="es-ES"/>
        </w:rPr>
        <w:t>el</w:t>
      </w:r>
      <w:r w:rsidRPr="003E0B98">
        <w:rPr>
          <w:color w:val="000000"/>
          <w:szCs w:val="22"/>
          <w:lang w:val="es-ES"/>
        </w:rPr>
        <w:t xml:space="preserve"> envase</w:t>
      </w:r>
      <w:r w:rsidR="00D33A5E" w:rsidRPr="003E0B98">
        <w:rPr>
          <w:color w:val="000000"/>
          <w:szCs w:val="22"/>
          <w:lang w:val="es-ES"/>
        </w:rPr>
        <w:t xml:space="preserve"> de </w:t>
      </w:r>
      <w:proofErr w:type="spellStart"/>
      <w:r w:rsidR="00D33A5E" w:rsidRPr="003E0B98">
        <w:rPr>
          <w:color w:val="000000"/>
          <w:szCs w:val="22"/>
          <w:lang w:val="es-ES"/>
        </w:rPr>
        <w:t>Lucentis</w:t>
      </w:r>
      <w:proofErr w:type="spellEnd"/>
      <w:r w:rsidRPr="003E0B98">
        <w:rPr>
          <w:color w:val="000000"/>
          <w:szCs w:val="22"/>
          <w:lang w:val="es-ES"/>
        </w:rPr>
        <w:t>)</w:t>
      </w:r>
    </w:p>
    <w:p w14:paraId="7AA1FD03" w14:textId="77777777" w:rsidR="002E5034" w:rsidRPr="003E0B98" w:rsidRDefault="00272274" w:rsidP="004361AC">
      <w:pPr>
        <w:numPr>
          <w:ilvl w:val="12"/>
          <w:numId w:val="0"/>
        </w:numPr>
        <w:tabs>
          <w:tab w:val="clear" w:pos="567"/>
        </w:tabs>
        <w:spacing w:line="240" w:lineRule="auto"/>
        <w:ind w:right="-2"/>
        <w:rPr>
          <w:color w:val="000000"/>
          <w:szCs w:val="22"/>
          <w:lang w:val="es-ES"/>
        </w:rPr>
      </w:pPr>
      <w:r w:rsidRPr="003E0B98">
        <w:rPr>
          <w:color w:val="000000"/>
          <w:szCs w:val="22"/>
          <w:lang w:val="es-ES"/>
        </w:rPr>
        <w:t>-</w:t>
      </w:r>
      <w:r w:rsidRPr="003E0B98">
        <w:rPr>
          <w:color w:val="000000"/>
          <w:szCs w:val="22"/>
          <w:lang w:val="es-ES"/>
        </w:rPr>
        <w:tab/>
        <w:t xml:space="preserve">una </w:t>
      </w:r>
      <w:r w:rsidRPr="003E0B98">
        <w:rPr>
          <w:color w:val="000000"/>
          <w:lang w:val="es-ES_tradnl"/>
        </w:rPr>
        <w:t>aguja para inyección</w:t>
      </w:r>
      <w:r w:rsidRPr="003E0B98">
        <w:rPr>
          <w:color w:val="000000"/>
          <w:szCs w:val="22"/>
          <w:lang w:val="es-ES"/>
        </w:rPr>
        <w:t xml:space="preserve"> (30G x </w:t>
      </w:r>
      <w:r w:rsidRPr="003E0B98">
        <w:rPr>
          <w:color w:val="000000"/>
          <w:lang w:val="es-ES"/>
        </w:rPr>
        <w:t>½″</w:t>
      </w:r>
      <w:r w:rsidRPr="003E0B98">
        <w:rPr>
          <w:color w:val="000000"/>
          <w:szCs w:val="22"/>
          <w:lang w:val="es-ES"/>
        </w:rPr>
        <w:t xml:space="preserve">; no incluida en </w:t>
      </w:r>
      <w:r w:rsidR="00D33A5E" w:rsidRPr="003E0B98">
        <w:rPr>
          <w:color w:val="000000"/>
          <w:szCs w:val="22"/>
          <w:lang w:val="es-ES"/>
        </w:rPr>
        <w:t xml:space="preserve">el </w:t>
      </w:r>
      <w:r w:rsidRPr="003E0B98">
        <w:rPr>
          <w:color w:val="000000"/>
          <w:szCs w:val="22"/>
          <w:lang w:val="es-ES"/>
        </w:rPr>
        <w:t>envase</w:t>
      </w:r>
      <w:r w:rsidR="00D33A5E" w:rsidRPr="003E0B98">
        <w:rPr>
          <w:color w:val="000000"/>
          <w:szCs w:val="22"/>
          <w:lang w:val="es-ES"/>
        </w:rPr>
        <w:t xml:space="preserve"> de </w:t>
      </w:r>
      <w:proofErr w:type="spellStart"/>
      <w:r w:rsidR="00D33A5E" w:rsidRPr="003E0B98">
        <w:rPr>
          <w:color w:val="000000"/>
          <w:szCs w:val="22"/>
          <w:lang w:val="es-ES"/>
        </w:rPr>
        <w:t>Lucentis</w:t>
      </w:r>
      <w:proofErr w:type="spellEnd"/>
      <w:r w:rsidRPr="003E0B98">
        <w:rPr>
          <w:color w:val="000000"/>
          <w:szCs w:val="22"/>
          <w:lang w:val="es-ES"/>
        </w:rPr>
        <w:t>)</w:t>
      </w:r>
    </w:p>
    <w:p w14:paraId="3374650F" w14:textId="77777777" w:rsidR="00272274" w:rsidRPr="003E0B98" w:rsidRDefault="00272274" w:rsidP="004361AC">
      <w:pPr>
        <w:numPr>
          <w:ilvl w:val="12"/>
          <w:numId w:val="0"/>
        </w:numPr>
        <w:tabs>
          <w:tab w:val="clear" w:pos="567"/>
        </w:tabs>
        <w:spacing w:line="240" w:lineRule="auto"/>
        <w:ind w:right="-2"/>
        <w:rPr>
          <w:color w:val="000000"/>
          <w:szCs w:val="22"/>
          <w:lang w:val="es-ES"/>
        </w:rPr>
      </w:pPr>
    </w:p>
    <w:p w14:paraId="1355CBCA" w14:textId="77777777" w:rsidR="002E5034" w:rsidRPr="003E0B98" w:rsidRDefault="002E5034" w:rsidP="004361AC">
      <w:pPr>
        <w:keepNext/>
        <w:numPr>
          <w:ilvl w:val="12"/>
          <w:numId w:val="0"/>
        </w:numPr>
        <w:tabs>
          <w:tab w:val="clear" w:pos="567"/>
        </w:tabs>
        <w:spacing w:line="240" w:lineRule="auto"/>
        <w:rPr>
          <w:color w:val="000000"/>
          <w:szCs w:val="22"/>
          <w:lang w:val="es-ES_tradnl"/>
        </w:rPr>
      </w:pPr>
      <w:r w:rsidRPr="003E0B98">
        <w:rPr>
          <w:color w:val="000000"/>
          <w:szCs w:val="22"/>
          <w:lang w:val="es-ES_tradnl"/>
        </w:rPr>
        <w:t xml:space="preserve">Para la preparación de </w:t>
      </w:r>
      <w:proofErr w:type="spellStart"/>
      <w:r w:rsidRPr="003E0B98">
        <w:rPr>
          <w:color w:val="000000"/>
          <w:szCs w:val="22"/>
          <w:lang w:val="es-ES_tradnl"/>
        </w:rPr>
        <w:t>Lucentis</w:t>
      </w:r>
      <w:proofErr w:type="spellEnd"/>
      <w:r w:rsidRPr="003E0B98">
        <w:rPr>
          <w:color w:val="000000"/>
          <w:szCs w:val="22"/>
          <w:lang w:val="es-ES_tradnl"/>
        </w:rPr>
        <w:t xml:space="preserve"> para administración intravítrea</w:t>
      </w:r>
      <w:r w:rsidR="00935744" w:rsidRPr="003E0B98">
        <w:rPr>
          <w:color w:val="000000"/>
          <w:szCs w:val="22"/>
          <w:lang w:val="es-ES_tradnl"/>
        </w:rPr>
        <w:t xml:space="preserve"> en pacientes adultos</w:t>
      </w:r>
      <w:r w:rsidRPr="003E0B98">
        <w:rPr>
          <w:color w:val="000000"/>
          <w:szCs w:val="22"/>
          <w:lang w:val="es-ES_tradnl"/>
        </w:rPr>
        <w:t>, siga las siguientes instrucciones:</w:t>
      </w:r>
    </w:p>
    <w:p w14:paraId="5D77C7F7" w14:textId="77777777" w:rsidR="002E5034" w:rsidRPr="003E0B98" w:rsidRDefault="002E5034" w:rsidP="004361AC">
      <w:pPr>
        <w:keepNext/>
        <w:numPr>
          <w:ilvl w:val="12"/>
          <w:numId w:val="0"/>
        </w:numPr>
        <w:tabs>
          <w:tab w:val="clear" w:pos="567"/>
        </w:tabs>
        <w:spacing w:line="240" w:lineRule="auto"/>
        <w:rPr>
          <w:color w:val="000000"/>
          <w:szCs w:val="22"/>
          <w:lang w:val="es-ES_tradnl"/>
        </w:rPr>
      </w:pPr>
    </w:p>
    <w:tbl>
      <w:tblPr>
        <w:tblW w:w="0" w:type="auto"/>
        <w:tblLook w:val="01E0" w:firstRow="1" w:lastRow="1" w:firstColumn="1" w:lastColumn="1" w:noHBand="0" w:noVBand="0"/>
      </w:tblPr>
      <w:tblGrid>
        <w:gridCol w:w="2941"/>
        <w:gridCol w:w="6130"/>
      </w:tblGrid>
      <w:tr w:rsidR="002E5034" w:rsidRPr="00174177" w14:paraId="65FD055C" w14:textId="77777777" w:rsidTr="00606F06">
        <w:trPr>
          <w:cantSplit/>
        </w:trPr>
        <w:tc>
          <w:tcPr>
            <w:tcW w:w="2943" w:type="dxa"/>
          </w:tcPr>
          <w:p w14:paraId="573F48CA" w14:textId="77777777" w:rsidR="002E5034" w:rsidRPr="003E0B98" w:rsidRDefault="002E5034" w:rsidP="004361AC">
            <w:pPr>
              <w:numPr>
                <w:ilvl w:val="12"/>
                <w:numId w:val="0"/>
              </w:numPr>
              <w:tabs>
                <w:tab w:val="clear" w:pos="567"/>
              </w:tabs>
              <w:spacing w:line="240" w:lineRule="auto"/>
              <w:ind w:right="-2"/>
              <w:rPr>
                <w:color w:val="000000"/>
                <w:szCs w:val="22"/>
                <w:lang w:val="es-ES_tradnl"/>
              </w:rPr>
            </w:pPr>
          </w:p>
          <w:p w14:paraId="31D8431A" w14:textId="77777777" w:rsidR="002E5034" w:rsidRPr="003E0B98" w:rsidRDefault="00C240E6" w:rsidP="004361AC">
            <w:pPr>
              <w:numPr>
                <w:ilvl w:val="12"/>
                <w:numId w:val="0"/>
              </w:numPr>
              <w:tabs>
                <w:tab w:val="clear" w:pos="567"/>
              </w:tabs>
              <w:spacing w:line="240" w:lineRule="auto"/>
              <w:ind w:right="-2"/>
              <w:rPr>
                <w:color w:val="000000"/>
                <w:szCs w:val="22"/>
              </w:rPr>
            </w:pPr>
            <w:r w:rsidRPr="003E0B98">
              <w:rPr>
                <w:noProof/>
                <w:color w:val="000000"/>
                <w:lang w:val="es-ES" w:eastAsia="es-ES"/>
              </w:rPr>
              <w:drawing>
                <wp:inline distT="0" distB="0" distL="0" distR="0" wp14:anchorId="29B2D39D" wp14:editId="4C6D0999">
                  <wp:extent cx="1343025" cy="169545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343025" cy="1695450"/>
                          </a:xfrm>
                          <a:prstGeom prst="rect">
                            <a:avLst/>
                          </a:prstGeom>
                          <a:noFill/>
                          <a:ln>
                            <a:noFill/>
                          </a:ln>
                        </pic:spPr>
                      </pic:pic>
                    </a:graphicData>
                  </a:graphic>
                </wp:inline>
              </w:drawing>
            </w:r>
          </w:p>
        </w:tc>
        <w:tc>
          <w:tcPr>
            <w:tcW w:w="6804" w:type="dxa"/>
          </w:tcPr>
          <w:p w14:paraId="50930E7E" w14:textId="35B19795" w:rsidR="002E5034" w:rsidRPr="003E0B98" w:rsidRDefault="002E5034" w:rsidP="004361AC">
            <w:pPr>
              <w:tabs>
                <w:tab w:val="clear" w:pos="567"/>
              </w:tabs>
              <w:spacing w:line="240" w:lineRule="auto"/>
              <w:rPr>
                <w:color w:val="000000"/>
                <w:szCs w:val="22"/>
                <w:lang w:val="es-ES_tradnl"/>
              </w:rPr>
            </w:pPr>
            <w:r w:rsidRPr="003E0B98">
              <w:rPr>
                <w:color w:val="000000"/>
                <w:szCs w:val="22"/>
                <w:lang w:val="es-ES_tradnl"/>
              </w:rPr>
              <w:t xml:space="preserve">1. </w:t>
            </w:r>
            <w:r w:rsidRPr="003E0B98">
              <w:rPr>
                <w:color w:val="000000"/>
                <w:szCs w:val="22"/>
                <w:lang w:val="es-ES"/>
              </w:rPr>
              <w:t xml:space="preserve">Antes de extraer la solución, </w:t>
            </w:r>
            <w:r w:rsidR="00483DF7" w:rsidRPr="003E0B98">
              <w:rPr>
                <w:color w:val="000000"/>
                <w:szCs w:val="22"/>
                <w:lang w:val="es-ES"/>
              </w:rPr>
              <w:t>r</w:t>
            </w:r>
            <w:proofErr w:type="spellStart"/>
            <w:r w:rsidR="00483DF7" w:rsidRPr="003E0B98">
              <w:rPr>
                <w:color w:val="000000"/>
                <w:szCs w:val="22"/>
                <w:lang w:val="es-ES_tradnl"/>
              </w:rPr>
              <w:t>etirar</w:t>
            </w:r>
            <w:proofErr w:type="spellEnd"/>
            <w:r w:rsidR="00483DF7" w:rsidRPr="003E0B98">
              <w:rPr>
                <w:color w:val="000000"/>
                <w:szCs w:val="22"/>
                <w:lang w:val="es-ES_tradnl"/>
              </w:rPr>
              <w:t xml:space="preserve"> la cápsula de cierre del vial y desinfectar la parte externa del vial (p. ej. con un algodón con alcohol al 70%)</w:t>
            </w:r>
            <w:r w:rsidRPr="003E0B98">
              <w:rPr>
                <w:color w:val="000000"/>
                <w:szCs w:val="22"/>
                <w:lang w:val="es-ES"/>
              </w:rPr>
              <w:t>.</w:t>
            </w:r>
          </w:p>
          <w:p w14:paraId="349FCDA4" w14:textId="77777777" w:rsidR="002E5034" w:rsidRPr="003E0B98" w:rsidRDefault="002E5034" w:rsidP="004361AC">
            <w:pPr>
              <w:tabs>
                <w:tab w:val="clear" w:pos="567"/>
              </w:tabs>
              <w:spacing w:line="240" w:lineRule="auto"/>
              <w:rPr>
                <w:color w:val="000000"/>
                <w:szCs w:val="22"/>
                <w:lang w:val="es-ES_tradnl"/>
              </w:rPr>
            </w:pPr>
          </w:p>
          <w:p w14:paraId="71A0EC8F" w14:textId="77777777" w:rsidR="002E5034" w:rsidRPr="003E0B98" w:rsidRDefault="002E5034" w:rsidP="004361AC">
            <w:pPr>
              <w:tabs>
                <w:tab w:val="clear" w:pos="567"/>
              </w:tabs>
              <w:spacing w:line="240" w:lineRule="auto"/>
              <w:rPr>
                <w:color w:val="000000"/>
                <w:szCs w:val="22"/>
                <w:lang w:val="es-ES_tradnl"/>
              </w:rPr>
            </w:pPr>
            <w:r w:rsidRPr="003E0B98">
              <w:rPr>
                <w:color w:val="000000"/>
                <w:szCs w:val="22"/>
                <w:lang w:val="es-ES_tradnl"/>
              </w:rPr>
              <w:t xml:space="preserve">2. Incorporar </w:t>
            </w:r>
            <w:r w:rsidR="00D33A5E" w:rsidRPr="003E0B98">
              <w:rPr>
                <w:color w:val="000000"/>
                <w:szCs w:val="22"/>
                <w:lang w:val="es-ES_tradnl"/>
              </w:rPr>
              <w:t>una</w:t>
            </w:r>
            <w:r w:rsidRPr="003E0B98">
              <w:rPr>
                <w:color w:val="000000"/>
                <w:szCs w:val="22"/>
                <w:lang w:val="es-ES_tradnl"/>
              </w:rPr>
              <w:t xml:space="preserve"> </w:t>
            </w:r>
            <w:r w:rsidRPr="003E0B98">
              <w:rPr>
                <w:color w:val="000000"/>
                <w:szCs w:val="22"/>
                <w:lang w:val="es-ES"/>
              </w:rPr>
              <w:t>aguja con filtro de 5 µm (</w:t>
            </w:r>
            <w:r w:rsidRPr="003E0B98">
              <w:rPr>
                <w:color w:val="000000"/>
                <w:lang w:val="es-ES_tradnl"/>
              </w:rPr>
              <w:t>18G x 1½″, 1,2 mm x 40 mm</w:t>
            </w:r>
            <w:r w:rsidRPr="003E0B98">
              <w:rPr>
                <w:color w:val="000000"/>
                <w:szCs w:val="22"/>
                <w:lang w:val="es-ES_tradnl"/>
              </w:rPr>
              <w:t>,</w:t>
            </w:r>
            <w:r w:rsidRPr="003E0B98">
              <w:rPr>
                <w:color w:val="000000"/>
                <w:lang w:val="es-ES_tradnl"/>
              </w:rPr>
              <w:t xml:space="preserve"> 5 µm</w:t>
            </w:r>
            <w:r w:rsidRPr="003E0B98">
              <w:rPr>
                <w:color w:val="000000"/>
                <w:szCs w:val="22"/>
                <w:lang w:val="es-ES"/>
              </w:rPr>
              <w:t xml:space="preserve">) a </w:t>
            </w:r>
            <w:r w:rsidR="00D33A5E" w:rsidRPr="003E0B98">
              <w:rPr>
                <w:color w:val="000000"/>
                <w:szCs w:val="22"/>
                <w:lang w:val="es-ES"/>
              </w:rPr>
              <w:t>una</w:t>
            </w:r>
            <w:r w:rsidRPr="003E0B98">
              <w:rPr>
                <w:color w:val="000000"/>
                <w:szCs w:val="22"/>
                <w:lang w:val="es-ES"/>
              </w:rPr>
              <w:t xml:space="preserve"> jeringa de 1 ml usando técnicas asépticas. Insertar la aguja roma con filtro en el centro del tapón del vial hasta que la aguja toque el extremo inferior del vial.</w:t>
            </w:r>
          </w:p>
          <w:p w14:paraId="45A01DF0" w14:textId="77777777" w:rsidR="002E5034" w:rsidRPr="003E0B98" w:rsidRDefault="002E5034" w:rsidP="004361AC">
            <w:pPr>
              <w:tabs>
                <w:tab w:val="clear" w:pos="567"/>
              </w:tabs>
              <w:spacing w:line="240" w:lineRule="auto"/>
              <w:rPr>
                <w:color w:val="000000"/>
                <w:szCs w:val="22"/>
                <w:lang w:val="es-ES_tradnl"/>
              </w:rPr>
            </w:pPr>
          </w:p>
          <w:p w14:paraId="2AA960EC" w14:textId="77777777" w:rsidR="002E5034" w:rsidRPr="003E0B98" w:rsidRDefault="002E5034" w:rsidP="004361AC">
            <w:pPr>
              <w:tabs>
                <w:tab w:val="clear" w:pos="567"/>
              </w:tabs>
              <w:spacing w:line="240" w:lineRule="auto"/>
              <w:rPr>
                <w:color w:val="000000"/>
                <w:szCs w:val="22"/>
                <w:lang w:val="es-ES_tradnl"/>
              </w:rPr>
            </w:pPr>
            <w:r w:rsidRPr="003E0B98">
              <w:rPr>
                <w:color w:val="000000"/>
                <w:szCs w:val="22"/>
                <w:lang w:val="es-ES_tradnl"/>
              </w:rPr>
              <w:t xml:space="preserve">3. Extraer todo el líquido del vial, </w:t>
            </w:r>
            <w:r w:rsidRPr="003E0B98">
              <w:rPr>
                <w:color w:val="000000"/>
                <w:szCs w:val="22"/>
                <w:lang w:val="es-ES"/>
              </w:rPr>
              <w:t>manteniendo el vial en posición vertical,</w:t>
            </w:r>
            <w:r w:rsidRPr="003E0B98">
              <w:rPr>
                <w:color w:val="000000"/>
                <w:szCs w:val="22"/>
                <w:lang w:val="es-ES_tradnl"/>
              </w:rPr>
              <w:t xml:space="preserve"> ligeramente inclinado para facilitar la extracción completa.</w:t>
            </w:r>
          </w:p>
          <w:p w14:paraId="3EF80451" w14:textId="77777777" w:rsidR="002E5034" w:rsidRPr="003E0B98" w:rsidRDefault="002E5034" w:rsidP="004361AC">
            <w:pPr>
              <w:tabs>
                <w:tab w:val="clear" w:pos="567"/>
              </w:tabs>
              <w:spacing w:line="240" w:lineRule="auto"/>
              <w:rPr>
                <w:color w:val="000000"/>
                <w:szCs w:val="22"/>
                <w:lang w:val="es-ES_tradnl"/>
              </w:rPr>
            </w:pPr>
          </w:p>
          <w:p w14:paraId="4BCA754F" w14:textId="77777777" w:rsidR="002E5034" w:rsidRPr="003E0B98" w:rsidRDefault="002E5034" w:rsidP="004361AC">
            <w:pPr>
              <w:tabs>
                <w:tab w:val="clear" w:pos="567"/>
              </w:tabs>
              <w:spacing w:line="240" w:lineRule="auto"/>
              <w:rPr>
                <w:color w:val="000000"/>
                <w:szCs w:val="22"/>
                <w:lang w:val="es-ES_tradnl"/>
              </w:rPr>
            </w:pPr>
          </w:p>
          <w:p w14:paraId="31034865" w14:textId="77777777" w:rsidR="002E5034" w:rsidRPr="003E0B98" w:rsidRDefault="002E5034" w:rsidP="004361AC">
            <w:pPr>
              <w:tabs>
                <w:tab w:val="clear" w:pos="567"/>
              </w:tabs>
              <w:spacing w:line="240" w:lineRule="auto"/>
              <w:ind w:left="360"/>
              <w:rPr>
                <w:color w:val="000000"/>
                <w:szCs w:val="22"/>
                <w:lang w:val="es-ES_tradnl"/>
              </w:rPr>
            </w:pPr>
          </w:p>
        </w:tc>
      </w:tr>
      <w:tr w:rsidR="002E5034" w:rsidRPr="003C169A" w14:paraId="65CDEDD4" w14:textId="77777777" w:rsidTr="00606F06">
        <w:trPr>
          <w:cantSplit/>
        </w:trPr>
        <w:tc>
          <w:tcPr>
            <w:tcW w:w="2943" w:type="dxa"/>
          </w:tcPr>
          <w:p w14:paraId="36C37CE1" w14:textId="77777777" w:rsidR="002E5034" w:rsidRPr="003E0B98" w:rsidRDefault="00C240E6" w:rsidP="004361AC">
            <w:pPr>
              <w:numPr>
                <w:ilvl w:val="12"/>
                <w:numId w:val="0"/>
              </w:numPr>
              <w:tabs>
                <w:tab w:val="clear" w:pos="567"/>
              </w:tabs>
              <w:spacing w:line="240" w:lineRule="auto"/>
              <w:ind w:right="-2"/>
              <w:rPr>
                <w:color w:val="000000"/>
                <w:szCs w:val="22"/>
              </w:rPr>
            </w:pPr>
            <w:r w:rsidRPr="003E0B98">
              <w:rPr>
                <w:noProof/>
                <w:color w:val="000000"/>
                <w:lang w:val="es-ES" w:eastAsia="es-ES"/>
              </w:rPr>
              <w:drawing>
                <wp:inline distT="0" distB="0" distL="0" distR="0" wp14:anchorId="0E160B13" wp14:editId="7EB39F3B">
                  <wp:extent cx="1238250" cy="169545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238250" cy="1695450"/>
                          </a:xfrm>
                          <a:prstGeom prst="rect">
                            <a:avLst/>
                          </a:prstGeom>
                          <a:noFill/>
                          <a:ln>
                            <a:noFill/>
                          </a:ln>
                        </pic:spPr>
                      </pic:pic>
                    </a:graphicData>
                  </a:graphic>
                </wp:inline>
              </w:drawing>
            </w:r>
          </w:p>
        </w:tc>
        <w:tc>
          <w:tcPr>
            <w:tcW w:w="6804" w:type="dxa"/>
          </w:tcPr>
          <w:p w14:paraId="049A9125" w14:textId="77777777" w:rsidR="002E5034" w:rsidRPr="003E0B98" w:rsidRDefault="002E5034" w:rsidP="004361AC">
            <w:pPr>
              <w:tabs>
                <w:tab w:val="clear" w:pos="567"/>
              </w:tabs>
              <w:spacing w:line="240" w:lineRule="auto"/>
              <w:rPr>
                <w:color w:val="000000"/>
                <w:lang w:val="es-ES_tradnl"/>
              </w:rPr>
            </w:pPr>
            <w:r w:rsidRPr="003E0B98">
              <w:rPr>
                <w:color w:val="000000"/>
                <w:szCs w:val="22"/>
                <w:lang w:val="es-ES_tradnl"/>
              </w:rPr>
              <w:t>4. Al vaciar el vial, asegurar que el émbolo se retira hacia atrás lo suficiente de forma que se vacíe por completo la aguja con filtro.</w:t>
            </w:r>
          </w:p>
          <w:p w14:paraId="38BEDDE8" w14:textId="77777777" w:rsidR="002E5034" w:rsidRPr="003E0B98" w:rsidRDefault="002E5034" w:rsidP="004361AC">
            <w:pPr>
              <w:tabs>
                <w:tab w:val="clear" w:pos="567"/>
              </w:tabs>
              <w:spacing w:line="240" w:lineRule="auto"/>
              <w:ind w:right="-2"/>
              <w:rPr>
                <w:color w:val="000000"/>
                <w:lang w:val="es-ES_tradnl"/>
              </w:rPr>
            </w:pPr>
          </w:p>
          <w:p w14:paraId="0D53E03B" w14:textId="77777777" w:rsidR="002E5034" w:rsidRPr="003E0B98" w:rsidRDefault="002E5034" w:rsidP="004361AC">
            <w:pPr>
              <w:tabs>
                <w:tab w:val="clear" w:pos="567"/>
              </w:tabs>
              <w:spacing w:line="240" w:lineRule="auto"/>
              <w:rPr>
                <w:color w:val="000000"/>
                <w:lang w:val="es-ES_tradnl"/>
              </w:rPr>
            </w:pPr>
            <w:r w:rsidRPr="003E0B98">
              <w:rPr>
                <w:color w:val="000000"/>
                <w:lang w:val="es-ES_tradnl"/>
              </w:rPr>
              <w:t xml:space="preserve">5. Dejar </w:t>
            </w:r>
            <w:r w:rsidRPr="003E0B98">
              <w:rPr>
                <w:color w:val="000000"/>
                <w:lang w:val="es-ES"/>
              </w:rPr>
              <w:t>la aguja roma con filtro en el vial y desconectarla de la jeringa. La aguja con filtro se debe desechar tras extraer el contenido del vial, y no se debe utilizar para la inyección intravítrea.</w:t>
            </w:r>
          </w:p>
        </w:tc>
      </w:tr>
      <w:tr w:rsidR="002E5034" w:rsidRPr="003C169A" w14:paraId="45638723" w14:textId="77777777" w:rsidTr="00606F06">
        <w:trPr>
          <w:cantSplit/>
        </w:trPr>
        <w:tc>
          <w:tcPr>
            <w:tcW w:w="2943" w:type="dxa"/>
          </w:tcPr>
          <w:p w14:paraId="2829D946" w14:textId="77777777" w:rsidR="002E5034" w:rsidRPr="003E0B98" w:rsidRDefault="002E5034" w:rsidP="004361AC">
            <w:pPr>
              <w:numPr>
                <w:ilvl w:val="12"/>
                <w:numId w:val="0"/>
              </w:numPr>
              <w:tabs>
                <w:tab w:val="clear" w:pos="567"/>
              </w:tabs>
              <w:spacing w:line="240" w:lineRule="auto"/>
              <w:ind w:right="-2"/>
              <w:rPr>
                <w:color w:val="000000"/>
                <w:lang w:val="es-ES"/>
              </w:rPr>
            </w:pPr>
          </w:p>
          <w:p w14:paraId="6881248D" w14:textId="77777777" w:rsidR="002E5034" w:rsidRPr="003E0B98" w:rsidRDefault="00C240E6" w:rsidP="004361AC">
            <w:pPr>
              <w:numPr>
                <w:ilvl w:val="12"/>
                <w:numId w:val="0"/>
              </w:numPr>
              <w:tabs>
                <w:tab w:val="clear" w:pos="567"/>
              </w:tabs>
              <w:spacing w:line="240" w:lineRule="auto"/>
              <w:ind w:right="-2"/>
              <w:rPr>
                <w:color w:val="000000"/>
                <w:szCs w:val="22"/>
              </w:rPr>
            </w:pPr>
            <w:r w:rsidRPr="003E0B98">
              <w:rPr>
                <w:noProof/>
                <w:color w:val="000000"/>
                <w:lang w:val="es-ES" w:eastAsia="es-ES"/>
              </w:rPr>
              <w:drawing>
                <wp:inline distT="0" distB="0" distL="0" distR="0" wp14:anchorId="4BF097A3" wp14:editId="67F63622">
                  <wp:extent cx="1152525" cy="169545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152525" cy="1695450"/>
                          </a:xfrm>
                          <a:prstGeom prst="rect">
                            <a:avLst/>
                          </a:prstGeom>
                          <a:noFill/>
                          <a:ln>
                            <a:noFill/>
                          </a:ln>
                        </pic:spPr>
                      </pic:pic>
                    </a:graphicData>
                  </a:graphic>
                </wp:inline>
              </w:drawing>
            </w:r>
          </w:p>
        </w:tc>
        <w:tc>
          <w:tcPr>
            <w:tcW w:w="6804" w:type="dxa"/>
          </w:tcPr>
          <w:p w14:paraId="3D64120F" w14:textId="77777777" w:rsidR="002E5034" w:rsidRPr="003E0B98" w:rsidRDefault="002E5034" w:rsidP="004361AC">
            <w:pPr>
              <w:tabs>
                <w:tab w:val="clear" w:pos="567"/>
              </w:tabs>
              <w:spacing w:line="240" w:lineRule="auto"/>
              <w:rPr>
                <w:color w:val="000000"/>
                <w:lang w:val="es-ES_tradnl"/>
              </w:rPr>
            </w:pPr>
            <w:r w:rsidRPr="003E0B98">
              <w:rPr>
                <w:color w:val="000000"/>
                <w:lang w:val="es-ES_tradnl"/>
              </w:rPr>
              <w:t xml:space="preserve">6. Incorporar </w:t>
            </w:r>
            <w:r w:rsidR="00D33A5E" w:rsidRPr="003E0B98">
              <w:rPr>
                <w:color w:val="000000"/>
                <w:lang w:val="es-ES_tradnl"/>
              </w:rPr>
              <w:t>una</w:t>
            </w:r>
            <w:r w:rsidRPr="003E0B98">
              <w:rPr>
                <w:color w:val="000000"/>
                <w:lang w:val="es-ES_tradnl"/>
              </w:rPr>
              <w:t xml:space="preserve"> aguja para inyección </w:t>
            </w:r>
            <w:r w:rsidRPr="003E0B98">
              <w:rPr>
                <w:color w:val="000000"/>
                <w:lang w:val="es-ES"/>
              </w:rPr>
              <w:t>(</w:t>
            </w:r>
            <w:r w:rsidRPr="003E0B98">
              <w:rPr>
                <w:color w:val="000000"/>
                <w:lang w:val="es-ES_tradnl"/>
              </w:rPr>
              <w:t>30G x</w:t>
            </w:r>
            <w:r w:rsidRPr="003E0B98">
              <w:rPr>
                <w:lang w:val="es-ES_tradnl"/>
              </w:rPr>
              <w:t> </w:t>
            </w:r>
            <w:r w:rsidRPr="003E0B98">
              <w:rPr>
                <w:color w:val="000000"/>
                <w:lang w:val="es-ES_tradnl"/>
              </w:rPr>
              <w:t>½″, 0,3 mm </w:t>
            </w:r>
            <w:r w:rsidRPr="003E0B98">
              <w:rPr>
                <w:lang w:val="es-ES_tradnl"/>
              </w:rPr>
              <w:t>x 13</w:t>
            </w:r>
            <w:r w:rsidRPr="003E0B98">
              <w:rPr>
                <w:color w:val="000000"/>
                <w:lang w:val="es-ES_tradnl"/>
              </w:rPr>
              <w:t> mm</w:t>
            </w:r>
            <w:r w:rsidRPr="003E0B98">
              <w:rPr>
                <w:color w:val="000000"/>
                <w:lang w:val="es-ES"/>
              </w:rPr>
              <w:t>) a la jeringa con firmeza y de forma aséptica.</w:t>
            </w:r>
          </w:p>
          <w:p w14:paraId="4315A550" w14:textId="77777777" w:rsidR="002E5034" w:rsidRPr="003E0B98" w:rsidRDefault="002E5034" w:rsidP="004361AC">
            <w:pPr>
              <w:numPr>
                <w:ilvl w:val="12"/>
                <w:numId w:val="0"/>
              </w:numPr>
              <w:tabs>
                <w:tab w:val="clear" w:pos="567"/>
              </w:tabs>
              <w:spacing w:line="240" w:lineRule="auto"/>
              <w:ind w:left="567" w:right="-2" w:hanging="567"/>
              <w:rPr>
                <w:color w:val="000000"/>
                <w:lang w:val="es-ES_tradnl"/>
              </w:rPr>
            </w:pPr>
          </w:p>
          <w:p w14:paraId="3073BC10" w14:textId="77777777" w:rsidR="002E5034" w:rsidRPr="003E0B98" w:rsidRDefault="002E5034" w:rsidP="004361AC">
            <w:pPr>
              <w:tabs>
                <w:tab w:val="clear" w:pos="567"/>
              </w:tabs>
              <w:spacing w:line="240" w:lineRule="auto"/>
              <w:rPr>
                <w:color w:val="000000"/>
                <w:lang w:val="es-ES_tradnl"/>
              </w:rPr>
            </w:pPr>
            <w:r w:rsidRPr="003E0B98">
              <w:rPr>
                <w:color w:val="000000"/>
                <w:lang w:val="es-ES_tradnl"/>
              </w:rPr>
              <w:t xml:space="preserve">7. Quitar </w:t>
            </w:r>
            <w:r w:rsidR="009E393C" w:rsidRPr="003E0B98">
              <w:rPr>
                <w:color w:val="000000"/>
                <w:lang w:val="es-ES_tradnl"/>
              </w:rPr>
              <w:t>la cápsula de cierre</w:t>
            </w:r>
            <w:r w:rsidRPr="003E0B98">
              <w:rPr>
                <w:color w:val="000000"/>
                <w:lang w:val="es-ES_tradnl"/>
              </w:rPr>
              <w:t xml:space="preserve"> de la aguja para inyección cuidadosamente sin desconectar la aguja para inyección de la jeringa.</w:t>
            </w:r>
          </w:p>
          <w:p w14:paraId="63028F05" w14:textId="77777777" w:rsidR="002E5034" w:rsidRPr="003E0B98" w:rsidRDefault="002E5034" w:rsidP="004361AC">
            <w:pPr>
              <w:numPr>
                <w:ilvl w:val="12"/>
                <w:numId w:val="0"/>
              </w:numPr>
              <w:tabs>
                <w:tab w:val="clear" w:pos="567"/>
              </w:tabs>
              <w:spacing w:line="240" w:lineRule="auto"/>
              <w:ind w:left="567" w:right="-2" w:hanging="567"/>
              <w:rPr>
                <w:color w:val="000000"/>
                <w:lang w:val="es-ES_tradnl"/>
              </w:rPr>
            </w:pPr>
          </w:p>
          <w:p w14:paraId="7435B184" w14:textId="77777777" w:rsidR="002E5034" w:rsidRPr="003E0B98" w:rsidRDefault="002E5034" w:rsidP="004361AC">
            <w:pPr>
              <w:tabs>
                <w:tab w:val="clear" w:pos="567"/>
              </w:tabs>
              <w:spacing w:line="240" w:lineRule="auto"/>
              <w:rPr>
                <w:color w:val="000000"/>
                <w:lang w:val="es-ES_tradnl"/>
              </w:rPr>
            </w:pPr>
            <w:r w:rsidRPr="003E0B98">
              <w:rPr>
                <w:bCs/>
                <w:color w:val="000000"/>
                <w:lang w:val="es-ES_tradnl"/>
              </w:rPr>
              <w:t xml:space="preserve">Nota: Sujetar la aguja para inyección por el cono mientras se retira </w:t>
            </w:r>
            <w:r w:rsidR="009E393C" w:rsidRPr="003E0B98">
              <w:rPr>
                <w:color w:val="000000"/>
                <w:lang w:val="es-ES_tradnl"/>
              </w:rPr>
              <w:t>la cápsula de cierre</w:t>
            </w:r>
            <w:r w:rsidRPr="003E0B98">
              <w:rPr>
                <w:color w:val="000000"/>
                <w:lang w:val="es-ES_tradnl"/>
              </w:rPr>
              <w:t>.</w:t>
            </w:r>
          </w:p>
          <w:p w14:paraId="4AE81B13" w14:textId="77777777" w:rsidR="002E5034" w:rsidRPr="003E0B98" w:rsidRDefault="002E5034" w:rsidP="004361AC">
            <w:pPr>
              <w:numPr>
                <w:ilvl w:val="12"/>
                <w:numId w:val="0"/>
              </w:numPr>
              <w:tabs>
                <w:tab w:val="clear" w:pos="567"/>
              </w:tabs>
              <w:spacing w:line="240" w:lineRule="auto"/>
              <w:ind w:left="601" w:right="-2"/>
              <w:rPr>
                <w:color w:val="000000"/>
                <w:szCs w:val="22"/>
                <w:lang w:val="es-ES_tradnl"/>
              </w:rPr>
            </w:pPr>
          </w:p>
        </w:tc>
      </w:tr>
      <w:tr w:rsidR="002E5034" w:rsidRPr="00174177" w14:paraId="77A96B2A" w14:textId="77777777" w:rsidTr="00606F06">
        <w:trPr>
          <w:cantSplit/>
        </w:trPr>
        <w:tc>
          <w:tcPr>
            <w:tcW w:w="2943" w:type="dxa"/>
          </w:tcPr>
          <w:p w14:paraId="16441E63" w14:textId="77777777" w:rsidR="002E5034" w:rsidRPr="003E0B98" w:rsidRDefault="00C240E6" w:rsidP="004361AC">
            <w:pPr>
              <w:numPr>
                <w:ilvl w:val="12"/>
                <w:numId w:val="0"/>
              </w:numPr>
              <w:tabs>
                <w:tab w:val="clear" w:pos="567"/>
              </w:tabs>
              <w:spacing w:line="240" w:lineRule="auto"/>
              <w:ind w:right="-2"/>
              <w:rPr>
                <w:color w:val="000000"/>
                <w:szCs w:val="22"/>
              </w:rPr>
            </w:pPr>
            <w:r w:rsidRPr="003E0B98">
              <w:rPr>
                <w:noProof/>
                <w:color w:val="000000"/>
                <w:szCs w:val="22"/>
                <w:lang w:val="es-ES" w:eastAsia="es-ES"/>
              </w:rPr>
              <mc:AlternateContent>
                <mc:Choice Requires="wps">
                  <w:drawing>
                    <wp:anchor distT="0" distB="0" distL="114300" distR="114300" simplePos="0" relativeHeight="251634176" behindDoc="0" locked="0" layoutInCell="0" allowOverlap="1" wp14:anchorId="6B87A219" wp14:editId="4D627A90">
                      <wp:simplePos x="0" y="0"/>
                      <wp:positionH relativeFrom="column">
                        <wp:posOffset>245110</wp:posOffset>
                      </wp:positionH>
                      <wp:positionV relativeFrom="paragraph">
                        <wp:posOffset>715645</wp:posOffset>
                      </wp:positionV>
                      <wp:extent cx="800100" cy="800100"/>
                      <wp:effectExtent l="0" t="0" r="0" b="0"/>
                      <wp:wrapNone/>
                      <wp:docPr id="11" name="Text Box 76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E01A9B" w14:textId="77777777" w:rsidR="00160989" w:rsidRDefault="00160989" w:rsidP="002E5034">
                                  <w:pPr>
                                    <w:rPr>
                                      <w:lang w:val="de-CH"/>
                                    </w:rPr>
                                  </w:pPr>
                                </w:p>
                                <w:p w14:paraId="3D69985B" w14:textId="77777777" w:rsidR="00160989" w:rsidRDefault="00160989" w:rsidP="002E5034">
                                  <w:pPr>
                                    <w:rPr>
                                      <w:lang w:val="de-CH"/>
                                    </w:rPr>
                                  </w:pPr>
                                </w:p>
                                <w:p w14:paraId="1706B234" w14:textId="77777777" w:rsidR="00160989" w:rsidRPr="00791B29" w:rsidRDefault="00160989" w:rsidP="002E5034">
                                  <w:pPr>
                                    <w:rPr>
                                      <w:b/>
                                      <w:bCs/>
                                      <w:sz w:val="28"/>
                                      <w:szCs w:val="28"/>
                                      <w:lang w:val="de-CH"/>
                                    </w:rPr>
                                  </w:pPr>
                                  <w:r w:rsidRPr="00791B29">
                                    <w:rPr>
                                      <w:b/>
                                      <w:bCs/>
                                      <w:sz w:val="28"/>
                                      <w:szCs w:val="28"/>
                                      <w:lang w:val="de-CH"/>
                                    </w:rPr>
                                    <w:t>0</w:t>
                                  </w:r>
                                  <w:r>
                                    <w:rPr>
                                      <w:b/>
                                      <w:bCs/>
                                      <w:sz w:val="28"/>
                                      <w:szCs w:val="28"/>
                                      <w:lang w:val="de-CH"/>
                                    </w:rPr>
                                    <w:t>,</w:t>
                                  </w:r>
                                  <w:r w:rsidRPr="00791B29">
                                    <w:rPr>
                                      <w:b/>
                                      <w:bCs/>
                                      <w:sz w:val="28"/>
                                      <w:szCs w:val="28"/>
                                      <w:lang w:val="de-CH"/>
                                    </w:rPr>
                                    <w:t>05 ml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87A219" id="Text Box 7650" o:spid="_x0000_s1034" type="#_x0000_t202" style="position:absolute;margin-left:19.3pt;margin-top:56.35pt;width:63pt;height:63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QPd7wEAANADAAAOAAAAZHJzL2Uyb0RvYy54bWysU8Fu2zAMvQ/YPwi6L3aCbOuMOEWXIsOA&#10;bh3Q9QNkWbaFyaJGKbGzrx8lu2nQ3Yr5IJAi9cj3SG+ux96wo0KvwZZ8ucg5U1ZCrW1b8sef+3dX&#10;nPkgbC0MWFXyk/L8evv2zWZwhVpBB6ZWyAjE+mJwJe9CcEWWedmpXvgFOGUp2AD2IpCLbVajGAi9&#10;N9kqzz9kA2DtEKTynm5vpyDfJvymUTLcN41XgZmSU28hnZjOKp7ZdiOKFoXrtJzbEK/oohfaUtEz&#10;1K0Igh1Q/wPVa4ngoQkLCX0GTaOlShyIzTJ/weahE04lLiSOd2eZ/P+Dld+PD+4HsjB+hpEGmEh4&#10;dwfyl2cWdp2wrbpBhKFToqbCyyhZNjhfzE+j1L7wEaQavkFNQxaHAAlobLCPqhBPRug0gNNZdDUG&#10;JunyKifiFJEUmu1YQRRPjx368EVBz6JRcqSZJnBxvPNhSn1KibU8GF3vtTHJwbbaGWRHQfPfpy/1&#10;/yLN2JhsIT6bEONNYhmJTRTDWI1M19RlhIikK6hPRBthWiv6DcjoAP9wNtBKldz/PghUnJmvlqT7&#10;tFyv4w4mZ/3+44ocvIxUlxFhJUGVPHA2mbsw7e3BoW47qjQNy8INyd3oJMVzV3P7tDZJzHnF415e&#10;+inr+Ufc/gUAAP//AwBQSwMEFAAGAAgAAAAhAGCTlPHeAAAACgEAAA8AAABkcnMvZG93bnJldi54&#10;bWxMj8FOg0AQhu8mvsNmTLwYu5RWoJSlURON19Y+wMBOgcjOEnZb6Nu7Pelx/vnyzzfFbja9uNDo&#10;OssKlosIBHFtdceNguP3x3MGwnlkjb1lUnAlB7vy/q7AXNuJ93Q5+EaEEnY5Kmi9H3IpXd2SQbew&#10;A3HYnexo0IdxbKQecQrlppdxFCXSYMfhQosDvbdU/xzORsHpa3p62UzVpz+m+3Xyhl1a2atSjw/z&#10;6xaEp9n/wXDTD+pQBqfKnlk70StYZUkgQ76MUxA3IFmHpFIQr7IUZFnI/y+UvwAAAP//AwBQSwEC&#10;LQAUAAYACAAAACEAtoM4kv4AAADhAQAAEwAAAAAAAAAAAAAAAAAAAAAAW0NvbnRlbnRfVHlwZXNd&#10;LnhtbFBLAQItABQABgAIAAAAIQA4/SH/1gAAAJQBAAALAAAAAAAAAAAAAAAAAC8BAABfcmVscy8u&#10;cmVsc1BLAQItABQABgAIAAAAIQDSiQPd7wEAANADAAAOAAAAAAAAAAAAAAAAAC4CAABkcnMvZTJv&#10;RG9jLnhtbFBLAQItABQABgAIAAAAIQBgk5Tx3gAAAAoBAAAPAAAAAAAAAAAAAAAAAEkEAABkcnMv&#10;ZG93bnJldi54bWxQSwUGAAAAAAQABADzAAAAVAUAAAAA&#10;" o:allowincell="f" stroked="f">
                      <v:textbox>
                        <w:txbxContent>
                          <w:p w14:paraId="71E01A9B" w14:textId="77777777" w:rsidR="00160989" w:rsidRDefault="00160989" w:rsidP="002E5034">
                            <w:pPr>
                              <w:rPr>
                                <w:lang w:val="de-CH"/>
                              </w:rPr>
                            </w:pPr>
                          </w:p>
                          <w:p w14:paraId="3D69985B" w14:textId="77777777" w:rsidR="00160989" w:rsidRDefault="00160989" w:rsidP="002E5034">
                            <w:pPr>
                              <w:rPr>
                                <w:lang w:val="de-CH"/>
                              </w:rPr>
                            </w:pPr>
                          </w:p>
                          <w:p w14:paraId="1706B234" w14:textId="77777777" w:rsidR="00160989" w:rsidRPr="00791B29" w:rsidRDefault="00160989" w:rsidP="002E5034">
                            <w:pPr>
                              <w:rPr>
                                <w:b/>
                                <w:bCs/>
                                <w:sz w:val="28"/>
                                <w:szCs w:val="28"/>
                                <w:lang w:val="de-CH"/>
                              </w:rPr>
                            </w:pPr>
                            <w:r w:rsidRPr="00791B29">
                              <w:rPr>
                                <w:b/>
                                <w:bCs/>
                                <w:sz w:val="28"/>
                                <w:szCs w:val="28"/>
                                <w:lang w:val="de-CH"/>
                              </w:rPr>
                              <w:t>0</w:t>
                            </w:r>
                            <w:r>
                              <w:rPr>
                                <w:b/>
                                <w:bCs/>
                                <w:sz w:val="28"/>
                                <w:szCs w:val="28"/>
                                <w:lang w:val="de-CH"/>
                              </w:rPr>
                              <w:t>,</w:t>
                            </w:r>
                            <w:r w:rsidRPr="00791B29">
                              <w:rPr>
                                <w:b/>
                                <w:bCs/>
                                <w:sz w:val="28"/>
                                <w:szCs w:val="28"/>
                                <w:lang w:val="de-CH"/>
                              </w:rPr>
                              <w:t>05 ml</w:t>
                            </w:r>
                          </w:p>
                        </w:txbxContent>
                      </v:textbox>
                    </v:shape>
                  </w:pict>
                </mc:Fallback>
              </mc:AlternateContent>
            </w:r>
            <w:r w:rsidRPr="003E0B98">
              <w:rPr>
                <w:noProof/>
                <w:color w:val="000000"/>
                <w:szCs w:val="22"/>
                <w:lang w:val="es-ES" w:eastAsia="es-ES"/>
              </w:rPr>
              <w:drawing>
                <wp:inline distT="0" distB="0" distL="0" distR="0" wp14:anchorId="5604CC4A" wp14:editId="111E14E4">
                  <wp:extent cx="1724025" cy="1724025"/>
                  <wp:effectExtent l="0" t="0" r="0" b="0"/>
                  <wp:docPr id="41" name="Picture 41" descr="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Test"/>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724025" cy="1724025"/>
                          </a:xfrm>
                          <a:prstGeom prst="rect">
                            <a:avLst/>
                          </a:prstGeom>
                          <a:noFill/>
                          <a:ln>
                            <a:noFill/>
                          </a:ln>
                        </pic:spPr>
                      </pic:pic>
                    </a:graphicData>
                  </a:graphic>
                </wp:inline>
              </w:drawing>
            </w:r>
          </w:p>
        </w:tc>
        <w:tc>
          <w:tcPr>
            <w:tcW w:w="6804" w:type="dxa"/>
          </w:tcPr>
          <w:p w14:paraId="4E4E792E" w14:textId="77777777" w:rsidR="002E5034" w:rsidRPr="003E0B98" w:rsidRDefault="002E5034" w:rsidP="004361AC">
            <w:pPr>
              <w:tabs>
                <w:tab w:val="clear" w:pos="567"/>
              </w:tabs>
              <w:spacing w:line="240" w:lineRule="auto"/>
              <w:rPr>
                <w:color w:val="000000"/>
                <w:lang w:val="es-ES_tradnl"/>
              </w:rPr>
            </w:pPr>
            <w:r w:rsidRPr="003E0B98">
              <w:rPr>
                <w:color w:val="000000"/>
                <w:szCs w:val="22"/>
                <w:lang w:val="es-ES_tradnl"/>
              </w:rPr>
              <w:t>8. Expulsar el aire de la jeringa</w:t>
            </w:r>
            <w:r w:rsidR="00C21162" w:rsidRPr="003E0B98">
              <w:rPr>
                <w:color w:val="000000"/>
                <w:szCs w:val="22"/>
                <w:lang w:val="es-ES_tradnl"/>
              </w:rPr>
              <w:t xml:space="preserve"> junto con el exceso de solución</w:t>
            </w:r>
            <w:r w:rsidRPr="003E0B98">
              <w:rPr>
                <w:color w:val="000000"/>
                <w:szCs w:val="22"/>
                <w:lang w:val="es-ES_tradnl"/>
              </w:rPr>
              <w:t xml:space="preserve"> y ajustar la dosis hasta la marca de </w:t>
            </w:r>
            <w:r w:rsidRPr="003E0B98">
              <w:rPr>
                <w:color w:val="000000"/>
                <w:szCs w:val="22"/>
                <w:lang w:val="es-ES"/>
              </w:rPr>
              <w:t>0,05 ml en la jeringa cuidadosamente. La jeringa está lista para la inyección.</w:t>
            </w:r>
          </w:p>
          <w:p w14:paraId="338BC2E9" w14:textId="77777777" w:rsidR="002E5034" w:rsidRPr="003E0B98" w:rsidRDefault="002E5034" w:rsidP="004361AC">
            <w:pPr>
              <w:numPr>
                <w:ilvl w:val="12"/>
                <w:numId w:val="0"/>
              </w:numPr>
              <w:tabs>
                <w:tab w:val="clear" w:pos="567"/>
              </w:tabs>
              <w:spacing w:line="240" w:lineRule="auto"/>
              <w:ind w:right="-2"/>
              <w:rPr>
                <w:color w:val="000000"/>
                <w:szCs w:val="22"/>
                <w:lang w:val="es-ES_tradnl"/>
              </w:rPr>
            </w:pPr>
          </w:p>
          <w:p w14:paraId="13C13F63" w14:textId="77777777" w:rsidR="002E5034" w:rsidRPr="003E0B98" w:rsidRDefault="002E5034" w:rsidP="004361AC">
            <w:pPr>
              <w:numPr>
                <w:ilvl w:val="12"/>
                <w:numId w:val="0"/>
              </w:numPr>
              <w:tabs>
                <w:tab w:val="clear" w:pos="567"/>
              </w:tabs>
              <w:spacing w:line="240" w:lineRule="auto"/>
              <w:ind w:right="-2"/>
              <w:rPr>
                <w:color w:val="000000"/>
                <w:szCs w:val="22"/>
                <w:lang w:val="es-ES_tradnl"/>
              </w:rPr>
            </w:pPr>
            <w:r w:rsidRPr="003E0B98">
              <w:rPr>
                <w:bCs/>
                <w:color w:val="000000"/>
                <w:szCs w:val="22"/>
                <w:lang w:val="es-ES_tradnl"/>
              </w:rPr>
              <w:t>Nota</w:t>
            </w:r>
            <w:r w:rsidRPr="003E0B98">
              <w:rPr>
                <w:b/>
                <w:bCs/>
                <w:color w:val="000000"/>
                <w:szCs w:val="22"/>
                <w:lang w:val="es-ES_tradnl"/>
              </w:rPr>
              <w:t>:</w:t>
            </w:r>
            <w:r w:rsidRPr="003E0B98">
              <w:rPr>
                <w:color w:val="000000"/>
                <w:szCs w:val="22"/>
                <w:lang w:val="es-ES_tradnl"/>
              </w:rPr>
              <w:t xml:space="preserve"> No secar la aguja para inyección. No tirar del émbolo hacia atrás.</w:t>
            </w:r>
          </w:p>
        </w:tc>
      </w:tr>
    </w:tbl>
    <w:p w14:paraId="39811EEC" w14:textId="77777777" w:rsidR="002E5034" w:rsidRPr="003E0B98" w:rsidRDefault="002E5034" w:rsidP="004361AC">
      <w:pPr>
        <w:numPr>
          <w:ilvl w:val="12"/>
          <w:numId w:val="0"/>
        </w:numPr>
        <w:tabs>
          <w:tab w:val="clear" w:pos="567"/>
        </w:tabs>
        <w:spacing w:line="240" w:lineRule="auto"/>
        <w:ind w:right="-2"/>
        <w:rPr>
          <w:color w:val="000000"/>
          <w:szCs w:val="22"/>
          <w:lang w:val="es-ES_tradnl"/>
        </w:rPr>
      </w:pPr>
    </w:p>
    <w:p w14:paraId="298C1688" w14:textId="77777777" w:rsidR="002E5034" w:rsidRPr="003E0B98" w:rsidRDefault="002E5034" w:rsidP="004361AC">
      <w:pPr>
        <w:numPr>
          <w:ilvl w:val="12"/>
          <w:numId w:val="0"/>
        </w:numPr>
        <w:tabs>
          <w:tab w:val="clear" w:pos="567"/>
        </w:tabs>
        <w:spacing w:line="240" w:lineRule="auto"/>
        <w:ind w:right="-2"/>
        <w:rPr>
          <w:color w:val="000000"/>
          <w:szCs w:val="22"/>
          <w:lang w:val="es-ES"/>
        </w:rPr>
      </w:pPr>
      <w:r w:rsidRPr="003E0B98">
        <w:rPr>
          <w:color w:val="000000"/>
          <w:szCs w:val="22"/>
          <w:lang w:val="es-ES"/>
        </w:rPr>
        <w:t>La aguja para inyección se deberá introducir 3,5</w:t>
      </w:r>
      <w:r w:rsidRPr="003E0B98">
        <w:rPr>
          <w:color w:val="000000"/>
          <w:szCs w:val="22"/>
          <w:lang w:val="es-ES"/>
        </w:rPr>
        <w:noBreakHyphen/>
        <w:t xml:space="preserve">4,0 mm por detrás del limbo en la cavidad vítrea, </w:t>
      </w:r>
      <w:r w:rsidRPr="003E0B98">
        <w:rPr>
          <w:color w:val="000000"/>
          <w:lang w:val="es-ES"/>
        </w:rPr>
        <w:t xml:space="preserve">evitando el meridiano horizontal y en dirección al centro del globo. Seguidamente debe liberarse el volumen de inyección de </w:t>
      </w:r>
      <w:r w:rsidRPr="003E0B98">
        <w:rPr>
          <w:color w:val="000000"/>
          <w:szCs w:val="22"/>
          <w:lang w:val="es-ES"/>
        </w:rPr>
        <w:t xml:space="preserve">0,05 ml; las inyecciones siguientes deberán aplicarse cada vez en un punto </w:t>
      </w:r>
      <w:proofErr w:type="spellStart"/>
      <w:r w:rsidRPr="003E0B98">
        <w:rPr>
          <w:color w:val="000000"/>
          <w:szCs w:val="22"/>
          <w:lang w:val="es-ES"/>
        </w:rPr>
        <w:t>escleral</w:t>
      </w:r>
      <w:proofErr w:type="spellEnd"/>
      <w:r w:rsidRPr="003E0B98">
        <w:rPr>
          <w:color w:val="000000"/>
          <w:szCs w:val="22"/>
          <w:lang w:val="es-ES"/>
        </w:rPr>
        <w:t xml:space="preserve"> distinto.</w:t>
      </w:r>
    </w:p>
    <w:p w14:paraId="7E492E3A" w14:textId="77777777" w:rsidR="002E5034" w:rsidRPr="003E0B98" w:rsidRDefault="002E5034" w:rsidP="004361AC">
      <w:pPr>
        <w:numPr>
          <w:ilvl w:val="12"/>
          <w:numId w:val="0"/>
        </w:numPr>
        <w:tabs>
          <w:tab w:val="clear" w:pos="567"/>
        </w:tabs>
        <w:spacing w:line="240" w:lineRule="auto"/>
        <w:ind w:right="-2"/>
        <w:rPr>
          <w:color w:val="000000"/>
          <w:szCs w:val="22"/>
          <w:lang w:val="es-ES"/>
        </w:rPr>
      </w:pPr>
    </w:p>
    <w:p w14:paraId="587F6A91" w14:textId="77777777" w:rsidR="002E5034" w:rsidRPr="003E0B98" w:rsidRDefault="00D82288" w:rsidP="004361AC">
      <w:pPr>
        <w:numPr>
          <w:ilvl w:val="12"/>
          <w:numId w:val="0"/>
        </w:numPr>
        <w:tabs>
          <w:tab w:val="clear" w:pos="567"/>
        </w:tabs>
        <w:spacing w:line="240" w:lineRule="auto"/>
        <w:ind w:right="-2"/>
        <w:rPr>
          <w:color w:val="000000"/>
          <w:szCs w:val="22"/>
          <w:lang w:val="es-ES"/>
        </w:rPr>
      </w:pPr>
      <w:r w:rsidRPr="003E0B98">
        <w:rPr>
          <w:color w:val="000000"/>
          <w:szCs w:val="22"/>
          <w:lang w:val="es-ES"/>
        </w:rPr>
        <w:t xml:space="preserve">Tras la inyección, no tapar la aguja con la cápsula de cierre ni separarla de la jeringa. Eliminar la jeringa usada junto con la aguja en un contenedor para objetos punzantes o </w:t>
      </w:r>
      <w:r w:rsidR="001509E1" w:rsidRPr="003E0B98">
        <w:rPr>
          <w:color w:val="000000"/>
          <w:szCs w:val="22"/>
          <w:lang w:val="es-ES"/>
        </w:rPr>
        <w:t xml:space="preserve">eliminar </w:t>
      </w:r>
      <w:r w:rsidRPr="003E0B98">
        <w:rPr>
          <w:color w:val="000000"/>
          <w:szCs w:val="22"/>
          <w:lang w:val="es-ES"/>
        </w:rPr>
        <w:t>de acuerdo con la normativa local.</w:t>
      </w:r>
    </w:p>
    <w:p w14:paraId="2B28347D" w14:textId="77777777" w:rsidR="00E36F43" w:rsidRPr="003E0B98" w:rsidRDefault="002E5034" w:rsidP="004361AC">
      <w:pPr>
        <w:tabs>
          <w:tab w:val="clear" w:pos="567"/>
        </w:tabs>
        <w:spacing w:line="240" w:lineRule="auto"/>
        <w:jc w:val="center"/>
        <w:rPr>
          <w:b/>
          <w:color w:val="000000"/>
          <w:szCs w:val="22"/>
          <w:lang w:val="es-ES_tradnl"/>
        </w:rPr>
      </w:pPr>
      <w:r w:rsidRPr="003E0B98">
        <w:rPr>
          <w:color w:val="000000"/>
          <w:szCs w:val="22"/>
          <w:lang w:val="es-ES"/>
        </w:rPr>
        <w:br w:type="page"/>
      </w:r>
      <w:r w:rsidR="00E36F43" w:rsidRPr="003E0B98">
        <w:rPr>
          <w:b/>
          <w:szCs w:val="24"/>
          <w:lang w:val="es-ES_tradnl"/>
        </w:rPr>
        <w:t>Prospecto:</w:t>
      </w:r>
      <w:r w:rsidR="00E36F43" w:rsidRPr="003E0B98">
        <w:rPr>
          <w:b/>
          <w:noProof/>
          <w:szCs w:val="24"/>
          <w:lang w:val="es-ES_tradnl"/>
        </w:rPr>
        <w:t xml:space="preserve"> </w:t>
      </w:r>
      <w:r w:rsidR="00E36F43" w:rsidRPr="003E0B98">
        <w:rPr>
          <w:b/>
          <w:szCs w:val="24"/>
          <w:lang w:val="es-ES_tradnl"/>
        </w:rPr>
        <w:t>información para el paciente</w:t>
      </w:r>
    </w:p>
    <w:p w14:paraId="407263E5" w14:textId="77777777" w:rsidR="00E36F43" w:rsidRPr="003E0B98" w:rsidRDefault="00E36F43" w:rsidP="004361AC">
      <w:pPr>
        <w:tabs>
          <w:tab w:val="clear" w:pos="567"/>
        </w:tabs>
        <w:spacing w:line="240" w:lineRule="auto"/>
        <w:jc w:val="center"/>
        <w:rPr>
          <w:color w:val="000000"/>
          <w:szCs w:val="22"/>
          <w:lang w:val="es-ES_tradnl"/>
        </w:rPr>
      </w:pPr>
    </w:p>
    <w:p w14:paraId="7F6F22C7" w14:textId="77777777" w:rsidR="00E36F43" w:rsidRPr="003E0B98" w:rsidRDefault="00E36F43" w:rsidP="004361AC">
      <w:pPr>
        <w:numPr>
          <w:ilvl w:val="12"/>
          <w:numId w:val="0"/>
        </w:numPr>
        <w:tabs>
          <w:tab w:val="clear" w:pos="567"/>
        </w:tabs>
        <w:spacing w:line="240" w:lineRule="auto"/>
        <w:jc w:val="center"/>
        <w:rPr>
          <w:b/>
          <w:color w:val="000000"/>
          <w:szCs w:val="22"/>
          <w:lang w:val="es-ES_tradnl"/>
        </w:rPr>
      </w:pPr>
      <w:proofErr w:type="spellStart"/>
      <w:r w:rsidRPr="003E0B98">
        <w:rPr>
          <w:b/>
          <w:color w:val="000000"/>
          <w:szCs w:val="22"/>
          <w:lang w:val="es-ES_tradnl"/>
        </w:rPr>
        <w:t>Lucentis</w:t>
      </w:r>
      <w:proofErr w:type="spellEnd"/>
      <w:r w:rsidRPr="003E0B98">
        <w:rPr>
          <w:b/>
          <w:color w:val="000000"/>
          <w:szCs w:val="22"/>
          <w:lang w:val="es-ES_tradnl"/>
        </w:rPr>
        <w:t xml:space="preserve"> 10 mg/ml solución inyectable</w:t>
      </w:r>
      <w:r w:rsidR="00473E73" w:rsidRPr="003E0B98">
        <w:rPr>
          <w:b/>
          <w:color w:val="000000"/>
          <w:szCs w:val="22"/>
          <w:lang w:val="es-ES_tradnl"/>
        </w:rPr>
        <w:t xml:space="preserve"> en jeringa precargada</w:t>
      </w:r>
    </w:p>
    <w:p w14:paraId="65961D48" w14:textId="77777777" w:rsidR="00E36F43" w:rsidRPr="003E0B98" w:rsidRDefault="00BC2251" w:rsidP="004361AC">
      <w:pPr>
        <w:numPr>
          <w:ilvl w:val="12"/>
          <w:numId w:val="0"/>
        </w:numPr>
        <w:tabs>
          <w:tab w:val="clear" w:pos="567"/>
        </w:tabs>
        <w:spacing w:line="240" w:lineRule="auto"/>
        <w:jc w:val="center"/>
        <w:rPr>
          <w:color w:val="000000"/>
          <w:szCs w:val="22"/>
          <w:lang w:val="es-ES_tradnl"/>
        </w:rPr>
      </w:pPr>
      <w:proofErr w:type="spellStart"/>
      <w:r w:rsidRPr="003E0B98">
        <w:rPr>
          <w:color w:val="000000"/>
          <w:szCs w:val="22"/>
          <w:lang w:val="es-ES_tradnl"/>
        </w:rPr>
        <w:t>r</w:t>
      </w:r>
      <w:r w:rsidR="00E36F43" w:rsidRPr="003E0B98">
        <w:rPr>
          <w:color w:val="000000"/>
          <w:szCs w:val="22"/>
          <w:lang w:val="es-ES_tradnl"/>
        </w:rPr>
        <w:t>anibizumab</w:t>
      </w:r>
      <w:proofErr w:type="spellEnd"/>
    </w:p>
    <w:p w14:paraId="4AEE5010" w14:textId="77777777" w:rsidR="00E36F43" w:rsidRPr="003E0B98" w:rsidRDefault="00E36F43" w:rsidP="004361AC">
      <w:pPr>
        <w:numPr>
          <w:ilvl w:val="12"/>
          <w:numId w:val="0"/>
        </w:numPr>
        <w:tabs>
          <w:tab w:val="clear" w:pos="567"/>
        </w:tabs>
        <w:spacing w:line="240" w:lineRule="auto"/>
        <w:jc w:val="center"/>
        <w:rPr>
          <w:color w:val="000000"/>
          <w:szCs w:val="22"/>
          <w:lang w:val="es-ES_tradnl"/>
        </w:rPr>
      </w:pPr>
    </w:p>
    <w:p w14:paraId="338247C9" w14:textId="77777777" w:rsidR="00E36F43" w:rsidRPr="003E0B98" w:rsidRDefault="00E36F43" w:rsidP="004361AC">
      <w:pPr>
        <w:numPr>
          <w:ilvl w:val="12"/>
          <w:numId w:val="0"/>
        </w:numPr>
        <w:tabs>
          <w:tab w:val="clear" w:pos="567"/>
        </w:tabs>
        <w:spacing w:line="240" w:lineRule="auto"/>
        <w:jc w:val="center"/>
        <w:rPr>
          <w:color w:val="000000"/>
          <w:szCs w:val="22"/>
          <w:lang w:val="es-ES_tradnl"/>
        </w:rPr>
      </w:pPr>
    </w:p>
    <w:p w14:paraId="2808B8EC" w14:textId="77777777" w:rsidR="00E36F43" w:rsidRPr="003E0B98" w:rsidRDefault="00E36F43" w:rsidP="004361AC">
      <w:pPr>
        <w:numPr>
          <w:ilvl w:val="12"/>
          <w:numId w:val="0"/>
        </w:numPr>
        <w:tabs>
          <w:tab w:val="clear" w:pos="567"/>
        </w:tabs>
        <w:spacing w:line="240" w:lineRule="auto"/>
        <w:rPr>
          <w:b/>
          <w:color w:val="000000"/>
          <w:szCs w:val="22"/>
          <w:lang w:val="es-ES_tradnl"/>
        </w:rPr>
      </w:pPr>
      <w:r w:rsidRPr="003E0B98">
        <w:rPr>
          <w:b/>
          <w:noProof/>
          <w:color w:val="000000"/>
          <w:lang w:val="es-ES_tradnl"/>
        </w:rPr>
        <w:t xml:space="preserve">Lea todo el prospecto detenidamente antes de </w:t>
      </w:r>
      <w:r w:rsidRPr="003E0B98">
        <w:rPr>
          <w:b/>
          <w:color w:val="000000"/>
          <w:lang w:val="es-ES_tradnl"/>
        </w:rPr>
        <w:t>que le administren este medicamento, porque contiene información importante para usted.</w:t>
      </w:r>
    </w:p>
    <w:p w14:paraId="71AAF379" w14:textId="77777777" w:rsidR="00E36F43" w:rsidRPr="003E0B98" w:rsidRDefault="00E36F43" w:rsidP="004361AC">
      <w:pPr>
        <w:numPr>
          <w:ilvl w:val="12"/>
          <w:numId w:val="0"/>
        </w:numPr>
        <w:tabs>
          <w:tab w:val="clear" w:pos="567"/>
        </w:tabs>
        <w:spacing w:line="240" w:lineRule="auto"/>
        <w:rPr>
          <w:color w:val="000000"/>
          <w:szCs w:val="22"/>
          <w:lang w:val="es-ES_tradnl"/>
        </w:rPr>
      </w:pPr>
      <w:r w:rsidRPr="003E0B98">
        <w:rPr>
          <w:color w:val="000000"/>
          <w:szCs w:val="22"/>
          <w:lang w:val="es-ES_tradnl"/>
        </w:rPr>
        <w:t>-</w:t>
      </w:r>
      <w:r w:rsidRPr="003E0B98">
        <w:rPr>
          <w:color w:val="000000"/>
          <w:szCs w:val="22"/>
          <w:lang w:val="es-ES_tradnl"/>
        </w:rPr>
        <w:tab/>
      </w:r>
      <w:r w:rsidRPr="003E0B98">
        <w:rPr>
          <w:noProof/>
          <w:color w:val="000000"/>
          <w:lang w:val="es-ES_tradnl"/>
        </w:rPr>
        <w:t>Conserve este prospecto, ya que puede tener que volver a leerlo.</w:t>
      </w:r>
    </w:p>
    <w:p w14:paraId="464B5C92" w14:textId="77777777" w:rsidR="00E36F43" w:rsidRPr="003E0B98" w:rsidRDefault="00E36F43" w:rsidP="004361AC">
      <w:pPr>
        <w:numPr>
          <w:ilvl w:val="12"/>
          <w:numId w:val="0"/>
        </w:numPr>
        <w:tabs>
          <w:tab w:val="clear" w:pos="567"/>
        </w:tabs>
        <w:spacing w:line="240" w:lineRule="auto"/>
        <w:rPr>
          <w:color w:val="000000"/>
          <w:szCs w:val="22"/>
          <w:lang w:val="es-ES_tradnl"/>
        </w:rPr>
      </w:pPr>
      <w:r w:rsidRPr="003E0B98">
        <w:rPr>
          <w:color w:val="000000"/>
          <w:szCs w:val="22"/>
          <w:lang w:val="es-ES_tradnl"/>
        </w:rPr>
        <w:t>-</w:t>
      </w:r>
      <w:r w:rsidRPr="003E0B98">
        <w:rPr>
          <w:color w:val="000000"/>
          <w:szCs w:val="22"/>
          <w:lang w:val="es-ES_tradnl"/>
        </w:rPr>
        <w:tab/>
      </w:r>
      <w:r w:rsidRPr="003E0B98">
        <w:rPr>
          <w:noProof/>
          <w:color w:val="000000"/>
          <w:lang w:val="es-ES_tradnl"/>
        </w:rPr>
        <w:t>Si tiene alguna duda, consulte a su médico.</w:t>
      </w:r>
    </w:p>
    <w:p w14:paraId="542B315E" w14:textId="77777777" w:rsidR="00E36F43" w:rsidRPr="003E0B98" w:rsidRDefault="00E36F43" w:rsidP="004361AC">
      <w:pPr>
        <w:numPr>
          <w:ilvl w:val="12"/>
          <w:numId w:val="0"/>
        </w:numPr>
        <w:tabs>
          <w:tab w:val="clear" w:pos="567"/>
        </w:tabs>
        <w:spacing w:line="240" w:lineRule="auto"/>
        <w:ind w:left="567" w:hanging="567"/>
        <w:rPr>
          <w:color w:val="000000"/>
          <w:szCs w:val="22"/>
          <w:lang w:val="es-ES_tradnl"/>
        </w:rPr>
      </w:pPr>
      <w:r w:rsidRPr="003E0B98">
        <w:rPr>
          <w:color w:val="000000"/>
          <w:szCs w:val="22"/>
          <w:lang w:val="es-ES_tradnl"/>
        </w:rPr>
        <w:t>-</w:t>
      </w:r>
      <w:r w:rsidRPr="003E0B98">
        <w:rPr>
          <w:color w:val="000000"/>
          <w:szCs w:val="22"/>
          <w:lang w:val="es-ES_tradnl"/>
        </w:rPr>
        <w:tab/>
      </w:r>
      <w:r w:rsidRPr="003E0B98">
        <w:rPr>
          <w:lang w:val="es-ES_tradnl"/>
        </w:rPr>
        <w:t xml:space="preserve">Si </w:t>
      </w:r>
      <w:r w:rsidRPr="003E0B98">
        <w:rPr>
          <w:szCs w:val="24"/>
          <w:lang w:val="es-ES_tradnl"/>
        </w:rPr>
        <w:t>experimenta</w:t>
      </w:r>
      <w:r w:rsidRPr="003E0B98">
        <w:rPr>
          <w:lang w:val="es-ES_tradnl"/>
        </w:rPr>
        <w:t xml:space="preserve"> efectos adversos</w:t>
      </w:r>
      <w:r w:rsidRPr="003E0B98">
        <w:rPr>
          <w:szCs w:val="24"/>
          <w:lang w:val="es-ES_tradnl"/>
        </w:rPr>
        <w:t>, consulte a su médico,</w:t>
      </w:r>
      <w:r w:rsidRPr="003E0B98">
        <w:rPr>
          <w:color w:val="FF0000"/>
          <w:szCs w:val="24"/>
          <w:lang w:val="es-ES_tradnl"/>
        </w:rPr>
        <w:t xml:space="preserve"> </w:t>
      </w:r>
      <w:r w:rsidRPr="003E0B98">
        <w:rPr>
          <w:szCs w:val="24"/>
          <w:lang w:val="es-ES_tradnl"/>
        </w:rPr>
        <w:t xml:space="preserve">incluso </w:t>
      </w:r>
      <w:r w:rsidRPr="003E0B98">
        <w:rPr>
          <w:lang w:val="es-ES_tradnl"/>
        </w:rPr>
        <w:t xml:space="preserve">si </w:t>
      </w:r>
      <w:r w:rsidRPr="003E0B98">
        <w:rPr>
          <w:szCs w:val="24"/>
          <w:lang w:val="es-ES_tradnl"/>
        </w:rPr>
        <w:t xml:space="preserve">se trata de efectos adversos que </w:t>
      </w:r>
      <w:r w:rsidRPr="003E0B98">
        <w:rPr>
          <w:lang w:val="es-ES_tradnl"/>
        </w:rPr>
        <w:t xml:space="preserve">no </w:t>
      </w:r>
      <w:r w:rsidRPr="003E0B98">
        <w:rPr>
          <w:szCs w:val="24"/>
          <w:lang w:val="es-ES_tradnl"/>
        </w:rPr>
        <w:t>aparecen</w:t>
      </w:r>
      <w:r w:rsidRPr="003E0B98">
        <w:rPr>
          <w:lang w:val="es-ES_tradnl"/>
        </w:rPr>
        <w:t xml:space="preserve"> en este prospecto</w:t>
      </w:r>
      <w:r w:rsidRPr="003E0B98">
        <w:rPr>
          <w:szCs w:val="24"/>
          <w:lang w:val="es-ES_tradnl"/>
        </w:rPr>
        <w:t>.</w:t>
      </w:r>
      <w:r w:rsidR="00BC2251" w:rsidRPr="003E0B98">
        <w:rPr>
          <w:szCs w:val="24"/>
          <w:lang w:val="es-ES_tradnl"/>
        </w:rPr>
        <w:t xml:space="preserve"> Ver sección 4.</w:t>
      </w:r>
    </w:p>
    <w:p w14:paraId="1811C54F" w14:textId="77777777" w:rsidR="00E36F43" w:rsidRPr="003E0B98" w:rsidRDefault="00E36F43" w:rsidP="004361AC">
      <w:pPr>
        <w:tabs>
          <w:tab w:val="clear" w:pos="567"/>
        </w:tabs>
        <w:spacing w:line="240" w:lineRule="auto"/>
        <w:ind w:right="-2"/>
        <w:rPr>
          <w:color w:val="000000"/>
          <w:szCs w:val="22"/>
          <w:lang w:val="es-ES_tradnl"/>
        </w:rPr>
      </w:pPr>
    </w:p>
    <w:p w14:paraId="7CCB1939" w14:textId="77777777" w:rsidR="00E36F43" w:rsidRPr="003E0B98" w:rsidRDefault="00E36F43" w:rsidP="004361AC">
      <w:pPr>
        <w:keepNext/>
        <w:numPr>
          <w:ilvl w:val="12"/>
          <w:numId w:val="0"/>
        </w:numPr>
        <w:tabs>
          <w:tab w:val="clear" w:pos="567"/>
        </w:tabs>
        <w:spacing w:line="240" w:lineRule="auto"/>
        <w:ind w:left="567" w:hanging="567"/>
        <w:rPr>
          <w:color w:val="000000"/>
          <w:szCs w:val="22"/>
          <w:lang w:val="es-ES_tradnl"/>
        </w:rPr>
      </w:pPr>
      <w:r w:rsidRPr="003E0B98">
        <w:rPr>
          <w:b/>
          <w:color w:val="000000"/>
          <w:szCs w:val="22"/>
          <w:lang w:val="es-ES_tradnl"/>
        </w:rPr>
        <w:t>Contenido del prospecto</w:t>
      </w:r>
    </w:p>
    <w:p w14:paraId="1693A263" w14:textId="77777777" w:rsidR="00E36F43" w:rsidRPr="003E0B98" w:rsidRDefault="00E36F43" w:rsidP="004361AC">
      <w:pPr>
        <w:numPr>
          <w:ilvl w:val="12"/>
          <w:numId w:val="0"/>
        </w:numPr>
        <w:tabs>
          <w:tab w:val="clear" w:pos="567"/>
        </w:tabs>
        <w:spacing w:line="240" w:lineRule="auto"/>
        <w:ind w:right="-29"/>
        <w:rPr>
          <w:color w:val="000000"/>
          <w:szCs w:val="22"/>
          <w:lang w:val="es-ES_tradnl"/>
        </w:rPr>
      </w:pPr>
      <w:r w:rsidRPr="003E0B98">
        <w:rPr>
          <w:color w:val="000000"/>
          <w:szCs w:val="22"/>
          <w:lang w:val="es-ES_tradnl"/>
        </w:rPr>
        <w:t>1.</w:t>
      </w:r>
      <w:r w:rsidRPr="003E0B98">
        <w:rPr>
          <w:color w:val="000000"/>
          <w:szCs w:val="22"/>
          <w:lang w:val="es-ES_tradnl"/>
        </w:rPr>
        <w:tab/>
      </w:r>
      <w:r w:rsidRPr="003E0B98">
        <w:rPr>
          <w:color w:val="000000"/>
          <w:lang w:val="es-ES_tradnl"/>
        </w:rPr>
        <w:t xml:space="preserve">Qué es </w:t>
      </w:r>
      <w:proofErr w:type="spellStart"/>
      <w:r w:rsidRPr="003E0B98">
        <w:rPr>
          <w:color w:val="000000"/>
          <w:szCs w:val="22"/>
          <w:lang w:val="es-ES_tradnl"/>
        </w:rPr>
        <w:t>Lucentis</w:t>
      </w:r>
      <w:proofErr w:type="spellEnd"/>
      <w:r w:rsidRPr="003E0B98">
        <w:rPr>
          <w:color w:val="000000"/>
          <w:szCs w:val="22"/>
          <w:lang w:val="es-ES_tradnl"/>
        </w:rPr>
        <w:t xml:space="preserve"> </w:t>
      </w:r>
      <w:r w:rsidRPr="003E0B98">
        <w:rPr>
          <w:color w:val="000000"/>
          <w:lang w:val="es-ES_tradnl"/>
        </w:rPr>
        <w:t>y para qué se utiliza</w:t>
      </w:r>
    </w:p>
    <w:p w14:paraId="38C95B0D" w14:textId="77777777" w:rsidR="00E36F43" w:rsidRPr="003E0B98" w:rsidRDefault="00E36F43" w:rsidP="004361AC">
      <w:pPr>
        <w:numPr>
          <w:ilvl w:val="12"/>
          <w:numId w:val="0"/>
        </w:numPr>
        <w:tabs>
          <w:tab w:val="clear" w:pos="567"/>
        </w:tabs>
        <w:spacing w:line="240" w:lineRule="auto"/>
        <w:ind w:right="-29"/>
        <w:rPr>
          <w:color w:val="000000"/>
          <w:szCs w:val="22"/>
          <w:lang w:val="es-ES_tradnl"/>
        </w:rPr>
      </w:pPr>
      <w:r w:rsidRPr="003E0B98">
        <w:rPr>
          <w:color w:val="000000"/>
          <w:szCs w:val="22"/>
          <w:lang w:val="es-ES_tradnl"/>
        </w:rPr>
        <w:t>2.</w:t>
      </w:r>
      <w:r w:rsidRPr="003E0B98">
        <w:rPr>
          <w:color w:val="000000"/>
          <w:szCs w:val="22"/>
          <w:lang w:val="es-ES_tradnl"/>
        </w:rPr>
        <w:tab/>
      </w:r>
      <w:r w:rsidRPr="003E0B98">
        <w:rPr>
          <w:noProof/>
          <w:szCs w:val="24"/>
          <w:lang w:val="es-ES_tradnl"/>
        </w:rPr>
        <w:t>Qué necesita saber</w:t>
      </w:r>
      <w:r w:rsidRPr="003E0B98">
        <w:rPr>
          <w:szCs w:val="24"/>
          <w:lang w:val="es-ES_tradnl"/>
        </w:rPr>
        <w:t xml:space="preserve"> </w:t>
      </w:r>
      <w:r w:rsidRPr="003E0B98">
        <w:rPr>
          <w:color w:val="000000"/>
          <w:szCs w:val="22"/>
          <w:lang w:val="es-ES_tradnl"/>
        </w:rPr>
        <w:t xml:space="preserve">antes de que le administren </w:t>
      </w:r>
      <w:proofErr w:type="spellStart"/>
      <w:r w:rsidRPr="003E0B98">
        <w:rPr>
          <w:color w:val="000000"/>
          <w:szCs w:val="22"/>
          <w:lang w:val="es-ES_tradnl"/>
        </w:rPr>
        <w:t>Lucentis</w:t>
      </w:r>
      <w:proofErr w:type="spellEnd"/>
    </w:p>
    <w:p w14:paraId="1FB6C636" w14:textId="77777777" w:rsidR="00E36F43" w:rsidRPr="003E0B98" w:rsidRDefault="00E36F43" w:rsidP="004361AC">
      <w:pPr>
        <w:numPr>
          <w:ilvl w:val="12"/>
          <w:numId w:val="0"/>
        </w:numPr>
        <w:tabs>
          <w:tab w:val="clear" w:pos="567"/>
        </w:tabs>
        <w:spacing w:line="240" w:lineRule="auto"/>
        <w:ind w:right="-29"/>
        <w:rPr>
          <w:color w:val="000000"/>
          <w:szCs w:val="22"/>
          <w:lang w:val="es-ES_tradnl"/>
        </w:rPr>
      </w:pPr>
      <w:r w:rsidRPr="003E0B98">
        <w:rPr>
          <w:color w:val="000000"/>
          <w:szCs w:val="22"/>
          <w:lang w:val="es-ES_tradnl"/>
        </w:rPr>
        <w:t>3.</w:t>
      </w:r>
      <w:r w:rsidRPr="003E0B98">
        <w:rPr>
          <w:color w:val="000000"/>
          <w:szCs w:val="22"/>
          <w:lang w:val="es-ES_tradnl"/>
        </w:rPr>
        <w:tab/>
        <w:t xml:space="preserve">Cómo se administra </w:t>
      </w:r>
      <w:proofErr w:type="spellStart"/>
      <w:r w:rsidRPr="003E0B98">
        <w:rPr>
          <w:color w:val="000000"/>
          <w:szCs w:val="22"/>
          <w:lang w:val="es-ES_tradnl"/>
        </w:rPr>
        <w:t>Lucentis</w:t>
      </w:r>
      <w:proofErr w:type="spellEnd"/>
    </w:p>
    <w:p w14:paraId="41DEB9D8" w14:textId="77777777" w:rsidR="00E36F43" w:rsidRPr="003E0B98" w:rsidRDefault="00E36F43" w:rsidP="004361AC">
      <w:pPr>
        <w:numPr>
          <w:ilvl w:val="12"/>
          <w:numId w:val="0"/>
        </w:numPr>
        <w:tabs>
          <w:tab w:val="clear" w:pos="567"/>
        </w:tabs>
        <w:spacing w:line="240" w:lineRule="auto"/>
        <w:ind w:right="-29"/>
        <w:rPr>
          <w:color w:val="000000"/>
          <w:szCs w:val="22"/>
          <w:lang w:val="es-ES_tradnl"/>
        </w:rPr>
      </w:pPr>
      <w:r w:rsidRPr="003E0B98">
        <w:rPr>
          <w:color w:val="000000"/>
          <w:szCs w:val="22"/>
          <w:lang w:val="es-ES_tradnl"/>
        </w:rPr>
        <w:t>4.</w:t>
      </w:r>
      <w:r w:rsidRPr="003E0B98">
        <w:rPr>
          <w:color w:val="000000"/>
          <w:szCs w:val="22"/>
          <w:lang w:val="es-ES_tradnl"/>
        </w:rPr>
        <w:tab/>
      </w:r>
      <w:r w:rsidRPr="003E0B98">
        <w:rPr>
          <w:noProof/>
          <w:color w:val="000000"/>
          <w:lang w:val="es-ES_tradnl"/>
        </w:rPr>
        <w:t>Posibles efectos adversos</w:t>
      </w:r>
    </w:p>
    <w:p w14:paraId="188C5E1A" w14:textId="77777777" w:rsidR="00E36F43" w:rsidRPr="003E0B98" w:rsidRDefault="00E36F43" w:rsidP="004361AC">
      <w:pPr>
        <w:tabs>
          <w:tab w:val="clear" w:pos="567"/>
        </w:tabs>
        <w:spacing w:line="240" w:lineRule="auto"/>
        <w:ind w:left="567" w:right="-29" w:hanging="567"/>
        <w:rPr>
          <w:color w:val="000000"/>
          <w:szCs w:val="22"/>
          <w:lang w:val="es-ES_tradnl"/>
        </w:rPr>
      </w:pPr>
      <w:r w:rsidRPr="003E0B98">
        <w:rPr>
          <w:color w:val="000000"/>
          <w:szCs w:val="22"/>
          <w:lang w:val="es-ES_tradnl"/>
        </w:rPr>
        <w:t>5.</w:t>
      </w:r>
      <w:r w:rsidRPr="003E0B98">
        <w:rPr>
          <w:color w:val="000000"/>
          <w:szCs w:val="22"/>
          <w:lang w:val="es-ES_tradnl"/>
        </w:rPr>
        <w:tab/>
        <w:t xml:space="preserve">Conservación de </w:t>
      </w:r>
      <w:proofErr w:type="spellStart"/>
      <w:r w:rsidRPr="003E0B98">
        <w:rPr>
          <w:color w:val="000000"/>
          <w:szCs w:val="22"/>
          <w:lang w:val="es-ES_tradnl"/>
        </w:rPr>
        <w:t>Lucentis</w:t>
      </w:r>
      <w:proofErr w:type="spellEnd"/>
    </w:p>
    <w:p w14:paraId="5C02BB9F" w14:textId="77777777" w:rsidR="00E36F43" w:rsidRPr="003E0B98" w:rsidRDefault="00E36F43" w:rsidP="004361AC">
      <w:pPr>
        <w:tabs>
          <w:tab w:val="clear" w:pos="567"/>
        </w:tabs>
        <w:spacing w:line="240" w:lineRule="auto"/>
        <w:ind w:right="-29"/>
        <w:rPr>
          <w:color w:val="000000"/>
          <w:szCs w:val="22"/>
          <w:lang w:val="es-ES_tradnl"/>
        </w:rPr>
      </w:pPr>
      <w:r w:rsidRPr="003E0B98">
        <w:rPr>
          <w:color w:val="000000"/>
          <w:szCs w:val="22"/>
          <w:lang w:val="es-ES_tradnl"/>
        </w:rPr>
        <w:t>6.</w:t>
      </w:r>
      <w:r w:rsidRPr="003E0B98">
        <w:rPr>
          <w:color w:val="000000"/>
          <w:szCs w:val="22"/>
          <w:lang w:val="es-ES_tradnl"/>
        </w:rPr>
        <w:tab/>
      </w:r>
      <w:r w:rsidRPr="003E0B98">
        <w:rPr>
          <w:szCs w:val="24"/>
          <w:lang w:val="es-ES_tradnl"/>
        </w:rPr>
        <w:t xml:space="preserve">Contenido del envase e </w:t>
      </w:r>
      <w:r w:rsidRPr="003E0B98">
        <w:rPr>
          <w:color w:val="000000"/>
          <w:szCs w:val="22"/>
          <w:lang w:val="es-ES_tradnl"/>
        </w:rPr>
        <w:t>información adicional</w:t>
      </w:r>
    </w:p>
    <w:p w14:paraId="6FE4BB18" w14:textId="77777777" w:rsidR="00E36F43" w:rsidRPr="003E0B98" w:rsidRDefault="00E36F43" w:rsidP="004361AC">
      <w:pPr>
        <w:numPr>
          <w:ilvl w:val="12"/>
          <w:numId w:val="0"/>
        </w:numPr>
        <w:tabs>
          <w:tab w:val="clear" w:pos="567"/>
        </w:tabs>
        <w:spacing w:line="240" w:lineRule="auto"/>
        <w:rPr>
          <w:color w:val="000000"/>
          <w:szCs w:val="22"/>
          <w:lang w:val="es-ES_tradnl"/>
        </w:rPr>
      </w:pPr>
    </w:p>
    <w:p w14:paraId="34EA7CFC" w14:textId="77777777" w:rsidR="00E36F43" w:rsidRPr="003E0B98" w:rsidRDefault="00E36F43" w:rsidP="004361AC">
      <w:pPr>
        <w:numPr>
          <w:ilvl w:val="12"/>
          <w:numId w:val="0"/>
        </w:numPr>
        <w:tabs>
          <w:tab w:val="clear" w:pos="567"/>
        </w:tabs>
        <w:spacing w:line="240" w:lineRule="auto"/>
        <w:rPr>
          <w:color w:val="000000"/>
          <w:szCs w:val="22"/>
          <w:lang w:val="es-ES_tradnl"/>
        </w:rPr>
      </w:pPr>
    </w:p>
    <w:p w14:paraId="22C98D5D" w14:textId="77777777" w:rsidR="00E36F43" w:rsidRPr="003E0B98" w:rsidRDefault="00E36F43" w:rsidP="004361AC">
      <w:pPr>
        <w:keepNext/>
        <w:tabs>
          <w:tab w:val="clear" w:pos="567"/>
        </w:tabs>
        <w:spacing w:line="240" w:lineRule="auto"/>
        <w:ind w:left="567" w:hanging="567"/>
        <w:rPr>
          <w:b/>
          <w:color w:val="000000"/>
          <w:szCs w:val="22"/>
          <w:lang w:val="es-ES_tradnl"/>
        </w:rPr>
      </w:pPr>
      <w:r w:rsidRPr="003E0B98">
        <w:rPr>
          <w:b/>
          <w:color w:val="000000"/>
          <w:lang w:val="es-ES_tradnl"/>
        </w:rPr>
        <w:t>1.</w:t>
      </w:r>
      <w:r w:rsidRPr="003E0B98">
        <w:rPr>
          <w:b/>
          <w:color w:val="000000"/>
          <w:lang w:val="es-ES_tradnl"/>
        </w:rPr>
        <w:tab/>
        <w:t xml:space="preserve">Qué es </w:t>
      </w:r>
      <w:proofErr w:type="spellStart"/>
      <w:r w:rsidRPr="003E0B98">
        <w:rPr>
          <w:b/>
          <w:color w:val="000000"/>
          <w:lang w:val="es-ES_tradnl"/>
        </w:rPr>
        <w:t>Lucentis</w:t>
      </w:r>
      <w:proofErr w:type="spellEnd"/>
      <w:r w:rsidRPr="003E0B98">
        <w:rPr>
          <w:b/>
          <w:color w:val="000000"/>
          <w:lang w:val="es-ES_tradnl"/>
        </w:rPr>
        <w:t xml:space="preserve"> y para qué se utiliza</w:t>
      </w:r>
    </w:p>
    <w:p w14:paraId="2940FD02" w14:textId="77777777" w:rsidR="00E36F43" w:rsidRPr="003E0B98" w:rsidRDefault="00E36F43" w:rsidP="004361AC">
      <w:pPr>
        <w:keepNext/>
        <w:numPr>
          <w:ilvl w:val="12"/>
          <w:numId w:val="0"/>
        </w:numPr>
        <w:tabs>
          <w:tab w:val="clear" w:pos="567"/>
        </w:tabs>
        <w:spacing w:line="240" w:lineRule="auto"/>
        <w:ind w:left="567" w:hanging="567"/>
        <w:rPr>
          <w:color w:val="000000"/>
          <w:szCs w:val="22"/>
          <w:lang w:val="es-ES_tradnl"/>
        </w:rPr>
      </w:pPr>
    </w:p>
    <w:p w14:paraId="3D36EF7F" w14:textId="77777777" w:rsidR="00E36F43" w:rsidRPr="003E0B98" w:rsidRDefault="00E36F43" w:rsidP="004361AC">
      <w:pPr>
        <w:keepNext/>
        <w:numPr>
          <w:ilvl w:val="12"/>
          <w:numId w:val="0"/>
        </w:numPr>
        <w:tabs>
          <w:tab w:val="clear" w:pos="567"/>
        </w:tabs>
        <w:spacing w:line="240" w:lineRule="auto"/>
        <w:ind w:left="567" w:hanging="567"/>
        <w:rPr>
          <w:b/>
          <w:color w:val="000000"/>
          <w:szCs w:val="22"/>
          <w:lang w:val="es-ES_tradnl"/>
        </w:rPr>
      </w:pPr>
      <w:r w:rsidRPr="003E0B98">
        <w:rPr>
          <w:b/>
          <w:color w:val="000000"/>
          <w:szCs w:val="22"/>
          <w:lang w:val="es-ES_tradnl"/>
        </w:rPr>
        <w:t xml:space="preserve">Qué es </w:t>
      </w:r>
      <w:proofErr w:type="spellStart"/>
      <w:r w:rsidRPr="003E0B98">
        <w:rPr>
          <w:b/>
          <w:color w:val="000000"/>
          <w:szCs w:val="22"/>
          <w:lang w:val="es-ES_tradnl"/>
        </w:rPr>
        <w:t>Lucentis</w:t>
      </w:r>
      <w:proofErr w:type="spellEnd"/>
    </w:p>
    <w:p w14:paraId="7F8EB6B2" w14:textId="77777777" w:rsidR="00E36F43" w:rsidRPr="003E0B98" w:rsidRDefault="00E36F43" w:rsidP="004361AC">
      <w:pPr>
        <w:numPr>
          <w:ilvl w:val="12"/>
          <w:numId w:val="0"/>
        </w:numPr>
        <w:tabs>
          <w:tab w:val="clear" w:pos="567"/>
        </w:tabs>
        <w:spacing w:line="240" w:lineRule="auto"/>
        <w:rPr>
          <w:color w:val="000000"/>
          <w:szCs w:val="22"/>
          <w:lang w:val="es-ES"/>
        </w:rPr>
      </w:pPr>
      <w:proofErr w:type="spellStart"/>
      <w:r w:rsidRPr="003E0B98">
        <w:rPr>
          <w:color w:val="000000"/>
          <w:szCs w:val="22"/>
          <w:lang w:val="es-ES_tradnl"/>
        </w:rPr>
        <w:t>Lucentis</w:t>
      </w:r>
      <w:proofErr w:type="spellEnd"/>
      <w:r w:rsidRPr="003E0B98">
        <w:rPr>
          <w:color w:val="000000"/>
          <w:szCs w:val="22"/>
          <w:lang w:val="es-ES_tradnl"/>
        </w:rPr>
        <w:t xml:space="preserve"> es una solución que se inyecta en el ojo. </w:t>
      </w:r>
      <w:proofErr w:type="spellStart"/>
      <w:r w:rsidRPr="003E0B98">
        <w:rPr>
          <w:color w:val="000000"/>
          <w:szCs w:val="22"/>
          <w:lang w:val="es-ES_tradnl"/>
        </w:rPr>
        <w:t>Lucentis</w:t>
      </w:r>
      <w:proofErr w:type="spellEnd"/>
      <w:r w:rsidRPr="003E0B98">
        <w:rPr>
          <w:color w:val="000000"/>
          <w:szCs w:val="22"/>
          <w:lang w:val="es-ES_tradnl"/>
        </w:rPr>
        <w:t xml:space="preserve"> pertenece a un grupo de medicamentos denominados agentes </w:t>
      </w:r>
      <w:proofErr w:type="spellStart"/>
      <w:r w:rsidRPr="003E0B98">
        <w:rPr>
          <w:color w:val="000000"/>
          <w:szCs w:val="22"/>
          <w:lang w:val="es-ES_tradnl"/>
        </w:rPr>
        <w:t>antineovascularización</w:t>
      </w:r>
      <w:proofErr w:type="spellEnd"/>
      <w:r w:rsidRPr="003E0B98">
        <w:rPr>
          <w:color w:val="000000"/>
          <w:szCs w:val="22"/>
          <w:lang w:val="es-ES_tradnl"/>
        </w:rPr>
        <w:t xml:space="preserve">. Contiene el principio activo denominado </w:t>
      </w:r>
      <w:proofErr w:type="spellStart"/>
      <w:r w:rsidRPr="003E0B98">
        <w:rPr>
          <w:color w:val="000000"/>
          <w:szCs w:val="22"/>
          <w:lang w:val="es-ES_tradnl"/>
        </w:rPr>
        <w:t>ranibizumab</w:t>
      </w:r>
      <w:proofErr w:type="spellEnd"/>
      <w:r w:rsidRPr="003E0B98">
        <w:rPr>
          <w:color w:val="000000"/>
          <w:szCs w:val="22"/>
          <w:lang w:val="es-ES_tradnl"/>
        </w:rPr>
        <w:t>.</w:t>
      </w:r>
    </w:p>
    <w:p w14:paraId="2103C985" w14:textId="77777777" w:rsidR="00E36F43" w:rsidRPr="003E0B98" w:rsidRDefault="00E36F43" w:rsidP="004361AC">
      <w:pPr>
        <w:numPr>
          <w:ilvl w:val="12"/>
          <w:numId w:val="0"/>
        </w:numPr>
        <w:tabs>
          <w:tab w:val="clear" w:pos="567"/>
        </w:tabs>
        <w:spacing w:line="240" w:lineRule="auto"/>
        <w:rPr>
          <w:color w:val="000000"/>
          <w:szCs w:val="22"/>
          <w:lang w:val="es-ES"/>
        </w:rPr>
      </w:pPr>
    </w:p>
    <w:p w14:paraId="2956BABA" w14:textId="77777777" w:rsidR="00E36F43" w:rsidRPr="003E0B98" w:rsidRDefault="00E36F43" w:rsidP="004361AC">
      <w:pPr>
        <w:keepNext/>
        <w:numPr>
          <w:ilvl w:val="12"/>
          <w:numId w:val="0"/>
        </w:numPr>
        <w:tabs>
          <w:tab w:val="clear" w:pos="567"/>
        </w:tabs>
        <w:spacing w:line="240" w:lineRule="auto"/>
        <w:ind w:left="567" w:hanging="567"/>
        <w:rPr>
          <w:b/>
          <w:color w:val="000000"/>
          <w:szCs w:val="22"/>
          <w:lang w:val="es-ES_tradnl"/>
        </w:rPr>
      </w:pPr>
      <w:r w:rsidRPr="003E0B98">
        <w:rPr>
          <w:b/>
          <w:color w:val="000000"/>
          <w:szCs w:val="22"/>
          <w:lang w:val="es-ES_tradnl"/>
        </w:rPr>
        <w:t xml:space="preserve">Para qué se utiliza </w:t>
      </w:r>
      <w:proofErr w:type="spellStart"/>
      <w:r w:rsidRPr="003E0B98">
        <w:rPr>
          <w:b/>
          <w:color w:val="000000"/>
          <w:szCs w:val="22"/>
          <w:lang w:val="es-ES_tradnl"/>
        </w:rPr>
        <w:t>Lucentis</w:t>
      </w:r>
      <w:proofErr w:type="spellEnd"/>
    </w:p>
    <w:p w14:paraId="7F462904" w14:textId="77777777" w:rsidR="00E36F43" w:rsidRPr="003E0B98" w:rsidRDefault="00E36F43" w:rsidP="004361AC">
      <w:pPr>
        <w:numPr>
          <w:ilvl w:val="12"/>
          <w:numId w:val="0"/>
        </w:numPr>
        <w:tabs>
          <w:tab w:val="clear" w:pos="567"/>
        </w:tabs>
        <w:spacing w:line="240" w:lineRule="auto"/>
        <w:rPr>
          <w:color w:val="000000"/>
          <w:szCs w:val="22"/>
          <w:lang w:val="es-ES_tradnl"/>
        </w:rPr>
      </w:pPr>
      <w:proofErr w:type="spellStart"/>
      <w:r w:rsidRPr="003E0B98">
        <w:rPr>
          <w:color w:val="000000"/>
          <w:szCs w:val="22"/>
          <w:lang w:val="es-ES_tradnl"/>
        </w:rPr>
        <w:t>Lucentis</w:t>
      </w:r>
      <w:proofErr w:type="spellEnd"/>
      <w:r w:rsidRPr="003E0B98">
        <w:rPr>
          <w:color w:val="000000"/>
          <w:szCs w:val="22"/>
          <w:lang w:val="es-ES_tradnl"/>
        </w:rPr>
        <w:t xml:space="preserve"> se utiliza en adultos para tratar varias enfermedades oculares que causan alteración de la visión.</w:t>
      </w:r>
    </w:p>
    <w:p w14:paraId="41A0682D" w14:textId="77777777" w:rsidR="00E36F43" w:rsidRPr="003E0B98" w:rsidRDefault="00E36F43" w:rsidP="004361AC">
      <w:pPr>
        <w:numPr>
          <w:ilvl w:val="12"/>
          <w:numId w:val="0"/>
        </w:numPr>
        <w:tabs>
          <w:tab w:val="clear" w:pos="567"/>
        </w:tabs>
        <w:spacing w:line="240" w:lineRule="auto"/>
        <w:rPr>
          <w:color w:val="000000"/>
          <w:szCs w:val="22"/>
          <w:lang w:val="es-ES_tradnl"/>
        </w:rPr>
      </w:pPr>
    </w:p>
    <w:p w14:paraId="41C96B93" w14:textId="77777777" w:rsidR="00E36F43" w:rsidRPr="003E0B98" w:rsidRDefault="00E36F43" w:rsidP="004361AC">
      <w:pPr>
        <w:keepNext/>
        <w:numPr>
          <w:ilvl w:val="12"/>
          <w:numId w:val="0"/>
        </w:numPr>
        <w:tabs>
          <w:tab w:val="clear" w:pos="567"/>
        </w:tabs>
        <w:spacing w:line="240" w:lineRule="auto"/>
        <w:rPr>
          <w:color w:val="000000"/>
          <w:szCs w:val="22"/>
          <w:lang w:val="es-ES_tradnl"/>
        </w:rPr>
      </w:pPr>
      <w:r w:rsidRPr="003E0B98">
        <w:rPr>
          <w:color w:val="000000"/>
          <w:szCs w:val="22"/>
          <w:lang w:val="es-ES_tradnl"/>
        </w:rPr>
        <w:t>Estas enfermedades son el resultado de una lesión en la retina (capa sensible a la luz en la parte posterior del ojo) provocada por:</w:t>
      </w:r>
    </w:p>
    <w:p w14:paraId="6730CF73" w14:textId="43F4CE6C" w:rsidR="00E36F43" w:rsidRPr="003E0B98" w:rsidRDefault="00E36F43" w:rsidP="004361AC">
      <w:pPr>
        <w:tabs>
          <w:tab w:val="clear" w:pos="567"/>
        </w:tabs>
        <w:spacing w:line="240" w:lineRule="auto"/>
        <w:ind w:left="567" w:hanging="567"/>
        <w:rPr>
          <w:color w:val="000000"/>
          <w:szCs w:val="22"/>
          <w:lang w:val="es-ES"/>
        </w:rPr>
      </w:pPr>
      <w:r w:rsidRPr="003E0B98">
        <w:rPr>
          <w:color w:val="000000"/>
          <w:szCs w:val="22"/>
          <w:lang w:val="es-ES"/>
        </w:rPr>
        <w:t>-</w:t>
      </w:r>
      <w:r w:rsidRPr="003E0B98">
        <w:rPr>
          <w:color w:val="000000"/>
          <w:szCs w:val="22"/>
          <w:lang w:val="es-ES"/>
        </w:rPr>
        <w:tab/>
        <w:t>El crecimiento de vasos sanguíneos anómalos, que pierden líquido. Esto se observa en enfermedades como la degeneración macular asociada a la edad (DMAE)</w:t>
      </w:r>
      <w:r w:rsidR="000B137F" w:rsidRPr="003E0B98">
        <w:rPr>
          <w:color w:val="000000"/>
          <w:szCs w:val="22"/>
          <w:lang w:val="es-ES"/>
        </w:rPr>
        <w:t xml:space="preserve"> y la retinopatía diabética proliferativa (RDP, una enfermedad provocada por la diabetes)</w:t>
      </w:r>
      <w:r w:rsidR="0005555B" w:rsidRPr="003E0B98">
        <w:rPr>
          <w:color w:val="000000"/>
          <w:szCs w:val="22"/>
          <w:lang w:val="es-ES"/>
        </w:rPr>
        <w:t>. También puede ir asociado con la neovascularización coroidea (NVC) debida a</w:t>
      </w:r>
      <w:r w:rsidRPr="003E0B98">
        <w:rPr>
          <w:color w:val="000000"/>
          <w:szCs w:val="22"/>
          <w:lang w:val="es-ES"/>
        </w:rPr>
        <w:t xml:space="preserve"> miopía patológica (MP)</w:t>
      </w:r>
      <w:r w:rsidR="0005555B" w:rsidRPr="003E0B98">
        <w:rPr>
          <w:color w:val="000000"/>
          <w:szCs w:val="22"/>
          <w:lang w:val="es-ES"/>
        </w:rPr>
        <w:t xml:space="preserve">, estrías </w:t>
      </w:r>
      <w:proofErr w:type="spellStart"/>
      <w:r w:rsidR="0005555B" w:rsidRPr="003E0B98">
        <w:rPr>
          <w:color w:val="000000"/>
          <w:szCs w:val="22"/>
          <w:lang w:val="es-ES"/>
        </w:rPr>
        <w:t>angioides</w:t>
      </w:r>
      <w:proofErr w:type="spellEnd"/>
      <w:r w:rsidR="0005555B" w:rsidRPr="003E0B98">
        <w:rPr>
          <w:color w:val="000000"/>
          <w:szCs w:val="22"/>
          <w:lang w:val="es-ES"/>
        </w:rPr>
        <w:t xml:space="preserve">, </w:t>
      </w:r>
      <w:proofErr w:type="spellStart"/>
      <w:r w:rsidR="0005555B" w:rsidRPr="003E0B98">
        <w:rPr>
          <w:color w:val="000000"/>
          <w:szCs w:val="22"/>
          <w:lang w:val="es-ES"/>
        </w:rPr>
        <w:t>corioretinopatía</w:t>
      </w:r>
      <w:proofErr w:type="spellEnd"/>
      <w:r w:rsidR="0005555B" w:rsidRPr="003E0B98">
        <w:rPr>
          <w:color w:val="000000"/>
          <w:szCs w:val="22"/>
          <w:lang w:val="es-ES"/>
        </w:rPr>
        <w:t xml:space="preserve"> serosa central o NVC inflamatoria</w:t>
      </w:r>
      <w:r w:rsidRPr="003E0B98">
        <w:rPr>
          <w:color w:val="000000"/>
          <w:szCs w:val="22"/>
          <w:lang w:val="es-ES"/>
        </w:rPr>
        <w:t>.</w:t>
      </w:r>
    </w:p>
    <w:p w14:paraId="569361F1" w14:textId="77777777" w:rsidR="00E36F43" w:rsidRPr="003E0B98" w:rsidRDefault="00E36F43" w:rsidP="004361AC">
      <w:pPr>
        <w:tabs>
          <w:tab w:val="clear" w:pos="567"/>
        </w:tabs>
        <w:spacing w:line="240" w:lineRule="auto"/>
        <w:ind w:left="567" w:hanging="567"/>
        <w:rPr>
          <w:color w:val="000000"/>
          <w:szCs w:val="22"/>
          <w:lang w:val="es-ES"/>
        </w:rPr>
      </w:pPr>
      <w:r w:rsidRPr="003E0B98">
        <w:rPr>
          <w:color w:val="000000"/>
          <w:szCs w:val="22"/>
          <w:lang w:val="es-ES"/>
        </w:rPr>
        <w:t>-</w:t>
      </w:r>
      <w:r w:rsidRPr="003E0B98">
        <w:rPr>
          <w:color w:val="000000"/>
          <w:szCs w:val="22"/>
          <w:lang w:val="es-ES"/>
        </w:rPr>
        <w:tab/>
        <w:t xml:space="preserve">Edema macular (hinchazón del centro de la retina). La causa de </w:t>
      </w:r>
      <w:proofErr w:type="gramStart"/>
      <w:r w:rsidRPr="003E0B98">
        <w:rPr>
          <w:color w:val="000000"/>
          <w:szCs w:val="22"/>
          <w:lang w:val="es-ES"/>
        </w:rPr>
        <w:t>este hinchazón</w:t>
      </w:r>
      <w:proofErr w:type="gramEnd"/>
      <w:r w:rsidRPr="003E0B98">
        <w:rPr>
          <w:color w:val="000000"/>
          <w:szCs w:val="22"/>
          <w:lang w:val="es-ES"/>
        </w:rPr>
        <w:t xml:space="preserve"> puede ser la diabetes (una enfermedad conocida como edema macular diabético (EMD)) o un bloqueo de las venas retinianas de la retina (una enfermedad conocida como oclusión de la vena de la retina (OVR)).</w:t>
      </w:r>
    </w:p>
    <w:p w14:paraId="6F213B5B" w14:textId="77777777" w:rsidR="00E36F43" w:rsidRPr="003E0B98" w:rsidRDefault="00E36F43" w:rsidP="004361AC">
      <w:pPr>
        <w:numPr>
          <w:ilvl w:val="12"/>
          <w:numId w:val="0"/>
        </w:numPr>
        <w:tabs>
          <w:tab w:val="clear" w:pos="567"/>
        </w:tabs>
        <w:spacing w:line="240" w:lineRule="auto"/>
        <w:rPr>
          <w:color w:val="000000"/>
          <w:szCs w:val="22"/>
          <w:lang w:val="es-ES"/>
        </w:rPr>
      </w:pPr>
    </w:p>
    <w:p w14:paraId="68EF05F8" w14:textId="77777777" w:rsidR="00E36F43" w:rsidRPr="003E0B98" w:rsidRDefault="00E36F43" w:rsidP="004361AC">
      <w:pPr>
        <w:keepNext/>
        <w:numPr>
          <w:ilvl w:val="12"/>
          <w:numId w:val="0"/>
        </w:numPr>
        <w:tabs>
          <w:tab w:val="clear" w:pos="567"/>
        </w:tabs>
        <w:spacing w:line="240" w:lineRule="auto"/>
        <w:rPr>
          <w:b/>
          <w:color w:val="000000"/>
          <w:szCs w:val="22"/>
          <w:lang w:val="es-ES"/>
        </w:rPr>
      </w:pPr>
      <w:r w:rsidRPr="003E0B98">
        <w:rPr>
          <w:b/>
          <w:color w:val="000000"/>
          <w:szCs w:val="22"/>
          <w:lang w:val="es-ES"/>
        </w:rPr>
        <w:t xml:space="preserve">Cómo actúa </w:t>
      </w:r>
      <w:proofErr w:type="spellStart"/>
      <w:r w:rsidRPr="003E0B98">
        <w:rPr>
          <w:b/>
          <w:color w:val="000000"/>
          <w:szCs w:val="22"/>
          <w:lang w:val="es-ES"/>
        </w:rPr>
        <w:t>Lucentis</w:t>
      </w:r>
      <w:proofErr w:type="spellEnd"/>
    </w:p>
    <w:p w14:paraId="34C4FB4C" w14:textId="2E3D993A" w:rsidR="00E36F43" w:rsidRPr="003E0B98" w:rsidRDefault="00E36F43" w:rsidP="004361AC">
      <w:pPr>
        <w:numPr>
          <w:ilvl w:val="12"/>
          <w:numId w:val="0"/>
        </w:numPr>
        <w:tabs>
          <w:tab w:val="clear" w:pos="567"/>
        </w:tabs>
        <w:spacing w:line="240" w:lineRule="auto"/>
        <w:rPr>
          <w:color w:val="000000"/>
          <w:szCs w:val="22"/>
          <w:lang w:val="es-ES_tradnl"/>
        </w:rPr>
      </w:pPr>
      <w:proofErr w:type="spellStart"/>
      <w:r w:rsidRPr="003E0B98">
        <w:rPr>
          <w:color w:val="000000"/>
          <w:szCs w:val="22"/>
          <w:lang w:val="es-ES"/>
        </w:rPr>
        <w:t>Lucentis</w:t>
      </w:r>
      <w:proofErr w:type="spellEnd"/>
      <w:r w:rsidRPr="003E0B98">
        <w:rPr>
          <w:color w:val="000000"/>
          <w:szCs w:val="22"/>
          <w:lang w:val="es-ES"/>
        </w:rPr>
        <w:t xml:space="preserve"> reconoce y se une de forma específica a una proteína denominada </w:t>
      </w:r>
      <w:r w:rsidRPr="003E0B98">
        <w:rPr>
          <w:color w:val="000000"/>
          <w:szCs w:val="22"/>
          <w:lang w:val="es-ES_tradnl"/>
        </w:rPr>
        <w:t xml:space="preserve">factor de crecimiento endotelial vascular A (VEGF-A) humano presente en los ojos. En exceso, el VEGF-A causa el crecimiento de vasos sanguíneos anómalos e hinchazón en el ojo que puede ocasionar una </w:t>
      </w:r>
      <w:r w:rsidRPr="003E0B98">
        <w:rPr>
          <w:color w:val="000000"/>
          <w:szCs w:val="22"/>
          <w:lang w:val="es-ES"/>
        </w:rPr>
        <w:t>alteración</w:t>
      </w:r>
      <w:r w:rsidRPr="003E0B98">
        <w:rPr>
          <w:color w:val="000000"/>
          <w:szCs w:val="22"/>
          <w:lang w:val="es-ES_tradnl"/>
        </w:rPr>
        <w:t xml:space="preserve"> de la visión en enfermedades como DMAE, </w:t>
      </w:r>
      <w:r w:rsidR="000B137F" w:rsidRPr="003E0B98">
        <w:rPr>
          <w:color w:val="000000"/>
          <w:szCs w:val="22"/>
          <w:lang w:val="es-ES_tradnl"/>
        </w:rPr>
        <w:t xml:space="preserve">EMD, RDP, OVP, </w:t>
      </w:r>
      <w:r w:rsidRPr="003E0B98">
        <w:rPr>
          <w:color w:val="000000"/>
          <w:szCs w:val="22"/>
          <w:lang w:val="es-ES_tradnl"/>
        </w:rPr>
        <w:t>MP</w:t>
      </w:r>
      <w:r w:rsidR="000B137F" w:rsidRPr="003E0B98">
        <w:rPr>
          <w:color w:val="000000"/>
          <w:szCs w:val="22"/>
          <w:lang w:val="es-ES_tradnl"/>
        </w:rPr>
        <w:t xml:space="preserve"> y</w:t>
      </w:r>
      <w:r w:rsidRPr="003E0B98">
        <w:rPr>
          <w:color w:val="000000"/>
          <w:szCs w:val="22"/>
          <w:lang w:val="es-ES_tradnl"/>
        </w:rPr>
        <w:t xml:space="preserve"> </w:t>
      </w:r>
      <w:r w:rsidR="0005555B" w:rsidRPr="003E0B98">
        <w:rPr>
          <w:color w:val="000000"/>
          <w:szCs w:val="22"/>
          <w:lang w:val="es-ES_tradnl"/>
        </w:rPr>
        <w:t>NVC</w:t>
      </w:r>
      <w:r w:rsidRPr="003E0B98">
        <w:rPr>
          <w:color w:val="000000"/>
          <w:szCs w:val="22"/>
          <w:lang w:val="es-ES_tradnl"/>
        </w:rPr>
        <w:t xml:space="preserve">. Mediante la unión al VEGF-A, </w:t>
      </w:r>
      <w:proofErr w:type="spellStart"/>
      <w:r w:rsidRPr="003E0B98">
        <w:rPr>
          <w:color w:val="000000"/>
          <w:szCs w:val="22"/>
          <w:lang w:val="es-ES_tradnl"/>
        </w:rPr>
        <w:t>Lucentis</w:t>
      </w:r>
      <w:proofErr w:type="spellEnd"/>
      <w:r w:rsidRPr="003E0B98">
        <w:rPr>
          <w:color w:val="000000"/>
          <w:szCs w:val="22"/>
          <w:lang w:val="es-ES_tradnl"/>
        </w:rPr>
        <w:t xml:space="preserve"> puede impedir que actúe y prevenir dicho crecimiento e hinchazón anómalos.</w:t>
      </w:r>
    </w:p>
    <w:p w14:paraId="03E96449" w14:textId="77777777" w:rsidR="00E36F43" w:rsidRPr="003E0B98" w:rsidRDefault="00E36F43" w:rsidP="004361AC">
      <w:pPr>
        <w:numPr>
          <w:ilvl w:val="12"/>
          <w:numId w:val="0"/>
        </w:numPr>
        <w:tabs>
          <w:tab w:val="clear" w:pos="567"/>
        </w:tabs>
        <w:spacing w:line="240" w:lineRule="auto"/>
        <w:rPr>
          <w:color w:val="000000"/>
          <w:szCs w:val="22"/>
          <w:lang w:val="es-ES_tradnl"/>
        </w:rPr>
      </w:pPr>
    </w:p>
    <w:p w14:paraId="2BB8F78C" w14:textId="77777777" w:rsidR="00E36F43" w:rsidRPr="003E0B98" w:rsidRDefault="00E36F43" w:rsidP="004361AC">
      <w:pPr>
        <w:numPr>
          <w:ilvl w:val="12"/>
          <w:numId w:val="0"/>
        </w:numPr>
        <w:tabs>
          <w:tab w:val="clear" w:pos="567"/>
        </w:tabs>
        <w:spacing w:line="240" w:lineRule="auto"/>
        <w:rPr>
          <w:szCs w:val="22"/>
          <w:lang w:val="es-ES_tradnl"/>
        </w:rPr>
      </w:pPr>
      <w:r w:rsidRPr="003E0B98">
        <w:rPr>
          <w:color w:val="000000"/>
          <w:szCs w:val="22"/>
          <w:lang w:val="es-ES_tradnl"/>
        </w:rPr>
        <w:t xml:space="preserve">En estas enfermedades, </w:t>
      </w:r>
      <w:proofErr w:type="spellStart"/>
      <w:r w:rsidRPr="003E0B98">
        <w:rPr>
          <w:color w:val="000000"/>
          <w:szCs w:val="22"/>
          <w:lang w:val="es-ES_tradnl"/>
        </w:rPr>
        <w:t>Lucentis</w:t>
      </w:r>
      <w:proofErr w:type="spellEnd"/>
      <w:r w:rsidRPr="003E0B98">
        <w:rPr>
          <w:color w:val="000000"/>
          <w:szCs w:val="22"/>
          <w:lang w:val="es-ES_tradnl"/>
        </w:rPr>
        <w:t xml:space="preserve"> puede ayudar a estabilizar y, en muchos casos, mejorar su visión.</w:t>
      </w:r>
    </w:p>
    <w:p w14:paraId="71FD8415" w14:textId="77777777" w:rsidR="00E36F43" w:rsidRPr="003E0B98" w:rsidRDefault="00E36F43" w:rsidP="004361AC">
      <w:pPr>
        <w:numPr>
          <w:ilvl w:val="12"/>
          <w:numId w:val="0"/>
        </w:numPr>
        <w:tabs>
          <w:tab w:val="clear" w:pos="567"/>
        </w:tabs>
        <w:spacing w:line="240" w:lineRule="auto"/>
        <w:rPr>
          <w:color w:val="000000"/>
          <w:szCs w:val="22"/>
          <w:lang w:val="es-ES"/>
        </w:rPr>
      </w:pPr>
    </w:p>
    <w:p w14:paraId="25C10BBF" w14:textId="77777777" w:rsidR="00E36F43" w:rsidRPr="003E0B98" w:rsidRDefault="00E36F43" w:rsidP="004361AC">
      <w:pPr>
        <w:numPr>
          <w:ilvl w:val="12"/>
          <w:numId w:val="0"/>
        </w:numPr>
        <w:tabs>
          <w:tab w:val="clear" w:pos="567"/>
        </w:tabs>
        <w:spacing w:line="240" w:lineRule="auto"/>
        <w:rPr>
          <w:color w:val="000000"/>
          <w:szCs w:val="22"/>
          <w:lang w:val="es-ES"/>
        </w:rPr>
      </w:pPr>
    </w:p>
    <w:p w14:paraId="79EC6A70" w14:textId="77777777" w:rsidR="00E36F43" w:rsidRPr="003E0B98" w:rsidRDefault="00E36F43" w:rsidP="004361AC">
      <w:pPr>
        <w:keepNext/>
        <w:tabs>
          <w:tab w:val="clear" w:pos="567"/>
        </w:tabs>
        <w:spacing w:line="240" w:lineRule="auto"/>
        <w:rPr>
          <w:b/>
          <w:color w:val="000000"/>
          <w:szCs w:val="22"/>
          <w:lang w:val="es-ES_tradnl"/>
        </w:rPr>
      </w:pPr>
      <w:r w:rsidRPr="003E0B98">
        <w:rPr>
          <w:b/>
          <w:color w:val="000000"/>
          <w:szCs w:val="22"/>
          <w:lang w:val="es-ES_tradnl"/>
        </w:rPr>
        <w:t>2.</w:t>
      </w:r>
      <w:r w:rsidRPr="003E0B98">
        <w:rPr>
          <w:b/>
          <w:color w:val="000000"/>
          <w:szCs w:val="22"/>
          <w:lang w:val="es-ES_tradnl"/>
        </w:rPr>
        <w:tab/>
        <w:t xml:space="preserve">Qué necesita saber antes de que le administren </w:t>
      </w:r>
      <w:proofErr w:type="spellStart"/>
      <w:r w:rsidRPr="003E0B98">
        <w:rPr>
          <w:b/>
          <w:color w:val="000000"/>
          <w:szCs w:val="22"/>
          <w:lang w:val="es-ES_tradnl"/>
        </w:rPr>
        <w:t>Lucentis</w:t>
      </w:r>
      <w:proofErr w:type="spellEnd"/>
    </w:p>
    <w:p w14:paraId="7DBC3289" w14:textId="77777777" w:rsidR="00E36F43" w:rsidRPr="003E0B98" w:rsidRDefault="00E36F43" w:rsidP="004361AC">
      <w:pPr>
        <w:keepNext/>
        <w:numPr>
          <w:ilvl w:val="12"/>
          <w:numId w:val="0"/>
        </w:numPr>
        <w:tabs>
          <w:tab w:val="clear" w:pos="567"/>
        </w:tabs>
        <w:spacing w:line="240" w:lineRule="auto"/>
        <w:rPr>
          <w:color w:val="000000"/>
          <w:szCs w:val="22"/>
          <w:lang w:val="es-ES_tradnl"/>
        </w:rPr>
      </w:pPr>
    </w:p>
    <w:p w14:paraId="37EBA8AE" w14:textId="77777777" w:rsidR="00E36F43" w:rsidRPr="003E0B98" w:rsidRDefault="00E36F43" w:rsidP="004361AC">
      <w:pPr>
        <w:keepNext/>
        <w:numPr>
          <w:ilvl w:val="12"/>
          <w:numId w:val="0"/>
        </w:numPr>
        <w:tabs>
          <w:tab w:val="clear" w:pos="567"/>
        </w:tabs>
        <w:spacing w:line="240" w:lineRule="auto"/>
        <w:rPr>
          <w:b/>
          <w:color w:val="000000"/>
          <w:szCs w:val="22"/>
          <w:lang w:val="es-ES_tradnl"/>
        </w:rPr>
      </w:pPr>
      <w:r w:rsidRPr="003E0B98">
        <w:rPr>
          <w:b/>
          <w:color w:val="000000"/>
          <w:lang w:val="es-ES_tradnl"/>
        </w:rPr>
        <w:t xml:space="preserve">No le deben administrar </w:t>
      </w:r>
      <w:proofErr w:type="spellStart"/>
      <w:r w:rsidRPr="003E0B98">
        <w:rPr>
          <w:b/>
          <w:color w:val="000000"/>
          <w:szCs w:val="22"/>
          <w:lang w:val="es-ES_tradnl"/>
        </w:rPr>
        <w:t>Lucentis</w:t>
      </w:r>
      <w:proofErr w:type="spellEnd"/>
    </w:p>
    <w:p w14:paraId="66B2FF3D" w14:textId="77777777" w:rsidR="00E36F43" w:rsidRPr="003E0B98" w:rsidRDefault="00E36F43" w:rsidP="004361AC">
      <w:pPr>
        <w:numPr>
          <w:ilvl w:val="12"/>
          <w:numId w:val="0"/>
        </w:numPr>
        <w:tabs>
          <w:tab w:val="clear" w:pos="567"/>
        </w:tabs>
        <w:spacing w:line="240" w:lineRule="auto"/>
        <w:ind w:left="567" w:hanging="567"/>
        <w:rPr>
          <w:color w:val="000000"/>
          <w:szCs w:val="22"/>
          <w:lang w:val="es-ES"/>
        </w:rPr>
      </w:pPr>
      <w:r w:rsidRPr="003E0B98">
        <w:rPr>
          <w:color w:val="000000"/>
          <w:szCs w:val="22"/>
          <w:lang w:val="es-ES"/>
        </w:rPr>
        <w:t>-</w:t>
      </w:r>
      <w:r w:rsidRPr="003E0B98">
        <w:rPr>
          <w:color w:val="000000"/>
          <w:szCs w:val="22"/>
          <w:lang w:val="es-ES"/>
        </w:rPr>
        <w:tab/>
        <w:t xml:space="preserve">Si es alérgico al </w:t>
      </w:r>
      <w:proofErr w:type="spellStart"/>
      <w:r w:rsidRPr="003E0B98">
        <w:rPr>
          <w:color w:val="000000"/>
          <w:szCs w:val="22"/>
          <w:lang w:val="es-ES"/>
        </w:rPr>
        <w:t>ranibizumab</w:t>
      </w:r>
      <w:proofErr w:type="spellEnd"/>
      <w:r w:rsidRPr="003E0B98">
        <w:rPr>
          <w:color w:val="000000"/>
          <w:szCs w:val="22"/>
          <w:lang w:val="es-ES"/>
        </w:rPr>
        <w:t xml:space="preserve"> o a </w:t>
      </w:r>
      <w:r w:rsidR="00BC2251" w:rsidRPr="003E0B98">
        <w:rPr>
          <w:color w:val="000000"/>
          <w:szCs w:val="22"/>
          <w:lang w:val="es-ES"/>
        </w:rPr>
        <w:t>alguno</w:t>
      </w:r>
      <w:r w:rsidRPr="003E0B98">
        <w:rPr>
          <w:color w:val="000000"/>
          <w:szCs w:val="22"/>
          <w:lang w:val="es-ES"/>
        </w:rPr>
        <w:t xml:space="preserve"> de los demás componentes de este medicamento </w:t>
      </w:r>
      <w:r w:rsidRPr="003E0B98">
        <w:rPr>
          <w:color w:val="000000"/>
          <w:szCs w:val="22"/>
          <w:lang w:val="es-ES_tradnl"/>
        </w:rPr>
        <w:t>(incluidos en la</w:t>
      </w:r>
      <w:r w:rsidRPr="003E0B98">
        <w:rPr>
          <w:color w:val="000000"/>
          <w:szCs w:val="22"/>
          <w:lang w:val="es-ES"/>
        </w:rPr>
        <w:t xml:space="preserve"> sección 6).</w:t>
      </w:r>
    </w:p>
    <w:p w14:paraId="7BF6B3CE" w14:textId="77777777" w:rsidR="00E36F43" w:rsidRPr="003E0B98" w:rsidRDefault="00E36F43" w:rsidP="004361AC">
      <w:pPr>
        <w:numPr>
          <w:ilvl w:val="12"/>
          <w:numId w:val="0"/>
        </w:numPr>
        <w:tabs>
          <w:tab w:val="clear" w:pos="567"/>
        </w:tabs>
        <w:spacing w:line="240" w:lineRule="auto"/>
        <w:ind w:left="567" w:hanging="567"/>
        <w:rPr>
          <w:color w:val="000000"/>
          <w:szCs w:val="22"/>
          <w:lang w:val="es-ES"/>
        </w:rPr>
      </w:pPr>
      <w:r w:rsidRPr="003E0B98">
        <w:rPr>
          <w:color w:val="000000"/>
          <w:szCs w:val="22"/>
          <w:lang w:val="es-ES"/>
        </w:rPr>
        <w:t>-</w:t>
      </w:r>
      <w:r w:rsidRPr="003E0B98">
        <w:rPr>
          <w:color w:val="000000"/>
          <w:szCs w:val="22"/>
          <w:lang w:val="es-ES"/>
        </w:rPr>
        <w:tab/>
        <w:t>Si tiene una infección en el ojo o alrededor del mismo.</w:t>
      </w:r>
    </w:p>
    <w:p w14:paraId="425CCE36" w14:textId="77777777" w:rsidR="00E36F43" w:rsidRPr="003E0B98" w:rsidRDefault="00E36F43" w:rsidP="004361AC">
      <w:pPr>
        <w:numPr>
          <w:ilvl w:val="12"/>
          <w:numId w:val="0"/>
        </w:numPr>
        <w:tabs>
          <w:tab w:val="clear" w:pos="567"/>
        </w:tabs>
        <w:spacing w:line="240" w:lineRule="auto"/>
        <w:ind w:left="567" w:hanging="567"/>
        <w:rPr>
          <w:color w:val="000000"/>
          <w:szCs w:val="22"/>
          <w:lang w:val="es-ES"/>
        </w:rPr>
      </w:pPr>
      <w:r w:rsidRPr="003E0B98">
        <w:rPr>
          <w:color w:val="000000"/>
          <w:szCs w:val="22"/>
          <w:lang w:val="es-ES"/>
        </w:rPr>
        <w:t>-</w:t>
      </w:r>
      <w:r w:rsidRPr="003E0B98">
        <w:rPr>
          <w:color w:val="000000"/>
          <w:szCs w:val="22"/>
          <w:lang w:val="es-ES"/>
        </w:rPr>
        <w:tab/>
        <w:t>Si tiene dolor o enrojecimiento (inflamación intraocular grave) en el ojo.</w:t>
      </w:r>
    </w:p>
    <w:p w14:paraId="7D5FC880" w14:textId="77777777" w:rsidR="00E36F43" w:rsidRPr="003E0B98" w:rsidRDefault="00E36F43" w:rsidP="004361AC">
      <w:pPr>
        <w:numPr>
          <w:ilvl w:val="12"/>
          <w:numId w:val="0"/>
        </w:numPr>
        <w:tabs>
          <w:tab w:val="clear" w:pos="567"/>
        </w:tabs>
        <w:spacing w:line="240" w:lineRule="auto"/>
        <w:ind w:right="-2"/>
        <w:rPr>
          <w:color w:val="000000"/>
          <w:szCs w:val="22"/>
          <w:lang w:val="es-ES"/>
        </w:rPr>
      </w:pPr>
    </w:p>
    <w:p w14:paraId="5E9BE35D" w14:textId="77777777" w:rsidR="00E36F43" w:rsidRPr="003E0B98" w:rsidRDefault="00E36F43" w:rsidP="004361AC">
      <w:pPr>
        <w:keepNext/>
        <w:numPr>
          <w:ilvl w:val="12"/>
          <w:numId w:val="0"/>
        </w:numPr>
        <w:tabs>
          <w:tab w:val="clear" w:pos="567"/>
        </w:tabs>
        <w:spacing w:line="240" w:lineRule="auto"/>
        <w:rPr>
          <w:color w:val="000000"/>
          <w:szCs w:val="22"/>
          <w:lang w:val="es-ES_tradnl"/>
        </w:rPr>
      </w:pPr>
      <w:r w:rsidRPr="003E0B98">
        <w:rPr>
          <w:b/>
          <w:szCs w:val="24"/>
          <w:lang w:val="es-ES_tradnl"/>
        </w:rPr>
        <w:t>Advertencias y precauciones</w:t>
      </w:r>
    </w:p>
    <w:p w14:paraId="1D6E5335" w14:textId="77777777" w:rsidR="00E36F43" w:rsidRPr="003E0B98" w:rsidRDefault="00E36F43" w:rsidP="004361AC">
      <w:pPr>
        <w:keepNext/>
        <w:numPr>
          <w:ilvl w:val="12"/>
          <w:numId w:val="0"/>
        </w:numPr>
        <w:tabs>
          <w:tab w:val="clear" w:pos="567"/>
        </w:tabs>
        <w:spacing w:line="240" w:lineRule="auto"/>
        <w:rPr>
          <w:szCs w:val="24"/>
          <w:lang w:val="es-ES_tradnl"/>
        </w:rPr>
      </w:pPr>
      <w:r w:rsidRPr="003E0B98">
        <w:rPr>
          <w:szCs w:val="24"/>
          <w:lang w:val="es-ES_tradnl"/>
        </w:rPr>
        <w:t xml:space="preserve">Consulte a su médico antes de que le administren </w:t>
      </w:r>
      <w:proofErr w:type="spellStart"/>
      <w:r w:rsidRPr="003E0B98">
        <w:rPr>
          <w:szCs w:val="24"/>
          <w:lang w:val="es-ES_tradnl"/>
        </w:rPr>
        <w:t>Lucentis</w:t>
      </w:r>
      <w:proofErr w:type="spellEnd"/>
    </w:p>
    <w:p w14:paraId="2C7AEBBA" w14:textId="77777777" w:rsidR="00E36F43" w:rsidRPr="003E0B98" w:rsidRDefault="00E36F43" w:rsidP="004361AC">
      <w:pPr>
        <w:numPr>
          <w:ilvl w:val="12"/>
          <w:numId w:val="0"/>
        </w:numPr>
        <w:tabs>
          <w:tab w:val="clear" w:pos="567"/>
        </w:tabs>
        <w:spacing w:line="240" w:lineRule="auto"/>
        <w:ind w:left="567" w:hanging="567"/>
        <w:rPr>
          <w:color w:val="000000"/>
          <w:szCs w:val="22"/>
          <w:lang w:val="es-ES"/>
        </w:rPr>
      </w:pPr>
      <w:r w:rsidRPr="003E0B98">
        <w:rPr>
          <w:color w:val="000000"/>
          <w:szCs w:val="22"/>
          <w:lang w:val="es-ES"/>
        </w:rPr>
        <w:t>-</w:t>
      </w:r>
      <w:r w:rsidRPr="003E0B98">
        <w:rPr>
          <w:color w:val="000000"/>
          <w:szCs w:val="22"/>
          <w:lang w:val="es-ES"/>
        </w:rPr>
        <w:tab/>
      </w:r>
      <w:proofErr w:type="spellStart"/>
      <w:r w:rsidRPr="003E0B98">
        <w:rPr>
          <w:color w:val="000000"/>
          <w:szCs w:val="22"/>
          <w:lang w:val="es-ES"/>
        </w:rPr>
        <w:t>Lucentis</w:t>
      </w:r>
      <w:proofErr w:type="spellEnd"/>
      <w:r w:rsidRPr="003E0B98">
        <w:rPr>
          <w:color w:val="000000"/>
          <w:szCs w:val="22"/>
          <w:lang w:val="es-ES"/>
        </w:rPr>
        <w:t xml:space="preserve"> se administra mediante una inyección en el ojo. Ocasionalmente, tras el tratamiento con </w:t>
      </w:r>
      <w:proofErr w:type="spellStart"/>
      <w:r w:rsidRPr="003E0B98">
        <w:rPr>
          <w:color w:val="000000"/>
          <w:szCs w:val="22"/>
          <w:lang w:val="es-ES"/>
        </w:rPr>
        <w:t>Lucentis</w:t>
      </w:r>
      <w:proofErr w:type="spellEnd"/>
      <w:r w:rsidRPr="003E0B98">
        <w:rPr>
          <w:color w:val="000000"/>
          <w:szCs w:val="22"/>
          <w:lang w:val="es-ES"/>
        </w:rPr>
        <w:t xml:space="preserve"> puede aparecer una infección en la parte interna del ojo, dolor o enrojecimiento (inflamación), </w:t>
      </w:r>
      <w:r w:rsidRPr="003E0B98">
        <w:rPr>
          <w:color w:val="000000"/>
          <w:szCs w:val="22"/>
          <w:lang w:val="es-ES_tradnl"/>
        </w:rPr>
        <w:t>desprendimiento o desgarro de una de las capas situadas en el fondo del ojo (desprendimiento o desgarro de la retina y desprendimiento o desgarro del epitelio pigmentario de la retina), o enturbiamiento del cristalino (catarata). Es importante identificar y tratar tal infección o desprendimiento de retina lo antes posible. Informe inmediatamente a su médico si nota signos como dolor en el ojo o aumento de las molestias en el ojo, si empeora el enrojecimiento en el ojo, visión borrosa o disminución de la visión, un aumento del número de pequeñas manchas en la visión o aumento de la sensibilidad a la luz.</w:t>
      </w:r>
    </w:p>
    <w:p w14:paraId="02B1FF63" w14:textId="77777777" w:rsidR="00E36F43" w:rsidRPr="003E0B98" w:rsidRDefault="00E36F43" w:rsidP="004361AC">
      <w:pPr>
        <w:numPr>
          <w:ilvl w:val="12"/>
          <w:numId w:val="0"/>
        </w:numPr>
        <w:tabs>
          <w:tab w:val="clear" w:pos="567"/>
        </w:tabs>
        <w:spacing w:line="240" w:lineRule="auto"/>
        <w:ind w:left="567" w:hanging="567"/>
        <w:rPr>
          <w:color w:val="000000"/>
          <w:szCs w:val="22"/>
          <w:lang w:val="es-ES_tradnl"/>
        </w:rPr>
      </w:pPr>
      <w:r w:rsidRPr="003E0B98">
        <w:rPr>
          <w:color w:val="000000"/>
          <w:szCs w:val="22"/>
          <w:lang w:val="es-ES_tradnl"/>
        </w:rPr>
        <w:t>-</w:t>
      </w:r>
      <w:r w:rsidRPr="003E0B98">
        <w:rPr>
          <w:color w:val="000000"/>
          <w:szCs w:val="22"/>
          <w:lang w:val="es-ES_tradnl"/>
        </w:rPr>
        <w:tab/>
        <w:t xml:space="preserve">En algunos pacientes, después de la inyección la presión en el ojo puede aumentar durante un corto periodo de tiempo. Es posible que usted no se </w:t>
      </w:r>
      <w:proofErr w:type="spellStart"/>
      <w:r w:rsidRPr="003E0B98">
        <w:rPr>
          <w:color w:val="000000"/>
          <w:szCs w:val="22"/>
          <w:lang w:val="es-ES_tradnl"/>
        </w:rPr>
        <w:t>de</w:t>
      </w:r>
      <w:proofErr w:type="spellEnd"/>
      <w:r w:rsidRPr="003E0B98">
        <w:rPr>
          <w:color w:val="000000"/>
          <w:szCs w:val="22"/>
          <w:lang w:val="es-ES_tradnl"/>
        </w:rPr>
        <w:t xml:space="preserve"> cuenta de ello, por lo que puede que su médico le realice un seguimiento de la presión ocular después de cada inyección.</w:t>
      </w:r>
    </w:p>
    <w:p w14:paraId="019F3104" w14:textId="77777777" w:rsidR="00E36F43" w:rsidRPr="003E0B98" w:rsidRDefault="00E36F43" w:rsidP="004361AC">
      <w:pPr>
        <w:numPr>
          <w:ilvl w:val="12"/>
          <w:numId w:val="0"/>
        </w:numPr>
        <w:tabs>
          <w:tab w:val="clear" w:pos="567"/>
        </w:tabs>
        <w:spacing w:line="240" w:lineRule="auto"/>
        <w:ind w:left="567" w:hanging="567"/>
        <w:rPr>
          <w:color w:val="000000"/>
          <w:szCs w:val="22"/>
          <w:lang w:val="es-ES_tradnl"/>
        </w:rPr>
      </w:pPr>
      <w:r w:rsidRPr="003E0B98">
        <w:rPr>
          <w:color w:val="000000"/>
          <w:szCs w:val="22"/>
          <w:lang w:val="es-ES_tradnl"/>
        </w:rPr>
        <w:t>-</w:t>
      </w:r>
      <w:r w:rsidRPr="003E0B98">
        <w:rPr>
          <w:color w:val="000000"/>
          <w:szCs w:val="22"/>
          <w:lang w:val="es-ES_tradnl"/>
        </w:rPr>
        <w:tab/>
        <w:t xml:space="preserve">Informe a su médico si ha tenido enfermedades en los ojos o ha recibido algún tratamiento en los ojos anteriormente, o si ha sufrido un accidente cerebrovascular o ha tenido signos pasajeros de accidente cerebrovascular (debilidad o parálisis de un miembro o cara, dificultad en el habla o en la comprensión). Esta información se tendrá en consideración para evaluar si </w:t>
      </w:r>
      <w:proofErr w:type="spellStart"/>
      <w:r w:rsidRPr="003E0B98">
        <w:rPr>
          <w:color w:val="000000"/>
          <w:szCs w:val="22"/>
          <w:lang w:val="es-ES_tradnl"/>
        </w:rPr>
        <w:t>Lucentis</w:t>
      </w:r>
      <w:proofErr w:type="spellEnd"/>
      <w:r w:rsidRPr="003E0B98">
        <w:rPr>
          <w:color w:val="000000"/>
          <w:szCs w:val="22"/>
          <w:lang w:val="es-ES_tradnl"/>
        </w:rPr>
        <w:t xml:space="preserve"> es el tratamiento apropiado para usted.</w:t>
      </w:r>
    </w:p>
    <w:p w14:paraId="532814D6" w14:textId="77777777" w:rsidR="00E36F43" w:rsidRPr="003E0B98" w:rsidRDefault="00E36F43" w:rsidP="004361AC">
      <w:pPr>
        <w:numPr>
          <w:ilvl w:val="12"/>
          <w:numId w:val="0"/>
        </w:numPr>
        <w:tabs>
          <w:tab w:val="clear" w:pos="567"/>
        </w:tabs>
        <w:spacing w:line="240" w:lineRule="auto"/>
        <w:rPr>
          <w:color w:val="000000"/>
          <w:szCs w:val="22"/>
          <w:lang w:val="es-ES_tradnl"/>
        </w:rPr>
      </w:pPr>
    </w:p>
    <w:p w14:paraId="43B430ED" w14:textId="77777777" w:rsidR="000B755B" w:rsidRPr="003E0B98" w:rsidRDefault="000B755B" w:rsidP="004361AC">
      <w:pPr>
        <w:numPr>
          <w:ilvl w:val="12"/>
          <w:numId w:val="0"/>
        </w:numPr>
        <w:tabs>
          <w:tab w:val="clear" w:pos="567"/>
        </w:tabs>
        <w:spacing w:line="240" w:lineRule="auto"/>
        <w:rPr>
          <w:color w:val="000000"/>
          <w:szCs w:val="22"/>
          <w:lang w:val="es-ES_tradnl"/>
        </w:rPr>
      </w:pPr>
      <w:r w:rsidRPr="003E0B98">
        <w:rPr>
          <w:color w:val="000000"/>
          <w:szCs w:val="22"/>
          <w:lang w:val="es-ES_tradnl"/>
        </w:rPr>
        <w:t xml:space="preserve">Para consultar información más detallada sobre los efectos adversos que podrían ocurrir durante el tratamiento con </w:t>
      </w:r>
      <w:proofErr w:type="spellStart"/>
      <w:r w:rsidRPr="003E0B98">
        <w:rPr>
          <w:color w:val="000000"/>
          <w:szCs w:val="22"/>
          <w:lang w:val="es-ES_tradnl"/>
        </w:rPr>
        <w:t>Lucentis</w:t>
      </w:r>
      <w:proofErr w:type="spellEnd"/>
      <w:r w:rsidRPr="003E0B98">
        <w:rPr>
          <w:color w:val="000000"/>
          <w:szCs w:val="22"/>
          <w:lang w:val="es-ES_tradnl"/>
        </w:rPr>
        <w:t xml:space="preserve">, ver sección 4 </w:t>
      </w:r>
      <w:r w:rsidRPr="003E0B98">
        <w:rPr>
          <w:szCs w:val="22"/>
          <w:lang w:val="es-ES"/>
        </w:rPr>
        <w:t>(“Posibles efectos adversos”).</w:t>
      </w:r>
    </w:p>
    <w:p w14:paraId="72C5BD00" w14:textId="77777777" w:rsidR="000B755B" w:rsidRPr="003E0B98" w:rsidRDefault="000B755B" w:rsidP="004361AC">
      <w:pPr>
        <w:numPr>
          <w:ilvl w:val="12"/>
          <w:numId w:val="0"/>
        </w:numPr>
        <w:tabs>
          <w:tab w:val="clear" w:pos="567"/>
        </w:tabs>
        <w:spacing w:line="240" w:lineRule="auto"/>
        <w:rPr>
          <w:color w:val="000000"/>
          <w:szCs w:val="22"/>
          <w:lang w:val="es-ES_tradnl"/>
        </w:rPr>
      </w:pPr>
    </w:p>
    <w:p w14:paraId="26F09F17" w14:textId="77777777" w:rsidR="00E36F43" w:rsidRPr="003E0B98" w:rsidRDefault="00E36F43" w:rsidP="004361AC">
      <w:pPr>
        <w:keepNext/>
        <w:numPr>
          <w:ilvl w:val="12"/>
          <w:numId w:val="0"/>
        </w:numPr>
        <w:tabs>
          <w:tab w:val="clear" w:pos="567"/>
        </w:tabs>
        <w:spacing w:line="240" w:lineRule="auto"/>
        <w:rPr>
          <w:b/>
          <w:color w:val="000000"/>
          <w:szCs w:val="22"/>
          <w:lang w:val="es-ES_tradnl"/>
        </w:rPr>
      </w:pPr>
      <w:r w:rsidRPr="003E0B98">
        <w:rPr>
          <w:b/>
          <w:color w:val="000000"/>
          <w:lang w:val="es-ES_tradnl"/>
        </w:rPr>
        <w:t>Niños y adolescentes</w:t>
      </w:r>
      <w:r w:rsidRPr="003E0B98">
        <w:rPr>
          <w:b/>
          <w:color w:val="000000"/>
          <w:szCs w:val="22"/>
          <w:lang w:val="es-ES_tradnl"/>
        </w:rPr>
        <w:t xml:space="preserve"> (meno</w:t>
      </w:r>
      <w:r w:rsidR="00997879" w:rsidRPr="003E0B98">
        <w:rPr>
          <w:b/>
          <w:color w:val="000000"/>
          <w:szCs w:val="22"/>
          <w:lang w:val="es-ES_tradnl"/>
        </w:rPr>
        <w:t>res</w:t>
      </w:r>
      <w:r w:rsidRPr="003E0B98">
        <w:rPr>
          <w:b/>
          <w:color w:val="000000"/>
          <w:szCs w:val="22"/>
          <w:lang w:val="es-ES_tradnl"/>
        </w:rPr>
        <w:t xml:space="preserve"> </w:t>
      </w:r>
      <w:r w:rsidRPr="003E0B98">
        <w:rPr>
          <w:b/>
          <w:color w:val="000000"/>
          <w:lang w:val="es-ES_tradnl"/>
        </w:rPr>
        <w:t>de 18 años</w:t>
      </w:r>
      <w:r w:rsidRPr="003E0B98">
        <w:rPr>
          <w:b/>
          <w:color w:val="000000"/>
          <w:szCs w:val="22"/>
          <w:lang w:val="es-ES_tradnl"/>
        </w:rPr>
        <w:t>)</w:t>
      </w:r>
    </w:p>
    <w:p w14:paraId="7813F305" w14:textId="77777777" w:rsidR="00E36F43" w:rsidRPr="003E0B98" w:rsidRDefault="00E36F43" w:rsidP="004361AC">
      <w:pPr>
        <w:numPr>
          <w:ilvl w:val="12"/>
          <w:numId w:val="0"/>
        </w:numPr>
        <w:tabs>
          <w:tab w:val="clear" w:pos="567"/>
        </w:tabs>
        <w:spacing w:line="240" w:lineRule="auto"/>
        <w:rPr>
          <w:color w:val="000000"/>
          <w:szCs w:val="22"/>
          <w:lang w:val="es-ES_tradnl"/>
        </w:rPr>
      </w:pPr>
      <w:r w:rsidRPr="003E0B98">
        <w:rPr>
          <w:color w:val="000000"/>
          <w:szCs w:val="22"/>
          <w:lang w:val="es-ES_tradnl"/>
        </w:rPr>
        <w:t xml:space="preserve">No se recomienda el uso de </w:t>
      </w:r>
      <w:proofErr w:type="spellStart"/>
      <w:r w:rsidRPr="003E0B98">
        <w:rPr>
          <w:color w:val="000000"/>
          <w:szCs w:val="22"/>
          <w:lang w:val="es-ES_tradnl"/>
        </w:rPr>
        <w:t>Lucentis</w:t>
      </w:r>
      <w:proofErr w:type="spellEnd"/>
      <w:r w:rsidRPr="003E0B98">
        <w:rPr>
          <w:color w:val="000000"/>
          <w:szCs w:val="22"/>
          <w:lang w:val="es-ES_tradnl"/>
        </w:rPr>
        <w:t xml:space="preserve"> en niños y adolescentes</w:t>
      </w:r>
      <w:r w:rsidR="00997879" w:rsidRPr="003E0B98">
        <w:rPr>
          <w:color w:val="000000"/>
          <w:szCs w:val="22"/>
          <w:lang w:val="es-ES_tradnl"/>
        </w:rPr>
        <w:t>,</w:t>
      </w:r>
      <w:r w:rsidRPr="003E0B98">
        <w:rPr>
          <w:color w:val="000000"/>
          <w:szCs w:val="22"/>
          <w:lang w:val="es-ES_tradnl"/>
        </w:rPr>
        <w:t xml:space="preserve"> ya que no se ha </w:t>
      </w:r>
      <w:r w:rsidR="00997879" w:rsidRPr="003E0B98">
        <w:rPr>
          <w:color w:val="000000"/>
          <w:szCs w:val="22"/>
          <w:lang w:val="es-ES_tradnl"/>
        </w:rPr>
        <w:t>establecido</w:t>
      </w:r>
      <w:r w:rsidRPr="003E0B98">
        <w:rPr>
          <w:color w:val="000000"/>
          <w:szCs w:val="22"/>
          <w:lang w:val="es-ES_tradnl"/>
        </w:rPr>
        <w:t xml:space="preserve"> en estos grupos de edad.</w:t>
      </w:r>
    </w:p>
    <w:p w14:paraId="305EF377" w14:textId="77777777" w:rsidR="00E36F43" w:rsidRPr="003E0B98" w:rsidRDefault="00E36F43" w:rsidP="004361AC">
      <w:pPr>
        <w:numPr>
          <w:ilvl w:val="12"/>
          <w:numId w:val="0"/>
        </w:numPr>
        <w:tabs>
          <w:tab w:val="clear" w:pos="567"/>
        </w:tabs>
        <w:spacing w:line="240" w:lineRule="auto"/>
        <w:rPr>
          <w:color w:val="000000"/>
          <w:szCs w:val="22"/>
          <w:lang w:val="es-ES_tradnl"/>
        </w:rPr>
      </w:pPr>
    </w:p>
    <w:p w14:paraId="45AEDE64" w14:textId="77777777" w:rsidR="00E36F43" w:rsidRPr="003E0B98" w:rsidRDefault="00351589" w:rsidP="004361AC">
      <w:pPr>
        <w:keepNext/>
        <w:numPr>
          <w:ilvl w:val="12"/>
          <w:numId w:val="0"/>
        </w:numPr>
        <w:tabs>
          <w:tab w:val="clear" w:pos="567"/>
        </w:tabs>
        <w:spacing w:line="240" w:lineRule="auto"/>
        <w:rPr>
          <w:b/>
          <w:color w:val="000000"/>
          <w:szCs w:val="22"/>
          <w:lang w:val="es-ES_tradnl"/>
        </w:rPr>
      </w:pPr>
      <w:r w:rsidRPr="003E0B98">
        <w:rPr>
          <w:b/>
          <w:noProof/>
          <w:color w:val="000000"/>
          <w:lang w:val="es-ES_tradnl"/>
        </w:rPr>
        <w:t>O</w:t>
      </w:r>
      <w:r w:rsidR="00E36F43" w:rsidRPr="003E0B98">
        <w:rPr>
          <w:b/>
          <w:noProof/>
          <w:color w:val="000000"/>
          <w:lang w:val="es-ES_tradnl"/>
        </w:rPr>
        <w:t>tros medicamentos</w:t>
      </w:r>
      <w:r w:rsidRPr="003E0B98">
        <w:rPr>
          <w:b/>
          <w:noProof/>
          <w:color w:val="000000"/>
          <w:lang w:val="es-ES_tradnl"/>
        </w:rPr>
        <w:t xml:space="preserve"> y Lucentis</w:t>
      </w:r>
    </w:p>
    <w:p w14:paraId="60968B14" w14:textId="77777777" w:rsidR="00E36F43" w:rsidRPr="003E0B98" w:rsidRDefault="00E36F43" w:rsidP="004361AC">
      <w:pPr>
        <w:numPr>
          <w:ilvl w:val="12"/>
          <w:numId w:val="0"/>
        </w:numPr>
        <w:tabs>
          <w:tab w:val="clear" w:pos="567"/>
        </w:tabs>
        <w:spacing w:line="240" w:lineRule="auto"/>
        <w:ind w:right="-2"/>
        <w:rPr>
          <w:color w:val="000000"/>
          <w:szCs w:val="22"/>
          <w:lang w:val="es-ES_tradnl"/>
        </w:rPr>
      </w:pPr>
      <w:r w:rsidRPr="003E0B98">
        <w:rPr>
          <w:noProof/>
          <w:color w:val="000000"/>
          <w:lang w:val="es-ES_tradnl"/>
        </w:rPr>
        <w:t xml:space="preserve">Informe a su médico si está utilizando, ha utilizado recientemente </w:t>
      </w:r>
      <w:r w:rsidRPr="003E0B98">
        <w:rPr>
          <w:szCs w:val="24"/>
          <w:lang w:val="es-ES_tradnl"/>
        </w:rPr>
        <w:t xml:space="preserve">o </w:t>
      </w:r>
      <w:r w:rsidR="00351589" w:rsidRPr="003E0B98">
        <w:rPr>
          <w:szCs w:val="24"/>
          <w:lang w:val="es-ES_tradnl"/>
        </w:rPr>
        <w:t>pudiera</w:t>
      </w:r>
      <w:r w:rsidRPr="003E0B98">
        <w:rPr>
          <w:szCs w:val="24"/>
          <w:lang w:val="es-ES_tradnl"/>
        </w:rPr>
        <w:t xml:space="preserve"> tener que utilizar cualquier</w:t>
      </w:r>
      <w:r w:rsidRPr="003E0B98">
        <w:rPr>
          <w:noProof/>
          <w:color w:val="000000"/>
          <w:lang w:val="es-ES_tradnl"/>
        </w:rPr>
        <w:t xml:space="preserve"> otro medicamento.</w:t>
      </w:r>
    </w:p>
    <w:p w14:paraId="0A625590" w14:textId="77777777" w:rsidR="00E36F43" w:rsidRPr="003E0B98" w:rsidRDefault="00E36F43" w:rsidP="004361AC">
      <w:pPr>
        <w:numPr>
          <w:ilvl w:val="12"/>
          <w:numId w:val="0"/>
        </w:numPr>
        <w:tabs>
          <w:tab w:val="clear" w:pos="567"/>
          <w:tab w:val="left" w:pos="1290"/>
        </w:tabs>
        <w:spacing w:line="240" w:lineRule="auto"/>
        <w:ind w:right="-2"/>
        <w:rPr>
          <w:color w:val="000000"/>
          <w:szCs w:val="22"/>
          <w:lang w:val="es-ES_tradnl"/>
        </w:rPr>
      </w:pPr>
    </w:p>
    <w:p w14:paraId="797919E0" w14:textId="77777777" w:rsidR="00E36F43" w:rsidRPr="003E0B98" w:rsidRDefault="00E36F43" w:rsidP="004361AC">
      <w:pPr>
        <w:keepNext/>
        <w:numPr>
          <w:ilvl w:val="12"/>
          <w:numId w:val="0"/>
        </w:numPr>
        <w:tabs>
          <w:tab w:val="clear" w:pos="567"/>
        </w:tabs>
        <w:spacing w:line="240" w:lineRule="auto"/>
        <w:rPr>
          <w:color w:val="000000"/>
          <w:szCs w:val="22"/>
          <w:lang w:val="es-ES_tradnl"/>
        </w:rPr>
      </w:pPr>
      <w:r w:rsidRPr="003E0B98">
        <w:rPr>
          <w:b/>
          <w:noProof/>
          <w:color w:val="000000"/>
          <w:lang w:val="es-ES_tradnl"/>
        </w:rPr>
        <w:t>Embarazo y lactancia</w:t>
      </w:r>
    </w:p>
    <w:p w14:paraId="35E298CB" w14:textId="77777777" w:rsidR="00E36F43" w:rsidRPr="003E0B98" w:rsidRDefault="00E36F43" w:rsidP="004361AC">
      <w:pPr>
        <w:numPr>
          <w:ilvl w:val="12"/>
          <w:numId w:val="0"/>
        </w:numPr>
        <w:tabs>
          <w:tab w:val="clear" w:pos="567"/>
        </w:tabs>
        <w:spacing w:line="240" w:lineRule="auto"/>
        <w:ind w:left="567" w:right="-2" w:hanging="567"/>
        <w:rPr>
          <w:color w:val="000000"/>
          <w:szCs w:val="22"/>
          <w:lang w:val="es-ES_tradnl"/>
        </w:rPr>
      </w:pPr>
      <w:r w:rsidRPr="003E0B98">
        <w:rPr>
          <w:color w:val="000000"/>
          <w:szCs w:val="22"/>
          <w:lang w:val="es-ES_tradnl"/>
        </w:rPr>
        <w:t>-</w:t>
      </w:r>
      <w:r w:rsidRPr="003E0B98">
        <w:rPr>
          <w:color w:val="000000"/>
          <w:szCs w:val="22"/>
          <w:lang w:val="es-ES_tradnl"/>
        </w:rPr>
        <w:tab/>
      </w:r>
      <w:r w:rsidR="00351589" w:rsidRPr="003E0B98">
        <w:rPr>
          <w:color w:val="000000"/>
          <w:szCs w:val="22"/>
          <w:lang w:val="es-ES_tradnl"/>
        </w:rPr>
        <w:t xml:space="preserve">Las mujeres que pudieran quedarse embarazadas deben utilizar un método anticonceptivo eficaz durante el tratamiento y durante al menos los tres meses posteriores a la última inyección de </w:t>
      </w:r>
      <w:proofErr w:type="spellStart"/>
      <w:r w:rsidR="00351589" w:rsidRPr="003E0B98">
        <w:rPr>
          <w:color w:val="000000"/>
          <w:szCs w:val="22"/>
          <w:lang w:val="es-ES_tradnl"/>
        </w:rPr>
        <w:t>Lucentis</w:t>
      </w:r>
      <w:proofErr w:type="spellEnd"/>
      <w:r w:rsidRPr="003E0B98">
        <w:rPr>
          <w:color w:val="000000"/>
          <w:szCs w:val="22"/>
          <w:lang w:val="es-ES_tradnl"/>
        </w:rPr>
        <w:t>.</w:t>
      </w:r>
    </w:p>
    <w:p w14:paraId="510C654F" w14:textId="77777777" w:rsidR="00E36F43" w:rsidRPr="003E0B98" w:rsidRDefault="00E36F43" w:rsidP="004361AC">
      <w:pPr>
        <w:numPr>
          <w:ilvl w:val="12"/>
          <w:numId w:val="0"/>
        </w:numPr>
        <w:tabs>
          <w:tab w:val="clear" w:pos="567"/>
        </w:tabs>
        <w:spacing w:line="240" w:lineRule="auto"/>
        <w:ind w:left="567" w:right="-2" w:hanging="567"/>
        <w:rPr>
          <w:color w:val="000000"/>
          <w:szCs w:val="22"/>
          <w:lang w:val="es-ES_tradnl"/>
        </w:rPr>
      </w:pPr>
      <w:r w:rsidRPr="003E0B98">
        <w:rPr>
          <w:color w:val="000000"/>
          <w:szCs w:val="22"/>
          <w:lang w:val="es-ES_tradnl"/>
        </w:rPr>
        <w:t>-</w:t>
      </w:r>
      <w:r w:rsidRPr="003E0B98">
        <w:rPr>
          <w:color w:val="000000"/>
          <w:szCs w:val="22"/>
          <w:lang w:val="es-ES_tradnl"/>
        </w:rPr>
        <w:tab/>
      </w:r>
      <w:r w:rsidR="00351589" w:rsidRPr="003E0B98">
        <w:rPr>
          <w:color w:val="000000"/>
          <w:szCs w:val="22"/>
          <w:lang w:val="es-ES_tradnl"/>
        </w:rPr>
        <w:t xml:space="preserve">No hay experiencia en el uso de </w:t>
      </w:r>
      <w:proofErr w:type="spellStart"/>
      <w:r w:rsidR="00351589" w:rsidRPr="003E0B98">
        <w:rPr>
          <w:color w:val="000000"/>
          <w:szCs w:val="22"/>
          <w:lang w:val="es-ES_tradnl"/>
        </w:rPr>
        <w:t>Lucentis</w:t>
      </w:r>
      <w:proofErr w:type="spellEnd"/>
      <w:r w:rsidR="00351589" w:rsidRPr="003E0B98">
        <w:rPr>
          <w:color w:val="000000"/>
          <w:szCs w:val="22"/>
          <w:lang w:val="es-ES_tradnl"/>
        </w:rPr>
        <w:t xml:space="preserve"> en mujeres embarazadas. </w:t>
      </w:r>
      <w:proofErr w:type="spellStart"/>
      <w:r w:rsidR="00351589" w:rsidRPr="003E0B98">
        <w:rPr>
          <w:color w:val="000000"/>
          <w:szCs w:val="22"/>
          <w:lang w:val="es-ES_tradnl"/>
        </w:rPr>
        <w:t>Lucentis</w:t>
      </w:r>
      <w:proofErr w:type="spellEnd"/>
      <w:r w:rsidR="00351589" w:rsidRPr="003E0B98">
        <w:rPr>
          <w:color w:val="000000"/>
          <w:szCs w:val="22"/>
          <w:lang w:val="es-ES_tradnl"/>
        </w:rPr>
        <w:t xml:space="preserve"> no se debe usar durante el embarazo salvo que el beneficio potencial supere el riesgo potencial para el feto. Si está embarazada, cree que podría estar embarazada o tiene intención de quedarse embarazada, consulte a su médico antes del tratamiento con </w:t>
      </w:r>
      <w:proofErr w:type="spellStart"/>
      <w:r w:rsidR="00351589" w:rsidRPr="003E0B98">
        <w:rPr>
          <w:color w:val="000000"/>
          <w:szCs w:val="22"/>
          <w:lang w:val="es-ES_tradnl"/>
        </w:rPr>
        <w:t>Lucentis</w:t>
      </w:r>
      <w:proofErr w:type="spellEnd"/>
      <w:r w:rsidRPr="003E0B98">
        <w:rPr>
          <w:color w:val="000000"/>
          <w:szCs w:val="22"/>
          <w:lang w:val="es-ES_tradnl"/>
        </w:rPr>
        <w:t>.</w:t>
      </w:r>
    </w:p>
    <w:p w14:paraId="63975F10" w14:textId="70224526" w:rsidR="00E36F43" w:rsidRPr="003E0B98" w:rsidRDefault="00E36F43" w:rsidP="004361AC">
      <w:pPr>
        <w:numPr>
          <w:ilvl w:val="12"/>
          <w:numId w:val="0"/>
        </w:numPr>
        <w:tabs>
          <w:tab w:val="clear" w:pos="567"/>
        </w:tabs>
        <w:spacing w:line="240" w:lineRule="auto"/>
        <w:ind w:left="567" w:right="-2" w:hanging="567"/>
        <w:rPr>
          <w:color w:val="000000"/>
          <w:szCs w:val="22"/>
          <w:lang w:val="es-ES_tradnl"/>
        </w:rPr>
      </w:pPr>
      <w:r w:rsidRPr="003E0B98">
        <w:rPr>
          <w:color w:val="000000"/>
          <w:szCs w:val="22"/>
          <w:lang w:val="es-ES_tradnl"/>
        </w:rPr>
        <w:t>-</w:t>
      </w:r>
      <w:r w:rsidRPr="003E0B98">
        <w:rPr>
          <w:color w:val="000000"/>
          <w:szCs w:val="22"/>
          <w:lang w:val="es-ES_tradnl"/>
        </w:rPr>
        <w:tab/>
      </w:r>
      <w:r w:rsidR="0034329C" w:rsidRPr="003E0B98">
        <w:rPr>
          <w:color w:val="000000"/>
          <w:szCs w:val="22"/>
          <w:lang w:val="es-ES_tradnl"/>
        </w:rPr>
        <w:t xml:space="preserve">Pequeñas cantidades de </w:t>
      </w:r>
      <w:proofErr w:type="spellStart"/>
      <w:r w:rsidR="0034329C" w:rsidRPr="003E0B98">
        <w:rPr>
          <w:color w:val="000000"/>
          <w:szCs w:val="22"/>
          <w:lang w:val="es-ES_tradnl"/>
        </w:rPr>
        <w:t>Lucentis</w:t>
      </w:r>
      <w:proofErr w:type="spellEnd"/>
      <w:r w:rsidR="0034329C" w:rsidRPr="003E0B98">
        <w:rPr>
          <w:color w:val="000000"/>
          <w:szCs w:val="22"/>
          <w:lang w:val="es-ES_tradnl"/>
        </w:rPr>
        <w:t xml:space="preserve"> pueden pasar a la leche materna, por lo que n</w:t>
      </w:r>
      <w:r w:rsidRPr="003E0B98">
        <w:rPr>
          <w:color w:val="000000"/>
          <w:szCs w:val="22"/>
          <w:lang w:val="es-ES_tradnl"/>
        </w:rPr>
        <w:t xml:space="preserve">o se recomienda el uso de </w:t>
      </w:r>
      <w:proofErr w:type="spellStart"/>
      <w:r w:rsidRPr="003E0B98">
        <w:rPr>
          <w:color w:val="000000"/>
          <w:szCs w:val="22"/>
          <w:lang w:val="es-ES_tradnl"/>
        </w:rPr>
        <w:t>Lucentis</w:t>
      </w:r>
      <w:proofErr w:type="spellEnd"/>
      <w:r w:rsidRPr="003E0B98">
        <w:rPr>
          <w:color w:val="000000"/>
          <w:szCs w:val="22"/>
          <w:lang w:val="es-ES_tradnl"/>
        </w:rPr>
        <w:t xml:space="preserve"> durante la lactancia.</w:t>
      </w:r>
      <w:r w:rsidRPr="003E0B98">
        <w:rPr>
          <w:noProof/>
          <w:color w:val="000000"/>
          <w:lang w:val="es-ES_tradnl"/>
        </w:rPr>
        <w:t xml:space="preserve"> Consulte a su médico o farmacéutico antes del tratamiento con Lucentis</w:t>
      </w:r>
      <w:r w:rsidRPr="003E0B98">
        <w:rPr>
          <w:color w:val="000000"/>
          <w:szCs w:val="22"/>
          <w:lang w:val="es-ES_tradnl"/>
        </w:rPr>
        <w:t>.</w:t>
      </w:r>
    </w:p>
    <w:p w14:paraId="4126E113" w14:textId="77777777" w:rsidR="00E36F43" w:rsidRPr="003E0B98" w:rsidRDefault="00E36F43" w:rsidP="004361AC">
      <w:pPr>
        <w:numPr>
          <w:ilvl w:val="12"/>
          <w:numId w:val="0"/>
        </w:numPr>
        <w:tabs>
          <w:tab w:val="clear" w:pos="567"/>
        </w:tabs>
        <w:spacing w:line="240" w:lineRule="auto"/>
        <w:ind w:right="-2"/>
        <w:rPr>
          <w:color w:val="000000"/>
          <w:szCs w:val="22"/>
          <w:lang w:val="es-ES_tradnl"/>
        </w:rPr>
      </w:pPr>
    </w:p>
    <w:p w14:paraId="0B955DD6" w14:textId="77777777" w:rsidR="00E36F43" w:rsidRPr="003E0B98" w:rsidRDefault="00E36F43" w:rsidP="004361AC">
      <w:pPr>
        <w:keepNext/>
        <w:numPr>
          <w:ilvl w:val="12"/>
          <w:numId w:val="0"/>
        </w:numPr>
        <w:tabs>
          <w:tab w:val="clear" w:pos="567"/>
        </w:tabs>
        <w:spacing w:line="240" w:lineRule="auto"/>
        <w:rPr>
          <w:b/>
          <w:color w:val="000000"/>
          <w:szCs w:val="22"/>
          <w:lang w:val="es-ES_tradnl"/>
        </w:rPr>
      </w:pPr>
      <w:r w:rsidRPr="003E0B98">
        <w:rPr>
          <w:b/>
          <w:noProof/>
          <w:color w:val="000000"/>
          <w:lang w:val="es-ES_tradnl"/>
        </w:rPr>
        <w:t>Conducción y uso de máquinas</w:t>
      </w:r>
    </w:p>
    <w:p w14:paraId="7C3D9C9A" w14:textId="77777777" w:rsidR="00E36F43" w:rsidRPr="003E0B98" w:rsidRDefault="00E36F43" w:rsidP="004361AC">
      <w:pPr>
        <w:numPr>
          <w:ilvl w:val="12"/>
          <w:numId w:val="0"/>
        </w:numPr>
        <w:tabs>
          <w:tab w:val="clear" w:pos="567"/>
        </w:tabs>
        <w:spacing w:line="240" w:lineRule="auto"/>
        <w:ind w:right="-2"/>
        <w:rPr>
          <w:color w:val="000000"/>
          <w:szCs w:val="22"/>
          <w:lang w:val="es-ES_tradnl"/>
        </w:rPr>
      </w:pPr>
      <w:r w:rsidRPr="003E0B98">
        <w:rPr>
          <w:color w:val="000000"/>
          <w:szCs w:val="22"/>
          <w:lang w:val="es-ES_tradnl"/>
        </w:rPr>
        <w:t xml:space="preserve">Después del tratamiento con </w:t>
      </w:r>
      <w:proofErr w:type="spellStart"/>
      <w:r w:rsidRPr="003E0B98">
        <w:rPr>
          <w:color w:val="000000"/>
          <w:szCs w:val="22"/>
          <w:lang w:val="es-ES_tradnl"/>
        </w:rPr>
        <w:t>Lucentis</w:t>
      </w:r>
      <w:proofErr w:type="spellEnd"/>
      <w:r w:rsidRPr="003E0B98">
        <w:rPr>
          <w:color w:val="000000"/>
          <w:szCs w:val="22"/>
          <w:lang w:val="es-ES_tradnl"/>
        </w:rPr>
        <w:t xml:space="preserve"> usted puede experimentar visión borrosa temporalmente. Si esto le ocurre, no conduzca ni use máquinas hasta que este síntoma desaparezca.</w:t>
      </w:r>
    </w:p>
    <w:p w14:paraId="62ADB32F" w14:textId="77777777" w:rsidR="00E36F43" w:rsidRPr="003E0B98" w:rsidRDefault="00E36F43" w:rsidP="004361AC">
      <w:pPr>
        <w:numPr>
          <w:ilvl w:val="12"/>
          <w:numId w:val="0"/>
        </w:numPr>
        <w:tabs>
          <w:tab w:val="clear" w:pos="567"/>
        </w:tabs>
        <w:spacing w:line="240" w:lineRule="auto"/>
        <w:ind w:right="-2"/>
        <w:rPr>
          <w:color w:val="000000"/>
          <w:szCs w:val="22"/>
          <w:lang w:val="es-ES_tradnl"/>
        </w:rPr>
      </w:pPr>
    </w:p>
    <w:p w14:paraId="3CBFFA00" w14:textId="77777777" w:rsidR="00E36F43" w:rsidRPr="003E0B98" w:rsidRDefault="00E36F43" w:rsidP="004361AC">
      <w:pPr>
        <w:numPr>
          <w:ilvl w:val="12"/>
          <w:numId w:val="0"/>
        </w:numPr>
        <w:tabs>
          <w:tab w:val="clear" w:pos="567"/>
        </w:tabs>
        <w:spacing w:line="240" w:lineRule="auto"/>
        <w:ind w:right="-2"/>
        <w:rPr>
          <w:color w:val="000000"/>
          <w:szCs w:val="22"/>
          <w:lang w:val="es-ES_tradnl"/>
        </w:rPr>
      </w:pPr>
    </w:p>
    <w:p w14:paraId="2BE6A95E" w14:textId="77777777" w:rsidR="00E36F43" w:rsidRPr="003E0B98" w:rsidRDefault="00E36F43" w:rsidP="004361AC">
      <w:pPr>
        <w:keepNext/>
        <w:tabs>
          <w:tab w:val="clear" w:pos="567"/>
        </w:tabs>
        <w:spacing w:line="240" w:lineRule="auto"/>
        <w:rPr>
          <w:b/>
          <w:color w:val="000000"/>
          <w:szCs w:val="22"/>
          <w:lang w:val="es-ES_tradnl"/>
        </w:rPr>
      </w:pPr>
      <w:r w:rsidRPr="003E0B98">
        <w:rPr>
          <w:b/>
          <w:color w:val="000000"/>
          <w:szCs w:val="22"/>
          <w:lang w:val="es-ES_tradnl"/>
        </w:rPr>
        <w:t>3.</w:t>
      </w:r>
      <w:r w:rsidRPr="003E0B98">
        <w:rPr>
          <w:b/>
          <w:color w:val="000000"/>
          <w:szCs w:val="22"/>
          <w:lang w:val="es-ES_tradnl"/>
        </w:rPr>
        <w:tab/>
        <w:t xml:space="preserve">Cómo se administra </w:t>
      </w:r>
      <w:proofErr w:type="spellStart"/>
      <w:r w:rsidRPr="003E0B98">
        <w:rPr>
          <w:b/>
          <w:color w:val="000000"/>
          <w:szCs w:val="22"/>
          <w:lang w:val="es-ES_tradnl"/>
        </w:rPr>
        <w:t>Lucentis</w:t>
      </w:r>
      <w:proofErr w:type="spellEnd"/>
    </w:p>
    <w:p w14:paraId="4AFC4D0B" w14:textId="77777777" w:rsidR="00E36F43" w:rsidRPr="003E0B98" w:rsidRDefault="00E36F43" w:rsidP="004361AC">
      <w:pPr>
        <w:keepNext/>
        <w:numPr>
          <w:ilvl w:val="12"/>
          <w:numId w:val="0"/>
        </w:numPr>
        <w:tabs>
          <w:tab w:val="clear" w:pos="567"/>
        </w:tabs>
        <w:spacing w:line="240" w:lineRule="auto"/>
        <w:rPr>
          <w:color w:val="000000"/>
          <w:szCs w:val="22"/>
          <w:lang w:val="es-ES_tradnl"/>
        </w:rPr>
      </w:pPr>
    </w:p>
    <w:p w14:paraId="4C248D4A" w14:textId="77777777" w:rsidR="00473E73" w:rsidRPr="003E0B98" w:rsidRDefault="00E36F43" w:rsidP="004361AC">
      <w:pPr>
        <w:numPr>
          <w:ilvl w:val="12"/>
          <w:numId w:val="0"/>
        </w:numPr>
        <w:tabs>
          <w:tab w:val="clear" w:pos="567"/>
        </w:tabs>
        <w:spacing w:line="240" w:lineRule="auto"/>
        <w:ind w:right="-2"/>
        <w:rPr>
          <w:color w:val="000000"/>
          <w:szCs w:val="22"/>
          <w:lang w:val="es-ES"/>
        </w:rPr>
      </w:pPr>
      <w:proofErr w:type="spellStart"/>
      <w:r w:rsidRPr="003E0B98">
        <w:rPr>
          <w:color w:val="000000"/>
          <w:szCs w:val="22"/>
          <w:lang w:val="es-ES_tradnl"/>
        </w:rPr>
        <w:t>Lucentis</w:t>
      </w:r>
      <w:proofErr w:type="spellEnd"/>
      <w:r w:rsidRPr="003E0B98">
        <w:rPr>
          <w:color w:val="000000"/>
          <w:szCs w:val="22"/>
          <w:lang w:val="es-ES_tradnl"/>
        </w:rPr>
        <w:t xml:space="preserve"> se administra por el oftalmólogo en forma de inyección única en el ojo bajo anestesia local. </w:t>
      </w:r>
      <w:r w:rsidRPr="003E0B98">
        <w:rPr>
          <w:color w:val="000000"/>
          <w:szCs w:val="22"/>
          <w:lang w:val="es-ES"/>
        </w:rPr>
        <w:t xml:space="preserve">La dosis habitual de una inyección es 0,05 ml (que contiene 0,5 mg de principio activo). </w:t>
      </w:r>
      <w:r w:rsidR="00473E73" w:rsidRPr="003E0B98">
        <w:rPr>
          <w:color w:val="000000"/>
          <w:szCs w:val="22"/>
          <w:lang w:val="es-ES"/>
        </w:rPr>
        <w:t>La jeringa precargada contiene más cantidad que la dosis recomendada de 0,5 mg. El volumen extraíble no se administrará en su totalidad. El exceso de volumen se debe expulsar antes de la inyección. Si se inyecta todo el volumen de la jeringa precargada puede dar lugar a una sobredosis.</w:t>
      </w:r>
    </w:p>
    <w:p w14:paraId="314D381C" w14:textId="77777777" w:rsidR="00473E73" w:rsidRPr="003E0B98" w:rsidRDefault="00473E73" w:rsidP="004361AC">
      <w:pPr>
        <w:numPr>
          <w:ilvl w:val="12"/>
          <w:numId w:val="0"/>
        </w:numPr>
        <w:tabs>
          <w:tab w:val="clear" w:pos="567"/>
        </w:tabs>
        <w:spacing w:line="240" w:lineRule="auto"/>
        <w:ind w:right="-2"/>
        <w:rPr>
          <w:color w:val="000000"/>
          <w:szCs w:val="22"/>
          <w:lang w:val="es-ES"/>
        </w:rPr>
      </w:pPr>
    </w:p>
    <w:p w14:paraId="7A6E570C" w14:textId="77777777" w:rsidR="00E36F43" w:rsidRPr="003E0B98" w:rsidRDefault="00E36F43" w:rsidP="004361AC">
      <w:pPr>
        <w:numPr>
          <w:ilvl w:val="12"/>
          <w:numId w:val="0"/>
        </w:numPr>
        <w:tabs>
          <w:tab w:val="clear" w:pos="567"/>
        </w:tabs>
        <w:spacing w:line="240" w:lineRule="auto"/>
        <w:ind w:right="-2"/>
        <w:rPr>
          <w:color w:val="000000"/>
          <w:szCs w:val="22"/>
          <w:lang w:val="es-ES_tradnl"/>
        </w:rPr>
      </w:pPr>
      <w:r w:rsidRPr="003E0B98">
        <w:rPr>
          <w:color w:val="000000"/>
          <w:szCs w:val="22"/>
          <w:lang w:val="es-ES"/>
        </w:rPr>
        <w:t xml:space="preserve">El intervalo entre dos </w:t>
      </w:r>
      <w:r w:rsidR="008F0C2D" w:rsidRPr="003E0B98">
        <w:rPr>
          <w:color w:val="000000"/>
          <w:szCs w:val="22"/>
          <w:lang w:val="es-ES"/>
        </w:rPr>
        <w:t>dosis aplicadas en el mismo ojo</w:t>
      </w:r>
      <w:r w:rsidRPr="003E0B98">
        <w:rPr>
          <w:color w:val="000000"/>
          <w:szCs w:val="22"/>
          <w:lang w:val="es-ES"/>
        </w:rPr>
        <w:t xml:space="preserve"> debe ser </w:t>
      </w:r>
      <w:r w:rsidR="008F0C2D" w:rsidRPr="003E0B98">
        <w:rPr>
          <w:color w:val="000000"/>
          <w:szCs w:val="22"/>
          <w:lang w:val="es-ES"/>
        </w:rPr>
        <w:t>como mínimo de cuatro semanas</w:t>
      </w:r>
      <w:r w:rsidRPr="003E0B98">
        <w:rPr>
          <w:color w:val="000000"/>
          <w:szCs w:val="22"/>
          <w:lang w:val="es-ES_tradnl"/>
        </w:rPr>
        <w:t>. Todas las inyecciones serán administradas por un oftalmólogo.</w:t>
      </w:r>
    </w:p>
    <w:p w14:paraId="760E4F22" w14:textId="77777777" w:rsidR="00E36F43" w:rsidRPr="003E0B98" w:rsidRDefault="00E36F43" w:rsidP="004361AC">
      <w:pPr>
        <w:numPr>
          <w:ilvl w:val="12"/>
          <w:numId w:val="0"/>
        </w:numPr>
        <w:tabs>
          <w:tab w:val="clear" w:pos="567"/>
        </w:tabs>
        <w:spacing w:line="240" w:lineRule="auto"/>
        <w:ind w:right="-2"/>
        <w:rPr>
          <w:color w:val="000000"/>
          <w:szCs w:val="22"/>
          <w:lang w:val="es-ES_tradnl"/>
        </w:rPr>
      </w:pPr>
    </w:p>
    <w:p w14:paraId="1DFEBB39" w14:textId="77777777" w:rsidR="00E36F43" w:rsidRPr="003E0B98" w:rsidRDefault="00E36F43" w:rsidP="004361AC">
      <w:pPr>
        <w:numPr>
          <w:ilvl w:val="12"/>
          <w:numId w:val="0"/>
        </w:numPr>
        <w:tabs>
          <w:tab w:val="clear" w:pos="567"/>
        </w:tabs>
        <w:spacing w:line="240" w:lineRule="auto"/>
        <w:ind w:right="-2"/>
        <w:rPr>
          <w:color w:val="000000"/>
          <w:szCs w:val="22"/>
          <w:lang w:val="es-ES_tradnl"/>
        </w:rPr>
      </w:pPr>
      <w:r w:rsidRPr="003E0B98">
        <w:rPr>
          <w:color w:val="000000"/>
          <w:szCs w:val="22"/>
          <w:lang w:val="es-ES_tradnl"/>
        </w:rPr>
        <w:t>Para prevenir una infección, antes de la inyección su médico le lavará el ojo cuidadosamente. Su médico también le administrará un anestésico local para reducir o prevenir cualquier dolor que pudiera sentir con la inyección.</w:t>
      </w:r>
    </w:p>
    <w:p w14:paraId="50613486" w14:textId="77777777" w:rsidR="00E36F43" w:rsidRPr="003E0B98" w:rsidRDefault="00E36F43" w:rsidP="004361AC">
      <w:pPr>
        <w:numPr>
          <w:ilvl w:val="12"/>
          <w:numId w:val="0"/>
        </w:numPr>
        <w:tabs>
          <w:tab w:val="clear" w:pos="567"/>
        </w:tabs>
        <w:spacing w:line="240" w:lineRule="auto"/>
        <w:ind w:right="-2"/>
        <w:rPr>
          <w:color w:val="000000"/>
          <w:szCs w:val="22"/>
          <w:lang w:val="es-ES_tradnl"/>
        </w:rPr>
      </w:pPr>
    </w:p>
    <w:p w14:paraId="3C28E913" w14:textId="77777777" w:rsidR="00E36F43" w:rsidRPr="003E0B98" w:rsidRDefault="00E36F43" w:rsidP="004361AC">
      <w:pPr>
        <w:numPr>
          <w:ilvl w:val="12"/>
          <w:numId w:val="0"/>
        </w:numPr>
        <w:tabs>
          <w:tab w:val="clear" w:pos="567"/>
        </w:tabs>
        <w:spacing w:line="240" w:lineRule="auto"/>
        <w:ind w:right="-2"/>
        <w:rPr>
          <w:color w:val="000000"/>
          <w:szCs w:val="22"/>
          <w:lang w:val="es-ES"/>
        </w:rPr>
      </w:pPr>
      <w:r w:rsidRPr="003E0B98">
        <w:rPr>
          <w:color w:val="000000"/>
          <w:szCs w:val="22"/>
          <w:lang w:val="es-ES"/>
        </w:rPr>
        <w:t xml:space="preserve">El tratamiento se inicia con una inyección de </w:t>
      </w:r>
      <w:proofErr w:type="spellStart"/>
      <w:r w:rsidRPr="003E0B98">
        <w:rPr>
          <w:color w:val="000000"/>
          <w:szCs w:val="22"/>
          <w:lang w:val="es-ES"/>
        </w:rPr>
        <w:t>Lucentis</w:t>
      </w:r>
      <w:proofErr w:type="spellEnd"/>
      <w:r w:rsidR="008F0C2D" w:rsidRPr="003E0B98">
        <w:rPr>
          <w:color w:val="000000"/>
          <w:szCs w:val="22"/>
          <w:lang w:val="es-ES"/>
        </w:rPr>
        <w:t xml:space="preserve"> cada mes</w:t>
      </w:r>
      <w:r w:rsidRPr="003E0B98">
        <w:rPr>
          <w:color w:val="000000"/>
          <w:szCs w:val="22"/>
          <w:lang w:val="es-ES"/>
        </w:rPr>
        <w:t xml:space="preserve">. Su médico </w:t>
      </w:r>
      <w:r w:rsidR="008F0C2D" w:rsidRPr="003E0B98">
        <w:rPr>
          <w:color w:val="000000"/>
          <w:szCs w:val="22"/>
          <w:lang w:val="es-ES"/>
        </w:rPr>
        <w:t>controlará</w:t>
      </w:r>
      <w:r w:rsidRPr="003E0B98">
        <w:rPr>
          <w:color w:val="000000"/>
          <w:szCs w:val="22"/>
          <w:lang w:val="es-ES"/>
        </w:rPr>
        <w:t xml:space="preserve"> la enfermedad de su ojo y dependiendo de cómo responda al tratamiento, decidirá si necesita o no recibir más tratamiento y cuándo necesita ser tratado.</w:t>
      </w:r>
    </w:p>
    <w:p w14:paraId="08824311" w14:textId="77777777" w:rsidR="00E36F43" w:rsidRPr="003E0B98" w:rsidRDefault="00E36F43" w:rsidP="004361AC">
      <w:pPr>
        <w:numPr>
          <w:ilvl w:val="12"/>
          <w:numId w:val="0"/>
        </w:numPr>
        <w:tabs>
          <w:tab w:val="clear" w:pos="567"/>
        </w:tabs>
        <w:spacing w:line="240" w:lineRule="auto"/>
        <w:ind w:right="-2"/>
        <w:rPr>
          <w:color w:val="000000"/>
          <w:szCs w:val="22"/>
          <w:lang w:val="es-ES_tradnl"/>
        </w:rPr>
      </w:pPr>
    </w:p>
    <w:p w14:paraId="08538965" w14:textId="77777777" w:rsidR="00E36F43" w:rsidRPr="003E0B98" w:rsidRDefault="00E36F43" w:rsidP="004361AC">
      <w:pPr>
        <w:numPr>
          <w:ilvl w:val="12"/>
          <w:numId w:val="0"/>
        </w:numPr>
        <w:tabs>
          <w:tab w:val="clear" w:pos="567"/>
        </w:tabs>
        <w:spacing w:line="240" w:lineRule="auto"/>
        <w:ind w:right="-2"/>
        <w:rPr>
          <w:color w:val="000000"/>
          <w:szCs w:val="22"/>
          <w:lang w:val="es-ES_tradnl"/>
        </w:rPr>
      </w:pPr>
      <w:r w:rsidRPr="003E0B98">
        <w:rPr>
          <w:color w:val="000000"/>
          <w:szCs w:val="22"/>
          <w:lang w:val="es-ES_tradnl"/>
        </w:rPr>
        <w:t xml:space="preserve">Al final del prospecto en el apartado “Cómo preparar y administrar </w:t>
      </w:r>
      <w:proofErr w:type="spellStart"/>
      <w:r w:rsidRPr="003E0B98">
        <w:rPr>
          <w:color w:val="000000"/>
          <w:szCs w:val="22"/>
          <w:lang w:val="es-ES_tradnl"/>
        </w:rPr>
        <w:t>Lucentis</w:t>
      </w:r>
      <w:proofErr w:type="spellEnd"/>
      <w:r w:rsidRPr="003E0B98">
        <w:rPr>
          <w:color w:val="000000"/>
          <w:szCs w:val="22"/>
          <w:lang w:val="es-ES_tradnl"/>
        </w:rPr>
        <w:t>” se dan instrucciones detalladas de uso.</w:t>
      </w:r>
    </w:p>
    <w:p w14:paraId="07CA8D3C" w14:textId="77777777" w:rsidR="00E36F43" w:rsidRPr="003E0B98" w:rsidRDefault="00E36F43" w:rsidP="004361AC">
      <w:pPr>
        <w:numPr>
          <w:ilvl w:val="12"/>
          <w:numId w:val="0"/>
        </w:numPr>
        <w:tabs>
          <w:tab w:val="clear" w:pos="567"/>
        </w:tabs>
        <w:spacing w:line="240" w:lineRule="auto"/>
        <w:ind w:right="-2"/>
        <w:rPr>
          <w:color w:val="000000"/>
          <w:szCs w:val="22"/>
          <w:lang w:val="es-ES_tradnl"/>
        </w:rPr>
      </w:pPr>
    </w:p>
    <w:p w14:paraId="0098EA5A" w14:textId="77777777" w:rsidR="00E36F43" w:rsidRPr="003E0B98" w:rsidRDefault="00E36F43" w:rsidP="004361AC">
      <w:pPr>
        <w:keepNext/>
        <w:numPr>
          <w:ilvl w:val="12"/>
          <w:numId w:val="0"/>
        </w:numPr>
        <w:tabs>
          <w:tab w:val="clear" w:pos="567"/>
        </w:tabs>
        <w:spacing w:line="240" w:lineRule="auto"/>
        <w:rPr>
          <w:b/>
          <w:color w:val="000000"/>
          <w:szCs w:val="22"/>
          <w:lang w:val="es-ES_tradnl"/>
        </w:rPr>
      </w:pPr>
      <w:r w:rsidRPr="003E0B98">
        <w:rPr>
          <w:b/>
          <w:color w:val="000000"/>
          <w:szCs w:val="22"/>
          <w:lang w:val="es-ES_tradnl"/>
        </w:rPr>
        <w:t>Pacientes de edad avanzada (65 años y mayores)</w:t>
      </w:r>
    </w:p>
    <w:p w14:paraId="056330FA" w14:textId="77777777" w:rsidR="00E36F43" w:rsidRPr="003E0B98" w:rsidRDefault="00E36F43" w:rsidP="004361AC">
      <w:pPr>
        <w:numPr>
          <w:ilvl w:val="12"/>
          <w:numId w:val="0"/>
        </w:numPr>
        <w:tabs>
          <w:tab w:val="clear" w:pos="567"/>
        </w:tabs>
        <w:spacing w:line="240" w:lineRule="auto"/>
        <w:ind w:right="-2"/>
        <w:rPr>
          <w:color w:val="000000"/>
          <w:szCs w:val="22"/>
          <w:lang w:val="es-ES_tradnl"/>
        </w:rPr>
      </w:pPr>
      <w:proofErr w:type="spellStart"/>
      <w:r w:rsidRPr="003E0B98">
        <w:rPr>
          <w:color w:val="000000"/>
          <w:szCs w:val="22"/>
          <w:lang w:val="es-ES_tradnl"/>
        </w:rPr>
        <w:t>Lucentis</w:t>
      </w:r>
      <w:proofErr w:type="spellEnd"/>
      <w:r w:rsidRPr="003E0B98">
        <w:rPr>
          <w:color w:val="000000"/>
          <w:szCs w:val="22"/>
          <w:lang w:val="es-ES_tradnl"/>
        </w:rPr>
        <w:t xml:space="preserve"> puede utilizarse en personas de 65 </w:t>
      </w:r>
      <w:proofErr w:type="gramStart"/>
      <w:r w:rsidRPr="003E0B98">
        <w:rPr>
          <w:color w:val="000000"/>
          <w:szCs w:val="22"/>
          <w:lang w:val="es-ES_tradnl"/>
        </w:rPr>
        <w:t>años de edad</w:t>
      </w:r>
      <w:proofErr w:type="gramEnd"/>
      <w:r w:rsidRPr="003E0B98">
        <w:rPr>
          <w:color w:val="000000"/>
          <w:szCs w:val="22"/>
          <w:lang w:val="es-ES_tradnl"/>
        </w:rPr>
        <w:t xml:space="preserve"> o más, y no es necesario un ajuste de la dosis.</w:t>
      </w:r>
    </w:p>
    <w:p w14:paraId="495A95BA" w14:textId="77777777" w:rsidR="00E36F43" w:rsidRPr="003E0B98" w:rsidRDefault="00E36F43" w:rsidP="004361AC">
      <w:pPr>
        <w:numPr>
          <w:ilvl w:val="12"/>
          <w:numId w:val="0"/>
        </w:numPr>
        <w:tabs>
          <w:tab w:val="clear" w:pos="567"/>
        </w:tabs>
        <w:spacing w:line="240" w:lineRule="auto"/>
        <w:ind w:right="-2"/>
        <w:rPr>
          <w:color w:val="000000"/>
          <w:szCs w:val="22"/>
          <w:lang w:val="es-ES_tradnl"/>
        </w:rPr>
      </w:pPr>
    </w:p>
    <w:p w14:paraId="332EDAAB" w14:textId="77777777" w:rsidR="00E36F43" w:rsidRPr="003E0B98" w:rsidRDefault="00E36F43" w:rsidP="004361AC">
      <w:pPr>
        <w:keepNext/>
        <w:numPr>
          <w:ilvl w:val="12"/>
          <w:numId w:val="0"/>
        </w:numPr>
        <w:tabs>
          <w:tab w:val="clear" w:pos="567"/>
        </w:tabs>
        <w:spacing w:line="240" w:lineRule="auto"/>
        <w:rPr>
          <w:b/>
          <w:color w:val="000000"/>
          <w:szCs w:val="22"/>
          <w:lang w:val="es-ES_tradnl"/>
        </w:rPr>
      </w:pPr>
      <w:r w:rsidRPr="003E0B98">
        <w:rPr>
          <w:b/>
          <w:color w:val="000000"/>
          <w:szCs w:val="22"/>
          <w:lang w:val="es-ES_tradnl"/>
        </w:rPr>
        <w:t xml:space="preserve">Antes de interrumpir el tratamiento con </w:t>
      </w:r>
      <w:proofErr w:type="spellStart"/>
      <w:r w:rsidRPr="003E0B98">
        <w:rPr>
          <w:b/>
          <w:color w:val="000000"/>
          <w:szCs w:val="22"/>
          <w:lang w:val="es-ES_tradnl"/>
        </w:rPr>
        <w:t>Lucentis</w:t>
      </w:r>
      <w:proofErr w:type="spellEnd"/>
    </w:p>
    <w:p w14:paraId="2787A166" w14:textId="77777777" w:rsidR="00E36F43" w:rsidRPr="003E0B98" w:rsidRDefault="00E36F43" w:rsidP="004361AC">
      <w:pPr>
        <w:numPr>
          <w:ilvl w:val="12"/>
          <w:numId w:val="0"/>
        </w:numPr>
        <w:tabs>
          <w:tab w:val="clear" w:pos="567"/>
        </w:tabs>
        <w:spacing w:line="240" w:lineRule="auto"/>
        <w:ind w:right="-2"/>
        <w:rPr>
          <w:color w:val="000000"/>
          <w:szCs w:val="22"/>
          <w:lang w:val="es-ES_tradnl"/>
        </w:rPr>
      </w:pPr>
      <w:r w:rsidRPr="003E0B98">
        <w:rPr>
          <w:color w:val="000000"/>
          <w:szCs w:val="22"/>
          <w:lang w:val="es-ES_tradnl"/>
        </w:rPr>
        <w:t xml:space="preserve">Si usted se está planteando interrumpir el tratamiento con </w:t>
      </w:r>
      <w:proofErr w:type="spellStart"/>
      <w:r w:rsidRPr="003E0B98">
        <w:rPr>
          <w:color w:val="000000"/>
          <w:szCs w:val="22"/>
          <w:lang w:val="es-ES_tradnl"/>
        </w:rPr>
        <w:t>Lucentis</w:t>
      </w:r>
      <w:proofErr w:type="spellEnd"/>
      <w:r w:rsidRPr="003E0B98">
        <w:rPr>
          <w:color w:val="000000"/>
          <w:szCs w:val="22"/>
          <w:lang w:val="es-ES_tradnl"/>
        </w:rPr>
        <w:t xml:space="preserve">, acuda a la siguiente consulta y coméntelo antes con su médico. Su médico le aconsejará y decidirá durante cuánto tiempo deberá ser tratado con </w:t>
      </w:r>
      <w:proofErr w:type="spellStart"/>
      <w:r w:rsidRPr="003E0B98">
        <w:rPr>
          <w:color w:val="000000"/>
          <w:szCs w:val="22"/>
          <w:lang w:val="es-ES_tradnl"/>
        </w:rPr>
        <w:t>Lucentis</w:t>
      </w:r>
      <w:proofErr w:type="spellEnd"/>
      <w:r w:rsidRPr="003E0B98">
        <w:rPr>
          <w:color w:val="000000"/>
          <w:szCs w:val="22"/>
          <w:lang w:val="es-ES_tradnl"/>
        </w:rPr>
        <w:t>.</w:t>
      </w:r>
    </w:p>
    <w:p w14:paraId="19478047" w14:textId="77777777" w:rsidR="00E36F43" w:rsidRPr="003E0B98" w:rsidRDefault="00E36F43" w:rsidP="004361AC">
      <w:pPr>
        <w:numPr>
          <w:ilvl w:val="12"/>
          <w:numId w:val="0"/>
        </w:numPr>
        <w:tabs>
          <w:tab w:val="clear" w:pos="567"/>
        </w:tabs>
        <w:spacing w:line="240" w:lineRule="auto"/>
        <w:ind w:right="-2"/>
        <w:rPr>
          <w:color w:val="000000"/>
          <w:szCs w:val="22"/>
          <w:lang w:val="es-ES"/>
        </w:rPr>
      </w:pPr>
    </w:p>
    <w:p w14:paraId="6710DC70" w14:textId="77777777" w:rsidR="00E36F43" w:rsidRPr="003E0B98" w:rsidRDefault="00E36F43" w:rsidP="004361AC">
      <w:pPr>
        <w:numPr>
          <w:ilvl w:val="12"/>
          <w:numId w:val="0"/>
        </w:numPr>
        <w:tabs>
          <w:tab w:val="clear" w:pos="567"/>
        </w:tabs>
        <w:spacing w:line="240" w:lineRule="auto"/>
        <w:ind w:right="-2"/>
        <w:rPr>
          <w:color w:val="000000"/>
          <w:szCs w:val="22"/>
          <w:lang w:val="es-ES_tradnl"/>
        </w:rPr>
      </w:pPr>
      <w:r w:rsidRPr="003E0B98">
        <w:rPr>
          <w:noProof/>
          <w:color w:val="000000"/>
          <w:lang w:val="es-ES_tradnl"/>
        </w:rPr>
        <w:t>Si tiene cualquier otra duda sobre el uso de este medicamento, pregunte a su médico.</w:t>
      </w:r>
    </w:p>
    <w:p w14:paraId="0CE59AD1" w14:textId="77777777" w:rsidR="00E36F43" w:rsidRPr="003E0B98" w:rsidRDefault="00E36F43" w:rsidP="004361AC">
      <w:pPr>
        <w:numPr>
          <w:ilvl w:val="12"/>
          <w:numId w:val="0"/>
        </w:numPr>
        <w:tabs>
          <w:tab w:val="clear" w:pos="567"/>
        </w:tabs>
        <w:spacing w:line="240" w:lineRule="auto"/>
        <w:ind w:right="-2"/>
        <w:rPr>
          <w:color w:val="000000"/>
          <w:szCs w:val="22"/>
          <w:lang w:val="es-ES_tradnl"/>
        </w:rPr>
      </w:pPr>
    </w:p>
    <w:p w14:paraId="5F710D81" w14:textId="77777777" w:rsidR="00E36F43" w:rsidRPr="003E0B98" w:rsidRDefault="00E36F43" w:rsidP="004361AC">
      <w:pPr>
        <w:numPr>
          <w:ilvl w:val="12"/>
          <w:numId w:val="0"/>
        </w:numPr>
        <w:tabs>
          <w:tab w:val="clear" w:pos="567"/>
        </w:tabs>
        <w:spacing w:line="240" w:lineRule="auto"/>
        <w:ind w:right="-2"/>
        <w:rPr>
          <w:color w:val="000000"/>
          <w:szCs w:val="22"/>
          <w:lang w:val="es-ES_tradnl"/>
        </w:rPr>
      </w:pPr>
    </w:p>
    <w:p w14:paraId="0F1FF5F1" w14:textId="77777777" w:rsidR="00E36F43" w:rsidRPr="003E0B98" w:rsidRDefault="00E36F43" w:rsidP="004361AC">
      <w:pPr>
        <w:keepNext/>
        <w:numPr>
          <w:ilvl w:val="12"/>
          <w:numId w:val="0"/>
        </w:numPr>
        <w:tabs>
          <w:tab w:val="clear" w:pos="567"/>
        </w:tabs>
        <w:spacing w:line="240" w:lineRule="auto"/>
        <w:rPr>
          <w:color w:val="000000"/>
          <w:szCs w:val="22"/>
          <w:lang w:val="es-ES_tradnl"/>
        </w:rPr>
      </w:pPr>
      <w:r w:rsidRPr="003E0B98">
        <w:rPr>
          <w:b/>
          <w:color w:val="000000"/>
          <w:szCs w:val="22"/>
          <w:lang w:val="es-ES_tradnl"/>
        </w:rPr>
        <w:t>4.</w:t>
      </w:r>
      <w:r w:rsidRPr="003E0B98">
        <w:rPr>
          <w:b/>
          <w:color w:val="000000"/>
          <w:szCs w:val="22"/>
          <w:lang w:val="es-ES_tradnl"/>
        </w:rPr>
        <w:tab/>
        <w:t>Posibles efectos adversos</w:t>
      </w:r>
    </w:p>
    <w:p w14:paraId="582ADD7D" w14:textId="77777777" w:rsidR="00E36F43" w:rsidRPr="003E0B98" w:rsidRDefault="00E36F43" w:rsidP="004361AC">
      <w:pPr>
        <w:keepNext/>
        <w:numPr>
          <w:ilvl w:val="12"/>
          <w:numId w:val="0"/>
        </w:numPr>
        <w:tabs>
          <w:tab w:val="clear" w:pos="567"/>
        </w:tabs>
        <w:spacing w:line="240" w:lineRule="auto"/>
        <w:rPr>
          <w:color w:val="000000"/>
          <w:szCs w:val="22"/>
          <w:lang w:val="es-ES_tradnl"/>
        </w:rPr>
      </w:pPr>
    </w:p>
    <w:p w14:paraId="7F7FF46D" w14:textId="77777777" w:rsidR="00E36F43" w:rsidRPr="003E0B98" w:rsidRDefault="00E36F43" w:rsidP="004361AC">
      <w:pPr>
        <w:numPr>
          <w:ilvl w:val="12"/>
          <w:numId w:val="0"/>
        </w:numPr>
        <w:tabs>
          <w:tab w:val="clear" w:pos="567"/>
        </w:tabs>
        <w:spacing w:line="240" w:lineRule="auto"/>
        <w:ind w:right="-2"/>
        <w:rPr>
          <w:color w:val="000000"/>
          <w:szCs w:val="22"/>
          <w:lang w:val="es-ES_tradnl"/>
        </w:rPr>
      </w:pPr>
      <w:r w:rsidRPr="003E0B98">
        <w:rPr>
          <w:noProof/>
          <w:color w:val="000000"/>
          <w:lang w:val="es-ES_tradnl"/>
        </w:rPr>
        <w:t xml:space="preserve">Al igual que todos los medicamentos, </w:t>
      </w:r>
      <w:r w:rsidR="00A2601F" w:rsidRPr="003E0B98">
        <w:rPr>
          <w:noProof/>
          <w:color w:val="000000"/>
          <w:lang w:val="es-ES_tradnl"/>
        </w:rPr>
        <w:t>este medicamento</w:t>
      </w:r>
      <w:r w:rsidRPr="003E0B98">
        <w:rPr>
          <w:noProof/>
          <w:color w:val="000000"/>
          <w:lang w:val="es-ES_tradnl"/>
        </w:rPr>
        <w:t xml:space="preserve"> puede producir efectos adversos, aunque no todas las personas los sufran.</w:t>
      </w:r>
    </w:p>
    <w:p w14:paraId="6AD0E8A4" w14:textId="77777777" w:rsidR="00E36F43" w:rsidRPr="003E0B98" w:rsidRDefault="00E36F43" w:rsidP="004361AC">
      <w:pPr>
        <w:numPr>
          <w:ilvl w:val="12"/>
          <w:numId w:val="0"/>
        </w:numPr>
        <w:tabs>
          <w:tab w:val="clear" w:pos="567"/>
        </w:tabs>
        <w:spacing w:line="240" w:lineRule="auto"/>
        <w:ind w:right="-2"/>
        <w:rPr>
          <w:color w:val="000000"/>
          <w:szCs w:val="22"/>
          <w:lang w:val="es-ES_tradnl"/>
        </w:rPr>
      </w:pPr>
    </w:p>
    <w:p w14:paraId="6B79BCE8" w14:textId="77777777" w:rsidR="00E36F43" w:rsidRPr="003E0B98" w:rsidRDefault="00E36F43" w:rsidP="004361AC">
      <w:pPr>
        <w:numPr>
          <w:ilvl w:val="12"/>
          <w:numId w:val="0"/>
        </w:numPr>
        <w:tabs>
          <w:tab w:val="clear" w:pos="567"/>
        </w:tabs>
        <w:spacing w:line="240" w:lineRule="auto"/>
        <w:ind w:right="-2"/>
        <w:rPr>
          <w:color w:val="000000"/>
          <w:szCs w:val="22"/>
          <w:lang w:val="es-ES_tradnl"/>
        </w:rPr>
      </w:pPr>
      <w:r w:rsidRPr="003E0B98">
        <w:rPr>
          <w:color w:val="000000"/>
          <w:szCs w:val="22"/>
          <w:lang w:val="es-ES_tradnl"/>
        </w:rPr>
        <w:t xml:space="preserve">Los efectos adversos asociados con la administración de </w:t>
      </w:r>
      <w:proofErr w:type="spellStart"/>
      <w:r w:rsidRPr="003E0B98">
        <w:rPr>
          <w:color w:val="000000"/>
          <w:szCs w:val="22"/>
          <w:lang w:val="es-ES_tradnl"/>
        </w:rPr>
        <w:t>Lucentis</w:t>
      </w:r>
      <w:proofErr w:type="spellEnd"/>
      <w:r w:rsidRPr="003E0B98">
        <w:rPr>
          <w:color w:val="000000"/>
          <w:szCs w:val="22"/>
          <w:lang w:val="es-ES_tradnl"/>
        </w:rPr>
        <w:t xml:space="preserve"> se deben o al propio medicamento o al procedimiento de inyección y la mayoría afectan al ojo.</w:t>
      </w:r>
    </w:p>
    <w:p w14:paraId="38510EB0" w14:textId="77777777" w:rsidR="00E36F43" w:rsidRPr="003E0B98" w:rsidRDefault="00E36F43" w:rsidP="004361AC">
      <w:pPr>
        <w:numPr>
          <w:ilvl w:val="12"/>
          <w:numId w:val="0"/>
        </w:numPr>
        <w:tabs>
          <w:tab w:val="clear" w:pos="567"/>
        </w:tabs>
        <w:spacing w:line="240" w:lineRule="auto"/>
        <w:ind w:right="-2"/>
        <w:rPr>
          <w:color w:val="000000"/>
          <w:szCs w:val="22"/>
          <w:lang w:val="es-ES_tradnl"/>
        </w:rPr>
      </w:pPr>
    </w:p>
    <w:p w14:paraId="18AD39E6" w14:textId="77777777" w:rsidR="00E36F43" w:rsidRPr="003E0B98" w:rsidRDefault="00E36F43" w:rsidP="004361AC">
      <w:pPr>
        <w:keepNext/>
        <w:numPr>
          <w:ilvl w:val="12"/>
          <w:numId w:val="0"/>
        </w:numPr>
        <w:tabs>
          <w:tab w:val="clear" w:pos="567"/>
        </w:tabs>
        <w:spacing w:line="240" w:lineRule="auto"/>
        <w:rPr>
          <w:color w:val="000000"/>
          <w:szCs w:val="22"/>
          <w:lang w:val="es-ES_tradnl"/>
        </w:rPr>
      </w:pPr>
      <w:r w:rsidRPr="003E0B98">
        <w:rPr>
          <w:color w:val="000000"/>
          <w:szCs w:val="22"/>
          <w:lang w:val="es-ES_tradnl"/>
        </w:rPr>
        <w:t xml:space="preserve">A </w:t>
      </w:r>
      <w:proofErr w:type="gramStart"/>
      <w:r w:rsidRPr="003E0B98">
        <w:rPr>
          <w:color w:val="000000"/>
          <w:szCs w:val="22"/>
          <w:lang w:val="es-ES_tradnl"/>
        </w:rPr>
        <w:t>continuación</w:t>
      </w:r>
      <w:proofErr w:type="gramEnd"/>
      <w:r w:rsidRPr="003E0B98">
        <w:rPr>
          <w:color w:val="000000"/>
          <w:szCs w:val="22"/>
          <w:lang w:val="es-ES_tradnl"/>
        </w:rPr>
        <w:t xml:space="preserve"> se describen los efectos adversos más graves:</w:t>
      </w:r>
    </w:p>
    <w:p w14:paraId="4892FCBA" w14:textId="77777777" w:rsidR="00E36F43" w:rsidRPr="003E0B98" w:rsidRDefault="00E36F43" w:rsidP="004361AC">
      <w:pPr>
        <w:numPr>
          <w:ilvl w:val="12"/>
          <w:numId w:val="0"/>
        </w:numPr>
        <w:tabs>
          <w:tab w:val="clear" w:pos="567"/>
        </w:tabs>
        <w:spacing w:line="240" w:lineRule="auto"/>
        <w:ind w:right="-2"/>
        <w:rPr>
          <w:color w:val="000000"/>
          <w:szCs w:val="22"/>
          <w:lang w:val="es-ES_tradnl"/>
        </w:rPr>
      </w:pPr>
      <w:r w:rsidRPr="003E0B98">
        <w:rPr>
          <w:b/>
          <w:color w:val="000000"/>
          <w:szCs w:val="22"/>
          <w:lang w:val="es-ES_tradnl"/>
        </w:rPr>
        <w:t>Efectos adversos graves frecuentes</w:t>
      </w:r>
      <w:r w:rsidRPr="003E0B98">
        <w:rPr>
          <w:color w:val="000000"/>
          <w:szCs w:val="22"/>
          <w:lang w:val="es-ES_tradnl"/>
        </w:rPr>
        <w:t xml:space="preserve"> </w:t>
      </w:r>
      <w:r w:rsidRPr="003E0B98">
        <w:rPr>
          <w:color w:val="000000"/>
          <w:szCs w:val="22"/>
          <w:lang w:val="es-ES"/>
        </w:rPr>
        <w:t xml:space="preserve">(pueden afectar hasta 1 de cada 10 pacientes): Desprendimiento o desgarro de una capa en la parte interna del ojo (desprendimiento o desgarro de la retina), que da como resultado </w:t>
      </w:r>
      <w:r w:rsidRPr="003E0B98">
        <w:rPr>
          <w:color w:val="000000"/>
          <w:szCs w:val="22"/>
          <w:lang w:val="es-ES_tradnl"/>
        </w:rPr>
        <w:t>destellos de luz con partículas flotantes que progresan a una pérdida de visión transitoria o a un enturbiamiento del cristalino (catarata).</w:t>
      </w:r>
    </w:p>
    <w:p w14:paraId="49F6530C" w14:textId="77777777" w:rsidR="00E36F43" w:rsidRPr="003E0B98" w:rsidRDefault="00E36F43" w:rsidP="004361AC">
      <w:pPr>
        <w:numPr>
          <w:ilvl w:val="12"/>
          <w:numId w:val="0"/>
        </w:numPr>
        <w:tabs>
          <w:tab w:val="clear" w:pos="567"/>
        </w:tabs>
        <w:spacing w:line="240" w:lineRule="auto"/>
        <w:ind w:right="-2"/>
        <w:rPr>
          <w:color w:val="000000"/>
          <w:szCs w:val="22"/>
          <w:lang w:val="es-ES_tradnl"/>
        </w:rPr>
      </w:pPr>
      <w:r w:rsidRPr="003E0B98">
        <w:rPr>
          <w:b/>
          <w:color w:val="000000"/>
          <w:szCs w:val="22"/>
          <w:lang w:val="es-ES"/>
        </w:rPr>
        <w:t>Efectos adversos graves poco frecuentes</w:t>
      </w:r>
      <w:r w:rsidRPr="003E0B98">
        <w:rPr>
          <w:color w:val="000000"/>
          <w:szCs w:val="22"/>
          <w:lang w:val="es-ES"/>
        </w:rPr>
        <w:t xml:space="preserve"> (pueden afectar hasta 1 de cada 100 pacientes): </w:t>
      </w:r>
      <w:r w:rsidRPr="003E0B98">
        <w:rPr>
          <w:color w:val="000000"/>
          <w:szCs w:val="22"/>
          <w:lang w:val="es-ES_tradnl"/>
        </w:rPr>
        <w:t>Ceguera, infección del globo ocular (</w:t>
      </w:r>
      <w:proofErr w:type="spellStart"/>
      <w:r w:rsidRPr="003E0B98">
        <w:rPr>
          <w:color w:val="000000"/>
          <w:szCs w:val="22"/>
          <w:lang w:val="es-ES_tradnl"/>
        </w:rPr>
        <w:t>endoftalmitis</w:t>
      </w:r>
      <w:proofErr w:type="spellEnd"/>
      <w:r w:rsidRPr="003E0B98">
        <w:rPr>
          <w:color w:val="000000"/>
          <w:szCs w:val="22"/>
          <w:lang w:val="es-ES_tradnl"/>
        </w:rPr>
        <w:t>) con inflamación de la parte interna del ojo.</w:t>
      </w:r>
    </w:p>
    <w:p w14:paraId="09DCC748" w14:textId="77777777" w:rsidR="00E36F43" w:rsidRPr="003E0B98" w:rsidRDefault="00E36F43" w:rsidP="004361AC">
      <w:pPr>
        <w:numPr>
          <w:ilvl w:val="12"/>
          <w:numId w:val="0"/>
        </w:numPr>
        <w:tabs>
          <w:tab w:val="clear" w:pos="567"/>
        </w:tabs>
        <w:spacing w:line="240" w:lineRule="auto"/>
        <w:ind w:right="-2"/>
        <w:rPr>
          <w:color w:val="000000"/>
          <w:szCs w:val="22"/>
          <w:lang w:val="es-ES_tradnl"/>
        </w:rPr>
      </w:pPr>
    </w:p>
    <w:p w14:paraId="75D5D96A" w14:textId="77777777" w:rsidR="00E36F43" w:rsidRPr="003E0B98" w:rsidRDefault="00E36F43" w:rsidP="004361AC">
      <w:pPr>
        <w:numPr>
          <w:ilvl w:val="12"/>
          <w:numId w:val="0"/>
        </w:numPr>
        <w:tabs>
          <w:tab w:val="clear" w:pos="567"/>
        </w:tabs>
        <w:spacing w:line="240" w:lineRule="auto"/>
        <w:ind w:right="-2"/>
        <w:rPr>
          <w:b/>
          <w:color w:val="000000"/>
          <w:szCs w:val="22"/>
          <w:lang w:val="es-ES_tradnl"/>
        </w:rPr>
      </w:pPr>
      <w:r w:rsidRPr="003E0B98">
        <w:rPr>
          <w:color w:val="000000"/>
          <w:szCs w:val="22"/>
          <w:lang w:val="es-ES_tradnl"/>
        </w:rPr>
        <w:t xml:space="preserve">Los síntomas que podría experimentar </w:t>
      </w:r>
      <w:r w:rsidR="00A2601F" w:rsidRPr="003E0B98">
        <w:rPr>
          <w:color w:val="000000"/>
          <w:szCs w:val="22"/>
          <w:lang w:val="es-ES_tradnl"/>
        </w:rPr>
        <w:t>son dolor o aumento de las molestias en el ojo, si empeora el enrojecimiento en el ojo, visión borrosa o disminución de la visión, un aumento del número de pequeñas manchas en la visión o aumento de la sensibilidad a la luz.</w:t>
      </w:r>
      <w:r w:rsidRPr="003E0B98">
        <w:rPr>
          <w:color w:val="000000"/>
          <w:szCs w:val="22"/>
          <w:lang w:val="es-ES_tradnl"/>
        </w:rPr>
        <w:t xml:space="preserve"> </w:t>
      </w:r>
      <w:r w:rsidRPr="003E0B98">
        <w:rPr>
          <w:b/>
          <w:color w:val="000000"/>
          <w:szCs w:val="22"/>
          <w:lang w:val="es-ES_tradnl"/>
        </w:rPr>
        <w:t>Informe a su médico inmediatamente si presenta alguno de estos efectos adversos.</w:t>
      </w:r>
    </w:p>
    <w:p w14:paraId="2802A38E" w14:textId="77777777" w:rsidR="00E36F43" w:rsidRPr="003E0B98" w:rsidRDefault="00E36F43" w:rsidP="004361AC">
      <w:pPr>
        <w:numPr>
          <w:ilvl w:val="12"/>
          <w:numId w:val="0"/>
        </w:numPr>
        <w:tabs>
          <w:tab w:val="clear" w:pos="567"/>
        </w:tabs>
        <w:spacing w:line="240" w:lineRule="auto"/>
        <w:ind w:right="-2"/>
        <w:rPr>
          <w:color w:val="000000"/>
          <w:szCs w:val="22"/>
          <w:lang w:val="es-ES_tradnl"/>
        </w:rPr>
      </w:pPr>
    </w:p>
    <w:p w14:paraId="084955BB" w14:textId="77777777" w:rsidR="00E36F43" w:rsidRPr="003E0B98" w:rsidRDefault="00E36F43" w:rsidP="004361AC">
      <w:pPr>
        <w:keepNext/>
        <w:numPr>
          <w:ilvl w:val="12"/>
          <w:numId w:val="0"/>
        </w:numPr>
        <w:tabs>
          <w:tab w:val="clear" w:pos="567"/>
        </w:tabs>
        <w:spacing w:line="240" w:lineRule="auto"/>
        <w:rPr>
          <w:color w:val="000000"/>
          <w:szCs w:val="22"/>
          <w:lang w:val="es-ES_tradnl"/>
        </w:rPr>
      </w:pPr>
      <w:r w:rsidRPr="003E0B98">
        <w:rPr>
          <w:color w:val="000000"/>
          <w:szCs w:val="22"/>
          <w:lang w:val="es-ES_tradnl"/>
        </w:rPr>
        <w:t xml:space="preserve">A </w:t>
      </w:r>
      <w:proofErr w:type="gramStart"/>
      <w:r w:rsidRPr="003E0B98">
        <w:rPr>
          <w:color w:val="000000"/>
          <w:szCs w:val="22"/>
          <w:lang w:val="es-ES_tradnl"/>
        </w:rPr>
        <w:t>continuación</w:t>
      </w:r>
      <w:proofErr w:type="gramEnd"/>
      <w:r w:rsidRPr="003E0B98">
        <w:rPr>
          <w:color w:val="000000"/>
          <w:szCs w:val="22"/>
          <w:lang w:val="es-ES_tradnl"/>
        </w:rPr>
        <w:t xml:space="preserve"> se describen los efectos adversos comunicados más frecuentemente:</w:t>
      </w:r>
    </w:p>
    <w:p w14:paraId="006AA3EE" w14:textId="77777777" w:rsidR="00E36F43" w:rsidRPr="003E0B98" w:rsidRDefault="00E36F43" w:rsidP="004361AC">
      <w:pPr>
        <w:keepNext/>
        <w:numPr>
          <w:ilvl w:val="12"/>
          <w:numId w:val="0"/>
        </w:numPr>
        <w:tabs>
          <w:tab w:val="clear" w:pos="567"/>
        </w:tabs>
        <w:spacing w:line="240" w:lineRule="auto"/>
        <w:rPr>
          <w:color w:val="000000"/>
          <w:szCs w:val="22"/>
          <w:lang w:val="es-ES_tradnl"/>
        </w:rPr>
      </w:pPr>
      <w:r w:rsidRPr="003E0B98">
        <w:rPr>
          <w:b/>
          <w:color w:val="000000"/>
          <w:szCs w:val="22"/>
          <w:lang w:val="es-ES_tradnl"/>
        </w:rPr>
        <w:t xml:space="preserve">Efectos adversos muy frecuentes </w:t>
      </w:r>
      <w:r w:rsidRPr="003E0B98">
        <w:rPr>
          <w:color w:val="000000"/>
          <w:szCs w:val="22"/>
          <w:lang w:val="es-ES_tradnl"/>
        </w:rPr>
        <w:t>(pueden afectar a más de 1 de cada 10 pacientes)</w:t>
      </w:r>
    </w:p>
    <w:p w14:paraId="161F8F65" w14:textId="77777777" w:rsidR="00E36F43" w:rsidRPr="003E0B98" w:rsidRDefault="00E36F43" w:rsidP="004361AC">
      <w:pPr>
        <w:numPr>
          <w:ilvl w:val="12"/>
          <w:numId w:val="0"/>
        </w:numPr>
        <w:tabs>
          <w:tab w:val="clear" w:pos="567"/>
        </w:tabs>
        <w:spacing w:line="240" w:lineRule="auto"/>
        <w:ind w:right="-2"/>
        <w:rPr>
          <w:color w:val="000000"/>
          <w:szCs w:val="22"/>
          <w:lang w:val="es-ES_tradnl"/>
        </w:rPr>
      </w:pPr>
      <w:r w:rsidRPr="003E0B98">
        <w:rPr>
          <w:color w:val="000000"/>
          <w:szCs w:val="22"/>
          <w:lang w:val="es-ES_tradnl"/>
        </w:rPr>
        <w:t>Los efectos adversos oculares incluyen: Inflamación del ojo, sangrado en la parte posterior del ojo (hemorragia en la retina), alteraciones visuales, dolor en el ojo, pequeñas partículas o manchas en la visión (partículas flotantes), sangre en el ojo, irritación del ojo, sensación de tener algo dentro del ojo, aumento de la producción de lágrima, inflamación o infección en el borde de los párpados, ojo seco, enrojecimiento o picor en el ojo y aumento de la presión en el ojo.</w:t>
      </w:r>
    </w:p>
    <w:p w14:paraId="53CCD66E" w14:textId="77777777" w:rsidR="00E36F43" w:rsidRPr="003E0B98" w:rsidRDefault="00E36F43" w:rsidP="004361AC">
      <w:pPr>
        <w:numPr>
          <w:ilvl w:val="12"/>
          <w:numId w:val="0"/>
        </w:numPr>
        <w:tabs>
          <w:tab w:val="clear" w:pos="567"/>
        </w:tabs>
        <w:spacing w:line="240" w:lineRule="auto"/>
        <w:ind w:right="-2"/>
        <w:rPr>
          <w:color w:val="000000"/>
          <w:szCs w:val="22"/>
          <w:lang w:val="es-ES"/>
        </w:rPr>
      </w:pPr>
      <w:r w:rsidRPr="003E0B98">
        <w:rPr>
          <w:color w:val="000000"/>
          <w:szCs w:val="22"/>
          <w:lang w:val="es-ES_tradnl"/>
        </w:rPr>
        <w:t>Los efectos adversos no oculares incluyen: Dolor de garganta, congestión nasal, goteo nasal, dolor de cabeza y dolor en las articulaciones.</w:t>
      </w:r>
    </w:p>
    <w:p w14:paraId="744B1CE7" w14:textId="77777777" w:rsidR="00E36F43" w:rsidRPr="003E0B98" w:rsidRDefault="00E36F43" w:rsidP="004361AC">
      <w:pPr>
        <w:numPr>
          <w:ilvl w:val="12"/>
          <w:numId w:val="0"/>
        </w:numPr>
        <w:tabs>
          <w:tab w:val="clear" w:pos="567"/>
        </w:tabs>
        <w:spacing w:line="240" w:lineRule="auto"/>
        <w:ind w:right="-2"/>
        <w:rPr>
          <w:color w:val="000000"/>
          <w:szCs w:val="22"/>
          <w:lang w:val="es-ES"/>
        </w:rPr>
      </w:pPr>
    </w:p>
    <w:p w14:paraId="00A0B179" w14:textId="77777777" w:rsidR="00E36F43" w:rsidRPr="003E0B98" w:rsidRDefault="00E36F43" w:rsidP="004361AC">
      <w:pPr>
        <w:keepNext/>
        <w:numPr>
          <w:ilvl w:val="12"/>
          <w:numId w:val="0"/>
        </w:numPr>
        <w:tabs>
          <w:tab w:val="clear" w:pos="567"/>
        </w:tabs>
        <w:spacing w:line="240" w:lineRule="auto"/>
        <w:rPr>
          <w:color w:val="000000"/>
          <w:szCs w:val="22"/>
          <w:lang w:val="es-ES"/>
        </w:rPr>
      </w:pPr>
      <w:r w:rsidRPr="003E0B98">
        <w:rPr>
          <w:color w:val="000000"/>
          <w:szCs w:val="22"/>
          <w:lang w:val="es-ES"/>
        </w:rPr>
        <w:t xml:space="preserve">A </w:t>
      </w:r>
      <w:proofErr w:type="gramStart"/>
      <w:r w:rsidRPr="003E0B98">
        <w:rPr>
          <w:color w:val="000000"/>
          <w:szCs w:val="22"/>
          <w:lang w:val="es-ES"/>
        </w:rPr>
        <w:t>continuación</w:t>
      </w:r>
      <w:proofErr w:type="gramEnd"/>
      <w:r w:rsidRPr="003E0B98">
        <w:rPr>
          <w:color w:val="000000"/>
          <w:szCs w:val="22"/>
          <w:lang w:val="es-ES"/>
        </w:rPr>
        <w:t xml:space="preserve"> se describen otros efectos adversos que pueden ocurrir tras el tratamiento con </w:t>
      </w:r>
      <w:proofErr w:type="spellStart"/>
      <w:r w:rsidRPr="003E0B98">
        <w:rPr>
          <w:color w:val="000000"/>
          <w:szCs w:val="22"/>
          <w:lang w:val="es-ES"/>
        </w:rPr>
        <w:t>Lucentis</w:t>
      </w:r>
      <w:proofErr w:type="spellEnd"/>
      <w:r w:rsidRPr="003E0B98">
        <w:rPr>
          <w:color w:val="000000"/>
          <w:szCs w:val="22"/>
          <w:lang w:val="es-ES"/>
        </w:rPr>
        <w:t>:</w:t>
      </w:r>
    </w:p>
    <w:p w14:paraId="2FC523A2" w14:textId="77777777" w:rsidR="00E36F43" w:rsidRPr="003E0B98" w:rsidRDefault="00E36F43" w:rsidP="004361AC">
      <w:pPr>
        <w:keepNext/>
        <w:numPr>
          <w:ilvl w:val="12"/>
          <w:numId w:val="0"/>
        </w:numPr>
        <w:tabs>
          <w:tab w:val="clear" w:pos="567"/>
        </w:tabs>
        <w:spacing w:line="240" w:lineRule="auto"/>
        <w:rPr>
          <w:color w:val="000000"/>
          <w:szCs w:val="22"/>
          <w:lang w:val="es-ES"/>
        </w:rPr>
      </w:pPr>
      <w:r w:rsidRPr="003E0B98">
        <w:rPr>
          <w:b/>
          <w:color w:val="000000"/>
          <w:szCs w:val="22"/>
          <w:lang w:val="es-ES"/>
        </w:rPr>
        <w:t>Efectos adversos frecuentes</w:t>
      </w:r>
    </w:p>
    <w:p w14:paraId="38F4CBEE" w14:textId="77777777" w:rsidR="00E36F43" w:rsidRPr="003E0B98" w:rsidRDefault="00E36F43" w:rsidP="004361AC">
      <w:pPr>
        <w:numPr>
          <w:ilvl w:val="12"/>
          <w:numId w:val="0"/>
        </w:numPr>
        <w:tabs>
          <w:tab w:val="clear" w:pos="567"/>
        </w:tabs>
        <w:spacing w:line="240" w:lineRule="auto"/>
        <w:ind w:right="-2"/>
        <w:rPr>
          <w:color w:val="000000"/>
          <w:szCs w:val="22"/>
          <w:lang w:val="es-ES"/>
        </w:rPr>
      </w:pPr>
      <w:r w:rsidRPr="003E0B98">
        <w:rPr>
          <w:color w:val="000000"/>
          <w:szCs w:val="22"/>
          <w:lang w:val="es-ES"/>
        </w:rPr>
        <w:t xml:space="preserve">Los </w:t>
      </w:r>
      <w:r w:rsidRPr="003E0B98">
        <w:rPr>
          <w:color w:val="000000"/>
          <w:szCs w:val="22"/>
          <w:lang w:val="es-ES_tradnl"/>
        </w:rPr>
        <w:t xml:space="preserve">efectos adversos oculares incluyen: Disminución de la nitidez de la visión, hinchazón de una sección del ojo (úvea, córnea), inflamación de la córnea (parte delantera del ojo), </w:t>
      </w:r>
      <w:r w:rsidRPr="003E0B98">
        <w:rPr>
          <w:color w:val="000000"/>
          <w:szCs w:val="22"/>
          <w:lang w:val="es-ES"/>
        </w:rPr>
        <w:t xml:space="preserve">pequeñas marcas en la superficie del ojo, visión borrosa, sangrado en el lugar de inyección, </w:t>
      </w:r>
      <w:r w:rsidRPr="003E0B98">
        <w:rPr>
          <w:color w:val="000000"/>
          <w:szCs w:val="22"/>
          <w:lang w:val="es-ES_tradnl"/>
        </w:rPr>
        <w:t>sangrado en el ojo, secreción del ojo con picor, enrojecimiento e hinchazón (conjuntivitis), sensibilidad a la luz, molestias en el ojo, hinchazón del párpado, dolor en el párpado.</w:t>
      </w:r>
    </w:p>
    <w:p w14:paraId="224032C8" w14:textId="77777777" w:rsidR="00E36F43" w:rsidRPr="003E0B98" w:rsidRDefault="00E36F43" w:rsidP="004361AC">
      <w:pPr>
        <w:numPr>
          <w:ilvl w:val="12"/>
          <w:numId w:val="0"/>
        </w:numPr>
        <w:tabs>
          <w:tab w:val="clear" w:pos="567"/>
        </w:tabs>
        <w:spacing w:line="240" w:lineRule="auto"/>
        <w:ind w:right="-2"/>
        <w:rPr>
          <w:color w:val="000000"/>
          <w:szCs w:val="22"/>
          <w:lang w:val="es-ES"/>
        </w:rPr>
      </w:pPr>
      <w:r w:rsidRPr="003E0B98">
        <w:rPr>
          <w:color w:val="000000"/>
          <w:szCs w:val="22"/>
          <w:lang w:val="es-ES"/>
        </w:rPr>
        <w:t xml:space="preserve">Los </w:t>
      </w:r>
      <w:r w:rsidRPr="003E0B98">
        <w:rPr>
          <w:color w:val="000000"/>
          <w:szCs w:val="22"/>
          <w:lang w:val="es-ES_tradnl"/>
        </w:rPr>
        <w:t xml:space="preserve">efectos adversos no oculares incluyen: Infección de las vías urinarias, recuento de glóbulos rojos bajo (con síntomas tales como cansancio, dificultad al respirar, mareo, palidez), ansiedad, tos, </w:t>
      </w:r>
      <w:r w:rsidRPr="003E0B98">
        <w:rPr>
          <w:color w:val="000000"/>
          <w:szCs w:val="22"/>
          <w:lang w:val="es-ES"/>
        </w:rPr>
        <w:t>náuseas, reacciones alérgicas tales como erupción, urticaria, picor y enrojecimiento de la piel</w:t>
      </w:r>
      <w:r w:rsidRPr="003E0B98">
        <w:rPr>
          <w:color w:val="000000"/>
          <w:szCs w:val="22"/>
          <w:lang w:val="es-ES_tradnl"/>
        </w:rPr>
        <w:t>.</w:t>
      </w:r>
    </w:p>
    <w:p w14:paraId="13E8DF34" w14:textId="77777777" w:rsidR="00E36F43" w:rsidRPr="003E0B98" w:rsidRDefault="00E36F43" w:rsidP="004361AC">
      <w:pPr>
        <w:numPr>
          <w:ilvl w:val="12"/>
          <w:numId w:val="0"/>
        </w:numPr>
        <w:tabs>
          <w:tab w:val="clear" w:pos="567"/>
        </w:tabs>
        <w:spacing w:line="240" w:lineRule="auto"/>
        <w:ind w:right="-2"/>
        <w:rPr>
          <w:color w:val="000000"/>
          <w:szCs w:val="22"/>
          <w:lang w:val="es-ES_tradnl"/>
        </w:rPr>
      </w:pPr>
    </w:p>
    <w:p w14:paraId="67C7785F" w14:textId="77777777" w:rsidR="00E36F43" w:rsidRPr="003E0B98" w:rsidRDefault="00E36F43" w:rsidP="004361AC">
      <w:pPr>
        <w:keepNext/>
        <w:numPr>
          <w:ilvl w:val="12"/>
          <w:numId w:val="0"/>
        </w:numPr>
        <w:tabs>
          <w:tab w:val="clear" w:pos="567"/>
        </w:tabs>
        <w:spacing w:line="240" w:lineRule="auto"/>
        <w:rPr>
          <w:color w:val="000000"/>
          <w:szCs w:val="22"/>
          <w:lang w:val="es-ES"/>
        </w:rPr>
      </w:pPr>
      <w:r w:rsidRPr="003E0B98">
        <w:rPr>
          <w:b/>
          <w:color w:val="000000"/>
          <w:szCs w:val="22"/>
          <w:lang w:val="es-ES"/>
        </w:rPr>
        <w:t>Efectos adversos poco frecuentes</w:t>
      </w:r>
    </w:p>
    <w:p w14:paraId="6A61D456" w14:textId="77777777" w:rsidR="00E36F43" w:rsidRPr="003E0B98" w:rsidRDefault="00E36F43" w:rsidP="004361AC">
      <w:pPr>
        <w:numPr>
          <w:ilvl w:val="12"/>
          <w:numId w:val="0"/>
        </w:numPr>
        <w:tabs>
          <w:tab w:val="clear" w:pos="567"/>
        </w:tabs>
        <w:spacing w:line="240" w:lineRule="auto"/>
        <w:ind w:right="-2"/>
        <w:rPr>
          <w:color w:val="000000"/>
          <w:szCs w:val="22"/>
          <w:lang w:val="es-ES"/>
        </w:rPr>
      </w:pPr>
      <w:r w:rsidRPr="003E0B98">
        <w:rPr>
          <w:color w:val="000000"/>
          <w:szCs w:val="22"/>
          <w:lang w:val="es-ES"/>
        </w:rPr>
        <w:t xml:space="preserve">Los </w:t>
      </w:r>
      <w:r w:rsidRPr="003E0B98">
        <w:rPr>
          <w:color w:val="000000"/>
          <w:szCs w:val="22"/>
          <w:lang w:val="es-ES_tradnl"/>
        </w:rPr>
        <w:t>efectos adversos oculares incluyen: Inflamación y sangrado en la parte anterior del ojo, acúmulo de pus en el ojo, cambios en la parte central de la superficie ocular, dolor o irritación en el lugar de inyección, sensación anormal en el ojo, irritación del párpado.</w:t>
      </w:r>
    </w:p>
    <w:p w14:paraId="461BE2CD" w14:textId="77777777" w:rsidR="00E36F43" w:rsidRPr="003E0B98" w:rsidRDefault="00E36F43" w:rsidP="004361AC">
      <w:pPr>
        <w:numPr>
          <w:ilvl w:val="12"/>
          <w:numId w:val="0"/>
        </w:numPr>
        <w:tabs>
          <w:tab w:val="clear" w:pos="567"/>
        </w:tabs>
        <w:spacing w:line="240" w:lineRule="auto"/>
        <w:ind w:right="-2"/>
        <w:rPr>
          <w:color w:val="000000"/>
          <w:szCs w:val="22"/>
          <w:lang w:val="es-ES_tradnl"/>
        </w:rPr>
      </w:pPr>
    </w:p>
    <w:p w14:paraId="36D89A1B" w14:textId="77777777" w:rsidR="00E36F43" w:rsidRPr="003E0B98" w:rsidRDefault="00E36F43" w:rsidP="004361AC">
      <w:pPr>
        <w:keepNext/>
        <w:numPr>
          <w:ilvl w:val="12"/>
          <w:numId w:val="0"/>
        </w:numPr>
        <w:tabs>
          <w:tab w:val="clear" w:pos="567"/>
        </w:tabs>
        <w:spacing w:line="240" w:lineRule="auto"/>
        <w:rPr>
          <w:szCs w:val="24"/>
          <w:lang w:val="es-ES_tradnl"/>
        </w:rPr>
      </w:pPr>
      <w:r w:rsidRPr="003E0B98">
        <w:rPr>
          <w:b/>
          <w:szCs w:val="24"/>
          <w:lang w:val="es-ES_tradnl"/>
        </w:rPr>
        <w:t>Comunicación de efectos adversos</w:t>
      </w:r>
    </w:p>
    <w:p w14:paraId="2E9CCA29" w14:textId="77777777" w:rsidR="00E36F43" w:rsidRPr="003E0B98" w:rsidRDefault="00E36F43" w:rsidP="004361AC">
      <w:pPr>
        <w:numPr>
          <w:ilvl w:val="12"/>
          <w:numId w:val="0"/>
        </w:numPr>
        <w:tabs>
          <w:tab w:val="clear" w:pos="567"/>
        </w:tabs>
        <w:spacing w:line="240" w:lineRule="auto"/>
        <w:ind w:right="-2"/>
        <w:rPr>
          <w:color w:val="000000"/>
          <w:szCs w:val="22"/>
          <w:lang w:val="es-ES"/>
        </w:rPr>
      </w:pPr>
      <w:r w:rsidRPr="003E0B98">
        <w:rPr>
          <w:szCs w:val="24"/>
          <w:lang w:val="es-ES_tradnl"/>
        </w:rPr>
        <w:t>Si experimenta cualquier tipo de efecto adverso, consulte</w:t>
      </w:r>
      <w:r w:rsidRPr="003E0B98">
        <w:rPr>
          <w:lang w:val="es-ES_tradnl"/>
        </w:rPr>
        <w:t xml:space="preserve"> a su médico</w:t>
      </w:r>
      <w:r w:rsidRPr="003E0B98">
        <w:rPr>
          <w:szCs w:val="24"/>
          <w:lang w:val="es-ES_tradnl"/>
        </w:rPr>
        <w:t>,</w:t>
      </w:r>
      <w:r w:rsidRPr="003E0B98">
        <w:rPr>
          <w:color w:val="FF0000"/>
          <w:szCs w:val="24"/>
          <w:lang w:val="es-ES_tradnl"/>
        </w:rPr>
        <w:t xml:space="preserve"> </w:t>
      </w:r>
      <w:r w:rsidRPr="003E0B98">
        <w:rPr>
          <w:szCs w:val="24"/>
          <w:lang w:val="es-ES_tradnl"/>
        </w:rPr>
        <w:t>incluso si se trata de posibles efectos adversos que no aparecen en este prospecto</w:t>
      </w:r>
      <w:r w:rsidRPr="003E0B98">
        <w:rPr>
          <w:lang w:val="es-ES_tradnl"/>
        </w:rPr>
        <w:t xml:space="preserve">. </w:t>
      </w:r>
      <w:r w:rsidRPr="003E0B98">
        <w:rPr>
          <w:noProof/>
          <w:szCs w:val="24"/>
          <w:lang w:val="es-ES_tradnl"/>
        </w:rPr>
        <w:t xml:space="preserve">También puede comunicarlos directamente a través del </w:t>
      </w:r>
      <w:r w:rsidRPr="003E0B98">
        <w:rPr>
          <w:noProof/>
          <w:szCs w:val="24"/>
          <w:shd w:val="pct15" w:color="auto" w:fill="auto"/>
          <w:lang w:val="es-ES_tradnl"/>
        </w:rPr>
        <w:t xml:space="preserve">sistema nacional de notificación incluido en el </w:t>
      </w:r>
      <w:bookmarkStart w:id="28" w:name="_Hlk463279637"/>
      <w:r w:rsidR="002B0E6D" w:rsidRPr="003E0B98">
        <w:rPr>
          <w:noProof/>
          <w:szCs w:val="24"/>
          <w:shd w:val="pct15" w:color="auto" w:fill="auto"/>
          <w:lang w:val="es-ES_tradnl"/>
        </w:rPr>
        <w:t>Apéndice V</w:t>
      </w:r>
      <w:bookmarkEnd w:id="28"/>
      <w:r w:rsidRPr="003E0B98">
        <w:rPr>
          <w:noProof/>
          <w:szCs w:val="24"/>
          <w:lang w:val="es-ES_tradnl"/>
        </w:rPr>
        <w:t>. Mediante la comunicación de efectos adversos usted puede contribuir a proporcionar más información sobre la seguridad de este medicamento.</w:t>
      </w:r>
    </w:p>
    <w:p w14:paraId="50046441" w14:textId="77777777" w:rsidR="00E36F43" w:rsidRPr="003E0B98" w:rsidRDefault="00E36F43" w:rsidP="004361AC">
      <w:pPr>
        <w:numPr>
          <w:ilvl w:val="12"/>
          <w:numId w:val="0"/>
        </w:numPr>
        <w:tabs>
          <w:tab w:val="clear" w:pos="567"/>
        </w:tabs>
        <w:spacing w:line="240" w:lineRule="auto"/>
        <w:ind w:right="-2"/>
        <w:rPr>
          <w:color w:val="000000"/>
          <w:szCs w:val="22"/>
          <w:lang w:val="es-ES_tradnl"/>
        </w:rPr>
      </w:pPr>
    </w:p>
    <w:p w14:paraId="5386F7E4" w14:textId="77777777" w:rsidR="00E36F43" w:rsidRPr="003E0B98" w:rsidRDefault="00E36F43" w:rsidP="004361AC">
      <w:pPr>
        <w:numPr>
          <w:ilvl w:val="12"/>
          <w:numId w:val="0"/>
        </w:numPr>
        <w:tabs>
          <w:tab w:val="clear" w:pos="567"/>
        </w:tabs>
        <w:spacing w:line="240" w:lineRule="auto"/>
        <w:ind w:right="-2"/>
        <w:rPr>
          <w:color w:val="000000"/>
          <w:szCs w:val="22"/>
          <w:lang w:val="es-ES_tradnl"/>
        </w:rPr>
      </w:pPr>
    </w:p>
    <w:p w14:paraId="7BE0BD57" w14:textId="77777777" w:rsidR="00E36F43" w:rsidRPr="003E0B98" w:rsidRDefault="00E36F43" w:rsidP="004361AC">
      <w:pPr>
        <w:keepNext/>
        <w:numPr>
          <w:ilvl w:val="12"/>
          <w:numId w:val="0"/>
        </w:numPr>
        <w:tabs>
          <w:tab w:val="clear" w:pos="567"/>
        </w:tabs>
        <w:spacing w:line="240" w:lineRule="auto"/>
        <w:rPr>
          <w:color w:val="000000"/>
          <w:szCs w:val="22"/>
          <w:lang w:val="es-ES_tradnl"/>
        </w:rPr>
      </w:pPr>
      <w:r w:rsidRPr="003E0B98">
        <w:rPr>
          <w:b/>
          <w:color w:val="000000"/>
          <w:szCs w:val="22"/>
          <w:lang w:val="es-ES_tradnl"/>
        </w:rPr>
        <w:t>5.</w:t>
      </w:r>
      <w:r w:rsidRPr="003E0B98">
        <w:rPr>
          <w:b/>
          <w:color w:val="000000"/>
          <w:szCs w:val="22"/>
          <w:lang w:val="es-ES_tradnl"/>
        </w:rPr>
        <w:tab/>
        <w:t xml:space="preserve">Conservación de </w:t>
      </w:r>
      <w:proofErr w:type="spellStart"/>
      <w:r w:rsidRPr="003E0B98">
        <w:rPr>
          <w:b/>
          <w:color w:val="000000"/>
          <w:szCs w:val="22"/>
          <w:lang w:val="es-ES_tradnl"/>
        </w:rPr>
        <w:t>Lucentis</w:t>
      </w:r>
      <w:proofErr w:type="spellEnd"/>
    </w:p>
    <w:p w14:paraId="77CCB8CD" w14:textId="77777777" w:rsidR="00E36F43" w:rsidRPr="003E0B98" w:rsidRDefault="00E36F43" w:rsidP="004361AC">
      <w:pPr>
        <w:keepNext/>
        <w:numPr>
          <w:ilvl w:val="12"/>
          <w:numId w:val="0"/>
        </w:numPr>
        <w:tabs>
          <w:tab w:val="clear" w:pos="567"/>
        </w:tabs>
        <w:spacing w:line="240" w:lineRule="auto"/>
        <w:rPr>
          <w:color w:val="000000"/>
          <w:szCs w:val="22"/>
          <w:lang w:val="es-ES_tradnl"/>
        </w:rPr>
      </w:pPr>
    </w:p>
    <w:p w14:paraId="03DA769B" w14:textId="77777777" w:rsidR="00E36F43" w:rsidRPr="003E0B98" w:rsidRDefault="00E36F43" w:rsidP="004361AC">
      <w:pPr>
        <w:numPr>
          <w:ilvl w:val="12"/>
          <w:numId w:val="0"/>
        </w:numPr>
        <w:tabs>
          <w:tab w:val="clear" w:pos="567"/>
        </w:tabs>
        <w:spacing w:line="240" w:lineRule="auto"/>
        <w:ind w:right="-2"/>
        <w:rPr>
          <w:color w:val="000000"/>
          <w:szCs w:val="22"/>
          <w:lang w:val="es-ES_tradnl"/>
        </w:rPr>
      </w:pPr>
      <w:r w:rsidRPr="003E0B98">
        <w:rPr>
          <w:color w:val="000000"/>
          <w:szCs w:val="22"/>
          <w:lang w:val="es-ES_tradnl"/>
        </w:rPr>
        <w:t>-</w:t>
      </w:r>
      <w:r w:rsidRPr="003E0B98">
        <w:rPr>
          <w:color w:val="000000"/>
          <w:szCs w:val="22"/>
          <w:lang w:val="es-ES_tradnl"/>
        </w:rPr>
        <w:tab/>
      </w:r>
      <w:r w:rsidRPr="003E0B98">
        <w:rPr>
          <w:noProof/>
          <w:color w:val="000000"/>
          <w:lang w:val="es-ES_tradnl"/>
        </w:rPr>
        <w:t>Mantener este medicamento fuera de la vista y del alcance de los niños.</w:t>
      </w:r>
    </w:p>
    <w:p w14:paraId="6F04BB99" w14:textId="77777777" w:rsidR="00E36F43" w:rsidRPr="003E0B98" w:rsidRDefault="00E36F43" w:rsidP="004361AC">
      <w:pPr>
        <w:numPr>
          <w:ilvl w:val="0"/>
          <w:numId w:val="2"/>
        </w:numPr>
        <w:tabs>
          <w:tab w:val="clear" w:pos="567"/>
          <w:tab w:val="clear" w:pos="1494"/>
        </w:tabs>
        <w:spacing w:line="240" w:lineRule="auto"/>
        <w:ind w:left="567" w:right="-2" w:hanging="567"/>
        <w:rPr>
          <w:color w:val="000000"/>
          <w:szCs w:val="22"/>
          <w:lang w:val="es-ES_tradnl"/>
        </w:rPr>
      </w:pPr>
      <w:r w:rsidRPr="003E0B98">
        <w:rPr>
          <w:noProof/>
          <w:color w:val="000000"/>
          <w:lang w:val="es-ES_tradnl"/>
        </w:rPr>
        <w:t xml:space="preserve">No utilice este medicamento después de la fecha de caducidad que aparece en la caja después de CAD y en la etiqueta </w:t>
      </w:r>
      <w:r w:rsidR="00087D5F" w:rsidRPr="003E0B98">
        <w:rPr>
          <w:noProof/>
          <w:color w:val="000000"/>
          <w:lang w:val="es-ES_tradnl"/>
        </w:rPr>
        <w:t>de la jeringa precargada</w:t>
      </w:r>
      <w:r w:rsidRPr="003E0B98">
        <w:rPr>
          <w:noProof/>
          <w:color w:val="000000"/>
          <w:lang w:val="es-ES_tradnl"/>
        </w:rPr>
        <w:t xml:space="preserve"> después de EXP. La fecha de caducidad es el último día del mes que se indica.</w:t>
      </w:r>
    </w:p>
    <w:p w14:paraId="239DCBA1" w14:textId="77777777" w:rsidR="00E36F43" w:rsidRPr="003E0B98" w:rsidRDefault="00E36F43" w:rsidP="004361AC">
      <w:pPr>
        <w:numPr>
          <w:ilvl w:val="12"/>
          <w:numId w:val="0"/>
        </w:numPr>
        <w:tabs>
          <w:tab w:val="clear" w:pos="567"/>
        </w:tabs>
        <w:spacing w:line="240" w:lineRule="auto"/>
        <w:ind w:right="-2"/>
        <w:rPr>
          <w:color w:val="000000"/>
          <w:szCs w:val="22"/>
          <w:lang w:val="es-ES_tradnl"/>
        </w:rPr>
      </w:pPr>
      <w:r w:rsidRPr="003E0B98">
        <w:rPr>
          <w:color w:val="000000"/>
          <w:szCs w:val="22"/>
          <w:lang w:val="es-ES_tradnl"/>
        </w:rPr>
        <w:t>-</w:t>
      </w:r>
      <w:r w:rsidRPr="003E0B98">
        <w:rPr>
          <w:color w:val="000000"/>
          <w:szCs w:val="22"/>
          <w:lang w:val="es-ES_tradnl"/>
        </w:rPr>
        <w:tab/>
        <w:t>Conservar en nevera (entre 2°C y 8°C). No congelar.</w:t>
      </w:r>
    </w:p>
    <w:p w14:paraId="77999A74" w14:textId="77777777" w:rsidR="005C22CC" w:rsidRPr="003E0B98" w:rsidRDefault="005C22CC" w:rsidP="004361AC">
      <w:pPr>
        <w:numPr>
          <w:ilvl w:val="12"/>
          <w:numId w:val="0"/>
        </w:numPr>
        <w:tabs>
          <w:tab w:val="clear" w:pos="567"/>
        </w:tabs>
        <w:spacing w:line="240" w:lineRule="auto"/>
        <w:ind w:left="567" w:right="-2" w:hanging="567"/>
        <w:rPr>
          <w:color w:val="000000"/>
          <w:szCs w:val="22"/>
          <w:lang w:val="es-ES_tradnl"/>
        </w:rPr>
      </w:pPr>
      <w:r w:rsidRPr="003E0B98">
        <w:rPr>
          <w:color w:val="000000"/>
          <w:szCs w:val="22"/>
          <w:lang w:val="es-ES_tradnl"/>
        </w:rPr>
        <w:t>-</w:t>
      </w:r>
      <w:r w:rsidRPr="003E0B98">
        <w:rPr>
          <w:color w:val="000000"/>
          <w:szCs w:val="22"/>
          <w:lang w:val="es-ES_tradnl"/>
        </w:rPr>
        <w:tab/>
        <w:t xml:space="preserve">Antes de usar, la bandeja sellada </w:t>
      </w:r>
      <w:r w:rsidR="008F0C2D" w:rsidRPr="003E0B98">
        <w:rPr>
          <w:color w:val="000000"/>
          <w:szCs w:val="22"/>
          <w:lang w:val="es-ES_tradnl"/>
        </w:rPr>
        <w:t xml:space="preserve">se </w:t>
      </w:r>
      <w:r w:rsidRPr="003E0B98">
        <w:rPr>
          <w:color w:val="000000"/>
          <w:szCs w:val="22"/>
          <w:lang w:val="es-ES_tradnl"/>
        </w:rPr>
        <w:t>puede conservar a temperatura ambiente (</w:t>
      </w:r>
      <w:r w:rsidRPr="003E0B98">
        <w:rPr>
          <w:color w:val="000000"/>
          <w:szCs w:val="22"/>
          <w:lang w:val="es-ES"/>
        </w:rPr>
        <w:t>25°C) durante un máximo de 24 horas.</w:t>
      </w:r>
    </w:p>
    <w:p w14:paraId="5AC75278" w14:textId="77777777" w:rsidR="00E36F43" w:rsidRPr="003E0B98" w:rsidRDefault="00E36F43" w:rsidP="004361AC">
      <w:pPr>
        <w:numPr>
          <w:ilvl w:val="12"/>
          <w:numId w:val="0"/>
        </w:numPr>
        <w:tabs>
          <w:tab w:val="clear" w:pos="567"/>
        </w:tabs>
        <w:spacing w:line="240" w:lineRule="auto"/>
        <w:ind w:right="-2"/>
        <w:rPr>
          <w:color w:val="000000"/>
          <w:szCs w:val="22"/>
          <w:lang w:val="es-ES_tradnl"/>
        </w:rPr>
      </w:pPr>
      <w:r w:rsidRPr="003E0B98">
        <w:rPr>
          <w:color w:val="000000"/>
          <w:szCs w:val="22"/>
          <w:lang w:val="es-ES_tradnl"/>
        </w:rPr>
        <w:t>-</w:t>
      </w:r>
      <w:r w:rsidRPr="003E0B98">
        <w:rPr>
          <w:color w:val="000000"/>
          <w:szCs w:val="22"/>
          <w:lang w:val="es-ES_tradnl"/>
        </w:rPr>
        <w:tab/>
        <w:t xml:space="preserve">Conservar </w:t>
      </w:r>
      <w:r w:rsidR="005C22CC" w:rsidRPr="003E0B98">
        <w:rPr>
          <w:color w:val="000000"/>
          <w:szCs w:val="22"/>
          <w:lang w:val="es-ES_tradnl"/>
        </w:rPr>
        <w:t>la jeringa precargada en su bandeja</w:t>
      </w:r>
      <w:r w:rsidR="00405C96" w:rsidRPr="003E0B98">
        <w:rPr>
          <w:color w:val="000000"/>
          <w:szCs w:val="22"/>
          <w:lang w:val="es-ES_tradnl"/>
        </w:rPr>
        <w:t xml:space="preserve"> </w:t>
      </w:r>
      <w:r w:rsidR="005C22CC" w:rsidRPr="003E0B98">
        <w:rPr>
          <w:color w:val="000000"/>
          <w:szCs w:val="22"/>
          <w:lang w:val="es-ES_tradnl"/>
        </w:rPr>
        <w:t>sin abrir</w:t>
      </w:r>
      <w:r w:rsidRPr="003E0B98">
        <w:rPr>
          <w:color w:val="000000"/>
          <w:szCs w:val="22"/>
          <w:lang w:val="es-ES_tradnl"/>
        </w:rPr>
        <w:t xml:space="preserve"> en </w:t>
      </w:r>
      <w:r w:rsidR="005C22CC" w:rsidRPr="003E0B98">
        <w:rPr>
          <w:color w:val="000000"/>
          <w:szCs w:val="22"/>
          <w:lang w:val="es-ES_tradnl"/>
        </w:rPr>
        <w:t>la caja</w:t>
      </w:r>
      <w:r w:rsidRPr="003E0B98">
        <w:rPr>
          <w:color w:val="000000"/>
          <w:szCs w:val="22"/>
          <w:lang w:val="es-ES_tradnl"/>
        </w:rPr>
        <w:t xml:space="preserve"> para protegerl</w:t>
      </w:r>
      <w:r w:rsidR="005C22CC" w:rsidRPr="003E0B98">
        <w:rPr>
          <w:color w:val="000000"/>
          <w:szCs w:val="22"/>
          <w:lang w:val="es-ES_tradnl"/>
        </w:rPr>
        <w:t>a</w:t>
      </w:r>
      <w:r w:rsidRPr="003E0B98">
        <w:rPr>
          <w:color w:val="000000"/>
          <w:szCs w:val="22"/>
          <w:lang w:val="es-ES_tradnl"/>
        </w:rPr>
        <w:t xml:space="preserve"> de la luz.</w:t>
      </w:r>
    </w:p>
    <w:p w14:paraId="2BB3A906" w14:textId="77777777" w:rsidR="00E36F43" w:rsidRPr="003E0B98" w:rsidRDefault="00E36F43" w:rsidP="004361AC">
      <w:pPr>
        <w:numPr>
          <w:ilvl w:val="12"/>
          <w:numId w:val="0"/>
        </w:numPr>
        <w:tabs>
          <w:tab w:val="clear" w:pos="567"/>
        </w:tabs>
        <w:spacing w:line="240" w:lineRule="auto"/>
        <w:ind w:right="-2"/>
        <w:rPr>
          <w:color w:val="000000"/>
          <w:szCs w:val="22"/>
          <w:lang w:val="es-ES_tradnl"/>
        </w:rPr>
      </w:pPr>
      <w:r w:rsidRPr="003E0B98">
        <w:rPr>
          <w:color w:val="000000"/>
          <w:szCs w:val="22"/>
          <w:lang w:val="es-ES_tradnl"/>
        </w:rPr>
        <w:t>-</w:t>
      </w:r>
      <w:r w:rsidRPr="003E0B98">
        <w:rPr>
          <w:color w:val="000000"/>
          <w:szCs w:val="22"/>
          <w:lang w:val="es-ES_tradnl"/>
        </w:rPr>
        <w:tab/>
        <w:t>No utilice ningún envase que esté dañado.</w:t>
      </w:r>
    </w:p>
    <w:p w14:paraId="26682672" w14:textId="77777777" w:rsidR="00E36F43" w:rsidRPr="003E0B98" w:rsidRDefault="00E36F43" w:rsidP="004361AC">
      <w:pPr>
        <w:numPr>
          <w:ilvl w:val="12"/>
          <w:numId w:val="0"/>
        </w:numPr>
        <w:tabs>
          <w:tab w:val="clear" w:pos="567"/>
        </w:tabs>
        <w:spacing w:line="240" w:lineRule="auto"/>
        <w:ind w:right="-2"/>
        <w:rPr>
          <w:color w:val="000000"/>
          <w:szCs w:val="22"/>
          <w:lang w:val="es-ES_tradnl"/>
        </w:rPr>
      </w:pPr>
    </w:p>
    <w:p w14:paraId="0497A009" w14:textId="77777777" w:rsidR="00E36F43" w:rsidRPr="003E0B98" w:rsidRDefault="00E36F43" w:rsidP="004361AC">
      <w:pPr>
        <w:numPr>
          <w:ilvl w:val="12"/>
          <w:numId w:val="0"/>
        </w:numPr>
        <w:tabs>
          <w:tab w:val="clear" w:pos="567"/>
        </w:tabs>
        <w:spacing w:line="240" w:lineRule="auto"/>
        <w:ind w:right="-2"/>
        <w:rPr>
          <w:color w:val="000000"/>
          <w:szCs w:val="22"/>
          <w:lang w:val="es-ES_tradnl"/>
        </w:rPr>
      </w:pPr>
    </w:p>
    <w:p w14:paraId="47E32AB9" w14:textId="77777777" w:rsidR="00E36F43" w:rsidRPr="003E0B98" w:rsidRDefault="00E36F43" w:rsidP="004361AC">
      <w:pPr>
        <w:keepNext/>
        <w:numPr>
          <w:ilvl w:val="12"/>
          <w:numId w:val="0"/>
        </w:numPr>
        <w:tabs>
          <w:tab w:val="clear" w:pos="567"/>
        </w:tabs>
        <w:spacing w:line="240" w:lineRule="auto"/>
        <w:rPr>
          <w:b/>
          <w:color w:val="000000"/>
          <w:lang w:val="es-ES_tradnl"/>
        </w:rPr>
      </w:pPr>
      <w:r w:rsidRPr="003E0B98">
        <w:rPr>
          <w:b/>
          <w:color w:val="000000"/>
          <w:szCs w:val="22"/>
          <w:lang w:val="es-ES_tradnl"/>
        </w:rPr>
        <w:t>6.</w:t>
      </w:r>
      <w:r w:rsidRPr="003E0B98">
        <w:rPr>
          <w:b/>
          <w:color w:val="000000"/>
          <w:szCs w:val="22"/>
          <w:lang w:val="es-ES_tradnl"/>
        </w:rPr>
        <w:tab/>
        <w:t>Contenido del envase e información adicional</w:t>
      </w:r>
    </w:p>
    <w:p w14:paraId="70EAD08C" w14:textId="77777777" w:rsidR="00E36F43" w:rsidRPr="003E0B98" w:rsidRDefault="00E36F43" w:rsidP="004361AC">
      <w:pPr>
        <w:keepNext/>
        <w:numPr>
          <w:ilvl w:val="12"/>
          <w:numId w:val="0"/>
        </w:numPr>
        <w:tabs>
          <w:tab w:val="clear" w:pos="567"/>
        </w:tabs>
        <w:spacing w:line="240" w:lineRule="auto"/>
        <w:rPr>
          <w:color w:val="000000"/>
          <w:szCs w:val="22"/>
          <w:lang w:val="es-ES_tradnl"/>
        </w:rPr>
      </w:pPr>
    </w:p>
    <w:p w14:paraId="7B4F86CA" w14:textId="77777777" w:rsidR="00E36F43" w:rsidRPr="003E0B98" w:rsidRDefault="00E36F43" w:rsidP="004361AC">
      <w:pPr>
        <w:keepNext/>
        <w:numPr>
          <w:ilvl w:val="12"/>
          <w:numId w:val="0"/>
        </w:numPr>
        <w:tabs>
          <w:tab w:val="clear" w:pos="567"/>
        </w:tabs>
        <w:spacing w:line="240" w:lineRule="auto"/>
        <w:rPr>
          <w:b/>
          <w:color w:val="000000"/>
          <w:szCs w:val="22"/>
          <w:lang w:val="es-ES_tradnl"/>
        </w:rPr>
      </w:pPr>
      <w:r w:rsidRPr="003E0B98">
        <w:rPr>
          <w:b/>
          <w:color w:val="000000"/>
          <w:szCs w:val="22"/>
          <w:lang w:val="es-ES_tradnl"/>
        </w:rPr>
        <w:t xml:space="preserve">Composición de </w:t>
      </w:r>
      <w:proofErr w:type="spellStart"/>
      <w:r w:rsidRPr="003E0B98">
        <w:rPr>
          <w:b/>
          <w:color w:val="000000"/>
          <w:szCs w:val="22"/>
          <w:lang w:val="es-ES_tradnl"/>
        </w:rPr>
        <w:t>Lucentis</w:t>
      </w:r>
      <w:proofErr w:type="spellEnd"/>
    </w:p>
    <w:p w14:paraId="34F2DE02" w14:textId="77777777" w:rsidR="00E36F43" w:rsidRPr="003E0B98" w:rsidRDefault="00E36F43" w:rsidP="004361AC">
      <w:pPr>
        <w:numPr>
          <w:ilvl w:val="12"/>
          <w:numId w:val="0"/>
        </w:numPr>
        <w:tabs>
          <w:tab w:val="clear" w:pos="567"/>
        </w:tabs>
        <w:spacing w:line="240" w:lineRule="auto"/>
        <w:ind w:left="567" w:right="-2" w:hanging="567"/>
        <w:rPr>
          <w:color w:val="000000"/>
          <w:szCs w:val="22"/>
          <w:lang w:val="es-ES_tradnl"/>
        </w:rPr>
      </w:pPr>
      <w:r w:rsidRPr="003E0B98">
        <w:rPr>
          <w:color w:val="000000"/>
          <w:szCs w:val="22"/>
          <w:lang w:val="es-ES_tradnl"/>
        </w:rPr>
        <w:t>-</w:t>
      </w:r>
      <w:r w:rsidRPr="003E0B98">
        <w:rPr>
          <w:color w:val="000000"/>
          <w:szCs w:val="22"/>
          <w:lang w:val="es-ES_tradnl"/>
        </w:rPr>
        <w:tab/>
        <w:t xml:space="preserve">El principio activo es </w:t>
      </w:r>
      <w:proofErr w:type="spellStart"/>
      <w:r w:rsidRPr="003E0B98">
        <w:rPr>
          <w:color w:val="000000"/>
          <w:szCs w:val="22"/>
          <w:lang w:val="es-ES_tradnl"/>
        </w:rPr>
        <w:t>ranibizumab</w:t>
      </w:r>
      <w:proofErr w:type="spellEnd"/>
      <w:r w:rsidR="00BF24B8" w:rsidRPr="003E0B98">
        <w:rPr>
          <w:color w:val="000000"/>
          <w:szCs w:val="22"/>
          <w:lang w:val="es-ES_tradnl"/>
        </w:rPr>
        <w:t>.</w:t>
      </w:r>
      <w:r w:rsidRPr="003E0B98">
        <w:rPr>
          <w:color w:val="000000"/>
          <w:szCs w:val="22"/>
          <w:lang w:val="es-ES_tradnl"/>
        </w:rPr>
        <w:t xml:space="preserve"> Cada ml contiene 10 mg de </w:t>
      </w:r>
      <w:proofErr w:type="spellStart"/>
      <w:r w:rsidRPr="003E0B98">
        <w:rPr>
          <w:color w:val="000000"/>
          <w:szCs w:val="22"/>
          <w:lang w:val="es-ES_tradnl"/>
        </w:rPr>
        <w:t>ranibizumab</w:t>
      </w:r>
      <w:proofErr w:type="spellEnd"/>
      <w:r w:rsidRPr="003E0B98">
        <w:rPr>
          <w:color w:val="000000"/>
          <w:szCs w:val="22"/>
          <w:lang w:val="es-ES_tradnl"/>
        </w:rPr>
        <w:t>.</w:t>
      </w:r>
      <w:r w:rsidR="00E47466" w:rsidRPr="003E0B98">
        <w:rPr>
          <w:color w:val="000000"/>
          <w:szCs w:val="22"/>
          <w:lang w:val="es-ES_tradnl"/>
        </w:rPr>
        <w:t xml:space="preserve"> </w:t>
      </w:r>
      <w:r w:rsidR="00610303" w:rsidRPr="003E0B98">
        <w:rPr>
          <w:color w:val="000000"/>
          <w:szCs w:val="22"/>
          <w:lang w:val="es-ES_tradnl"/>
        </w:rPr>
        <w:t xml:space="preserve">Una jeringa precargada </w:t>
      </w:r>
      <w:r w:rsidR="00610303" w:rsidRPr="003E0B98">
        <w:rPr>
          <w:color w:val="000000"/>
          <w:szCs w:val="22"/>
          <w:lang w:val="es-ES"/>
        </w:rPr>
        <w:t xml:space="preserve">contiene 0,165 ml, equivalente a 1,65 mg de </w:t>
      </w:r>
      <w:proofErr w:type="spellStart"/>
      <w:r w:rsidR="00610303" w:rsidRPr="003E0B98">
        <w:rPr>
          <w:color w:val="000000"/>
          <w:szCs w:val="22"/>
          <w:lang w:val="es-ES"/>
        </w:rPr>
        <w:t>ranibizumab</w:t>
      </w:r>
      <w:proofErr w:type="spellEnd"/>
      <w:r w:rsidR="00610303" w:rsidRPr="003E0B98">
        <w:rPr>
          <w:color w:val="000000"/>
          <w:szCs w:val="22"/>
          <w:lang w:val="es-ES"/>
        </w:rPr>
        <w:t xml:space="preserve">. Esto aporta una cantidad utilizable que proporciona una dosis única de </w:t>
      </w:r>
      <w:r w:rsidR="00BF24B8" w:rsidRPr="003E0B98">
        <w:rPr>
          <w:color w:val="000000"/>
          <w:szCs w:val="22"/>
          <w:lang w:val="es-ES"/>
        </w:rPr>
        <w:t>0,</w:t>
      </w:r>
      <w:r w:rsidR="00610303" w:rsidRPr="003E0B98">
        <w:rPr>
          <w:color w:val="000000"/>
          <w:szCs w:val="22"/>
          <w:lang w:val="es-ES"/>
        </w:rPr>
        <w:t xml:space="preserve">05 ml, que contiene 0,5 mg de </w:t>
      </w:r>
      <w:proofErr w:type="spellStart"/>
      <w:r w:rsidR="00610303" w:rsidRPr="003E0B98">
        <w:rPr>
          <w:color w:val="000000"/>
          <w:szCs w:val="22"/>
          <w:lang w:val="es-ES"/>
        </w:rPr>
        <w:t>ranibizumab</w:t>
      </w:r>
      <w:proofErr w:type="spellEnd"/>
      <w:r w:rsidR="00610303" w:rsidRPr="003E0B98">
        <w:rPr>
          <w:color w:val="000000"/>
          <w:szCs w:val="22"/>
          <w:lang w:val="es-ES"/>
        </w:rPr>
        <w:t>.</w:t>
      </w:r>
    </w:p>
    <w:p w14:paraId="643BB87C" w14:textId="77777777" w:rsidR="00E36F43" w:rsidRPr="003E0B98" w:rsidRDefault="00E36F43" w:rsidP="004361AC">
      <w:pPr>
        <w:tabs>
          <w:tab w:val="clear" w:pos="567"/>
        </w:tabs>
        <w:spacing w:line="240" w:lineRule="auto"/>
        <w:ind w:left="567" w:hanging="567"/>
        <w:rPr>
          <w:color w:val="000000"/>
          <w:szCs w:val="22"/>
          <w:lang w:val="es-ES_tradnl"/>
        </w:rPr>
      </w:pPr>
      <w:r w:rsidRPr="003E0B98">
        <w:rPr>
          <w:color w:val="000000"/>
          <w:szCs w:val="22"/>
          <w:lang w:val="es-ES_tradnl"/>
        </w:rPr>
        <w:t>-</w:t>
      </w:r>
      <w:r w:rsidRPr="003E0B98">
        <w:rPr>
          <w:color w:val="000000"/>
          <w:szCs w:val="22"/>
          <w:lang w:val="es-ES_tradnl"/>
        </w:rPr>
        <w:tab/>
        <w:t>Los demás componentes son</w:t>
      </w:r>
      <w:r w:rsidRPr="003E0B98">
        <w:rPr>
          <w:iCs/>
          <w:color w:val="000000"/>
          <w:szCs w:val="22"/>
          <w:lang w:val="es-ES_tradnl"/>
        </w:rPr>
        <w:t xml:space="preserve"> </w:t>
      </w:r>
      <w:proofErr w:type="gramStart"/>
      <w:r w:rsidRPr="003E0B98">
        <w:rPr>
          <w:iCs/>
          <w:color w:val="000000"/>
          <w:szCs w:val="22"/>
        </w:rPr>
        <w:t>α</w:t>
      </w:r>
      <w:r w:rsidRPr="003E0B98">
        <w:rPr>
          <w:iCs/>
          <w:color w:val="000000"/>
          <w:szCs w:val="22"/>
          <w:lang w:val="es-ES_tradnl"/>
        </w:rPr>
        <w:t>,</w:t>
      </w:r>
      <w:r w:rsidRPr="003E0B98">
        <w:rPr>
          <w:iCs/>
          <w:color w:val="000000"/>
          <w:szCs w:val="22"/>
        </w:rPr>
        <w:t>α</w:t>
      </w:r>
      <w:proofErr w:type="gramEnd"/>
      <w:r w:rsidRPr="003E0B98">
        <w:rPr>
          <w:iCs/>
          <w:color w:val="000000"/>
          <w:szCs w:val="22"/>
          <w:lang w:val="es-ES_tradnl"/>
        </w:rPr>
        <w:t>-</w:t>
      </w:r>
      <w:proofErr w:type="spellStart"/>
      <w:r w:rsidRPr="003E0B98">
        <w:rPr>
          <w:iCs/>
          <w:color w:val="000000"/>
          <w:szCs w:val="22"/>
          <w:lang w:val="es-ES_tradnl"/>
        </w:rPr>
        <w:t>trehalosa</w:t>
      </w:r>
      <w:proofErr w:type="spellEnd"/>
      <w:r w:rsidRPr="003E0B98">
        <w:rPr>
          <w:iCs/>
          <w:color w:val="000000"/>
          <w:szCs w:val="22"/>
          <w:lang w:val="es-ES_tradnl"/>
        </w:rPr>
        <w:t xml:space="preserve"> </w:t>
      </w:r>
      <w:proofErr w:type="spellStart"/>
      <w:r w:rsidRPr="003E0B98">
        <w:rPr>
          <w:iCs/>
          <w:color w:val="000000"/>
          <w:szCs w:val="22"/>
          <w:lang w:val="es-ES_tradnl"/>
        </w:rPr>
        <w:t>dihidrato</w:t>
      </w:r>
      <w:proofErr w:type="spellEnd"/>
      <w:r w:rsidRPr="003E0B98">
        <w:rPr>
          <w:iCs/>
          <w:color w:val="000000"/>
          <w:szCs w:val="22"/>
          <w:lang w:val="es-ES_tradnl"/>
        </w:rPr>
        <w:t xml:space="preserve">; hidrocloruro de histidina </w:t>
      </w:r>
      <w:proofErr w:type="spellStart"/>
      <w:r w:rsidRPr="003E0B98">
        <w:rPr>
          <w:iCs/>
          <w:color w:val="000000"/>
          <w:szCs w:val="22"/>
          <w:lang w:val="es-ES_tradnl"/>
        </w:rPr>
        <w:t>monohidrato</w:t>
      </w:r>
      <w:proofErr w:type="spellEnd"/>
      <w:r w:rsidRPr="003E0B98">
        <w:rPr>
          <w:iCs/>
          <w:color w:val="000000"/>
          <w:szCs w:val="22"/>
          <w:lang w:val="es-ES_tradnl"/>
        </w:rPr>
        <w:t>; histidina; polisorbato 20; agua para inyectables</w:t>
      </w:r>
      <w:r w:rsidRPr="003E0B98">
        <w:rPr>
          <w:color w:val="000000"/>
          <w:szCs w:val="22"/>
          <w:lang w:val="es-ES_tradnl"/>
        </w:rPr>
        <w:t>.</w:t>
      </w:r>
    </w:p>
    <w:p w14:paraId="62214B01" w14:textId="77777777" w:rsidR="00E36F43" w:rsidRPr="003E0B98" w:rsidRDefault="00E36F43" w:rsidP="004361AC">
      <w:pPr>
        <w:numPr>
          <w:ilvl w:val="12"/>
          <w:numId w:val="0"/>
        </w:numPr>
        <w:tabs>
          <w:tab w:val="clear" w:pos="567"/>
        </w:tabs>
        <w:spacing w:line="240" w:lineRule="auto"/>
        <w:ind w:right="-2"/>
        <w:rPr>
          <w:color w:val="000000"/>
          <w:szCs w:val="22"/>
          <w:lang w:val="es-ES_tradnl"/>
        </w:rPr>
      </w:pPr>
    </w:p>
    <w:p w14:paraId="32475D06" w14:textId="77777777" w:rsidR="00E36F43" w:rsidRPr="003E0B98" w:rsidRDefault="00E36F43" w:rsidP="004361AC">
      <w:pPr>
        <w:keepNext/>
        <w:numPr>
          <w:ilvl w:val="12"/>
          <w:numId w:val="0"/>
        </w:numPr>
        <w:tabs>
          <w:tab w:val="clear" w:pos="567"/>
        </w:tabs>
        <w:spacing w:line="240" w:lineRule="auto"/>
        <w:rPr>
          <w:b/>
          <w:color w:val="000000"/>
          <w:szCs w:val="22"/>
          <w:lang w:val="es-ES_tradnl"/>
        </w:rPr>
      </w:pPr>
      <w:r w:rsidRPr="003E0B98">
        <w:rPr>
          <w:b/>
          <w:color w:val="000000"/>
          <w:lang w:val="es-ES_tradnl"/>
        </w:rPr>
        <w:t>Aspecto del producto y contenido del envase</w:t>
      </w:r>
    </w:p>
    <w:p w14:paraId="76C88C16" w14:textId="0BC03138" w:rsidR="00E36F43" w:rsidRPr="003E0B98" w:rsidRDefault="00E36F43" w:rsidP="004361AC">
      <w:pPr>
        <w:numPr>
          <w:ilvl w:val="12"/>
          <w:numId w:val="0"/>
        </w:numPr>
        <w:tabs>
          <w:tab w:val="clear" w:pos="567"/>
        </w:tabs>
        <w:spacing w:line="240" w:lineRule="auto"/>
        <w:ind w:right="-2"/>
        <w:rPr>
          <w:color w:val="000000"/>
          <w:szCs w:val="22"/>
          <w:lang w:val="es-ES_tradnl"/>
        </w:rPr>
      </w:pPr>
      <w:proofErr w:type="spellStart"/>
      <w:r w:rsidRPr="003E0B98">
        <w:rPr>
          <w:color w:val="000000"/>
          <w:szCs w:val="22"/>
          <w:lang w:val="es-ES_tradnl"/>
        </w:rPr>
        <w:t>Lucentis</w:t>
      </w:r>
      <w:proofErr w:type="spellEnd"/>
      <w:r w:rsidRPr="003E0B98">
        <w:rPr>
          <w:color w:val="000000"/>
          <w:szCs w:val="22"/>
          <w:lang w:val="es-ES_tradnl"/>
        </w:rPr>
        <w:t xml:space="preserve"> es una solución inyectable contenida en </w:t>
      </w:r>
      <w:r w:rsidR="00E3620B" w:rsidRPr="003E0B98">
        <w:rPr>
          <w:color w:val="000000"/>
          <w:szCs w:val="22"/>
          <w:lang w:val="es-ES_tradnl"/>
        </w:rPr>
        <w:t>una jeringa precargada</w:t>
      </w:r>
      <w:r w:rsidRPr="003E0B98">
        <w:rPr>
          <w:color w:val="000000"/>
          <w:lang w:val="es-ES_tradnl"/>
        </w:rPr>
        <w:t xml:space="preserve">. La </w:t>
      </w:r>
      <w:r w:rsidR="00E3620B" w:rsidRPr="003E0B98">
        <w:rPr>
          <w:color w:val="000000"/>
          <w:szCs w:val="22"/>
          <w:lang w:val="es-ES_tradnl"/>
        </w:rPr>
        <w:t>jeringa precargada</w:t>
      </w:r>
      <w:r w:rsidR="00E3620B" w:rsidRPr="003E0B98">
        <w:rPr>
          <w:color w:val="000000"/>
          <w:lang w:val="es-ES_tradnl"/>
        </w:rPr>
        <w:t xml:space="preserve"> contiene 0,165 ml de una </w:t>
      </w:r>
      <w:r w:rsidRPr="003E0B98">
        <w:rPr>
          <w:color w:val="000000"/>
          <w:lang w:val="es-ES_tradnl"/>
        </w:rPr>
        <w:t>solución</w:t>
      </w:r>
      <w:r w:rsidR="00E3620B" w:rsidRPr="003E0B98">
        <w:rPr>
          <w:color w:val="000000"/>
          <w:lang w:val="es-ES_tradnl"/>
        </w:rPr>
        <w:t xml:space="preserve"> acuosa, estéril,</w:t>
      </w:r>
      <w:r w:rsidRPr="003E0B98">
        <w:rPr>
          <w:color w:val="000000"/>
          <w:lang w:val="es-ES_tradnl"/>
        </w:rPr>
        <w:t xml:space="preserve"> transparente, </w:t>
      </w:r>
      <w:r w:rsidRPr="003E0B98">
        <w:rPr>
          <w:color w:val="000000"/>
          <w:szCs w:val="22"/>
          <w:lang w:val="es-ES_tradnl"/>
        </w:rPr>
        <w:t xml:space="preserve">de incolora a amarillo </w:t>
      </w:r>
      <w:r w:rsidR="00490F86">
        <w:rPr>
          <w:color w:val="000000"/>
          <w:szCs w:val="22"/>
          <w:lang w:val="es-ES_tradnl"/>
        </w:rPr>
        <w:t xml:space="preserve">pardusco </w:t>
      </w:r>
      <w:r w:rsidRPr="003E0B98">
        <w:rPr>
          <w:color w:val="000000"/>
          <w:szCs w:val="22"/>
          <w:lang w:val="es-ES_tradnl"/>
        </w:rPr>
        <w:t>pálido.</w:t>
      </w:r>
      <w:r w:rsidR="00E10929" w:rsidRPr="003E0B98">
        <w:rPr>
          <w:color w:val="000000"/>
          <w:szCs w:val="22"/>
          <w:lang w:val="es-ES_tradnl"/>
        </w:rPr>
        <w:t xml:space="preserve"> </w:t>
      </w:r>
      <w:r w:rsidR="00E10929" w:rsidRPr="003E0B98">
        <w:rPr>
          <w:color w:val="000000"/>
          <w:szCs w:val="22"/>
          <w:lang w:val="es-ES"/>
        </w:rPr>
        <w:t>La jeringa precargada contiene más cantidad que la dosis recomendada de 0,5 mg. El volumen extraíble no se administrará en su totalidad. El exceso de volumen se debe expulsar antes de la inyección. Si se inyecta todo el volumen de la jeringa precargada puede dar lugar a una sobredosis</w:t>
      </w:r>
      <w:r w:rsidR="006C41C9" w:rsidRPr="003E0B98">
        <w:rPr>
          <w:color w:val="000000"/>
          <w:szCs w:val="22"/>
          <w:lang w:val="es-ES"/>
        </w:rPr>
        <w:t>.</w:t>
      </w:r>
    </w:p>
    <w:p w14:paraId="06B33131" w14:textId="77777777" w:rsidR="00E36F43" w:rsidRPr="003E0B98" w:rsidRDefault="00E36F43" w:rsidP="004361AC">
      <w:pPr>
        <w:numPr>
          <w:ilvl w:val="12"/>
          <w:numId w:val="0"/>
        </w:numPr>
        <w:tabs>
          <w:tab w:val="clear" w:pos="567"/>
        </w:tabs>
        <w:spacing w:line="240" w:lineRule="auto"/>
        <w:ind w:right="-2"/>
        <w:rPr>
          <w:color w:val="000000"/>
          <w:szCs w:val="22"/>
          <w:lang w:val="es-ES_tradnl"/>
        </w:rPr>
      </w:pPr>
    </w:p>
    <w:p w14:paraId="2372C865" w14:textId="77777777" w:rsidR="00E36F43" w:rsidRPr="003E0B98" w:rsidRDefault="00E10929" w:rsidP="004361AC">
      <w:pPr>
        <w:numPr>
          <w:ilvl w:val="12"/>
          <w:numId w:val="0"/>
        </w:numPr>
        <w:tabs>
          <w:tab w:val="clear" w:pos="567"/>
        </w:tabs>
        <w:spacing w:line="240" w:lineRule="auto"/>
        <w:ind w:right="-2"/>
        <w:rPr>
          <w:color w:val="000000"/>
          <w:szCs w:val="22"/>
          <w:lang w:val="es-ES_tradnl"/>
        </w:rPr>
      </w:pPr>
      <w:r w:rsidRPr="003E0B98">
        <w:rPr>
          <w:color w:val="000000"/>
          <w:szCs w:val="22"/>
          <w:lang w:val="es-ES_tradnl"/>
        </w:rPr>
        <w:t>El tamaño de envase es de una jeringa precargada, envasada en una bandeja</w:t>
      </w:r>
      <w:r w:rsidR="00160022" w:rsidRPr="003E0B98">
        <w:rPr>
          <w:color w:val="000000"/>
          <w:szCs w:val="22"/>
          <w:lang w:val="es-ES_tradnl"/>
        </w:rPr>
        <w:t xml:space="preserve"> contenedora</w:t>
      </w:r>
      <w:r w:rsidRPr="003E0B98">
        <w:rPr>
          <w:color w:val="000000"/>
          <w:szCs w:val="22"/>
          <w:lang w:val="es-ES_tradnl"/>
        </w:rPr>
        <w:t xml:space="preserve"> sellada.</w:t>
      </w:r>
      <w:r w:rsidR="002E1225" w:rsidRPr="003E0B98">
        <w:rPr>
          <w:color w:val="000000"/>
          <w:szCs w:val="22"/>
          <w:lang w:val="es-ES_tradnl"/>
        </w:rPr>
        <w:t xml:space="preserve"> </w:t>
      </w:r>
      <w:r w:rsidRPr="003E0B98">
        <w:rPr>
          <w:color w:val="000000"/>
          <w:szCs w:val="22"/>
          <w:lang w:val="es-ES_tradnl"/>
        </w:rPr>
        <w:t xml:space="preserve">La jeringa precargada es </w:t>
      </w:r>
      <w:r w:rsidR="00E36F43" w:rsidRPr="003E0B98">
        <w:rPr>
          <w:color w:val="000000"/>
          <w:szCs w:val="22"/>
          <w:lang w:val="es-ES_tradnl"/>
        </w:rPr>
        <w:t>para un solo uso.</w:t>
      </w:r>
    </w:p>
    <w:p w14:paraId="057E88E3" w14:textId="77777777" w:rsidR="00E36F43" w:rsidRPr="003E0B98" w:rsidRDefault="00E36F43" w:rsidP="004361AC">
      <w:pPr>
        <w:numPr>
          <w:ilvl w:val="12"/>
          <w:numId w:val="0"/>
        </w:numPr>
        <w:tabs>
          <w:tab w:val="clear" w:pos="567"/>
        </w:tabs>
        <w:spacing w:line="240" w:lineRule="auto"/>
        <w:ind w:right="-2"/>
        <w:rPr>
          <w:color w:val="000000"/>
          <w:szCs w:val="22"/>
          <w:lang w:val="es-ES_tradnl"/>
        </w:rPr>
      </w:pPr>
    </w:p>
    <w:p w14:paraId="625616CC" w14:textId="77777777" w:rsidR="00E36F43" w:rsidRPr="003E0B98" w:rsidRDefault="00E36F43" w:rsidP="004361AC">
      <w:pPr>
        <w:keepNext/>
        <w:numPr>
          <w:ilvl w:val="12"/>
          <w:numId w:val="0"/>
        </w:numPr>
        <w:tabs>
          <w:tab w:val="clear" w:pos="567"/>
        </w:tabs>
        <w:spacing w:line="240" w:lineRule="auto"/>
        <w:rPr>
          <w:b/>
          <w:color w:val="000000"/>
          <w:szCs w:val="22"/>
          <w:lang w:val="es-ES_tradnl"/>
        </w:rPr>
      </w:pPr>
      <w:r w:rsidRPr="003E0B98">
        <w:rPr>
          <w:b/>
          <w:color w:val="000000"/>
          <w:szCs w:val="22"/>
          <w:lang w:val="es-ES_tradnl"/>
        </w:rPr>
        <w:t>Titular de la autorización de comercialización</w:t>
      </w:r>
    </w:p>
    <w:p w14:paraId="1BB58201" w14:textId="77777777" w:rsidR="00E36F43" w:rsidRPr="003E0B98" w:rsidRDefault="00E36F43" w:rsidP="004361AC">
      <w:pPr>
        <w:keepNext/>
        <w:numPr>
          <w:ilvl w:val="12"/>
          <w:numId w:val="0"/>
        </w:numPr>
        <w:tabs>
          <w:tab w:val="clear" w:pos="567"/>
        </w:tabs>
        <w:spacing w:line="240" w:lineRule="auto"/>
        <w:rPr>
          <w:color w:val="000000"/>
          <w:szCs w:val="22"/>
        </w:rPr>
      </w:pPr>
      <w:r w:rsidRPr="003E0B98">
        <w:rPr>
          <w:color w:val="000000"/>
          <w:szCs w:val="22"/>
        </w:rPr>
        <w:t xml:space="preserve">Novartis </w:t>
      </w:r>
      <w:proofErr w:type="spellStart"/>
      <w:r w:rsidRPr="003E0B98">
        <w:rPr>
          <w:color w:val="000000"/>
          <w:szCs w:val="22"/>
        </w:rPr>
        <w:t>Europharm</w:t>
      </w:r>
      <w:proofErr w:type="spellEnd"/>
      <w:r w:rsidRPr="003E0B98">
        <w:rPr>
          <w:color w:val="000000"/>
          <w:szCs w:val="22"/>
        </w:rPr>
        <w:t xml:space="preserve"> Limited</w:t>
      </w:r>
    </w:p>
    <w:p w14:paraId="1D491770" w14:textId="77777777" w:rsidR="00442EE6" w:rsidRPr="003E0B98" w:rsidRDefault="00442EE6" w:rsidP="004361AC">
      <w:pPr>
        <w:keepNext/>
        <w:spacing w:line="240" w:lineRule="auto"/>
        <w:rPr>
          <w:color w:val="000000"/>
        </w:rPr>
      </w:pPr>
      <w:r w:rsidRPr="003E0B98">
        <w:rPr>
          <w:color w:val="000000"/>
        </w:rPr>
        <w:t>Vista Building</w:t>
      </w:r>
    </w:p>
    <w:p w14:paraId="1814EA93" w14:textId="77777777" w:rsidR="00442EE6" w:rsidRPr="003E0B98" w:rsidRDefault="00442EE6" w:rsidP="004361AC">
      <w:pPr>
        <w:keepNext/>
        <w:spacing w:line="240" w:lineRule="auto"/>
        <w:rPr>
          <w:color w:val="000000"/>
        </w:rPr>
      </w:pPr>
      <w:r w:rsidRPr="003E0B98">
        <w:rPr>
          <w:color w:val="000000"/>
        </w:rPr>
        <w:t>Elm Park, Merrion Road</w:t>
      </w:r>
    </w:p>
    <w:p w14:paraId="7577B66E" w14:textId="77777777" w:rsidR="00442EE6" w:rsidRPr="003E0B98" w:rsidRDefault="00442EE6" w:rsidP="004361AC">
      <w:pPr>
        <w:keepNext/>
        <w:spacing w:line="240" w:lineRule="auto"/>
        <w:rPr>
          <w:color w:val="000000"/>
          <w:lang w:val="es-ES"/>
        </w:rPr>
      </w:pPr>
      <w:proofErr w:type="spellStart"/>
      <w:r w:rsidRPr="003E0B98">
        <w:rPr>
          <w:color w:val="000000"/>
          <w:lang w:val="es-ES"/>
        </w:rPr>
        <w:t>Dublin</w:t>
      </w:r>
      <w:proofErr w:type="spellEnd"/>
      <w:r w:rsidRPr="003E0B98">
        <w:rPr>
          <w:color w:val="000000"/>
          <w:lang w:val="es-ES"/>
        </w:rPr>
        <w:t xml:space="preserve"> 4</w:t>
      </w:r>
    </w:p>
    <w:p w14:paraId="0C9EA089" w14:textId="77777777" w:rsidR="00E36F43" w:rsidRPr="003E0B98" w:rsidRDefault="00442EE6" w:rsidP="004361AC">
      <w:pPr>
        <w:numPr>
          <w:ilvl w:val="12"/>
          <w:numId w:val="0"/>
        </w:numPr>
        <w:tabs>
          <w:tab w:val="clear" w:pos="567"/>
        </w:tabs>
        <w:spacing w:line="240" w:lineRule="auto"/>
        <w:ind w:right="-2"/>
        <w:rPr>
          <w:color w:val="000000"/>
          <w:szCs w:val="22"/>
          <w:lang w:val="es-ES_tradnl"/>
        </w:rPr>
      </w:pPr>
      <w:r w:rsidRPr="003E0B98">
        <w:rPr>
          <w:color w:val="000000"/>
          <w:lang w:val="es-ES"/>
        </w:rPr>
        <w:t>Irlanda</w:t>
      </w:r>
    </w:p>
    <w:p w14:paraId="3C8163F0" w14:textId="77777777" w:rsidR="00E36F43" w:rsidRPr="003E0B98" w:rsidRDefault="00E36F43" w:rsidP="004361AC">
      <w:pPr>
        <w:numPr>
          <w:ilvl w:val="12"/>
          <w:numId w:val="0"/>
        </w:numPr>
        <w:tabs>
          <w:tab w:val="clear" w:pos="567"/>
        </w:tabs>
        <w:spacing w:line="240" w:lineRule="auto"/>
        <w:ind w:right="-2"/>
        <w:rPr>
          <w:color w:val="000000"/>
          <w:szCs w:val="22"/>
          <w:lang w:val="es-ES_tradnl"/>
        </w:rPr>
      </w:pPr>
    </w:p>
    <w:p w14:paraId="4AE3C28E" w14:textId="77777777" w:rsidR="00E36F43" w:rsidRPr="003E0B98" w:rsidRDefault="00E36F43" w:rsidP="004361AC">
      <w:pPr>
        <w:keepNext/>
        <w:numPr>
          <w:ilvl w:val="12"/>
          <w:numId w:val="0"/>
        </w:numPr>
        <w:tabs>
          <w:tab w:val="clear" w:pos="567"/>
        </w:tabs>
        <w:spacing w:line="240" w:lineRule="auto"/>
        <w:rPr>
          <w:b/>
          <w:color w:val="000000"/>
          <w:szCs w:val="22"/>
          <w:lang w:val="es-ES_tradnl"/>
        </w:rPr>
      </w:pPr>
      <w:r w:rsidRPr="003E0B98">
        <w:rPr>
          <w:b/>
          <w:noProof/>
          <w:color w:val="000000"/>
          <w:lang w:val="es-ES_tradnl"/>
        </w:rPr>
        <w:t>Responsable de la fabricación</w:t>
      </w:r>
    </w:p>
    <w:p w14:paraId="1EABAFA8" w14:textId="665D11B2" w:rsidR="00E36F43" w:rsidRPr="003E0B98" w:rsidDel="00C42161" w:rsidRDefault="00E36F43" w:rsidP="004361AC">
      <w:pPr>
        <w:keepNext/>
        <w:numPr>
          <w:ilvl w:val="12"/>
          <w:numId w:val="0"/>
        </w:numPr>
        <w:rPr>
          <w:del w:id="29" w:author="Author"/>
          <w:szCs w:val="22"/>
          <w:lang w:val="fr-CH"/>
        </w:rPr>
      </w:pPr>
      <w:del w:id="30" w:author="Author">
        <w:r w:rsidRPr="003E0B98" w:rsidDel="00C42161">
          <w:rPr>
            <w:szCs w:val="22"/>
            <w:lang w:val="fr-CH"/>
          </w:rPr>
          <w:delText>Novartis Pharma GmbH</w:delText>
        </w:r>
      </w:del>
    </w:p>
    <w:p w14:paraId="3B7E935A" w14:textId="1E0FBEB9" w:rsidR="00E36F43" w:rsidRPr="003E0B98" w:rsidDel="00C42161" w:rsidRDefault="00E36F43" w:rsidP="004361AC">
      <w:pPr>
        <w:keepNext/>
        <w:numPr>
          <w:ilvl w:val="12"/>
          <w:numId w:val="0"/>
        </w:numPr>
        <w:rPr>
          <w:del w:id="31" w:author="Author"/>
          <w:szCs w:val="22"/>
          <w:lang w:val="fr-CH"/>
        </w:rPr>
      </w:pPr>
      <w:del w:id="32" w:author="Author">
        <w:r w:rsidRPr="003E0B98" w:rsidDel="00C42161">
          <w:rPr>
            <w:szCs w:val="22"/>
            <w:lang w:val="fr-CH"/>
          </w:rPr>
          <w:delText>Roonstrasse 25</w:delText>
        </w:r>
      </w:del>
    </w:p>
    <w:p w14:paraId="01E7BCF0" w14:textId="7515EE85" w:rsidR="00E36F43" w:rsidRPr="003E0B98" w:rsidDel="00C42161" w:rsidRDefault="00E36F43" w:rsidP="004361AC">
      <w:pPr>
        <w:keepNext/>
        <w:numPr>
          <w:ilvl w:val="12"/>
          <w:numId w:val="0"/>
        </w:numPr>
        <w:rPr>
          <w:del w:id="33" w:author="Author"/>
          <w:szCs w:val="22"/>
          <w:lang w:val="fr-CH"/>
        </w:rPr>
      </w:pPr>
      <w:del w:id="34" w:author="Author">
        <w:r w:rsidRPr="003E0B98" w:rsidDel="00C42161">
          <w:rPr>
            <w:szCs w:val="22"/>
            <w:lang w:val="fr-CH"/>
          </w:rPr>
          <w:delText>90429 Nuremberg</w:delText>
        </w:r>
      </w:del>
    </w:p>
    <w:p w14:paraId="3248037A" w14:textId="06E97BA4" w:rsidR="00E36F43" w:rsidRPr="003E0B98" w:rsidDel="00C42161" w:rsidRDefault="00E36F43" w:rsidP="004361AC">
      <w:pPr>
        <w:numPr>
          <w:ilvl w:val="12"/>
          <w:numId w:val="0"/>
        </w:numPr>
        <w:tabs>
          <w:tab w:val="clear" w:pos="567"/>
        </w:tabs>
        <w:spacing w:line="240" w:lineRule="auto"/>
        <w:ind w:right="-2"/>
        <w:rPr>
          <w:del w:id="35" w:author="Author"/>
          <w:color w:val="000000"/>
          <w:szCs w:val="22"/>
          <w:lang w:val="fr-CH"/>
        </w:rPr>
      </w:pPr>
      <w:del w:id="36" w:author="Author">
        <w:r w:rsidRPr="003E0B98" w:rsidDel="00C42161">
          <w:rPr>
            <w:szCs w:val="22"/>
            <w:lang w:val="fr-CH"/>
          </w:rPr>
          <w:delText>Alemania</w:delText>
        </w:r>
      </w:del>
    </w:p>
    <w:p w14:paraId="0FBA3352" w14:textId="4638F7A1" w:rsidR="00E36F43" w:rsidRPr="003E0B98" w:rsidDel="00C42161" w:rsidRDefault="00E36F43" w:rsidP="004361AC">
      <w:pPr>
        <w:numPr>
          <w:ilvl w:val="12"/>
          <w:numId w:val="0"/>
        </w:numPr>
        <w:tabs>
          <w:tab w:val="clear" w:pos="567"/>
        </w:tabs>
        <w:spacing w:line="240" w:lineRule="auto"/>
        <w:ind w:right="-2"/>
        <w:rPr>
          <w:del w:id="37" w:author="Author"/>
          <w:color w:val="000000"/>
          <w:szCs w:val="22"/>
          <w:lang w:val="fr-CH"/>
        </w:rPr>
      </w:pPr>
    </w:p>
    <w:p w14:paraId="025F84B9" w14:textId="77777777" w:rsidR="004361AC" w:rsidRPr="00C42161" w:rsidRDefault="004361AC" w:rsidP="004361AC">
      <w:pPr>
        <w:keepNext/>
        <w:tabs>
          <w:tab w:val="clear" w:pos="567"/>
        </w:tabs>
        <w:spacing w:line="240" w:lineRule="auto"/>
        <w:rPr>
          <w:rFonts w:eastAsia="Aptos"/>
          <w:szCs w:val="22"/>
          <w:lang w:val="en-US" w:eastAsia="de-CH"/>
          <w:rPrChange w:id="38" w:author="Author">
            <w:rPr>
              <w:rFonts w:eastAsia="Aptos"/>
              <w:szCs w:val="22"/>
              <w:shd w:val="pct15" w:color="auto" w:fill="auto"/>
              <w:lang w:val="en-US" w:eastAsia="de-CH"/>
            </w:rPr>
          </w:rPrChange>
        </w:rPr>
      </w:pPr>
      <w:r w:rsidRPr="00C42161">
        <w:rPr>
          <w:rFonts w:eastAsia="Aptos"/>
          <w:szCs w:val="22"/>
          <w:lang w:val="en-US" w:eastAsia="de-CH"/>
          <w:rPrChange w:id="39" w:author="Author">
            <w:rPr>
              <w:rFonts w:eastAsia="Aptos"/>
              <w:szCs w:val="22"/>
              <w:shd w:val="pct15" w:color="auto" w:fill="auto"/>
              <w:lang w:val="en-US" w:eastAsia="de-CH"/>
            </w:rPr>
          </w:rPrChange>
        </w:rPr>
        <w:t>Novartis Manufacturing NV</w:t>
      </w:r>
    </w:p>
    <w:p w14:paraId="25735A17" w14:textId="77777777" w:rsidR="004361AC" w:rsidRPr="00C42161" w:rsidRDefault="004361AC" w:rsidP="004361AC">
      <w:pPr>
        <w:keepNext/>
        <w:tabs>
          <w:tab w:val="clear" w:pos="567"/>
        </w:tabs>
        <w:spacing w:line="240" w:lineRule="auto"/>
        <w:rPr>
          <w:rFonts w:eastAsia="Aptos"/>
          <w:szCs w:val="22"/>
          <w:lang w:val="en-US" w:eastAsia="de-CH"/>
          <w:rPrChange w:id="40" w:author="Author">
            <w:rPr>
              <w:rFonts w:eastAsia="Aptos"/>
              <w:szCs w:val="22"/>
              <w:shd w:val="pct15" w:color="auto" w:fill="auto"/>
              <w:lang w:val="en-US" w:eastAsia="de-CH"/>
            </w:rPr>
          </w:rPrChange>
        </w:rPr>
      </w:pPr>
      <w:proofErr w:type="spellStart"/>
      <w:r w:rsidRPr="00C42161">
        <w:rPr>
          <w:rFonts w:eastAsia="Aptos"/>
          <w:szCs w:val="22"/>
          <w:lang w:val="en-US" w:eastAsia="de-CH"/>
          <w:rPrChange w:id="41" w:author="Author">
            <w:rPr>
              <w:rFonts w:eastAsia="Aptos"/>
              <w:szCs w:val="22"/>
              <w:shd w:val="pct15" w:color="auto" w:fill="auto"/>
              <w:lang w:val="en-US" w:eastAsia="de-CH"/>
            </w:rPr>
          </w:rPrChange>
        </w:rPr>
        <w:t>Rijksweg</w:t>
      </w:r>
      <w:proofErr w:type="spellEnd"/>
      <w:r w:rsidRPr="00C42161">
        <w:rPr>
          <w:rFonts w:eastAsia="Aptos"/>
          <w:szCs w:val="22"/>
          <w:lang w:val="en-US" w:eastAsia="de-CH"/>
          <w:rPrChange w:id="42" w:author="Author">
            <w:rPr>
              <w:rFonts w:eastAsia="Aptos"/>
              <w:szCs w:val="22"/>
              <w:shd w:val="pct15" w:color="auto" w:fill="auto"/>
              <w:lang w:val="en-US" w:eastAsia="de-CH"/>
            </w:rPr>
          </w:rPrChange>
        </w:rPr>
        <w:t xml:space="preserve"> 14</w:t>
      </w:r>
    </w:p>
    <w:p w14:paraId="5553F6A1" w14:textId="77777777" w:rsidR="004361AC" w:rsidRPr="00C42161" w:rsidRDefault="004361AC" w:rsidP="004361AC">
      <w:pPr>
        <w:keepNext/>
        <w:tabs>
          <w:tab w:val="clear" w:pos="567"/>
        </w:tabs>
        <w:spacing w:line="240" w:lineRule="auto"/>
        <w:rPr>
          <w:rFonts w:eastAsia="Aptos"/>
          <w:szCs w:val="22"/>
          <w:lang w:val="en-US" w:eastAsia="de-CH"/>
          <w:rPrChange w:id="43" w:author="Author">
            <w:rPr>
              <w:rFonts w:eastAsia="Aptos"/>
              <w:szCs w:val="22"/>
              <w:shd w:val="pct15" w:color="auto" w:fill="auto"/>
              <w:lang w:val="en-US" w:eastAsia="de-CH"/>
            </w:rPr>
          </w:rPrChange>
        </w:rPr>
      </w:pPr>
      <w:r w:rsidRPr="00C42161">
        <w:rPr>
          <w:rFonts w:eastAsia="Aptos"/>
          <w:szCs w:val="22"/>
          <w:lang w:val="en-US" w:eastAsia="de-CH"/>
          <w:rPrChange w:id="44" w:author="Author">
            <w:rPr>
              <w:rFonts w:eastAsia="Aptos"/>
              <w:szCs w:val="22"/>
              <w:shd w:val="pct15" w:color="auto" w:fill="auto"/>
              <w:lang w:val="en-US" w:eastAsia="de-CH"/>
            </w:rPr>
          </w:rPrChange>
        </w:rPr>
        <w:t xml:space="preserve">2870 </w:t>
      </w:r>
      <w:proofErr w:type="spellStart"/>
      <w:r w:rsidRPr="00C42161">
        <w:rPr>
          <w:rFonts w:eastAsia="Aptos"/>
          <w:szCs w:val="22"/>
          <w:lang w:val="en-US" w:eastAsia="de-CH"/>
          <w:rPrChange w:id="45" w:author="Author">
            <w:rPr>
              <w:rFonts w:eastAsia="Aptos"/>
              <w:szCs w:val="22"/>
              <w:shd w:val="pct15" w:color="auto" w:fill="auto"/>
              <w:lang w:val="en-US" w:eastAsia="de-CH"/>
            </w:rPr>
          </w:rPrChange>
        </w:rPr>
        <w:t>Puurs</w:t>
      </w:r>
      <w:proofErr w:type="spellEnd"/>
      <w:r w:rsidRPr="00C42161">
        <w:rPr>
          <w:rFonts w:eastAsia="Aptos"/>
          <w:szCs w:val="22"/>
          <w:lang w:val="en-US" w:eastAsia="de-CH"/>
          <w:rPrChange w:id="46" w:author="Author">
            <w:rPr>
              <w:rFonts w:eastAsia="Aptos"/>
              <w:szCs w:val="22"/>
              <w:shd w:val="pct15" w:color="auto" w:fill="auto"/>
              <w:lang w:val="en-US" w:eastAsia="de-CH"/>
            </w:rPr>
          </w:rPrChange>
        </w:rPr>
        <w:t>-Sint-</w:t>
      </w:r>
      <w:proofErr w:type="spellStart"/>
      <w:r w:rsidRPr="00C42161">
        <w:rPr>
          <w:rFonts w:eastAsia="Aptos"/>
          <w:szCs w:val="22"/>
          <w:lang w:val="en-US" w:eastAsia="de-CH"/>
          <w:rPrChange w:id="47" w:author="Author">
            <w:rPr>
              <w:rFonts w:eastAsia="Aptos"/>
              <w:szCs w:val="22"/>
              <w:shd w:val="pct15" w:color="auto" w:fill="auto"/>
              <w:lang w:val="en-US" w:eastAsia="de-CH"/>
            </w:rPr>
          </w:rPrChange>
        </w:rPr>
        <w:t>Amands</w:t>
      </w:r>
      <w:proofErr w:type="spellEnd"/>
    </w:p>
    <w:p w14:paraId="6584C761" w14:textId="65505560" w:rsidR="00C31896" w:rsidRPr="00C42161" w:rsidRDefault="004361AC" w:rsidP="004361AC">
      <w:pPr>
        <w:numPr>
          <w:ilvl w:val="12"/>
          <w:numId w:val="0"/>
        </w:numPr>
        <w:tabs>
          <w:tab w:val="clear" w:pos="567"/>
          <w:tab w:val="left" w:pos="720"/>
        </w:tabs>
        <w:spacing w:line="240" w:lineRule="auto"/>
        <w:ind w:left="567" w:hanging="567"/>
        <w:rPr>
          <w:szCs w:val="22"/>
          <w:lang w:val="es-ES"/>
          <w:rPrChange w:id="48" w:author="Author">
            <w:rPr>
              <w:szCs w:val="22"/>
              <w:shd w:val="pct15" w:color="auto" w:fill="auto"/>
              <w:lang w:val="es-ES"/>
            </w:rPr>
          </w:rPrChange>
        </w:rPr>
      </w:pPr>
      <w:r w:rsidRPr="00C42161">
        <w:rPr>
          <w:rFonts w:eastAsia="Aptos"/>
          <w:kern w:val="2"/>
          <w:szCs w:val="22"/>
          <w:lang w:val="de-CH"/>
          <w14:ligatures w14:val="standardContextual"/>
          <w:rPrChange w:id="49" w:author="Author">
            <w:rPr>
              <w:rFonts w:eastAsia="Aptos"/>
              <w:kern w:val="2"/>
              <w:szCs w:val="22"/>
              <w:shd w:val="pct15" w:color="auto" w:fill="auto"/>
              <w:lang w:val="de-CH"/>
              <w14:ligatures w14:val="standardContextual"/>
            </w:rPr>
          </w:rPrChange>
        </w:rPr>
        <w:t>Bélgica</w:t>
      </w:r>
    </w:p>
    <w:p w14:paraId="31E1B353" w14:textId="77777777" w:rsidR="00C31896" w:rsidRDefault="00C31896" w:rsidP="004361AC">
      <w:pPr>
        <w:numPr>
          <w:ilvl w:val="12"/>
          <w:numId w:val="0"/>
        </w:numPr>
        <w:tabs>
          <w:tab w:val="clear" w:pos="567"/>
        </w:tabs>
        <w:spacing w:line="240" w:lineRule="auto"/>
        <w:ind w:right="-2"/>
        <w:rPr>
          <w:color w:val="000000"/>
          <w:szCs w:val="22"/>
          <w:lang w:val="es-ES"/>
        </w:rPr>
      </w:pPr>
    </w:p>
    <w:p w14:paraId="7EB652BF" w14:textId="77777777" w:rsidR="004361AC" w:rsidRPr="004361AC" w:rsidRDefault="004361AC" w:rsidP="004361AC">
      <w:pPr>
        <w:keepNext/>
        <w:tabs>
          <w:tab w:val="clear" w:pos="567"/>
        </w:tabs>
        <w:spacing w:line="240" w:lineRule="auto"/>
        <w:rPr>
          <w:rFonts w:eastAsia="Aptos"/>
          <w:szCs w:val="22"/>
          <w:shd w:val="pct15" w:color="auto" w:fill="auto"/>
          <w:lang w:val="en-US" w:eastAsia="de-CH"/>
        </w:rPr>
      </w:pPr>
      <w:r w:rsidRPr="004361AC">
        <w:rPr>
          <w:rFonts w:eastAsia="Aptos"/>
          <w:szCs w:val="22"/>
          <w:shd w:val="pct15" w:color="auto" w:fill="auto"/>
          <w:lang w:val="en-US" w:eastAsia="de-CH"/>
        </w:rPr>
        <w:t>Novartis Pharma GmbH</w:t>
      </w:r>
    </w:p>
    <w:p w14:paraId="339171D5" w14:textId="77777777" w:rsidR="004361AC" w:rsidRPr="004361AC" w:rsidRDefault="004361AC" w:rsidP="004361AC">
      <w:pPr>
        <w:keepNext/>
        <w:tabs>
          <w:tab w:val="clear" w:pos="567"/>
        </w:tabs>
        <w:spacing w:line="240" w:lineRule="auto"/>
        <w:rPr>
          <w:rFonts w:eastAsia="Aptos"/>
          <w:szCs w:val="22"/>
          <w:shd w:val="pct15" w:color="auto" w:fill="auto"/>
          <w:lang w:val="en-US" w:eastAsia="de-CH"/>
        </w:rPr>
      </w:pPr>
      <w:r w:rsidRPr="004361AC">
        <w:rPr>
          <w:rFonts w:eastAsia="Aptos"/>
          <w:szCs w:val="22"/>
          <w:shd w:val="pct15" w:color="auto" w:fill="auto"/>
          <w:lang w:val="en-US" w:eastAsia="de-CH"/>
        </w:rPr>
        <w:t>Sophie-Germain-Strasse 10</w:t>
      </w:r>
    </w:p>
    <w:p w14:paraId="6DC8C960" w14:textId="77777777" w:rsidR="004361AC" w:rsidRPr="004361AC" w:rsidRDefault="004361AC" w:rsidP="004361AC">
      <w:pPr>
        <w:keepNext/>
        <w:tabs>
          <w:tab w:val="clear" w:pos="567"/>
        </w:tabs>
        <w:spacing w:line="240" w:lineRule="auto"/>
        <w:rPr>
          <w:rFonts w:eastAsia="Aptos"/>
          <w:szCs w:val="22"/>
          <w:shd w:val="pct15" w:color="auto" w:fill="auto"/>
          <w:lang w:val="en-US" w:eastAsia="de-CH"/>
        </w:rPr>
      </w:pPr>
      <w:r w:rsidRPr="004361AC">
        <w:rPr>
          <w:rFonts w:eastAsia="Aptos"/>
          <w:szCs w:val="22"/>
          <w:shd w:val="pct15" w:color="auto" w:fill="auto"/>
          <w:lang w:val="en-US" w:eastAsia="de-CH"/>
        </w:rPr>
        <w:t>90443 Nürnberg</w:t>
      </w:r>
    </w:p>
    <w:p w14:paraId="5E699419" w14:textId="4AE24F47" w:rsidR="004361AC" w:rsidRDefault="004361AC" w:rsidP="004361AC">
      <w:pPr>
        <w:numPr>
          <w:ilvl w:val="12"/>
          <w:numId w:val="0"/>
        </w:numPr>
        <w:tabs>
          <w:tab w:val="clear" w:pos="567"/>
        </w:tabs>
        <w:spacing w:line="240" w:lineRule="auto"/>
        <w:ind w:right="-2"/>
        <w:rPr>
          <w:color w:val="000000"/>
          <w:szCs w:val="22"/>
          <w:lang w:val="es-ES"/>
        </w:rPr>
      </w:pPr>
      <w:r w:rsidRPr="004361AC">
        <w:rPr>
          <w:rFonts w:eastAsia="Aptos"/>
          <w:kern w:val="2"/>
          <w:szCs w:val="22"/>
          <w:shd w:val="pct15" w:color="auto" w:fill="auto"/>
          <w:lang w:val="de-CH"/>
          <w14:ligatures w14:val="standardContextual"/>
        </w:rPr>
        <w:t>Alemania</w:t>
      </w:r>
    </w:p>
    <w:p w14:paraId="263B3599" w14:textId="77777777" w:rsidR="004361AC" w:rsidRPr="003E0B98" w:rsidRDefault="004361AC" w:rsidP="004361AC">
      <w:pPr>
        <w:numPr>
          <w:ilvl w:val="12"/>
          <w:numId w:val="0"/>
        </w:numPr>
        <w:tabs>
          <w:tab w:val="clear" w:pos="567"/>
        </w:tabs>
        <w:spacing w:line="240" w:lineRule="auto"/>
        <w:ind w:right="-2"/>
        <w:rPr>
          <w:color w:val="000000"/>
          <w:szCs w:val="22"/>
          <w:lang w:val="es-ES"/>
        </w:rPr>
      </w:pPr>
    </w:p>
    <w:p w14:paraId="3AA93DE3" w14:textId="77777777" w:rsidR="00E36F43" w:rsidRPr="003E0B98" w:rsidRDefault="00E36F43" w:rsidP="004361AC">
      <w:pPr>
        <w:keepNext/>
        <w:numPr>
          <w:ilvl w:val="12"/>
          <w:numId w:val="0"/>
        </w:numPr>
        <w:tabs>
          <w:tab w:val="clear" w:pos="567"/>
        </w:tabs>
        <w:spacing w:line="240" w:lineRule="auto"/>
        <w:rPr>
          <w:color w:val="000000"/>
          <w:szCs w:val="22"/>
          <w:lang w:val="es-ES_tradnl"/>
        </w:rPr>
      </w:pPr>
      <w:r w:rsidRPr="003E0B98">
        <w:rPr>
          <w:color w:val="000000"/>
          <w:szCs w:val="22"/>
          <w:lang w:val="es-ES"/>
        </w:rPr>
        <w:t>Pueden solicitar más información respecto a este medicamento dirigiéndose al representante local del titular de la autorización de comercialización:</w:t>
      </w:r>
    </w:p>
    <w:p w14:paraId="09B7F2ED" w14:textId="77777777" w:rsidR="00E36F43" w:rsidRPr="003E0B98" w:rsidRDefault="00E36F43" w:rsidP="004361AC">
      <w:pPr>
        <w:keepNext/>
        <w:numPr>
          <w:ilvl w:val="12"/>
          <w:numId w:val="0"/>
        </w:numPr>
        <w:tabs>
          <w:tab w:val="clear" w:pos="567"/>
        </w:tabs>
        <w:spacing w:line="240" w:lineRule="auto"/>
        <w:rPr>
          <w:color w:val="000000"/>
          <w:szCs w:val="22"/>
          <w:lang w:val="es-ES"/>
        </w:rPr>
      </w:pPr>
    </w:p>
    <w:tbl>
      <w:tblPr>
        <w:tblW w:w="9181" w:type="dxa"/>
        <w:tblLayout w:type="fixed"/>
        <w:tblLook w:val="0000" w:firstRow="0" w:lastRow="0" w:firstColumn="0" w:lastColumn="0" w:noHBand="0" w:noVBand="0"/>
      </w:tblPr>
      <w:tblGrid>
        <w:gridCol w:w="4503"/>
        <w:gridCol w:w="4678"/>
      </w:tblGrid>
      <w:tr w:rsidR="00E36F43" w:rsidRPr="003E0B98" w14:paraId="3F0204CF" w14:textId="77777777" w:rsidTr="00606F06">
        <w:trPr>
          <w:cantSplit/>
        </w:trPr>
        <w:tc>
          <w:tcPr>
            <w:tcW w:w="4503" w:type="dxa"/>
          </w:tcPr>
          <w:p w14:paraId="70EF302F" w14:textId="77777777" w:rsidR="00E36F43" w:rsidRPr="003E0B98" w:rsidRDefault="00E36F43" w:rsidP="004361AC">
            <w:pPr>
              <w:rPr>
                <w:color w:val="000000"/>
                <w:szCs w:val="22"/>
                <w:lang w:val="fr-FR"/>
              </w:rPr>
            </w:pPr>
            <w:proofErr w:type="spellStart"/>
            <w:r w:rsidRPr="003E0B98">
              <w:rPr>
                <w:b/>
                <w:color w:val="000000"/>
                <w:szCs w:val="22"/>
                <w:lang w:val="fr-FR"/>
              </w:rPr>
              <w:t>België</w:t>
            </w:r>
            <w:proofErr w:type="spellEnd"/>
            <w:r w:rsidRPr="003E0B98">
              <w:rPr>
                <w:b/>
                <w:color w:val="000000"/>
                <w:szCs w:val="22"/>
                <w:lang w:val="fr-FR"/>
              </w:rPr>
              <w:t>/Belgique/</w:t>
            </w:r>
            <w:proofErr w:type="spellStart"/>
            <w:r w:rsidRPr="003E0B98">
              <w:rPr>
                <w:b/>
                <w:color w:val="000000"/>
                <w:szCs w:val="22"/>
                <w:lang w:val="fr-FR"/>
              </w:rPr>
              <w:t>Belgien</w:t>
            </w:r>
            <w:proofErr w:type="spellEnd"/>
          </w:p>
          <w:p w14:paraId="23185CDC" w14:textId="77777777" w:rsidR="00E36F43" w:rsidRPr="003E0B98" w:rsidRDefault="00E36F43" w:rsidP="004361AC">
            <w:pPr>
              <w:rPr>
                <w:color w:val="000000"/>
                <w:szCs w:val="22"/>
                <w:lang w:val="fr-FR"/>
              </w:rPr>
            </w:pPr>
            <w:r w:rsidRPr="003E0B98">
              <w:rPr>
                <w:color w:val="000000"/>
                <w:szCs w:val="22"/>
                <w:lang w:val="fr-FR"/>
              </w:rPr>
              <w:t>Novartis Pharma N.V.</w:t>
            </w:r>
          </w:p>
          <w:p w14:paraId="78AF190B" w14:textId="77777777" w:rsidR="00E36F43" w:rsidRPr="003E0B98" w:rsidRDefault="00E36F43" w:rsidP="004361AC">
            <w:pPr>
              <w:rPr>
                <w:color w:val="000000"/>
                <w:szCs w:val="22"/>
              </w:rPr>
            </w:pPr>
            <w:proofErr w:type="spellStart"/>
            <w:r w:rsidRPr="003E0B98">
              <w:rPr>
                <w:color w:val="000000"/>
                <w:szCs w:val="22"/>
              </w:rPr>
              <w:t>Tél</w:t>
            </w:r>
            <w:proofErr w:type="spellEnd"/>
            <w:r w:rsidRPr="003E0B98">
              <w:rPr>
                <w:color w:val="000000"/>
                <w:szCs w:val="22"/>
              </w:rPr>
              <w:t>/Tel: +32 2 246 16 11</w:t>
            </w:r>
          </w:p>
          <w:p w14:paraId="7060B2E1" w14:textId="77777777" w:rsidR="00E36F43" w:rsidRPr="003E0B98" w:rsidRDefault="00E36F43" w:rsidP="004361AC">
            <w:pPr>
              <w:ind w:right="34"/>
              <w:rPr>
                <w:color w:val="000000"/>
                <w:szCs w:val="22"/>
              </w:rPr>
            </w:pPr>
          </w:p>
        </w:tc>
        <w:tc>
          <w:tcPr>
            <w:tcW w:w="4678" w:type="dxa"/>
          </w:tcPr>
          <w:p w14:paraId="48BB538E" w14:textId="77777777" w:rsidR="00E36F43" w:rsidRPr="003E0B98" w:rsidRDefault="00E36F43" w:rsidP="004361AC">
            <w:pPr>
              <w:rPr>
                <w:color w:val="000000"/>
                <w:szCs w:val="22"/>
                <w:lang w:val="es-ES"/>
              </w:rPr>
            </w:pPr>
            <w:proofErr w:type="spellStart"/>
            <w:r w:rsidRPr="003E0B98">
              <w:rPr>
                <w:b/>
                <w:color w:val="000000"/>
                <w:szCs w:val="22"/>
                <w:lang w:val="es-ES"/>
              </w:rPr>
              <w:t>Lietuva</w:t>
            </w:r>
            <w:proofErr w:type="spellEnd"/>
          </w:p>
          <w:p w14:paraId="55814521" w14:textId="1D07E9FA" w:rsidR="00E36F43" w:rsidRPr="003E0B98" w:rsidRDefault="00C37C69" w:rsidP="004361AC">
            <w:pPr>
              <w:ind w:right="-449"/>
              <w:rPr>
                <w:color w:val="000000"/>
                <w:szCs w:val="22"/>
                <w:lang w:val="es-ES"/>
              </w:rPr>
            </w:pPr>
            <w:r w:rsidRPr="003E0B98">
              <w:rPr>
                <w:szCs w:val="22"/>
                <w:lang w:val="lt-LT"/>
              </w:rPr>
              <w:t>SIA Novartis Baltics Lietuvos filialas</w:t>
            </w:r>
          </w:p>
          <w:p w14:paraId="5B45D4F5" w14:textId="77777777" w:rsidR="00E36F43" w:rsidRPr="003E0B98" w:rsidRDefault="00E36F43" w:rsidP="004361AC">
            <w:pPr>
              <w:ind w:right="-449"/>
              <w:rPr>
                <w:color w:val="000000"/>
                <w:szCs w:val="22"/>
                <w:lang w:val="fr-FR"/>
              </w:rPr>
            </w:pPr>
            <w:proofErr w:type="gramStart"/>
            <w:r w:rsidRPr="003E0B98">
              <w:rPr>
                <w:color w:val="000000"/>
                <w:szCs w:val="22"/>
                <w:lang w:val="fr-FR"/>
              </w:rPr>
              <w:t>Tel:</w:t>
            </w:r>
            <w:proofErr w:type="gramEnd"/>
            <w:r w:rsidRPr="003E0B98">
              <w:rPr>
                <w:color w:val="000000"/>
                <w:szCs w:val="22"/>
                <w:lang w:val="fr-FR"/>
              </w:rPr>
              <w:t xml:space="preserve"> +370 5 269 16 50</w:t>
            </w:r>
          </w:p>
          <w:p w14:paraId="2107B045" w14:textId="77777777" w:rsidR="00E36F43" w:rsidRPr="003E0B98" w:rsidRDefault="00E36F43" w:rsidP="004361AC">
            <w:pPr>
              <w:suppressAutoHyphens/>
              <w:rPr>
                <w:color w:val="000000"/>
                <w:szCs w:val="22"/>
                <w:lang w:val="fr-FR"/>
              </w:rPr>
            </w:pPr>
          </w:p>
        </w:tc>
      </w:tr>
      <w:tr w:rsidR="00E36F43" w:rsidRPr="00174177" w14:paraId="255E4C7A" w14:textId="77777777" w:rsidTr="00606F06">
        <w:trPr>
          <w:cantSplit/>
        </w:trPr>
        <w:tc>
          <w:tcPr>
            <w:tcW w:w="4503" w:type="dxa"/>
          </w:tcPr>
          <w:p w14:paraId="4B7F4673" w14:textId="77777777" w:rsidR="00E36F43" w:rsidRPr="003E0B98" w:rsidRDefault="00E36F43" w:rsidP="004361AC">
            <w:pPr>
              <w:rPr>
                <w:b/>
                <w:color w:val="000000"/>
                <w:szCs w:val="22"/>
                <w:lang w:val="es-ES"/>
              </w:rPr>
            </w:pPr>
            <w:proofErr w:type="spellStart"/>
            <w:r w:rsidRPr="003E0B98">
              <w:rPr>
                <w:b/>
                <w:color w:val="000000"/>
                <w:szCs w:val="22"/>
              </w:rPr>
              <w:t>България</w:t>
            </w:r>
            <w:proofErr w:type="spellEnd"/>
          </w:p>
          <w:p w14:paraId="6CBE8E07" w14:textId="14696F78" w:rsidR="00E36F43" w:rsidRPr="003E0B98" w:rsidRDefault="00C37C69" w:rsidP="004361AC">
            <w:pPr>
              <w:rPr>
                <w:color w:val="000000"/>
                <w:szCs w:val="22"/>
                <w:lang w:val="es-ES"/>
              </w:rPr>
            </w:pPr>
            <w:r w:rsidRPr="003E0B98">
              <w:rPr>
                <w:szCs w:val="22"/>
                <w:lang w:val="es-ES"/>
              </w:rPr>
              <w:t>Novartis Bulgaria EOOD</w:t>
            </w:r>
          </w:p>
          <w:p w14:paraId="655BA418" w14:textId="77777777" w:rsidR="00E36F43" w:rsidRPr="003E0B98" w:rsidRDefault="00E36F43" w:rsidP="004361AC">
            <w:pPr>
              <w:rPr>
                <w:color w:val="000000"/>
                <w:szCs w:val="22"/>
                <w:lang w:val="es-ES"/>
              </w:rPr>
            </w:pPr>
            <w:r w:rsidRPr="003E0B98">
              <w:rPr>
                <w:color w:val="000000"/>
                <w:szCs w:val="22"/>
              </w:rPr>
              <w:t>Тел</w:t>
            </w:r>
            <w:r w:rsidRPr="003E0B98">
              <w:rPr>
                <w:color w:val="000000"/>
                <w:szCs w:val="22"/>
                <w:lang w:val="es-ES"/>
              </w:rPr>
              <w:t>.: +359 2 489 98 28</w:t>
            </w:r>
          </w:p>
          <w:p w14:paraId="07B308CF" w14:textId="77777777" w:rsidR="00E36F43" w:rsidRPr="003E0B98" w:rsidRDefault="00E36F43" w:rsidP="004361AC">
            <w:pPr>
              <w:tabs>
                <w:tab w:val="left" w:pos="-720"/>
              </w:tabs>
              <w:suppressAutoHyphens/>
              <w:rPr>
                <w:b/>
                <w:color w:val="000000"/>
                <w:szCs w:val="22"/>
                <w:lang w:val="es-ES"/>
              </w:rPr>
            </w:pPr>
          </w:p>
        </w:tc>
        <w:tc>
          <w:tcPr>
            <w:tcW w:w="4678" w:type="dxa"/>
          </w:tcPr>
          <w:p w14:paraId="7A65A9BD" w14:textId="77777777" w:rsidR="00E36F43" w:rsidRPr="003E0B98" w:rsidRDefault="00E36F43" w:rsidP="004361AC">
            <w:pPr>
              <w:rPr>
                <w:color w:val="000000"/>
                <w:szCs w:val="22"/>
                <w:lang w:val="de-CH"/>
              </w:rPr>
            </w:pPr>
            <w:r w:rsidRPr="003E0B98">
              <w:rPr>
                <w:b/>
                <w:color w:val="000000"/>
                <w:szCs w:val="22"/>
                <w:lang w:val="de-CH"/>
              </w:rPr>
              <w:t>Luxembourg/Luxemburg</w:t>
            </w:r>
          </w:p>
          <w:p w14:paraId="292DAEDF" w14:textId="77777777" w:rsidR="00E36F43" w:rsidRPr="003E0B98" w:rsidRDefault="00E36F43" w:rsidP="004361AC">
            <w:pPr>
              <w:rPr>
                <w:color w:val="000000"/>
                <w:szCs w:val="22"/>
                <w:lang w:val="de-CH"/>
              </w:rPr>
            </w:pPr>
            <w:r w:rsidRPr="003E0B98">
              <w:rPr>
                <w:color w:val="000000"/>
                <w:szCs w:val="22"/>
                <w:lang w:val="de-CH"/>
              </w:rPr>
              <w:t>Novartis Pharma N.V.</w:t>
            </w:r>
          </w:p>
          <w:p w14:paraId="589A7A8D" w14:textId="77777777" w:rsidR="00E36F43" w:rsidRPr="003E0B98" w:rsidRDefault="00E36F43" w:rsidP="004361AC">
            <w:pPr>
              <w:rPr>
                <w:color w:val="000000"/>
                <w:szCs w:val="22"/>
                <w:lang w:val="es-ES"/>
              </w:rPr>
            </w:pPr>
            <w:proofErr w:type="spellStart"/>
            <w:r w:rsidRPr="003E0B98">
              <w:rPr>
                <w:color w:val="000000"/>
                <w:szCs w:val="22"/>
                <w:lang w:val="es-ES"/>
              </w:rPr>
              <w:t>Tél</w:t>
            </w:r>
            <w:proofErr w:type="spellEnd"/>
            <w:r w:rsidRPr="003E0B98">
              <w:rPr>
                <w:color w:val="000000"/>
                <w:szCs w:val="22"/>
                <w:lang w:val="es-ES"/>
              </w:rPr>
              <w:t>/Tel: +32 2 246 16 11</w:t>
            </w:r>
          </w:p>
          <w:p w14:paraId="395C4F63" w14:textId="77777777" w:rsidR="00E36F43" w:rsidRPr="003E0B98" w:rsidRDefault="00E36F43" w:rsidP="004361AC">
            <w:pPr>
              <w:suppressAutoHyphens/>
              <w:rPr>
                <w:color w:val="000000"/>
                <w:szCs w:val="22"/>
                <w:lang w:val="es-ES"/>
              </w:rPr>
            </w:pPr>
          </w:p>
        </w:tc>
      </w:tr>
      <w:tr w:rsidR="00E36F43" w:rsidRPr="003E0B98" w14:paraId="0142181A" w14:textId="77777777" w:rsidTr="00606F06">
        <w:trPr>
          <w:cantSplit/>
        </w:trPr>
        <w:tc>
          <w:tcPr>
            <w:tcW w:w="4503" w:type="dxa"/>
          </w:tcPr>
          <w:p w14:paraId="2DA8B10C" w14:textId="77777777" w:rsidR="00E36F43" w:rsidRPr="003E0B98" w:rsidRDefault="00E36F43" w:rsidP="004361AC">
            <w:pPr>
              <w:tabs>
                <w:tab w:val="left" w:pos="-720"/>
              </w:tabs>
              <w:suppressAutoHyphens/>
              <w:rPr>
                <w:color w:val="000000"/>
                <w:szCs w:val="22"/>
                <w:lang w:val="sv-SE"/>
              </w:rPr>
            </w:pPr>
            <w:r w:rsidRPr="003E0B98">
              <w:rPr>
                <w:b/>
                <w:color w:val="000000"/>
                <w:szCs w:val="22"/>
                <w:lang w:val="sv-SE"/>
              </w:rPr>
              <w:t>Česká republika</w:t>
            </w:r>
          </w:p>
          <w:p w14:paraId="3B9CF333" w14:textId="77777777" w:rsidR="00E36F43" w:rsidRPr="003E0B98" w:rsidRDefault="00E36F43" w:rsidP="004361AC">
            <w:pPr>
              <w:tabs>
                <w:tab w:val="left" w:pos="-720"/>
              </w:tabs>
              <w:suppressAutoHyphens/>
              <w:rPr>
                <w:color w:val="000000"/>
                <w:szCs w:val="22"/>
                <w:lang w:val="sv-SE"/>
              </w:rPr>
            </w:pPr>
            <w:r w:rsidRPr="003E0B98">
              <w:rPr>
                <w:color w:val="000000"/>
                <w:szCs w:val="22"/>
                <w:lang w:val="sv-SE"/>
              </w:rPr>
              <w:t>Novartis s.r.o.</w:t>
            </w:r>
          </w:p>
          <w:p w14:paraId="0F2ABD34" w14:textId="77777777" w:rsidR="00E36F43" w:rsidRPr="003E0B98" w:rsidRDefault="00E36F43" w:rsidP="004361AC">
            <w:pPr>
              <w:rPr>
                <w:color w:val="000000"/>
                <w:szCs w:val="22"/>
              </w:rPr>
            </w:pPr>
            <w:r w:rsidRPr="003E0B98">
              <w:rPr>
                <w:color w:val="000000"/>
                <w:szCs w:val="22"/>
              </w:rPr>
              <w:t>Tel: +420 225 775 111</w:t>
            </w:r>
          </w:p>
          <w:p w14:paraId="75A926EA" w14:textId="77777777" w:rsidR="00E36F43" w:rsidRPr="003E0B98" w:rsidRDefault="00E36F43" w:rsidP="004361AC">
            <w:pPr>
              <w:tabs>
                <w:tab w:val="left" w:pos="-720"/>
              </w:tabs>
              <w:suppressAutoHyphens/>
              <w:rPr>
                <w:color w:val="000000"/>
                <w:szCs w:val="22"/>
              </w:rPr>
            </w:pPr>
          </w:p>
        </w:tc>
        <w:tc>
          <w:tcPr>
            <w:tcW w:w="4678" w:type="dxa"/>
          </w:tcPr>
          <w:p w14:paraId="7546D398" w14:textId="77777777" w:rsidR="00E36F43" w:rsidRPr="003E0B98" w:rsidRDefault="00E36F43" w:rsidP="004361AC">
            <w:pPr>
              <w:spacing w:line="260" w:lineRule="atLeast"/>
              <w:rPr>
                <w:b/>
                <w:color w:val="000000"/>
                <w:szCs w:val="22"/>
              </w:rPr>
            </w:pPr>
            <w:proofErr w:type="spellStart"/>
            <w:r w:rsidRPr="003E0B98">
              <w:rPr>
                <w:b/>
                <w:color w:val="000000"/>
                <w:szCs w:val="22"/>
              </w:rPr>
              <w:t>Magyarország</w:t>
            </w:r>
            <w:proofErr w:type="spellEnd"/>
          </w:p>
          <w:p w14:paraId="39306056" w14:textId="2BE60452" w:rsidR="00E36F43" w:rsidRPr="003E0B98" w:rsidRDefault="00E36F43" w:rsidP="004361AC">
            <w:pPr>
              <w:spacing w:line="260" w:lineRule="atLeast"/>
              <w:rPr>
                <w:color w:val="000000"/>
                <w:szCs w:val="22"/>
              </w:rPr>
            </w:pPr>
            <w:r w:rsidRPr="003E0B98">
              <w:rPr>
                <w:color w:val="000000"/>
                <w:szCs w:val="22"/>
              </w:rPr>
              <w:t xml:space="preserve">Novartis </w:t>
            </w:r>
            <w:proofErr w:type="spellStart"/>
            <w:r w:rsidRPr="003E0B98">
              <w:rPr>
                <w:color w:val="000000"/>
                <w:szCs w:val="22"/>
              </w:rPr>
              <w:t>Hungária</w:t>
            </w:r>
            <w:proofErr w:type="spellEnd"/>
            <w:r w:rsidRPr="003E0B98">
              <w:rPr>
                <w:color w:val="000000"/>
                <w:szCs w:val="22"/>
              </w:rPr>
              <w:t xml:space="preserve"> Kft.</w:t>
            </w:r>
          </w:p>
          <w:p w14:paraId="0FEC8F4C" w14:textId="77777777" w:rsidR="00E36F43" w:rsidRPr="003E0B98" w:rsidRDefault="00E36F43" w:rsidP="004361AC">
            <w:pPr>
              <w:tabs>
                <w:tab w:val="left" w:pos="-720"/>
              </w:tabs>
              <w:suppressAutoHyphens/>
              <w:rPr>
                <w:color w:val="000000"/>
                <w:szCs w:val="22"/>
              </w:rPr>
            </w:pPr>
            <w:r w:rsidRPr="003E0B98">
              <w:rPr>
                <w:color w:val="000000"/>
                <w:szCs w:val="22"/>
              </w:rPr>
              <w:t>Tel.: +36 1 457 65 00</w:t>
            </w:r>
          </w:p>
        </w:tc>
      </w:tr>
      <w:tr w:rsidR="00E36F43" w:rsidRPr="003E0B98" w14:paraId="0A4258ED" w14:textId="77777777" w:rsidTr="00606F06">
        <w:trPr>
          <w:cantSplit/>
        </w:trPr>
        <w:tc>
          <w:tcPr>
            <w:tcW w:w="4503" w:type="dxa"/>
          </w:tcPr>
          <w:p w14:paraId="5FA3477A" w14:textId="77777777" w:rsidR="00E36F43" w:rsidRPr="003E0B98" w:rsidRDefault="00E36F43" w:rsidP="004361AC">
            <w:pPr>
              <w:rPr>
                <w:color w:val="000000"/>
                <w:szCs w:val="22"/>
              </w:rPr>
            </w:pPr>
            <w:r w:rsidRPr="003E0B98">
              <w:rPr>
                <w:b/>
                <w:color w:val="000000"/>
                <w:szCs w:val="22"/>
              </w:rPr>
              <w:t>Danmark</w:t>
            </w:r>
          </w:p>
          <w:p w14:paraId="15FA0FB5" w14:textId="77777777" w:rsidR="00E36F43" w:rsidRPr="003E0B98" w:rsidRDefault="00E36F43" w:rsidP="004361AC">
            <w:pPr>
              <w:rPr>
                <w:color w:val="000000"/>
                <w:szCs w:val="22"/>
              </w:rPr>
            </w:pPr>
            <w:r w:rsidRPr="003E0B98">
              <w:rPr>
                <w:color w:val="000000"/>
                <w:szCs w:val="22"/>
              </w:rPr>
              <w:t>Novartis Healthcare A/S</w:t>
            </w:r>
          </w:p>
          <w:p w14:paraId="35393F6A" w14:textId="77777777" w:rsidR="00E36F43" w:rsidRPr="003E0B98" w:rsidRDefault="00E36F43" w:rsidP="004361AC">
            <w:pPr>
              <w:rPr>
                <w:color w:val="000000"/>
                <w:szCs w:val="22"/>
              </w:rPr>
            </w:pPr>
            <w:proofErr w:type="spellStart"/>
            <w:r w:rsidRPr="003E0B98">
              <w:rPr>
                <w:color w:val="000000"/>
                <w:szCs w:val="22"/>
              </w:rPr>
              <w:t>Tlf</w:t>
            </w:r>
            <w:proofErr w:type="spellEnd"/>
            <w:r w:rsidRPr="003E0B98">
              <w:rPr>
                <w:color w:val="000000"/>
                <w:szCs w:val="22"/>
              </w:rPr>
              <w:t>: +45 39 16 84 00</w:t>
            </w:r>
          </w:p>
          <w:p w14:paraId="704282DF" w14:textId="77777777" w:rsidR="00E36F43" w:rsidRPr="003E0B98" w:rsidRDefault="00E36F43" w:rsidP="004361AC">
            <w:pPr>
              <w:tabs>
                <w:tab w:val="left" w:pos="-720"/>
              </w:tabs>
              <w:suppressAutoHyphens/>
              <w:rPr>
                <w:color w:val="000000"/>
                <w:szCs w:val="22"/>
              </w:rPr>
            </w:pPr>
          </w:p>
        </w:tc>
        <w:tc>
          <w:tcPr>
            <w:tcW w:w="4678" w:type="dxa"/>
          </w:tcPr>
          <w:p w14:paraId="42A39C26" w14:textId="77777777" w:rsidR="00E36F43" w:rsidRPr="003E0B98" w:rsidRDefault="00E36F43" w:rsidP="004361AC">
            <w:pPr>
              <w:tabs>
                <w:tab w:val="left" w:pos="-720"/>
                <w:tab w:val="left" w:pos="4536"/>
              </w:tabs>
              <w:suppressAutoHyphens/>
              <w:rPr>
                <w:b/>
                <w:color w:val="000000"/>
                <w:szCs w:val="22"/>
                <w:lang w:val="es-ES"/>
              </w:rPr>
            </w:pPr>
            <w:r w:rsidRPr="003E0B98">
              <w:rPr>
                <w:b/>
                <w:color w:val="000000"/>
                <w:szCs w:val="22"/>
                <w:lang w:val="es-ES"/>
              </w:rPr>
              <w:t>Malta</w:t>
            </w:r>
          </w:p>
          <w:p w14:paraId="19AA3074" w14:textId="77777777" w:rsidR="00E36F43" w:rsidRPr="003E0B98" w:rsidRDefault="00E36F43" w:rsidP="004361AC">
            <w:pPr>
              <w:rPr>
                <w:color w:val="000000"/>
                <w:szCs w:val="22"/>
                <w:lang w:val="fr-FR"/>
              </w:rPr>
            </w:pPr>
            <w:r w:rsidRPr="003E0B98">
              <w:rPr>
                <w:color w:val="000000"/>
                <w:szCs w:val="22"/>
                <w:lang w:val="fr-FR"/>
              </w:rPr>
              <w:t>Novartis Pharma Services Inc.</w:t>
            </w:r>
          </w:p>
          <w:p w14:paraId="31119308" w14:textId="77777777" w:rsidR="00E36F43" w:rsidRPr="003E0B98" w:rsidRDefault="00E36F43" w:rsidP="004361AC">
            <w:pPr>
              <w:tabs>
                <w:tab w:val="left" w:pos="-720"/>
              </w:tabs>
              <w:suppressAutoHyphens/>
              <w:rPr>
                <w:color w:val="000000"/>
                <w:szCs w:val="22"/>
                <w:lang w:val="fr-FR"/>
              </w:rPr>
            </w:pPr>
            <w:proofErr w:type="gramStart"/>
            <w:r w:rsidRPr="003E0B98">
              <w:rPr>
                <w:color w:val="000000"/>
                <w:szCs w:val="22"/>
                <w:lang w:val="fr-FR"/>
              </w:rPr>
              <w:t>Tel:</w:t>
            </w:r>
            <w:proofErr w:type="gramEnd"/>
            <w:r w:rsidRPr="003E0B98">
              <w:rPr>
                <w:color w:val="000000"/>
                <w:szCs w:val="22"/>
                <w:lang w:val="fr-FR"/>
              </w:rPr>
              <w:t xml:space="preserve"> +356 2122 2872</w:t>
            </w:r>
          </w:p>
        </w:tc>
      </w:tr>
      <w:tr w:rsidR="00E36F43" w:rsidRPr="003C169A" w14:paraId="3FFC5BEC" w14:textId="77777777" w:rsidTr="00606F06">
        <w:trPr>
          <w:cantSplit/>
        </w:trPr>
        <w:tc>
          <w:tcPr>
            <w:tcW w:w="4503" w:type="dxa"/>
          </w:tcPr>
          <w:p w14:paraId="2E5A265C" w14:textId="77777777" w:rsidR="00E36F43" w:rsidRPr="003E0B98" w:rsidRDefault="00E36F43" w:rsidP="004361AC">
            <w:pPr>
              <w:rPr>
                <w:color w:val="000000"/>
                <w:szCs w:val="22"/>
                <w:lang w:val="de-CH"/>
              </w:rPr>
            </w:pPr>
            <w:r w:rsidRPr="003E0B98">
              <w:rPr>
                <w:b/>
                <w:color w:val="000000"/>
                <w:szCs w:val="22"/>
                <w:lang w:val="de-CH"/>
              </w:rPr>
              <w:t>Deutschland</w:t>
            </w:r>
          </w:p>
          <w:p w14:paraId="537E5BFB" w14:textId="77777777" w:rsidR="00E36F43" w:rsidRPr="003E0B98" w:rsidRDefault="00E36F43" w:rsidP="004361AC">
            <w:pPr>
              <w:rPr>
                <w:i/>
                <w:color w:val="000000"/>
                <w:szCs w:val="22"/>
                <w:lang w:val="de-CH"/>
              </w:rPr>
            </w:pPr>
            <w:r w:rsidRPr="003E0B98">
              <w:rPr>
                <w:color w:val="000000"/>
                <w:szCs w:val="22"/>
                <w:lang w:val="de-CH"/>
              </w:rPr>
              <w:t>Novartis Pharma GmbH</w:t>
            </w:r>
          </w:p>
          <w:p w14:paraId="319B8DBE" w14:textId="77777777" w:rsidR="00E36F43" w:rsidRPr="003E0B98" w:rsidRDefault="00E36F43" w:rsidP="004361AC">
            <w:pPr>
              <w:rPr>
                <w:color w:val="000000"/>
                <w:szCs w:val="22"/>
                <w:lang w:val="de-CH"/>
              </w:rPr>
            </w:pPr>
            <w:r w:rsidRPr="003E0B98">
              <w:rPr>
                <w:color w:val="000000"/>
                <w:szCs w:val="22"/>
                <w:lang w:val="de-CH"/>
              </w:rPr>
              <w:t>Tel: +49 911 273 0</w:t>
            </w:r>
          </w:p>
          <w:p w14:paraId="37997888" w14:textId="77777777" w:rsidR="00E36F43" w:rsidRPr="003E0B98" w:rsidRDefault="00E36F43" w:rsidP="004361AC">
            <w:pPr>
              <w:tabs>
                <w:tab w:val="left" w:pos="-720"/>
              </w:tabs>
              <w:suppressAutoHyphens/>
              <w:rPr>
                <w:color w:val="000000"/>
                <w:szCs w:val="22"/>
                <w:lang w:val="de-CH"/>
              </w:rPr>
            </w:pPr>
          </w:p>
        </w:tc>
        <w:tc>
          <w:tcPr>
            <w:tcW w:w="4678" w:type="dxa"/>
          </w:tcPr>
          <w:p w14:paraId="15B1D053" w14:textId="77777777" w:rsidR="00E36F43" w:rsidRPr="003E0B98" w:rsidRDefault="00E36F43" w:rsidP="004361AC">
            <w:pPr>
              <w:suppressAutoHyphens/>
              <w:rPr>
                <w:color w:val="000000"/>
                <w:szCs w:val="22"/>
                <w:lang w:val="sv-SE"/>
              </w:rPr>
            </w:pPr>
            <w:r w:rsidRPr="003E0B98">
              <w:rPr>
                <w:b/>
                <w:color w:val="000000"/>
                <w:szCs w:val="22"/>
                <w:lang w:val="sv-SE"/>
              </w:rPr>
              <w:t>Nederland</w:t>
            </w:r>
          </w:p>
          <w:p w14:paraId="6191CE9A" w14:textId="77777777" w:rsidR="00E36F43" w:rsidRPr="003E0B98" w:rsidRDefault="00E36F43" w:rsidP="004361AC">
            <w:pPr>
              <w:rPr>
                <w:iCs/>
                <w:color w:val="000000"/>
                <w:szCs w:val="22"/>
                <w:lang w:val="sv-SE"/>
              </w:rPr>
            </w:pPr>
            <w:r w:rsidRPr="003E0B98">
              <w:rPr>
                <w:iCs/>
                <w:color w:val="000000"/>
                <w:szCs w:val="22"/>
                <w:lang w:val="sv-SE"/>
              </w:rPr>
              <w:t>Novartis Pharma B.V.</w:t>
            </w:r>
          </w:p>
          <w:p w14:paraId="31AFCA9B" w14:textId="32407A55" w:rsidR="00E36F43" w:rsidRPr="000267EA" w:rsidRDefault="00E36F43" w:rsidP="004361AC">
            <w:pPr>
              <w:rPr>
                <w:color w:val="000000"/>
                <w:szCs w:val="22"/>
                <w:lang w:val="de-CH"/>
              </w:rPr>
            </w:pPr>
            <w:r w:rsidRPr="000267EA">
              <w:rPr>
                <w:color w:val="000000"/>
                <w:szCs w:val="22"/>
                <w:lang w:val="de-CH"/>
              </w:rPr>
              <w:t xml:space="preserve">Tel: +31 </w:t>
            </w:r>
            <w:r w:rsidR="000B137F" w:rsidRPr="000267EA">
              <w:rPr>
                <w:color w:val="000000"/>
                <w:szCs w:val="22"/>
                <w:lang w:val="de-CH"/>
              </w:rPr>
              <w:t xml:space="preserve">88 04 52 </w:t>
            </w:r>
            <w:r w:rsidRPr="000267EA">
              <w:rPr>
                <w:color w:val="000000"/>
                <w:szCs w:val="22"/>
                <w:lang w:val="de-CH"/>
              </w:rPr>
              <w:t>111</w:t>
            </w:r>
          </w:p>
        </w:tc>
      </w:tr>
      <w:tr w:rsidR="00E36F43" w:rsidRPr="003E0B98" w14:paraId="1101455D" w14:textId="77777777" w:rsidTr="00606F06">
        <w:trPr>
          <w:cantSplit/>
        </w:trPr>
        <w:tc>
          <w:tcPr>
            <w:tcW w:w="4503" w:type="dxa"/>
          </w:tcPr>
          <w:p w14:paraId="4F5F4EBD" w14:textId="77777777" w:rsidR="00E36F43" w:rsidRPr="003E0B98" w:rsidRDefault="00E36F43" w:rsidP="004361AC">
            <w:pPr>
              <w:tabs>
                <w:tab w:val="left" w:pos="-720"/>
              </w:tabs>
              <w:suppressAutoHyphens/>
              <w:rPr>
                <w:b/>
                <w:bCs/>
                <w:color w:val="000000"/>
                <w:szCs w:val="22"/>
                <w:lang w:val="fr-FR"/>
              </w:rPr>
            </w:pPr>
            <w:proofErr w:type="spellStart"/>
            <w:r w:rsidRPr="003E0B98">
              <w:rPr>
                <w:b/>
                <w:bCs/>
                <w:color w:val="000000"/>
                <w:szCs w:val="22"/>
                <w:lang w:val="fr-FR"/>
              </w:rPr>
              <w:t>Eesti</w:t>
            </w:r>
            <w:proofErr w:type="spellEnd"/>
          </w:p>
          <w:p w14:paraId="165C98FB" w14:textId="6EA1DFB9" w:rsidR="00E36F43" w:rsidRPr="003E0B98" w:rsidRDefault="00C37C69" w:rsidP="004361AC">
            <w:pPr>
              <w:tabs>
                <w:tab w:val="left" w:pos="-720"/>
              </w:tabs>
              <w:suppressAutoHyphens/>
              <w:rPr>
                <w:color w:val="000000"/>
                <w:szCs w:val="22"/>
                <w:lang w:val="fr-FR"/>
              </w:rPr>
            </w:pPr>
            <w:r w:rsidRPr="003E0B98">
              <w:rPr>
                <w:szCs w:val="22"/>
                <w:lang w:val="et-EE"/>
              </w:rPr>
              <w:t>SIA Novartis Baltics Eesti filiaal</w:t>
            </w:r>
          </w:p>
          <w:p w14:paraId="7965935F" w14:textId="77777777" w:rsidR="00E36F43" w:rsidRPr="003E0B98" w:rsidRDefault="00E36F43" w:rsidP="004361AC">
            <w:pPr>
              <w:tabs>
                <w:tab w:val="left" w:pos="-720"/>
              </w:tabs>
              <w:suppressAutoHyphens/>
              <w:rPr>
                <w:color w:val="000000"/>
                <w:szCs w:val="22"/>
                <w:lang w:val="fr-FR"/>
              </w:rPr>
            </w:pPr>
            <w:proofErr w:type="gramStart"/>
            <w:r w:rsidRPr="003E0B98">
              <w:rPr>
                <w:color w:val="000000"/>
                <w:szCs w:val="22"/>
                <w:lang w:val="fr-FR"/>
              </w:rPr>
              <w:t>Tel:</w:t>
            </w:r>
            <w:proofErr w:type="gramEnd"/>
            <w:r w:rsidRPr="003E0B98">
              <w:rPr>
                <w:color w:val="000000"/>
                <w:szCs w:val="22"/>
                <w:lang w:val="fr-FR"/>
              </w:rPr>
              <w:t xml:space="preserve"> +372 66 30 810</w:t>
            </w:r>
          </w:p>
          <w:p w14:paraId="48D39A93" w14:textId="77777777" w:rsidR="00E36F43" w:rsidRPr="003E0B98" w:rsidRDefault="00E36F43" w:rsidP="004361AC">
            <w:pPr>
              <w:tabs>
                <w:tab w:val="left" w:pos="-720"/>
              </w:tabs>
              <w:suppressAutoHyphens/>
              <w:rPr>
                <w:color w:val="000000"/>
                <w:szCs w:val="22"/>
                <w:lang w:val="fr-FR"/>
              </w:rPr>
            </w:pPr>
          </w:p>
        </w:tc>
        <w:tc>
          <w:tcPr>
            <w:tcW w:w="4678" w:type="dxa"/>
          </w:tcPr>
          <w:p w14:paraId="78DDC500" w14:textId="77777777" w:rsidR="00E36F43" w:rsidRPr="003E0B98" w:rsidRDefault="00E36F43" w:rsidP="004361AC">
            <w:pPr>
              <w:rPr>
                <w:color w:val="000000"/>
                <w:szCs w:val="22"/>
                <w:lang w:val="sv-SE"/>
              </w:rPr>
            </w:pPr>
            <w:r w:rsidRPr="003E0B98">
              <w:rPr>
                <w:b/>
                <w:color w:val="000000"/>
                <w:szCs w:val="22"/>
                <w:lang w:val="sv-SE"/>
              </w:rPr>
              <w:t>Norge</w:t>
            </w:r>
          </w:p>
          <w:p w14:paraId="6EDB9BC4" w14:textId="77777777" w:rsidR="00E36F43" w:rsidRPr="003E0B98" w:rsidRDefault="00E36F43" w:rsidP="004361AC">
            <w:pPr>
              <w:rPr>
                <w:color w:val="000000"/>
                <w:szCs w:val="22"/>
                <w:lang w:val="sv-SE"/>
              </w:rPr>
            </w:pPr>
            <w:r w:rsidRPr="003E0B98">
              <w:rPr>
                <w:color w:val="000000"/>
                <w:szCs w:val="22"/>
                <w:lang w:val="sv-SE"/>
              </w:rPr>
              <w:t>Novartis Norge AS</w:t>
            </w:r>
          </w:p>
          <w:p w14:paraId="79F39753" w14:textId="77777777" w:rsidR="00E36F43" w:rsidRPr="003E0B98" w:rsidRDefault="00E36F43" w:rsidP="004361AC">
            <w:pPr>
              <w:tabs>
                <w:tab w:val="left" w:pos="-720"/>
              </w:tabs>
              <w:suppressAutoHyphens/>
              <w:rPr>
                <w:color w:val="000000"/>
                <w:szCs w:val="22"/>
                <w:lang w:val="sv-SE"/>
              </w:rPr>
            </w:pPr>
            <w:r w:rsidRPr="003E0B98">
              <w:rPr>
                <w:color w:val="000000"/>
                <w:szCs w:val="22"/>
                <w:lang w:val="sv-SE"/>
              </w:rPr>
              <w:t>Tlf: +47 23 05 20 00</w:t>
            </w:r>
          </w:p>
        </w:tc>
      </w:tr>
      <w:tr w:rsidR="00E36F43" w:rsidRPr="003C169A" w14:paraId="347FF3F9" w14:textId="77777777" w:rsidTr="00606F06">
        <w:trPr>
          <w:cantSplit/>
        </w:trPr>
        <w:tc>
          <w:tcPr>
            <w:tcW w:w="4503" w:type="dxa"/>
          </w:tcPr>
          <w:p w14:paraId="78CEBE26" w14:textId="77777777" w:rsidR="00E36F43" w:rsidRPr="003E0B98" w:rsidRDefault="00E36F43" w:rsidP="004361AC">
            <w:pPr>
              <w:rPr>
                <w:color w:val="000000"/>
                <w:szCs w:val="22"/>
                <w:lang w:val="sv-SE"/>
              </w:rPr>
            </w:pPr>
            <w:proofErr w:type="spellStart"/>
            <w:r w:rsidRPr="003E0B98">
              <w:rPr>
                <w:b/>
                <w:color w:val="000000"/>
                <w:szCs w:val="22"/>
              </w:rPr>
              <w:t>Ελλάδ</w:t>
            </w:r>
            <w:proofErr w:type="spellEnd"/>
            <w:r w:rsidRPr="003E0B98">
              <w:rPr>
                <w:b/>
                <w:color w:val="000000"/>
                <w:szCs w:val="22"/>
              </w:rPr>
              <w:t>α</w:t>
            </w:r>
          </w:p>
          <w:p w14:paraId="2E61AEF1" w14:textId="77777777" w:rsidR="00E36F43" w:rsidRPr="003E0B98" w:rsidRDefault="00E36F43" w:rsidP="004361AC">
            <w:pPr>
              <w:rPr>
                <w:color w:val="000000"/>
                <w:szCs w:val="22"/>
                <w:lang w:val="sv-SE"/>
              </w:rPr>
            </w:pPr>
            <w:r w:rsidRPr="003E0B98">
              <w:rPr>
                <w:color w:val="000000"/>
                <w:szCs w:val="22"/>
                <w:lang w:val="sv-SE"/>
              </w:rPr>
              <w:t>Novartis (Hellas) A.E.B.E.</w:t>
            </w:r>
          </w:p>
          <w:p w14:paraId="74812632" w14:textId="77777777" w:rsidR="00E36F43" w:rsidRPr="003E0B98" w:rsidRDefault="00E36F43" w:rsidP="004361AC">
            <w:pPr>
              <w:rPr>
                <w:color w:val="000000"/>
                <w:szCs w:val="22"/>
              </w:rPr>
            </w:pPr>
            <w:proofErr w:type="spellStart"/>
            <w:r w:rsidRPr="003E0B98">
              <w:rPr>
                <w:color w:val="000000"/>
                <w:szCs w:val="22"/>
              </w:rPr>
              <w:t>Τηλ</w:t>
            </w:r>
            <w:proofErr w:type="spellEnd"/>
            <w:r w:rsidRPr="003E0B98">
              <w:rPr>
                <w:color w:val="000000"/>
                <w:szCs w:val="22"/>
              </w:rPr>
              <w:t>: +30 210 281 17 12</w:t>
            </w:r>
          </w:p>
          <w:p w14:paraId="19A3336B" w14:textId="77777777" w:rsidR="00E36F43" w:rsidRPr="003E0B98" w:rsidRDefault="00E36F43" w:rsidP="004361AC">
            <w:pPr>
              <w:tabs>
                <w:tab w:val="left" w:pos="-720"/>
              </w:tabs>
              <w:suppressAutoHyphens/>
              <w:rPr>
                <w:color w:val="000000"/>
                <w:szCs w:val="22"/>
              </w:rPr>
            </w:pPr>
          </w:p>
        </w:tc>
        <w:tc>
          <w:tcPr>
            <w:tcW w:w="4678" w:type="dxa"/>
          </w:tcPr>
          <w:p w14:paraId="24F84F0A" w14:textId="77777777" w:rsidR="00E36F43" w:rsidRPr="003E0B98" w:rsidRDefault="00E36F43" w:rsidP="004361AC">
            <w:pPr>
              <w:rPr>
                <w:color w:val="000000"/>
                <w:szCs w:val="22"/>
                <w:lang w:val="de-CH"/>
              </w:rPr>
            </w:pPr>
            <w:r w:rsidRPr="003E0B98">
              <w:rPr>
                <w:b/>
                <w:color w:val="000000"/>
                <w:szCs w:val="22"/>
                <w:lang w:val="de-CH"/>
              </w:rPr>
              <w:t>Österreich</w:t>
            </w:r>
          </w:p>
          <w:p w14:paraId="64FCEAD4" w14:textId="77777777" w:rsidR="00E36F43" w:rsidRPr="003E0B98" w:rsidRDefault="00E36F43" w:rsidP="004361AC">
            <w:pPr>
              <w:rPr>
                <w:i/>
                <w:color w:val="000000"/>
                <w:szCs w:val="22"/>
                <w:lang w:val="de-CH"/>
              </w:rPr>
            </w:pPr>
            <w:r w:rsidRPr="003E0B98">
              <w:rPr>
                <w:color w:val="000000"/>
                <w:szCs w:val="22"/>
                <w:lang w:val="de-CH"/>
              </w:rPr>
              <w:t>Novartis Pharma GmbH</w:t>
            </w:r>
          </w:p>
          <w:p w14:paraId="55C9A9B2" w14:textId="77777777" w:rsidR="00E36F43" w:rsidRPr="003E0B98" w:rsidRDefault="00E36F43" w:rsidP="004361AC">
            <w:pPr>
              <w:rPr>
                <w:color w:val="000000"/>
                <w:szCs w:val="22"/>
                <w:lang w:val="de-CH"/>
              </w:rPr>
            </w:pPr>
            <w:r w:rsidRPr="003E0B98">
              <w:rPr>
                <w:color w:val="000000"/>
                <w:szCs w:val="22"/>
                <w:lang w:val="de-CH"/>
              </w:rPr>
              <w:t>Tel: +43 1 86 6570</w:t>
            </w:r>
          </w:p>
        </w:tc>
      </w:tr>
      <w:tr w:rsidR="00E36F43" w:rsidRPr="003E0B98" w14:paraId="210D27B6" w14:textId="77777777" w:rsidTr="00606F06">
        <w:trPr>
          <w:cantSplit/>
        </w:trPr>
        <w:tc>
          <w:tcPr>
            <w:tcW w:w="4503" w:type="dxa"/>
          </w:tcPr>
          <w:p w14:paraId="2BBF56EC" w14:textId="77777777" w:rsidR="00E36F43" w:rsidRPr="003E0B98" w:rsidRDefault="00E36F43" w:rsidP="004361AC">
            <w:pPr>
              <w:tabs>
                <w:tab w:val="left" w:pos="-720"/>
                <w:tab w:val="left" w:pos="4536"/>
              </w:tabs>
              <w:suppressAutoHyphens/>
              <w:rPr>
                <w:b/>
                <w:color w:val="000000"/>
                <w:szCs w:val="22"/>
                <w:lang w:val="es-ES"/>
              </w:rPr>
            </w:pPr>
            <w:r w:rsidRPr="003E0B98">
              <w:rPr>
                <w:b/>
                <w:color w:val="000000"/>
                <w:szCs w:val="22"/>
                <w:lang w:val="es-ES"/>
              </w:rPr>
              <w:t>España</w:t>
            </w:r>
          </w:p>
          <w:p w14:paraId="66766FCD" w14:textId="77777777" w:rsidR="00E36F43" w:rsidRPr="003E0B98" w:rsidRDefault="00E36F43" w:rsidP="004361AC">
            <w:pPr>
              <w:rPr>
                <w:color w:val="000000"/>
                <w:szCs w:val="22"/>
                <w:lang w:val="es-ES"/>
              </w:rPr>
            </w:pPr>
            <w:r w:rsidRPr="003E0B98">
              <w:rPr>
                <w:color w:val="000000"/>
                <w:szCs w:val="22"/>
                <w:lang w:val="es-ES"/>
              </w:rPr>
              <w:t>Novartis Farmacéutica, S.A.</w:t>
            </w:r>
          </w:p>
          <w:p w14:paraId="68AC0408" w14:textId="77777777" w:rsidR="00E36F43" w:rsidRPr="003E0B98" w:rsidRDefault="00E36F43" w:rsidP="004361AC">
            <w:pPr>
              <w:rPr>
                <w:color w:val="000000"/>
                <w:szCs w:val="22"/>
              </w:rPr>
            </w:pPr>
            <w:r w:rsidRPr="003E0B98">
              <w:rPr>
                <w:color w:val="000000"/>
                <w:szCs w:val="22"/>
              </w:rPr>
              <w:t>Tel: +34 93 306 42 00</w:t>
            </w:r>
          </w:p>
          <w:p w14:paraId="2A238AB6" w14:textId="77777777" w:rsidR="00E36F43" w:rsidRPr="003E0B98" w:rsidRDefault="00E36F43" w:rsidP="004361AC">
            <w:pPr>
              <w:tabs>
                <w:tab w:val="left" w:pos="-720"/>
              </w:tabs>
              <w:suppressAutoHyphens/>
              <w:rPr>
                <w:color w:val="000000"/>
                <w:szCs w:val="22"/>
              </w:rPr>
            </w:pPr>
          </w:p>
        </w:tc>
        <w:tc>
          <w:tcPr>
            <w:tcW w:w="4678" w:type="dxa"/>
          </w:tcPr>
          <w:p w14:paraId="308D3FDC" w14:textId="77777777" w:rsidR="00E36F43" w:rsidRPr="003E0B98" w:rsidRDefault="00E36F43" w:rsidP="004361AC">
            <w:pPr>
              <w:rPr>
                <w:b/>
                <w:color w:val="000000"/>
                <w:szCs w:val="22"/>
                <w:lang w:val="sv-SE"/>
              </w:rPr>
            </w:pPr>
            <w:r w:rsidRPr="003E0B98">
              <w:rPr>
                <w:b/>
                <w:color w:val="000000"/>
                <w:szCs w:val="22"/>
                <w:lang w:val="sv-SE"/>
              </w:rPr>
              <w:t>Polska</w:t>
            </w:r>
          </w:p>
          <w:p w14:paraId="35D7A94C" w14:textId="77777777" w:rsidR="00E36F43" w:rsidRPr="003E0B98" w:rsidRDefault="00E36F43" w:rsidP="004361AC">
            <w:pPr>
              <w:rPr>
                <w:color w:val="000000"/>
                <w:szCs w:val="22"/>
                <w:lang w:val="sv-SE"/>
              </w:rPr>
            </w:pPr>
            <w:r w:rsidRPr="003E0B98">
              <w:rPr>
                <w:color w:val="000000"/>
                <w:szCs w:val="22"/>
                <w:lang w:val="sv-SE"/>
              </w:rPr>
              <w:t>Novartis Poland Sp. z o.o.</w:t>
            </w:r>
          </w:p>
          <w:p w14:paraId="2D86A24D" w14:textId="77777777" w:rsidR="00E36F43" w:rsidRPr="003E0B98" w:rsidRDefault="00E36F43" w:rsidP="004361AC">
            <w:pPr>
              <w:rPr>
                <w:color w:val="000000"/>
                <w:szCs w:val="22"/>
                <w:lang w:val="fr-CH"/>
              </w:rPr>
            </w:pPr>
            <w:r w:rsidRPr="003E0B98">
              <w:rPr>
                <w:color w:val="000000"/>
                <w:szCs w:val="22"/>
                <w:lang w:val="fr-CH"/>
              </w:rPr>
              <w:t>Tel</w:t>
            </w:r>
            <w:proofErr w:type="gramStart"/>
            <w:r w:rsidRPr="003E0B98">
              <w:rPr>
                <w:color w:val="000000"/>
                <w:szCs w:val="22"/>
                <w:lang w:val="fr-CH"/>
              </w:rPr>
              <w:t>.:</w:t>
            </w:r>
            <w:proofErr w:type="gramEnd"/>
            <w:r w:rsidRPr="003E0B98">
              <w:rPr>
                <w:color w:val="000000"/>
                <w:szCs w:val="22"/>
                <w:lang w:val="fr-CH"/>
              </w:rPr>
              <w:t xml:space="preserve"> +48 22 </w:t>
            </w:r>
            <w:r w:rsidRPr="003E0B98">
              <w:rPr>
                <w:szCs w:val="22"/>
                <w:lang w:val="fr-CH"/>
              </w:rPr>
              <w:t>375 4888</w:t>
            </w:r>
          </w:p>
        </w:tc>
      </w:tr>
      <w:tr w:rsidR="00E36F43" w:rsidRPr="003E0B98" w14:paraId="6C0FBFC4" w14:textId="77777777" w:rsidTr="00606F06">
        <w:trPr>
          <w:cantSplit/>
        </w:trPr>
        <w:tc>
          <w:tcPr>
            <w:tcW w:w="4503" w:type="dxa"/>
          </w:tcPr>
          <w:p w14:paraId="10B92C64" w14:textId="77777777" w:rsidR="00E36F43" w:rsidRPr="003E0B98" w:rsidRDefault="00E36F43" w:rsidP="004361AC">
            <w:pPr>
              <w:tabs>
                <w:tab w:val="left" w:pos="-720"/>
                <w:tab w:val="left" w:pos="4536"/>
              </w:tabs>
              <w:suppressAutoHyphens/>
              <w:rPr>
                <w:b/>
                <w:color w:val="000000"/>
                <w:szCs w:val="22"/>
                <w:lang w:val="fr-FR"/>
              </w:rPr>
            </w:pPr>
            <w:r w:rsidRPr="003E0B98">
              <w:rPr>
                <w:b/>
                <w:color w:val="000000"/>
                <w:szCs w:val="22"/>
                <w:lang w:val="fr-FR"/>
              </w:rPr>
              <w:t>France</w:t>
            </w:r>
          </w:p>
          <w:p w14:paraId="2AE89F71" w14:textId="77777777" w:rsidR="00E36F43" w:rsidRPr="003E0B98" w:rsidRDefault="00E36F43" w:rsidP="004361AC">
            <w:pPr>
              <w:rPr>
                <w:color w:val="000000"/>
                <w:szCs w:val="22"/>
                <w:lang w:val="fr-FR"/>
              </w:rPr>
            </w:pPr>
            <w:r w:rsidRPr="003E0B98">
              <w:rPr>
                <w:color w:val="000000"/>
                <w:szCs w:val="22"/>
                <w:lang w:val="fr-FR"/>
              </w:rPr>
              <w:t>Novartis Pharma S.A.S.</w:t>
            </w:r>
          </w:p>
          <w:p w14:paraId="393984D9" w14:textId="77777777" w:rsidR="00E36F43" w:rsidRPr="003E0B98" w:rsidRDefault="00E36F43" w:rsidP="004361AC">
            <w:pPr>
              <w:rPr>
                <w:color w:val="000000"/>
                <w:szCs w:val="22"/>
                <w:lang w:val="fr-FR"/>
              </w:rPr>
            </w:pPr>
            <w:proofErr w:type="gramStart"/>
            <w:r w:rsidRPr="003E0B98">
              <w:rPr>
                <w:color w:val="000000"/>
                <w:szCs w:val="22"/>
                <w:lang w:val="fr-FR"/>
              </w:rPr>
              <w:t>Tél:</w:t>
            </w:r>
            <w:proofErr w:type="gramEnd"/>
            <w:r w:rsidRPr="003E0B98">
              <w:rPr>
                <w:color w:val="000000"/>
                <w:szCs w:val="22"/>
                <w:lang w:val="fr-FR"/>
              </w:rPr>
              <w:t xml:space="preserve"> +33 1 55 47 66 00</w:t>
            </w:r>
          </w:p>
          <w:p w14:paraId="6EAA47A7" w14:textId="77777777" w:rsidR="00E36F43" w:rsidRPr="003E0B98" w:rsidRDefault="00E36F43" w:rsidP="004361AC">
            <w:pPr>
              <w:rPr>
                <w:b/>
                <w:color w:val="000000"/>
                <w:szCs w:val="22"/>
                <w:lang w:val="fr-FR"/>
              </w:rPr>
            </w:pPr>
          </w:p>
        </w:tc>
        <w:tc>
          <w:tcPr>
            <w:tcW w:w="4678" w:type="dxa"/>
          </w:tcPr>
          <w:p w14:paraId="158BD52C" w14:textId="77777777" w:rsidR="00E36F43" w:rsidRPr="003E0B98" w:rsidRDefault="00E36F43" w:rsidP="004361AC">
            <w:pPr>
              <w:rPr>
                <w:color w:val="000000"/>
                <w:szCs w:val="22"/>
                <w:lang w:val="es-ES"/>
              </w:rPr>
            </w:pPr>
            <w:r w:rsidRPr="003E0B98">
              <w:rPr>
                <w:b/>
                <w:color w:val="000000"/>
                <w:szCs w:val="22"/>
                <w:lang w:val="es-ES"/>
              </w:rPr>
              <w:t>Portugal</w:t>
            </w:r>
          </w:p>
          <w:p w14:paraId="307DA412" w14:textId="77777777" w:rsidR="00E36F43" w:rsidRPr="003E0B98" w:rsidRDefault="00E36F43" w:rsidP="004361AC">
            <w:pPr>
              <w:pStyle w:val="Text"/>
              <w:spacing w:before="0"/>
              <w:rPr>
                <w:color w:val="000000"/>
                <w:sz w:val="22"/>
                <w:szCs w:val="22"/>
                <w:lang w:val="es-ES" w:eastAsia="en-US"/>
              </w:rPr>
            </w:pPr>
            <w:r w:rsidRPr="003E0B98">
              <w:rPr>
                <w:color w:val="000000"/>
                <w:sz w:val="22"/>
                <w:szCs w:val="22"/>
                <w:lang w:val="es-ES" w:eastAsia="en-US"/>
              </w:rPr>
              <w:t xml:space="preserve">Novartis </w:t>
            </w:r>
            <w:proofErr w:type="spellStart"/>
            <w:r w:rsidRPr="003E0B98">
              <w:rPr>
                <w:color w:val="000000"/>
                <w:sz w:val="22"/>
                <w:szCs w:val="22"/>
                <w:lang w:val="es-ES" w:eastAsia="en-US"/>
              </w:rPr>
              <w:t>Farma</w:t>
            </w:r>
            <w:proofErr w:type="spellEnd"/>
            <w:r w:rsidRPr="003E0B98">
              <w:rPr>
                <w:color w:val="000000"/>
                <w:sz w:val="22"/>
                <w:szCs w:val="22"/>
                <w:lang w:val="es-ES" w:eastAsia="en-US"/>
              </w:rPr>
              <w:t xml:space="preserve"> - </w:t>
            </w:r>
            <w:proofErr w:type="spellStart"/>
            <w:r w:rsidRPr="003E0B98">
              <w:rPr>
                <w:color w:val="000000"/>
                <w:sz w:val="22"/>
                <w:szCs w:val="22"/>
                <w:lang w:val="es-ES" w:eastAsia="en-US"/>
              </w:rPr>
              <w:t>Produtos</w:t>
            </w:r>
            <w:proofErr w:type="spellEnd"/>
            <w:r w:rsidRPr="003E0B98">
              <w:rPr>
                <w:color w:val="000000"/>
                <w:sz w:val="22"/>
                <w:szCs w:val="22"/>
                <w:lang w:val="es-ES" w:eastAsia="en-US"/>
              </w:rPr>
              <w:t xml:space="preserve"> </w:t>
            </w:r>
            <w:proofErr w:type="spellStart"/>
            <w:r w:rsidRPr="003E0B98">
              <w:rPr>
                <w:color w:val="000000"/>
                <w:sz w:val="22"/>
                <w:szCs w:val="22"/>
                <w:lang w:val="es-ES" w:eastAsia="en-US"/>
              </w:rPr>
              <w:t>Farmacêuticos</w:t>
            </w:r>
            <w:proofErr w:type="spellEnd"/>
            <w:r w:rsidRPr="003E0B98">
              <w:rPr>
                <w:color w:val="000000"/>
                <w:sz w:val="22"/>
                <w:szCs w:val="22"/>
                <w:lang w:val="es-ES" w:eastAsia="en-US"/>
              </w:rPr>
              <w:t>, S.A.</w:t>
            </w:r>
          </w:p>
          <w:p w14:paraId="5F0C0B06" w14:textId="77777777" w:rsidR="00E36F43" w:rsidRPr="003E0B98" w:rsidRDefault="00E36F43" w:rsidP="004361AC">
            <w:pPr>
              <w:tabs>
                <w:tab w:val="left" w:pos="-720"/>
              </w:tabs>
              <w:suppressAutoHyphens/>
              <w:rPr>
                <w:color w:val="000000"/>
                <w:szCs w:val="22"/>
              </w:rPr>
            </w:pPr>
            <w:r w:rsidRPr="003E0B98">
              <w:rPr>
                <w:color w:val="000000"/>
                <w:szCs w:val="22"/>
              </w:rPr>
              <w:t>Tel: +351 21 000 8600</w:t>
            </w:r>
          </w:p>
        </w:tc>
      </w:tr>
      <w:tr w:rsidR="00E36F43" w:rsidRPr="003E0B98" w14:paraId="247C188D" w14:textId="77777777" w:rsidTr="00606F06">
        <w:trPr>
          <w:cantSplit/>
        </w:trPr>
        <w:tc>
          <w:tcPr>
            <w:tcW w:w="4503" w:type="dxa"/>
          </w:tcPr>
          <w:p w14:paraId="333CB332" w14:textId="77777777" w:rsidR="00E36F43" w:rsidRPr="003E0B98" w:rsidRDefault="00E36F43" w:rsidP="004361AC">
            <w:pPr>
              <w:rPr>
                <w:rFonts w:eastAsia="PMingLiU"/>
                <w:b/>
                <w:lang w:val="sv-SE"/>
              </w:rPr>
            </w:pPr>
            <w:r w:rsidRPr="003E0B98">
              <w:rPr>
                <w:rFonts w:eastAsia="PMingLiU"/>
                <w:b/>
                <w:lang w:val="sv-SE"/>
              </w:rPr>
              <w:t>Hrvatska</w:t>
            </w:r>
          </w:p>
          <w:p w14:paraId="3AB35BB5" w14:textId="77777777" w:rsidR="00E36F43" w:rsidRPr="003E0B98" w:rsidRDefault="00E36F43" w:rsidP="004361AC">
            <w:pPr>
              <w:rPr>
                <w:lang w:val="sv-SE"/>
              </w:rPr>
            </w:pPr>
            <w:r w:rsidRPr="003E0B98">
              <w:rPr>
                <w:lang w:val="sv-SE"/>
              </w:rPr>
              <w:t>Novartis Hrvatska d.o.o.</w:t>
            </w:r>
          </w:p>
          <w:p w14:paraId="0DD200BB" w14:textId="77777777" w:rsidR="00E36F43" w:rsidRPr="003E0B98" w:rsidRDefault="00E36F43" w:rsidP="004361AC">
            <w:r w:rsidRPr="003E0B98">
              <w:t>Tel. +385 1 6274 220</w:t>
            </w:r>
          </w:p>
          <w:p w14:paraId="4C72AE78" w14:textId="77777777" w:rsidR="00E36F43" w:rsidRPr="003E0B98" w:rsidRDefault="00E36F43" w:rsidP="004361AC">
            <w:pPr>
              <w:rPr>
                <w:b/>
                <w:color w:val="000000"/>
                <w:szCs w:val="22"/>
              </w:rPr>
            </w:pPr>
          </w:p>
        </w:tc>
        <w:tc>
          <w:tcPr>
            <w:tcW w:w="4678" w:type="dxa"/>
          </w:tcPr>
          <w:p w14:paraId="669C15B2" w14:textId="77777777" w:rsidR="00E36F43" w:rsidRPr="003E0B98" w:rsidRDefault="00E36F43" w:rsidP="004361AC">
            <w:pPr>
              <w:autoSpaceDE w:val="0"/>
              <w:autoSpaceDN w:val="0"/>
              <w:adjustRightInd w:val="0"/>
              <w:spacing w:line="240" w:lineRule="atLeast"/>
              <w:rPr>
                <w:b/>
                <w:bCs/>
                <w:color w:val="000000"/>
                <w:szCs w:val="22"/>
                <w:lang w:val="fr-FR"/>
              </w:rPr>
            </w:pPr>
            <w:proofErr w:type="spellStart"/>
            <w:r w:rsidRPr="003E0B98">
              <w:rPr>
                <w:b/>
                <w:bCs/>
                <w:color w:val="000000"/>
                <w:szCs w:val="22"/>
                <w:lang w:val="fr-FR"/>
              </w:rPr>
              <w:t>România</w:t>
            </w:r>
            <w:proofErr w:type="spellEnd"/>
          </w:p>
          <w:p w14:paraId="0CF94148" w14:textId="77777777" w:rsidR="00E36F43" w:rsidRPr="003E0B98" w:rsidRDefault="00E36F43" w:rsidP="004361AC">
            <w:pPr>
              <w:autoSpaceDE w:val="0"/>
              <w:autoSpaceDN w:val="0"/>
              <w:adjustRightInd w:val="0"/>
              <w:spacing w:line="240" w:lineRule="atLeast"/>
              <w:rPr>
                <w:color w:val="000000"/>
                <w:szCs w:val="22"/>
                <w:lang w:val="fr-FR"/>
              </w:rPr>
            </w:pPr>
            <w:r w:rsidRPr="003E0B98">
              <w:rPr>
                <w:color w:val="000000"/>
                <w:szCs w:val="22"/>
                <w:lang w:val="fr-FR"/>
              </w:rPr>
              <w:t xml:space="preserve">Novartis Pharma Services </w:t>
            </w:r>
            <w:r w:rsidRPr="003E0B98">
              <w:rPr>
                <w:color w:val="2F2F2F"/>
                <w:szCs w:val="22"/>
                <w:lang w:val="es-ES"/>
              </w:rPr>
              <w:t>Romania SRL</w:t>
            </w:r>
          </w:p>
          <w:p w14:paraId="514A250C" w14:textId="77777777" w:rsidR="00E36F43" w:rsidRPr="003E0B98" w:rsidRDefault="00E36F43" w:rsidP="004361AC">
            <w:pPr>
              <w:tabs>
                <w:tab w:val="left" w:pos="-720"/>
              </w:tabs>
              <w:suppressAutoHyphens/>
              <w:rPr>
                <w:color w:val="000000"/>
                <w:szCs w:val="22"/>
                <w:lang w:val="fr-FR"/>
              </w:rPr>
            </w:pPr>
            <w:proofErr w:type="gramStart"/>
            <w:r w:rsidRPr="003E0B98">
              <w:rPr>
                <w:color w:val="000000"/>
                <w:szCs w:val="22"/>
                <w:lang w:val="fr-FR"/>
              </w:rPr>
              <w:t>Tel:</w:t>
            </w:r>
            <w:proofErr w:type="gramEnd"/>
            <w:r w:rsidRPr="003E0B98">
              <w:rPr>
                <w:color w:val="000000"/>
                <w:szCs w:val="22"/>
                <w:lang w:val="fr-FR"/>
              </w:rPr>
              <w:t xml:space="preserve"> +40 21 31299 01</w:t>
            </w:r>
          </w:p>
        </w:tc>
      </w:tr>
      <w:tr w:rsidR="00E36F43" w:rsidRPr="003E0B98" w14:paraId="07EB8BDD" w14:textId="77777777" w:rsidTr="00606F06">
        <w:trPr>
          <w:cantSplit/>
        </w:trPr>
        <w:tc>
          <w:tcPr>
            <w:tcW w:w="4503" w:type="dxa"/>
          </w:tcPr>
          <w:p w14:paraId="47C68EDF" w14:textId="77777777" w:rsidR="00E36F43" w:rsidRPr="003E0B98" w:rsidRDefault="00E36F43" w:rsidP="004361AC">
            <w:pPr>
              <w:rPr>
                <w:color w:val="000000"/>
                <w:szCs w:val="22"/>
              </w:rPr>
            </w:pPr>
            <w:r w:rsidRPr="003E0B98">
              <w:rPr>
                <w:b/>
                <w:color w:val="000000"/>
                <w:szCs w:val="22"/>
              </w:rPr>
              <w:t>Ireland</w:t>
            </w:r>
          </w:p>
          <w:p w14:paraId="2763DCF3" w14:textId="77777777" w:rsidR="00E36F43" w:rsidRPr="003E0B98" w:rsidRDefault="00E36F43" w:rsidP="004361AC">
            <w:pPr>
              <w:rPr>
                <w:color w:val="000000"/>
                <w:szCs w:val="22"/>
              </w:rPr>
            </w:pPr>
            <w:r w:rsidRPr="003E0B98">
              <w:rPr>
                <w:color w:val="000000"/>
                <w:szCs w:val="22"/>
              </w:rPr>
              <w:t>Novartis Ireland Limited</w:t>
            </w:r>
          </w:p>
          <w:p w14:paraId="3D202B3F" w14:textId="77777777" w:rsidR="00E36F43" w:rsidRPr="003E0B98" w:rsidRDefault="00E36F43" w:rsidP="004361AC">
            <w:pPr>
              <w:rPr>
                <w:color w:val="000000"/>
                <w:szCs w:val="22"/>
              </w:rPr>
            </w:pPr>
            <w:r w:rsidRPr="003E0B98">
              <w:rPr>
                <w:color w:val="000000"/>
                <w:szCs w:val="22"/>
              </w:rPr>
              <w:t>Tel: +353 1 260 12 55</w:t>
            </w:r>
          </w:p>
          <w:p w14:paraId="1627E8FB" w14:textId="77777777" w:rsidR="00E36F43" w:rsidRPr="003E0B98" w:rsidRDefault="00E36F43" w:rsidP="004361AC">
            <w:pPr>
              <w:tabs>
                <w:tab w:val="left" w:pos="-720"/>
              </w:tabs>
              <w:suppressAutoHyphens/>
              <w:rPr>
                <w:color w:val="000000"/>
                <w:szCs w:val="22"/>
              </w:rPr>
            </w:pPr>
          </w:p>
        </w:tc>
        <w:tc>
          <w:tcPr>
            <w:tcW w:w="4678" w:type="dxa"/>
          </w:tcPr>
          <w:p w14:paraId="1421978A" w14:textId="77777777" w:rsidR="00E36F43" w:rsidRPr="003E0B98" w:rsidRDefault="00E36F43" w:rsidP="004361AC">
            <w:pPr>
              <w:rPr>
                <w:color w:val="000000"/>
                <w:szCs w:val="22"/>
                <w:lang w:val="es-ES"/>
              </w:rPr>
            </w:pPr>
            <w:proofErr w:type="spellStart"/>
            <w:r w:rsidRPr="003E0B98">
              <w:rPr>
                <w:b/>
                <w:color w:val="000000"/>
                <w:szCs w:val="22"/>
                <w:lang w:val="es-ES"/>
              </w:rPr>
              <w:t>Slovenija</w:t>
            </w:r>
            <w:proofErr w:type="spellEnd"/>
          </w:p>
          <w:p w14:paraId="67BF3F01" w14:textId="77777777" w:rsidR="00E36F43" w:rsidRPr="003E0B98" w:rsidRDefault="00E36F43" w:rsidP="004361AC">
            <w:pPr>
              <w:rPr>
                <w:color w:val="000000"/>
                <w:szCs w:val="22"/>
                <w:lang w:val="es-ES"/>
              </w:rPr>
            </w:pPr>
            <w:r w:rsidRPr="003E0B98">
              <w:rPr>
                <w:color w:val="000000"/>
                <w:szCs w:val="22"/>
                <w:lang w:val="es-ES"/>
              </w:rPr>
              <w:t xml:space="preserve">Novartis </w:t>
            </w:r>
            <w:proofErr w:type="spellStart"/>
            <w:r w:rsidRPr="003E0B98">
              <w:rPr>
                <w:color w:val="000000"/>
                <w:szCs w:val="22"/>
                <w:lang w:val="es-ES"/>
              </w:rPr>
              <w:t>Pharma</w:t>
            </w:r>
            <w:proofErr w:type="spellEnd"/>
            <w:r w:rsidRPr="003E0B98">
              <w:rPr>
                <w:color w:val="000000"/>
                <w:szCs w:val="22"/>
                <w:lang w:val="es-ES"/>
              </w:rPr>
              <w:t xml:space="preserve"> </w:t>
            </w:r>
            <w:proofErr w:type="spellStart"/>
            <w:r w:rsidRPr="003E0B98">
              <w:rPr>
                <w:color w:val="000000"/>
                <w:szCs w:val="22"/>
                <w:lang w:val="es-ES"/>
              </w:rPr>
              <w:t>Services</w:t>
            </w:r>
            <w:proofErr w:type="spellEnd"/>
            <w:r w:rsidRPr="003E0B98">
              <w:rPr>
                <w:color w:val="000000"/>
                <w:szCs w:val="22"/>
                <w:lang w:val="es-ES"/>
              </w:rPr>
              <w:t xml:space="preserve"> Inc.</w:t>
            </w:r>
          </w:p>
          <w:p w14:paraId="2EE0FA35" w14:textId="77777777" w:rsidR="00E36F43" w:rsidRPr="003E0B98" w:rsidRDefault="00E36F43" w:rsidP="004361AC">
            <w:pPr>
              <w:rPr>
                <w:color w:val="000000"/>
                <w:szCs w:val="22"/>
              </w:rPr>
            </w:pPr>
            <w:r w:rsidRPr="003E0B98">
              <w:rPr>
                <w:color w:val="000000"/>
                <w:szCs w:val="22"/>
              </w:rPr>
              <w:t>Tel: +386 1 300 75 50</w:t>
            </w:r>
          </w:p>
        </w:tc>
      </w:tr>
      <w:tr w:rsidR="00E36F43" w:rsidRPr="003E0B98" w14:paraId="1F135435" w14:textId="77777777" w:rsidTr="00606F06">
        <w:trPr>
          <w:cantSplit/>
        </w:trPr>
        <w:tc>
          <w:tcPr>
            <w:tcW w:w="4503" w:type="dxa"/>
          </w:tcPr>
          <w:p w14:paraId="72615122" w14:textId="77777777" w:rsidR="00E36F43" w:rsidRPr="003E0B98" w:rsidRDefault="00E36F43" w:rsidP="004361AC">
            <w:pPr>
              <w:rPr>
                <w:b/>
                <w:color w:val="000000"/>
                <w:szCs w:val="22"/>
              </w:rPr>
            </w:pPr>
            <w:proofErr w:type="spellStart"/>
            <w:r w:rsidRPr="003E0B98">
              <w:rPr>
                <w:b/>
                <w:color w:val="000000"/>
                <w:szCs w:val="22"/>
              </w:rPr>
              <w:t>Ísland</w:t>
            </w:r>
            <w:proofErr w:type="spellEnd"/>
          </w:p>
          <w:p w14:paraId="1A7279DE" w14:textId="77777777" w:rsidR="00E36F43" w:rsidRPr="003E0B98" w:rsidRDefault="00E36F43" w:rsidP="004361AC">
            <w:pPr>
              <w:rPr>
                <w:color w:val="000000"/>
                <w:szCs w:val="22"/>
              </w:rPr>
            </w:pPr>
            <w:proofErr w:type="spellStart"/>
            <w:r w:rsidRPr="003E0B98">
              <w:rPr>
                <w:color w:val="000000"/>
                <w:szCs w:val="22"/>
              </w:rPr>
              <w:t>Vistor</w:t>
            </w:r>
            <w:proofErr w:type="spellEnd"/>
            <w:r w:rsidRPr="003E0B98">
              <w:rPr>
                <w:color w:val="000000"/>
                <w:szCs w:val="22"/>
              </w:rPr>
              <w:t xml:space="preserve"> hf.</w:t>
            </w:r>
          </w:p>
          <w:p w14:paraId="34B9FE82" w14:textId="77777777" w:rsidR="00E36F43" w:rsidRPr="003E0B98" w:rsidRDefault="00E36F43" w:rsidP="004361AC">
            <w:pPr>
              <w:tabs>
                <w:tab w:val="left" w:pos="-720"/>
              </w:tabs>
              <w:suppressAutoHyphens/>
              <w:rPr>
                <w:color w:val="000000"/>
                <w:szCs w:val="22"/>
              </w:rPr>
            </w:pPr>
            <w:proofErr w:type="spellStart"/>
            <w:r w:rsidRPr="003E0B98">
              <w:rPr>
                <w:color w:val="000000"/>
                <w:szCs w:val="22"/>
              </w:rPr>
              <w:t>Sími</w:t>
            </w:r>
            <w:proofErr w:type="spellEnd"/>
            <w:r w:rsidRPr="003E0B98">
              <w:rPr>
                <w:color w:val="000000"/>
                <w:szCs w:val="22"/>
              </w:rPr>
              <w:t>: +354 535 7000</w:t>
            </w:r>
          </w:p>
          <w:p w14:paraId="5E65984B" w14:textId="77777777" w:rsidR="00E36F43" w:rsidRPr="003E0B98" w:rsidRDefault="00E36F43" w:rsidP="004361AC">
            <w:pPr>
              <w:rPr>
                <w:b/>
                <w:color w:val="000000"/>
                <w:szCs w:val="22"/>
              </w:rPr>
            </w:pPr>
          </w:p>
        </w:tc>
        <w:tc>
          <w:tcPr>
            <w:tcW w:w="4678" w:type="dxa"/>
          </w:tcPr>
          <w:p w14:paraId="7A9051A1" w14:textId="77777777" w:rsidR="00E36F43" w:rsidRPr="003E0B98" w:rsidRDefault="00E36F43" w:rsidP="004361AC">
            <w:pPr>
              <w:tabs>
                <w:tab w:val="left" w:pos="-720"/>
              </w:tabs>
              <w:suppressAutoHyphens/>
              <w:rPr>
                <w:b/>
                <w:color w:val="000000"/>
                <w:szCs w:val="22"/>
                <w:lang w:val="da-DK"/>
              </w:rPr>
            </w:pPr>
            <w:r w:rsidRPr="003E0B98">
              <w:rPr>
                <w:b/>
                <w:color w:val="000000"/>
                <w:szCs w:val="22"/>
                <w:lang w:val="da-DK"/>
              </w:rPr>
              <w:t>Slovenská republika</w:t>
            </w:r>
          </w:p>
          <w:p w14:paraId="0D988C45" w14:textId="77777777" w:rsidR="00E36F43" w:rsidRPr="003E0B98" w:rsidRDefault="00E36F43" w:rsidP="004361AC">
            <w:pPr>
              <w:rPr>
                <w:i/>
                <w:color w:val="000000"/>
                <w:szCs w:val="22"/>
                <w:lang w:val="da-DK"/>
              </w:rPr>
            </w:pPr>
            <w:r w:rsidRPr="003E0B98">
              <w:rPr>
                <w:color w:val="000000"/>
                <w:szCs w:val="22"/>
                <w:lang w:val="da-DK"/>
              </w:rPr>
              <w:t>Novartis Slovakia s.r.o.</w:t>
            </w:r>
          </w:p>
          <w:p w14:paraId="3049F36E" w14:textId="77777777" w:rsidR="00E36F43" w:rsidRPr="003E0B98" w:rsidRDefault="00E36F43" w:rsidP="004361AC">
            <w:pPr>
              <w:rPr>
                <w:color w:val="000000"/>
                <w:szCs w:val="22"/>
                <w:lang w:val="da-DK"/>
              </w:rPr>
            </w:pPr>
            <w:r w:rsidRPr="003E0B98">
              <w:rPr>
                <w:color w:val="000000"/>
                <w:szCs w:val="22"/>
                <w:lang w:val="da-DK"/>
              </w:rPr>
              <w:t>Tel: +421 2 5542 5439</w:t>
            </w:r>
          </w:p>
          <w:p w14:paraId="200C9DED" w14:textId="77777777" w:rsidR="00E36F43" w:rsidRPr="003E0B98" w:rsidRDefault="00E36F43" w:rsidP="004361AC">
            <w:pPr>
              <w:tabs>
                <w:tab w:val="left" w:pos="-720"/>
              </w:tabs>
              <w:suppressAutoHyphens/>
              <w:rPr>
                <w:b/>
                <w:color w:val="000000"/>
                <w:szCs w:val="22"/>
                <w:lang w:val="da-DK"/>
              </w:rPr>
            </w:pPr>
          </w:p>
        </w:tc>
      </w:tr>
      <w:tr w:rsidR="00E36F43" w:rsidRPr="003E0B98" w14:paraId="6A1CE81B" w14:textId="77777777" w:rsidTr="00606F06">
        <w:trPr>
          <w:cantSplit/>
        </w:trPr>
        <w:tc>
          <w:tcPr>
            <w:tcW w:w="4503" w:type="dxa"/>
          </w:tcPr>
          <w:p w14:paraId="43923731" w14:textId="77777777" w:rsidR="00E36F43" w:rsidRPr="003E0B98" w:rsidRDefault="00E36F43" w:rsidP="004361AC">
            <w:pPr>
              <w:rPr>
                <w:color w:val="000000"/>
                <w:szCs w:val="22"/>
                <w:lang w:val="it-IT"/>
              </w:rPr>
            </w:pPr>
            <w:r w:rsidRPr="003E0B98">
              <w:rPr>
                <w:b/>
                <w:color w:val="000000"/>
                <w:szCs w:val="22"/>
                <w:lang w:val="it-IT"/>
              </w:rPr>
              <w:t>Italia</w:t>
            </w:r>
          </w:p>
          <w:p w14:paraId="5B5C26A5" w14:textId="77777777" w:rsidR="00E36F43" w:rsidRPr="003E0B98" w:rsidRDefault="00E36F43" w:rsidP="004361AC">
            <w:pPr>
              <w:rPr>
                <w:color w:val="000000"/>
                <w:szCs w:val="22"/>
                <w:lang w:val="it-IT"/>
              </w:rPr>
            </w:pPr>
            <w:r w:rsidRPr="003E0B98">
              <w:rPr>
                <w:color w:val="000000"/>
                <w:szCs w:val="22"/>
                <w:lang w:val="it-IT"/>
              </w:rPr>
              <w:t>Novartis Farma S.p.A.</w:t>
            </w:r>
          </w:p>
          <w:p w14:paraId="79436B98" w14:textId="77777777" w:rsidR="00E36F43" w:rsidRPr="003E0B98" w:rsidRDefault="00E36F43" w:rsidP="004361AC">
            <w:pPr>
              <w:rPr>
                <w:b/>
                <w:color w:val="000000"/>
                <w:szCs w:val="22"/>
              </w:rPr>
            </w:pPr>
            <w:r w:rsidRPr="003E0B98">
              <w:rPr>
                <w:color w:val="000000"/>
                <w:szCs w:val="22"/>
              </w:rPr>
              <w:t>Tel: +39 02 96 54 1</w:t>
            </w:r>
          </w:p>
        </w:tc>
        <w:tc>
          <w:tcPr>
            <w:tcW w:w="4678" w:type="dxa"/>
          </w:tcPr>
          <w:p w14:paraId="2A839663" w14:textId="77777777" w:rsidR="00E36F43" w:rsidRPr="003E0B98" w:rsidRDefault="00E36F43" w:rsidP="004361AC">
            <w:pPr>
              <w:tabs>
                <w:tab w:val="left" w:pos="-720"/>
                <w:tab w:val="left" w:pos="4536"/>
              </w:tabs>
              <w:suppressAutoHyphens/>
              <w:rPr>
                <w:color w:val="000000"/>
                <w:szCs w:val="22"/>
                <w:lang w:val="sv-SE"/>
              </w:rPr>
            </w:pPr>
            <w:r w:rsidRPr="003E0B98">
              <w:rPr>
                <w:b/>
                <w:color w:val="000000"/>
                <w:szCs w:val="22"/>
                <w:lang w:val="sv-SE"/>
              </w:rPr>
              <w:t>Suomi/Finland</w:t>
            </w:r>
          </w:p>
          <w:p w14:paraId="152D2AA9" w14:textId="77777777" w:rsidR="00E36F43" w:rsidRPr="003E0B98" w:rsidRDefault="00E36F43" w:rsidP="004361AC">
            <w:pPr>
              <w:rPr>
                <w:color w:val="000000"/>
                <w:szCs w:val="22"/>
                <w:lang w:val="sv-SE"/>
              </w:rPr>
            </w:pPr>
            <w:r w:rsidRPr="003E0B98">
              <w:rPr>
                <w:color w:val="000000"/>
                <w:szCs w:val="22"/>
                <w:lang w:val="sv-SE"/>
              </w:rPr>
              <w:t>Novartis Finland Oy</w:t>
            </w:r>
          </w:p>
          <w:p w14:paraId="00CA4EF2" w14:textId="77777777" w:rsidR="00E36F43" w:rsidRPr="003E0B98" w:rsidRDefault="00E36F43" w:rsidP="004361AC">
            <w:pPr>
              <w:rPr>
                <w:color w:val="000000"/>
                <w:szCs w:val="22"/>
                <w:lang w:val="sv-SE"/>
              </w:rPr>
            </w:pPr>
            <w:r w:rsidRPr="003E0B98">
              <w:rPr>
                <w:color w:val="000000"/>
                <w:szCs w:val="22"/>
                <w:lang w:val="sv-SE"/>
              </w:rPr>
              <w:t xml:space="preserve">Puh/Tel: </w:t>
            </w:r>
            <w:r w:rsidRPr="003E0B98">
              <w:rPr>
                <w:color w:val="000000"/>
                <w:szCs w:val="22"/>
                <w:lang w:val="sv-SE" w:bidi="he-IL"/>
              </w:rPr>
              <w:t>+358 (0)10 6133 200</w:t>
            </w:r>
          </w:p>
          <w:p w14:paraId="6C433A35" w14:textId="77777777" w:rsidR="00E36F43" w:rsidRPr="003E0B98" w:rsidRDefault="00E36F43" w:rsidP="004361AC">
            <w:pPr>
              <w:tabs>
                <w:tab w:val="left" w:pos="-720"/>
              </w:tabs>
              <w:suppressAutoHyphens/>
              <w:rPr>
                <w:b/>
                <w:color w:val="000000"/>
                <w:szCs w:val="22"/>
                <w:lang w:val="sv-SE"/>
              </w:rPr>
            </w:pPr>
          </w:p>
        </w:tc>
      </w:tr>
      <w:tr w:rsidR="00E36F43" w:rsidRPr="003C169A" w14:paraId="00C6B075" w14:textId="77777777" w:rsidTr="00606F06">
        <w:trPr>
          <w:cantSplit/>
        </w:trPr>
        <w:tc>
          <w:tcPr>
            <w:tcW w:w="4503" w:type="dxa"/>
          </w:tcPr>
          <w:p w14:paraId="72014BEA" w14:textId="77777777" w:rsidR="00E36F43" w:rsidRPr="003E0B98" w:rsidRDefault="00E36F43" w:rsidP="004361AC">
            <w:pPr>
              <w:rPr>
                <w:b/>
                <w:color w:val="000000"/>
                <w:szCs w:val="22"/>
                <w:lang w:val="fr-FR"/>
              </w:rPr>
            </w:pPr>
            <w:proofErr w:type="spellStart"/>
            <w:r w:rsidRPr="003E0B98">
              <w:rPr>
                <w:b/>
                <w:color w:val="000000"/>
                <w:szCs w:val="22"/>
              </w:rPr>
              <w:t>Κύ</w:t>
            </w:r>
            <w:proofErr w:type="spellEnd"/>
            <w:r w:rsidRPr="003E0B98">
              <w:rPr>
                <w:b/>
                <w:color w:val="000000"/>
                <w:szCs w:val="22"/>
              </w:rPr>
              <w:t>προς</w:t>
            </w:r>
          </w:p>
          <w:p w14:paraId="36CA56BB" w14:textId="77777777" w:rsidR="00E36F43" w:rsidRPr="003E0B98" w:rsidRDefault="00E36F43" w:rsidP="004361AC">
            <w:pPr>
              <w:rPr>
                <w:color w:val="000000"/>
                <w:szCs w:val="22"/>
                <w:lang w:val="fr-FR"/>
              </w:rPr>
            </w:pPr>
            <w:r w:rsidRPr="003E0B98">
              <w:rPr>
                <w:color w:val="000000"/>
                <w:szCs w:val="22"/>
                <w:lang w:val="fr-FR"/>
              </w:rPr>
              <w:t>Novartis Pharma Services Inc.</w:t>
            </w:r>
          </w:p>
          <w:p w14:paraId="0B6E0E31" w14:textId="77777777" w:rsidR="00E36F43" w:rsidRPr="003E0B98" w:rsidRDefault="00E36F43" w:rsidP="004361AC">
            <w:pPr>
              <w:tabs>
                <w:tab w:val="left" w:pos="-720"/>
              </w:tabs>
              <w:suppressAutoHyphens/>
              <w:rPr>
                <w:color w:val="000000"/>
                <w:szCs w:val="22"/>
                <w:lang w:val="sv-SE"/>
              </w:rPr>
            </w:pPr>
            <w:proofErr w:type="spellStart"/>
            <w:r w:rsidRPr="003E0B98">
              <w:rPr>
                <w:color w:val="000000"/>
                <w:szCs w:val="22"/>
              </w:rPr>
              <w:t>Τηλ</w:t>
            </w:r>
            <w:proofErr w:type="spellEnd"/>
            <w:r w:rsidRPr="003E0B98">
              <w:rPr>
                <w:color w:val="000000"/>
                <w:szCs w:val="22"/>
                <w:lang w:val="sv-SE"/>
              </w:rPr>
              <w:t>: +357 22 690 690</w:t>
            </w:r>
          </w:p>
          <w:p w14:paraId="18232181" w14:textId="77777777" w:rsidR="00E36F43" w:rsidRPr="003E0B98" w:rsidRDefault="00E36F43" w:rsidP="004361AC">
            <w:pPr>
              <w:rPr>
                <w:b/>
                <w:color w:val="000000"/>
                <w:szCs w:val="22"/>
                <w:lang w:val="sv-SE"/>
              </w:rPr>
            </w:pPr>
          </w:p>
        </w:tc>
        <w:tc>
          <w:tcPr>
            <w:tcW w:w="4678" w:type="dxa"/>
          </w:tcPr>
          <w:p w14:paraId="16C91214" w14:textId="77777777" w:rsidR="00E36F43" w:rsidRPr="003E0B98" w:rsidRDefault="00E36F43" w:rsidP="004361AC">
            <w:pPr>
              <w:tabs>
                <w:tab w:val="left" w:pos="-720"/>
                <w:tab w:val="left" w:pos="4536"/>
              </w:tabs>
              <w:suppressAutoHyphens/>
              <w:rPr>
                <w:b/>
                <w:color w:val="000000"/>
                <w:szCs w:val="22"/>
                <w:lang w:val="sv-SE"/>
              </w:rPr>
            </w:pPr>
            <w:r w:rsidRPr="003E0B98">
              <w:rPr>
                <w:b/>
                <w:color w:val="000000"/>
                <w:szCs w:val="22"/>
                <w:lang w:val="sv-SE"/>
              </w:rPr>
              <w:t>Sverige</w:t>
            </w:r>
          </w:p>
          <w:p w14:paraId="3AC7564B" w14:textId="77777777" w:rsidR="00E36F43" w:rsidRPr="003E0B98" w:rsidRDefault="00E36F43" w:rsidP="004361AC">
            <w:pPr>
              <w:rPr>
                <w:color w:val="000000"/>
                <w:szCs w:val="22"/>
                <w:lang w:val="sv-SE"/>
              </w:rPr>
            </w:pPr>
            <w:r w:rsidRPr="003E0B98">
              <w:rPr>
                <w:color w:val="000000"/>
                <w:szCs w:val="22"/>
                <w:lang w:val="sv-SE"/>
              </w:rPr>
              <w:t>Novartis Sverige AB</w:t>
            </w:r>
          </w:p>
          <w:p w14:paraId="0C464A99" w14:textId="77777777" w:rsidR="00E36F43" w:rsidRPr="003E0B98" w:rsidRDefault="00E36F43" w:rsidP="004361AC">
            <w:pPr>
              <w:rPr>
                <w:color w:val="000000"/>
                <w:szCs w:val="22"/>
                <w:lang w:val="sv-SE"/>
              </w:rPr>
            </w:pPr>
            <w:r w:rsidRPr="003E0B98">
              <w:rPr>
                <w:color w:val="000000"/>
                <w:szCs w:val="22"/>
                <w:lang w:val="sv-SE"/>
              </w:rPr>
              <w:t>Tel: +46 8 732 32 00</w:t>
            </w:r>
          </w:p>
          <w:p w14:paraId="7FA890C4" w14:textId="77777777" w:rsidR="00E36F43" w:rsidRPr="003E0B98" w:rsidRDefault="00E36F43" w:rsidP="004361AC">
            <w:pPr>
              <w:tabs>
                <w:tab w:val="left" w:pos="-720"/>
                <w:tab w:val="left" w:pos="4536"/>
              </w:tabs>
              <w:suppressAutoHyphens/>
              <w:rPr>
                <w:b/>
                <w:color w:val="000000"/>
                <w:szCs w:val="22"/>
                <w:lang w:val="sv-SE"/>
              </w:rPr>
            </w:pPr>
          </w:p>
        </w:tc>
      </w:tr>
      <w:tr w:rsidR="00E36F43" w:rsidRPr="003E0B98" w14:paraId="6E93BF3E" w14:textId="77777777" w:rsidTr="00606F06">
        <w:trPr>
          <w:cantSplit/>
        </w:trPr>
        <w:tc>
          <w:tcPr>
            <w:tcW w:w="4503" w:type="dxa"/>
          </w:tcPr>
          <w:p w14:paraId="616C38B7" w14:textId="77777777" w:rsidR="00E36F43" w:rsidRPr="003E0B98" w:rsidRDefault="00E36F43" w:rsidP="004361AC">
            <w:pPr>
              <w:rPr>
                <w:b/>
                <w:color w:val="000000"/>
                <w:szCs w:val="22"/>
                <w:lang w:val="es-ES"/>
              </w:rPr>
            </w:pPr>
            <w:proofErr w:type="spellStart"/>
            <w:r w:rsidRPr="003E0B98">
              <w:rPr>
                <w:b/>
                <w:color w:val="000000"/>
                <w:szCs w:val="22"/>
                <w:lang w:val="es-ES"/>
              </w:rPr>
              <w:t>Latvija</w:t>
            </w:r>
            <w:proofErr w:type="spellEnd"/>
          </w:p>
          <w:p w14:paraId="0FC8B7E0" w14:textId="68A2DE73" w:rsidR="00E36F43" w:rsidRPr="003E0B98" w:rsidRDefault="00C37C69" w:rsidP="004361AC">
            <w:pPr>
              <w:rPr>
                <w:color w:val="000000"/>
                <w:szCs w:val="22"/>
                <w:lang w:val="es-ES"/>
              </w:rPr>
            </w:pPr>
            <w:r w:rsidRPr="003E0B98">
              <w:rPr>
                <w:szCs w:val="22"/>
                <w:lang w:val="it-IT"/>
              </w:rPr>
              <w:t>SIA Novartis Baltics</w:t>
            </w:r>
          </w:p>
          <w:p w14:paraId="2242C0D4" w14:textId="77777777" w:rsidR="00E36F43" w:rsidRPr="003E0B98" w:rsidRDefault="00E36F43" w:rsidP="004361AC">
            <w:pPr>
              <w:tabs>
                <w:tab w:val="left" w:pos="-720"/>
              </w:tabs>
              <w:suppressAutoHyphens/>
              <w:rPr>
                <w:color w:val="000000"/>
                <w:szCs w:val="22"/>
                <w:lang w:val="es-ES"/>
              </w:rPr>
            </w:pPr>
            <w:r w:rsidRPr="003E0B98">
              <w:rPr>
                <w:color w:val="000000"/>
                <w:szCs w:val="22"/>
                <w:lang w:val="es-ES"/>
              </w:rPr>
              <w:t>Tel: +371 67 887 070</w:t>
            </w:r>
          </w:p>
          <w:p w14:paraId="75EC3E2F" w14:textId="77777777" w:rsidR="00E36F43" w:rsidRPr="003E0B98" w:rsidRDefault="00E36F43" w:rsidP="004361AC">
            <w:pPr>
              <w:tabs>
                <w:tab w:val="left" w:pos="-720"/>
              </w:tabs>
              <w:suppressAutoHyphens/>
              <w:rPr>
                <w:color w:val="000000"/>
                <w:szCs w:val="22"/>
                <w:lang w:val="es-ES"/>
              </w:rPr>
            </w:pPr>
          </w:p>
        </w:tc>
        <w:tc>
          <w:tcPr>
            <w:tcW w:w="4678" w:type="dxa"/>
          </w:tcPr>
          <w:p w14:paraId="63F5FA64" w14:textId="77777777" w:rsidR="00E36F43" w:rsidRPr="003E0B98" w:rsidRDefault="00E36F43" w:rsidP="001D72A8">
            <w:pPr>
              <w:rPr>
                <w:color w:val="000000"/>
                <w:szCs w:val="22"/>
              </w:rPr>
            </w:pPr>
          </w:p>
        </w:tc>
      </w:tr>
    </w:tbl>
    <w:p w14:paraId="351CA376" w14:textId="77777777" w:rsidR="00E36F43" w:rsidRPr="003E0B98" w:rsidRDefault="00E36F43" w:rsidP="004361AC">
      <w:pPr>
        <w:numPr>
          <w:ilvl w:val="12"/>
          <w:numId w:val="0"/>
        </w:numPr>
        <w:tabs>
          <w:tab w:val="clear" w:pos="567"/>
        </w:tabs>
        <w:spacing w:line="240" w:lineRule="auto"/>
        <w:ind w:right="-2"/>
        <w:rPr>
          <w:color w:val="000000"/>
          <w:szCs w:val="22"/>
        </w:rPr>
      </w:pPr>
    </w:p>
    <w:p w14:paraId="26B7BC1D" w14:textId="77777777" w:rsidR="00E36F43" w:rsidRPr="003E0B98" w:rsidRDefault="00E36F43" w:rsidP="004361AC">
      <w:pPr>
        <w:numPr>
          <w:ilvl w:val="12"/>
          <w:numId w:val="0"/>
        </w:numPr>
        <w:tabs>
          <w:tab w:val="clear" w:pos="567"/>
        </w:tabs>
        <w:spacing w:line="240" w:lineRule="auto"/>
        <w:ind w:right="-2"/>
        <w:rPr>
          <w:color w:val="000000"/>
          <w:szCs w:val="22"/>
          <w:lang w:val="es-ES_tradnl"/>
        </w:rPr>
      </w:pPr>
      <w:r w:rsidRPr="003E0B98">
        <w:rPr>
          <w:b/>
          <w:noProof/>
          <w:color w:val="000000"/>
          <w:lang w:val="es-ES_tradnl"/>
        </w:rPr>
        <w:t>Fecha de la última revisión de este prospecto:</w:t>
      </w:r>
    </w:p>
    <w:p w14:paraId="71B85AA1" w14:textId="77777777" w:rsidR="00E36F43" w:rsidRPr="003E0B98" w:rsidRDefault="00E36F43" w:rsidP="004361AC">
      <w:pPr>
        <w:numPr>
          <w:ilvl w:val="12"/>
          <w:numId w:val="0"/>
        </w:numPr>
        <w:tabs>
          <w:tab w:val="clear" w:pos="567"/>
        </w:tabs>
        <w:spacing w:line="240" w:lineRule="auto"/>
        <w:ind w:right="-2"/>
        <w:rPr>
          <w:color w:val="000000"/>
          <w:szCs w:val="22"/>
          <w:lang w:val="es-ES_tradnl"/>
        </w:rPr>
      </w:pPr>
    </w:p>
    <w:p w14:paraId="4879D83C" w14:textId="77777777" w:rsidR="00E36F43" w:rsidRPr="003E0B98" w:rsidRDefault="00E36F43" w:rsidP="004361AC">
      <w:pPr>
        <w:keepNext/>
        <w:numPr>
          <w:ilvl w:val="12"/>
          <w:numId w:val="0"/>
        </w:numPr>
        <w:tabs>
          <w:tab w:val="clear" w:pos="567"/>
        </w:tabs>
        <w:spacing w:line="240" w:lineRule="auto"/>
        <w:rPr>
          <w:b/>
          <w:noProof/>
          <w:szCs w:val="22"/>
          <w:lang w:val="es-ES_tradnl"/>
        </w:rPr>
      </w:pPr>
      <w:r w:rsidRPr="003E0B98">
        <w:rPr>
          <w:b/>
          <w:noProof/>
          <w:szCs w:val="22"/>
          <w:lang w:val="es-ES_tradnl"/>
        </w:rPr>
        <w:t>Otras fuentes de información</w:t>
      </w:r>
    </w:p>
    <w:p w14:paraId="0569587B" w14:textId="24E623DC" w:rsidR="00E36F43" w:rsidRPr="003E0B98" w:rsidRDefault="00E36F43" w:rsidP="004361AC">
      <w:pPr>
        <w:numPr>
          <w:ilvl w:val="12"/>
          <w:numId w:val="0"/>
        </w:numPr>
        <w:tabs>
          <w:tab w:val="clear" w:pos="567"/>
        </w:tabs>
        <w:spacing w:line="240" w:lineRule="auto"/>
        <w:ind w:right="-2"/>
        <w:rPr>
          <w:color w:val="000000"/>
          <w:szCs w:val="22"/>
          <w:lang w:val="es-ES_tradnl"/>
        </w:rPr>
      </w:pPr>
      <w:r w:rsidRPr="003E0B98">
        <w:rPr>
          <w:noProof/>
          <w:szCs w:val="22"/>
          <w:lang w:val="es-ES_tradnl"/>
        </w:rPr>
        <w:t>La información detallada de este medicamento está disponible en la página web de la Agencia Europea</w:t>
      </w:r>
      <w:r w:rsidRPr="003E0B98">
        <w:rPr>
          <w:color w:val="000000"/>
          <w:szCs w:val="22"/>
          <w:lang w:val="es-ES"/>
        </w:rPr>
        <w:t xml:space="preserve"> de Medicamentos: </w:t>
      </w:r>
      <w:hyperlink r:id="rId31" w:history="1">
        <w:r w:rsidR="00872B1B" w:rsidRPr="003E0B98">
          <w:rPr>
            <w:rStyle w:val="Hyperlink"/>
            <w:szCs w:val="22"/>
            <w:lang w:val="es-ES_tradnl"/>
          </w:rPr>
          <w:t>http://www.ema.europa.eu</w:t>
        </w:r>
      </w:hyperlink>
    </w:p>
    <w:p w14:paraId="1F82BC31" w14:textId="77777777" w:rsidR="00872B1B" w:rsidRPr="003E0B98" w:rsidRDefault="00872B1B" w:rsidP="004361AC">
      <w:pPr>
        <w:numPr>
          <w:ilvl w:val="12"/>
          <w:numId w:val="0"/>
        </w:numPr>
        <w:tabs>
          <w:tab w:val="clear" w:pos="567"/>
        </w:tabs>
        <w:spacing w:line="240" w:lineRule="auto"/>
        <w:ind w:right="-2"/>
        <w:rPr>
          <w:color w:val="000000"/>
          <w:szCs w:val="22"/>
          <w:lang w:val="es-ES_tradnl"/>
        </w:rPr>
      </w:pPr>
    </w:p>
    <w:p w14:paraId="357422A1" w14:textId="78B3777E" w:rsidR="00E36F43" w:rsidRPr="003E0B98" w:rsidRDefault="00E36F43" w:rsidP="004361AC">
      <w:pPr>
        <w:numPr>
          <w:ilvl w:val="12"/>
          <w:numId w:val="0"/>
        </w:numPr>
        <w:tabs>
          <w:tab w:val="clear" w:pos="567"/>
        </w:tabs>
        <w:spacing w:line="240" w:lineRule="auto"/>
        <w:ind w:right="-2"/>
        <w:rPr>
          <w:b/>
          <w:color w:val="000000"/>
          <w:szCs w:val="22"/>
          <w:lang w:val="es-ES"/>
        </w:rPr>
      </w:pPr>
      <w:r w:rsidRPr="003E0B98">
        <w:rPr>
          <w:color w:val="000000"/>
          <w:szCs w:val="22"/>
          <w:lang w:val="es-ES"/>
        </w:rPr>
        <w:br w:type="page"/>
      </w:r>
      <w:r w:rsidRPr="003E0B98">
        <w:rPr>
          <w:lang w:val="es-ES_tradnl"/>
        </w:rPr>
        <w:t>Esta información está destinada únicamente a profesionales sanitario</w:t>
      </w:r>
      <w:r w:rsidR="00862A32" w:rsidRPr="003E0B98">
        <w:rPr>
          <w:lang w:val="es-ES_tradnl"/>
        </w:rPr>
        <w:t>s</w:t>
      </w:r>
      <w:r w:rsidRPr="003E0B98">
        <w:rPr>
          <w:lang w:val="es-ES_tradnl"/>
        </w:rPr>
        <w:t>:</w:t>
      </w:r>
    </w:p>
    <w:p w14:paraId="436139F4" w14:textId="77777777" w:rsidR="00E36F43" w:rsidRPr="003E0B98" w:rsidRDefault="00E36F43" w:rsidP="004361AC">
      <w:pPr>
        <w:numPr>
          <w:ilvl w:val="12"/>
          <w:numId w:val="0"/>
        </w:numPr>
        <w:tabs>
          <w:tab w:val="clear" w:pos="567"/>
        </w:tabs>
        <w:spacing w:line="240" w:lineRule="auto"/>
        <w:ind w:right="-2"/>
        <w:rPr>
          <w:color w:val="000000"/>
          <w:szCs w:val="22"/>
          <w:lang w:val="es-ES"/>
        </w:rPr>
      </w:pPr>
    </w:p>
    <w:p w14:paraId="03F919B7" w14:textId="77777777" w:rsidR="00E36F43" w:rsidRPr="003E0B98" w:rsidRDefault="00E36F43" w:rsidP="004361AC">
      <w:pPr>
        <w:numPr>
          <w:ilvl w:val="12"/>
          <w:numId w:val="0"/>
        </w:numPr>
        <w:tabs>
          <w:tab w:val="clear" w:pos="567"/>
        </w:tabs>
        <w:spacing w:line="240" w:lineRule="auto"/>
        <w:ind w:right="-2"/>
        <w:rPr>
          <w:color w:val="000000"/>
          <w:szCs w:val="22"/>
          <w:lang w:val="es-ES"/>
        </w:rPr>
      </w:pPr>
      <w:r w:rsidRPr="003E0B98">
        <w:rPr>
          <w:color w:val="000000"/>
          <w:szCs w:val="22"/>
          <w:lang w:val="es-ES"/>
        </w:rPr>
        <w:t xml:space="preserve">Ver también la sección 3 “Cómo se administra </w:t>
      </w:r>
      <w:proofErr w:type="spellStart"/>
      <w:r w:rsidRPr="003E0B98">
        <w:rPr>
          <w:color w:val="000000"/>
          <w:szCs w:val="22"/>
          <w:lang w:val="es-ES"/>
        </w:rPr>
        <w:t>Lucentis</w:t>
      </w:r>
      <w:proofErr w:type="spellEnd"/>
      <w:r w:rsidRPr="003E0B98">
        <w:rPr>
          <w:color w:val="000000"/>
          <w:szCs w:val="22"/>
          <w:lang w:val="es-ES"/>
        </w:rPr>
        <w:t>”.</w:t>
      </w:r>
    </w:p>
    <w:p w14:paraId="065C2D51" w14:textId="77777777" w:rsidR="00E36F43" w:rsidRPr="003E0B98" w:rsidRDefault="00E36F43" w:rsidP="004361AC">
      <w:pPr>
        <w:numPr>
          <w:ilvl w:val="12"/>
          <w:numId w:val="0"/>
        </w:numPr>
        <w:tabs>
          <w:tab w:val="clear" w:pos="567"/>
        </w:tabs>
        <w:spacing w:line="240" w:lineRule="auto"/>
        <w:ind w:right="-2"/>
        <w:rPr>
          <w:color w:val="000000"/>
          <w:szCs w:val="22"/>
          <w:lang w:val="es-ES"/>
        </w:rPr>
      </w:pPr>
    </w:p>
    <w:p w14:paraId="194339DF" w14:textId="77777777" w:rsidR="00E36F43" w:rsidRPr="003E0B98" w:rsidRDefault="00E36F43" w:rsidP="004361AC">
      <w:pPr>
        <w:numPr>
          <w:ilvl w:val="12"/>
          <w:numId w:val="0"/>
        </w:numPr>
        <w:tabs>
          <w:tab w:val="clear" w:pos="567"/>
        </w:tabs>
        <w:spacing w:line="240" w:lineRule="auto"/>
        <w:ind w:right="-2"/>
        <w:rPr>
          <w:b/>
          <w:color w:val="000000"/>
          <w:szCs w:val="22"/>
          <w:lang w:val="es-ES"/>
        </w:rPr>
      </w:pPr>
      <w:r w:rsidRPr="003E0B98">
        <w:rPr>
          <w:b/>
          <w:color w:val="000000"/>
          <w:szCs w:val="22"/>
          <w:lang w:val="es-ES"/>
        </w:rPr>
        <w:t xml:space="preserve">Cómo preparar y administrar </w:t>
      </w:r>
      <w:proofErr w:type="spellStart"/>
      <w:r w:rsidRPr="003E0B98">
        <w:rPr>
          <w:b/>
          <w:color w:val="000000"/>
          <w:szCs w:val="22"/>
          <w:lang w:val="es-ES"/>
        </w:rPr>
        <w:t>Lucentis</w:t>
      </w:r>
      <w:proofErr w:type="spellEnd"/>
    </w:p>
    <w:p w14:paraId="430FD164" w14:textId="77777777" w:rsidR="00E36F43" w:rsidRPr="003E0B98" w:rsidRDefault="00E36F43" w:rsidP="004361AC">
      <w:pPr>
        <w:numPr>
          <w:ilvl w:val="12"/>
          <w:numId w:val="0"/>
        </w:numPr>
        <w:tabs>
          <w:tab w:val="clear" w:pos="567"/>
        </w:tabs>
        <w:spacing w:line="240" w:lineRule="auto"/>
        <w:ind w:right="-2"/>
        <w:rPr>
          <w:color w:val="000000"/>
          <w:szCs w:val="22"/>
          <w:lang w:val="es-ES"/>
        </w:rPr>
      </w:pPr>
    </w:p>
    <w:p w14:paraId="50E0B7B4" w14:textId="77777777" w:rsidR="00E36F43" w:rsidRPr="003E0B98" w:rsidRDefault="00A629E4" w:rsidP="004361AC">
      <w:pPr>
        <w:numPr>
          <w:ilvl w:val="12"/>
          <w:numId w:val="0"/>
        </w:numPr>
        <w:tabs>
          <w:tab w:val="clear" w:pos="567"/>
        </w:tabs>
        <w:spacing w:line="240" w:lineRule="auto"/>
        <w:ind w:right="-2"/>
        <w:rPr>
          <w:color w:val="000000"/>
          <w:szCs w:val="22"/>
          <w:lang w:val="es-ES"/>
        </w:rPr>
      </w:pPr>
      <w:r w:rsidRPr="003E0B98">
        <w:rPr>
          <w:color w:val="000000"/>
          <w:szCs w:val="22"/>
          <w:lang w:val="es-ES"/>
        </w:rPr>
        <w:t>Jeringa precargada</w:t>
      </w:r>
      <w:r w:rsidR="00E36F43" w:rsidRPr="003E0B98">
        <w:rPr>
          <w:color w:val="000000"/>
          <w:szCs w:val="22"/>
          <w:lang w:val="es-ES"/>
        </w:rPr>
        <w:t xml:space="preserve"> para un solo uso. Únicamente para vía intravítrea.</w:t>
      </w:r>
    </w:p>
    <w:p w14:paraId="57F44E14" w14:textId="77777777" w:rsidR="00E36F43" w:rsidRPr="003E0B98" w:rsidRDefault="00E36F43" w:rsidP="004361AC">
      <w:pPr>
        <w:numPr>
          <w:ilvl w:val="12"/>
          <w:numId w:val="0"/>
        </w:numPr>
        <w:tabs>
          <w:tab w:val="clear" w:pos="567"/>
        </w:tabs>
        <w:spacing w:line="240" w:lineRule="auto"/>
        <w:ind w:right="-2"/>
        <w:rPr>
          <w:color w:val="000000"/>
          <w:szCs w:val="22"/>
          <w:lang w:val="es-ES"/>
        </w:rPr>
      </w:pPr>
    </w:p>
    <w:p w14:paraId="52643F5D" w14:textId="77777777" w:rsidR="00E36F43" w:rsidRPr="003E0B98" w:rsidRDefault="00E36F43" w:rsidP="004361AC">
      <w:pPr>
        <w:numPr>
          <w:ilvl w:val="12"/>
          <w:numId w:val="0"/>
        </w:numPr>
        <w:tabs>
          <w:tab w:val="clear" w:pos="567"/>
        </w:tabs>
        <w:spacing w:line="240" w:lineRule="auto"/>
        <w:ind w:right="-2"/>
        <w:rPr>
          <w:color w:val="000000"/>
          <w:szCs w:val="22"/>
          <w:lang w:val="es-ES_tradnl"/>
        </w:rPr>
      </w:pPr>
      <w:proofErr w:type="spellStart"/>
      <w:r w:rsidRPr="003E0B98">
        <w:rPr>
          <w:color w:val="000000"/>
          <w:szCs w:val="22"/>
          <w:lang w:val="es-ES"/>
        </w:rPr>
        <w:t>Lucentis</w:t>
      </w:r>
      <w:proofErr w:type="spellEnd"/>
      <w:r w:rsidRPr="003E0B98">
        <w:rPr>
          <w:color w:val="000000"/>
          <w:szCs w:val="22"/>
          <w:lang w:val="es-ES"/>
        </w:rPr>
        <w:t xml:space="preserve"> debe ser administrado por un oftalmólogo que tenga experiencia en la administración de inyecciones intravítreas.</w:t>
      </w:r>
    </w:p>
    <w:p w14:paraId="6ADFB46A" w14:textId="77777777" w:rsidR="00E36F43" w:rsidRPr="003E0B98" w:rsidRDefault="00E36F43" w:rsidP="004361AC">
      <w:pPr>
        <w:numPr>
          <w:ilvl w:val="12"/>
          <w:numId w:val="0"/>
        </w:numPr>
        <w:tabs>
          <w:tab w:val="clear" w:pos="567"/>
        </w:tabs>
        <w:spacing w:line="240" w:lineRule="auto"/>
        <w:ind w:right="-2"/>
        <w:rPr>
          <w:color w:val="000000"/>
          <w:szCs w:val="22"/>
          <w:lang w:val="es-ES_tradnl"/>
        </w:rPr>
      </w:pPr>
    </w:p>
    <w:p w14:paraId="23193A59" w14:textId="495AC8C3" w:rsidR="00E36F43" w:rsidRPr="003E0B98" w:rsidRDefault="00E36F43" w:rsidP="004361AC">
      <w:pPr>
        <w:numPr>
          <w:ilvl w:val="12"/>
          <w:numId w:val="0"/>
        </w:numPr>
        <w:tabs>
          <w:tab w:val="clear" w:pos="567"/>
        </w:tabs>
        <w:spacing w:line="240" w:lineRule="auto"/>
        <w:ind w:right="-2"/>
        <w:rPr>
          <w:color w:val="000000"/>
          <w:szCs w:val="22"/>
          <w:lang w:val="es-ES_tradnl"/>
        </w:rPr>
      </w:pPr>
      <w:r w:rsidRPr="003E0B98">
        <w:rPr>
          <w:color w:val="000000"/>
          <w:lang w:val="es-ES"/>
        </w:rPr>
        <w:t>En la DMAE exudativa</w:t>
      </w:r>
      <w:r w:rsidR="003538D7" w:rsidRPr="003E0B98">
        <w:rPr>
          <w:color w:val="000000"/>
          <w:lang w:val="es-ES"/>
        </w:rPr>
        <w:t>, en la NVC</w:t>
      </w:r>
      <w:r w:rsidR="000B137F" w:rsidRPr="003E0B98">
        <w:rPr>
          <w:color w:val="000000"/>
          <w:lang w:val="es-ES"/>
        </w:rPr>
        <w:t>, en la RDP</w:t>
      </w:r>
      <w:r w:rsidRPr="003E0B98">
        <w:rPr>
          <w:color w:val="000000"/>
          <w:lang w:val="es-ES"/>
        </w:rPr>
        <w:t xml:space="preserve"> y e</w:t>
      </w:r>
      <w:r w:rsidRPr="003E0B98">
        <w:rPr>
          <w:color w:val="000000"/>
          <w:szCs w:val="22"/>
          <w:lang w:val="es-ES_tradnl"/>
        </w:rPr>
        <w:t xml:space="preserve">n la </w:t>
      </w:r>
      <w:r w:rsidRPr="003E0B98">
        <w:rPr>
          <w:color w:val="000000"/>
          <w:szCs w:val="22"/>
          <w:lang w:val="es-ES"/>
        </w:rPr>
        <w:t>alteración</w:t>
      </w:r>
      <w:r w:rsidRPr="003E0B98">
        <w:rPr>
          <w:color w:val="000000"/>
          <w:szCs w:val="22"/>
          <w:lang w:val="es-ES_tradnl"/>
        </w:rPr>
        <w:t xml:space="preserve"> visual debida a EMD </w:t>
      </w:r>
      <w:r w:rsidR="003538D7" w:rsidRPr="003E0B98">
        <w:rPr>
          <w:color w:val="000000"/>
          <w:szCs w:val="22"/>
          <w:lang w:val="es-ES_tradnl"/>
        </w:rPr>
        <w:t xml:space="preserve">o </w:t>
      </w:r>
      <w:r w:rsidRPr="003E0B98">
        <w:rPr>
          <w:color w:val="000000"/>
          <w:szCs w:val="22"/>
          <w:lang w:val="es-ES_tradnl"/>
        </w:rPr>
        <w:t xml:space="preserve">a edema macular secundario a OVR la dosis recomendada de </w:t>
      </w:r>
      <w:proofErr w:type="spellStart"/>
      <w:r w:rsidRPr="003E0B98">
        <w:rPr>
          <w:color w:val="000000"/>
          <w:szCs w:val="22"/>
          <w:lang w:val="es-ES_tradnl"/>
        </w:rPr>
        <w:t>Lucentis</w:t>
      </w:r>
      <w:proofErr w:type="spellEnd"/>
      <w:r w:rsidRPr="003E0B98">
        <w:rPr>
          <w:color w:val="000000"/>
          <w:szCs w:val="22"/>
          <w:lang w:val="es-ES_tradnl"/>
        </w:rPr>
        <w:t xml:space="preserve"> es 0,5 mg </w:t>
      </w:r>
      <w:r w:rsidRPr="003E0B98">
        <w:rPr>
          <w:color w:val="000000"/>
          <w:szCs w:val="22"/>
          <w:lang w:val="es-ES"/>
        </w:rPr>
        <w:t>administrada en forma de inyección intravítrea única. Esto corresponde a un volumen de inyección de 0,05 ml.</w:t>
      </w:r>
      <w:r w:rsidR="008F0C2D" w:rsidRPr="003E0B98">
        <w:rPr>
          <w:color w:val="000000"/>
          <w:szCs w:val="22"/>
          <w:lang w:val="es-ES"/>
        </w:rPr>
        <w:t xml:space="preserve"> El intervalo entre dos dosis inyectadas en el mismo ojo debe ser como mínimo de cuatro semanas.</w:t>
      </w:r>
    </w:p>
    <w:p w14:paraId="19E03B48" w14:textId="77777777" w:rsidR="00E36F43" w:rsidRPr="003E0B98" w:rsidRDefault="00E36F43" w:rsidP="004361AC">
      <w:pPr>
        <w:numPr>
          <w:ilvl w:val="12"/>
          <w:numId w:val="0"/>
        </w:numPr>
        <w:tabs>
          <w:tab w:val="clear" w:pos="567"/>
        </w:tabs>
        <w:spacing w:line="240" w:lineRule="auto"/>
        <w:ind w:right="-2"/>
        <w:rPr>
          <w:color w:val="000000"/>
          <w:szCs w:val="22"/>
          <w:lang w:val="es-ES_tradnl"/>
        </w:rPr>
      </w:pPr>
    </w:p>
    <w:p w14:paraId="4A4EEF8E" w14:textId="2C744D79" w:rsidR="00E36F43" w:rsidRPr="003E0B98" w:rsidRDefault="00E36F43" w:rsidP="004361AC">
      <w:pPr>
        <w:numPr>
          <w:ilvl w:val="12"/>
          <w:numId w:val="0"/>
        </w:numPr>
        <w:tabs>
          <w:tab w:val="clear" w:pos="567"/>
        </w:tabs>
        <w:spacing w:line="240" w:lineRule="auto"/>
        <w:ind w:right="-2"/>
        <w:rPr>
          <w:color w:val="000000"/>
          <w:szCs w:val="22"/>
          <w:lang w:val="es-ES"/>
        </w:rPr>
      </w:pPr>
      <w:r w:rsidRPr="003E0B98">
        <w:rPr>
          <w:color w:val="000000"/>
          <w:szCs w:val="22"/>
          <w:lang w:val="es-ES"/>
        </w:rPr>
        <w:t xml:space="preserve">El tratamiento se </w:t>
      </w:r>
      <w:r w:rsidR="008F0C2D" w:rsidRPr="003E0B98">
        <w:rPr>
          <w:color w:val="000000"/>
          <w:szCs w:val="22"/>
          <w:lang w:val="es-ES"/>
        </w:rPr>
        <w:t>inicia con una inyección al mes</w:t>
      </w:r>
      <w:r w:rsidRPr="003E0B98">
        <w:rPr>
          <w:color w:val="000000"/>
          <w:szCs w:val="22"/>
          <w:lang w:val="es-ES"/>
        </w:rPr>
        <w:t xml:space="preserve"> hasta alcanzar la agudeza visual máxima</w:t>
      </w:r>
      <w:r w:rsidR="00E44956" w:rsidRPr="003E0B98">
        <w:rPr>
          <w:color w:val="000000"/>
          <w:szCs w:val="22"/>
          <w:lang w:val="es-ES"/>
        </w:rPr>
        <w:t xml:space="preserve"> y/o no haya signos de actividad de la enfermedad, es decir ningún cambio en la agudeza visual ni en otros signos y síntomas de la enfermedad bajo tratamiento continuado.</w:t>
      </w:r>
      <w:r w:rsidR="00E44956" w:rsidRPr="003E0B98">
        <w:rPr>
          <w:lang w:val="es-ES"/>
        </w:rPr>
        <w:t xml:space="preserve"> </w:t>
      </w:r>
      <w:r w:rsidR="00E44956" w:rsidRPr="003E0B98">
        <w:rPr>
          <w:color w:val="000000"/>
          <w:szCs w:val="22"/>
          <w:lang w:val="es-ES"/>
        </w:rPr>
        <w:t>En pacientes con DMAE exudativa, EMD</w:t>
      </w:r>
      <w:r w:rsidR="000B137F" w:rsidRPr="003E0B98">
        <w:rPr>
          <w:color w:val="000000"/>
          <w:szCs w:val="22"/>
          <w:lang w:val="es-ES"/>
        </w:rPr>
        <w:t>, RDP</w:t>
      </w:r>
      <w:r w:rsidR="00E44956" w:rsidRPr="003E0B98">
        <w:rPr>
          <w:color w:val="000000"/>
          <w:szCs w:val="22"/>
          <w:lang w:val="es-ES"/>
        </w:rPr>
        <w:t xml:space="preserve"> y OVR inicialmente pueden ser necesarias tres o más inyecciones consecutivas administradas mensualmente.</w:t>
      </w:r>
    </w:p>
    <w:p w14:paraId="5148EF7B" w14:textId="77777777" w:rsidR="00E36F43" w:rsidRPr="003E0B98" w:rsidRDefault="00E36F43" w:rsidP="004361AC">
      <w:pPr>
        <w:numPr>
          <w:ilvl w:val="12"/>
          <w:numId w:val="0"/>
        </w:numPr>
        <w:tabs>
          <w:tab w:val="clear" w:pos="567"/>
        </w:tabs>
        <w:spacing w:line="240" w:lineRule="auto"/>
        <w:ind w:right="-2"/>
        <w:rPr>
          <w:color w:val="000000"/>
          <w:szCs w:val="22"/>
          <w:lang w:val="es-ES"/>
        </w:rPr>
      </w:pPr>
    </w:p>
    <w:p w14:paraId="761813CD" w14:textId="77777777" w:rsidR="00E36F43" w:rsidRPr="003E0B98" w:rsidRDefault="00E36F43" w:rsidP="004361AC">
      <w:pPr>
        <w:numPr>
          <w:ilvl w:val="12"/>
          <w:numId w:val="0"/>
        </w:numPr>
        <w:tabs>
          <w:tab w:val="clear" w:pos="567"/>
        </w:tabs>
        <w:spacing w:line="240" w:lineRule="auto"/>
        <w:ind w:right="-2"/>
        <w:rPr>
          <w:color w:val="000000"/>
          <w:szCs w:val="22"/>
          <w:lang w:val="es-ES"/>
        </w:rPr>
      </w:pPr>
      <w:r w:rsidRPr="003E0B98">
        <w:rPr>
          <w:color w:val="000000"/>
          <w:szCs w:val="22"/>
          <w:lang w:val="es-ES"/>
        </w:rPr>
        <w:t>A partir de ese momento</w:t>
      </w:r>
      <w:r w:rsidR="00E44956" w:rsidRPr="003E0B98">
        <w:rPr>
          <w:color w:val="000000"/>
          <w:szCs w:val="22"/>
          <w:lang w:val="es-ES"/>
        </w:rPr>
        <w:t>, los intervalos de monitorización y tratamiento se deben determinar según criterio médico y en base a la actividad de la enfermedad, valorada mediante la agudeza visual y/o parámetros anatómicos.</w:t>
      </w:r>
    </w:p>
    <w:p w14:paraId="14BCA2AD" w14:textId="77777777" w:rsidR="00E36F43" w:rsidRPr="003E0B98" w:rsidRDefault="00E36F43" w:rsidP="004361AC">
      <w:pPr>
        <w:numPr>
          <w:ilvl w:val="12"/>
          <w:numId w:val="0"/>
        </w:numPr>
        <w:tabs>
          <w:tab w:val="clear" w:pos="567"/>
        </w:tabs>
        <w:spacing w:line="240" w:lineRule="auto"/>
        <w:ind w:right="-2"/>
        <w:rPr>
          <w:color w:val="000000"/>
          <w:szCs w:val="22"/>
          <w:lang w:val="es-ES"/>
        </w:rPr>
      </w:pPr>
    </w:p>
    <w:p w14:paraId="23B97C6C" w14:textId="77777777" w:rsidR="00E44956" w:rsidRPr="003E0B98" w:rsidRDefault="00E44956" w:rsidP="004361AC">
      <w:pPr>
        <w:numPr>
          <w:ilvl w:val="12"/>
          <w:numId w:val="0"/>
        </w:numPr>
        <w:tabs>
          <w:tab w:val="clear" w:pos="567"/>
        </w:tabs>
        <w:spacing w:line="240" w:lineRule="auto"/>
        <w:ind w:right="-2"/>
        <w:rPr>
          <w:color w:val="000000"/>
          <w:szCs w:val="22"/>
          <w:lang w:val="es-ES"/>
        </w:rPr>
      </w:pPr>
      <w:r w:rsidRPr="003E0B98">
        <w:rPr>
          <w:color w:val="000000"/>
          <w:szCs w:val="22"/>
          <w:lang w:val="es-ES"/>
        </w:rPr>
        <w:t xml:space="preserve">Se debe interrumpir el tratamiento con </w:t>
      </w:r>
      <w:proofErr w:type="spellStart"/>
      <w:r w:rsidRPr="003E0B98">
        <w:rPr>
          <w:color w:val="000000"/>
          <w:szCs w:val="22"/>
          <w:lang w:val="es-ES"/>
        </w:rPr>
        <w:t>Lucentis</w:t>
      </w:r>
      <w:proofErr w:type="spellEnd"/>
      <w:r w:rsidRPr="003E0B98">
        <w:rPr>
          <w:color w:val="000000"/>
          <w:szCs w:val="22"/>
          <w:lang w:val="es-ES"/>
        </w:rPr>
        <w:t xml:space="preserve"> si bajo criterio del médico, los parámetros visuales y anatómicos indican que el paciente no se está beneficiando del tratamiento continuado.</w:t>
      </w:r>
    </w:p>
    <w:p w14:paraId="1DE71035" w14:textId="77777777" w:rsidR="00E44956" w:rsidRPr="003E0B98" w:rsidRDefault="00E44956" w:rsidP="004361AC">
      <w:pPr>
        <w:numPr>
          <w:ilvl w:val="12"/>
          <w:numId w:val="0"/>
        </w:numPr>
        <w:tabs>
          <w:tab w:val="clear" w:pos="567"/>
        </w:tabs>
        <w:spacing w:line="240" w:lineRule="auto"/>
        <w:ind w:right="-2"/>
        <w:rPr>
          <w:color w:val="000000"/>
          <w:szCs w:val="22"/>
          <w:lang w:val="es-ES"/>
        </w:rPr>
      </w:pPr>
    </w:p>
    <w:p w14:paraId="446573FB" w14:textId="77777777" w:rsidR="00E44956" w:rsidRPr="003E0B98" w:rsidRDefault="00E44956" w:rsidP="004361AC">
      <w:pPr>
        <w:numPr>
          <w:ilvl w:val="12"/>
          <w:numId w:val="0"/>
        </w:numPr>
        <w:tabs>
          <w:tab w:val="clear" w:pos="567"/>
        </w:tabs>
        <w:spacing w:line="240" w:lineRule="auto"/>
        <w:ind w:right="-2"/>
        <w:rPr>
          <w:color w:val="000000"/>
          <w:szCs w:val="22"/>
          <w:lang w:val="es-ES"/>
        </w:rPr>
      </w:pPr>
      <w:r w:rsidRPr="003E0B98">
        <w:rPr>
          <w:color w:val="000000"/>
          <w:szCs w:val="22"/>
          <w:lang w:val="es-ES"/>
        </w:rPr>
        <w:t>La monitorización para determinar la actividad de la enfermedad puede incluir examen clínico, control funcional o técnicas de imagen (p. ej. tomografía de coherencia óptica o angiografía con fluoresceína).</w:t>
      </w:r>
    </w:p>
    <w:p w14:paraId="031F3CE7" w14:textId="77777777" w:rsidR="00E44956" w:rsidRPr="003E0B98" w:rsidRDefault="00E44956" w:rsidP="004361AC">
      <w:pPr>
        <w:numPr>
          <w:ilvl w:val="12"/>
          <w:numId w:val="0"/>
        </w:numPr>
        <w:tabs>
          <w:tab w:val="clear" w:pos="567"/>
        </w:tabs>
        <w:spacing w:line="240" w:lineRule="auto"/>
        <w:ind w:right="-2"/>
        <w:rPr>
          <w:color w:val="000000"/>
          <w:szCs w:val="22"/>
          <w:lang w:val="es-ES"/>
        </w:rPr>
      </w:pPr>
    </w:p>
    <w:p w14:paraId="60701FCA" w14:textId="72D7473B" w:rsidR="00E44956" w:rsidRPr="003E0B98" w:rsidRDefault="00E44956" w:rsidP="004361AC">
      <w:pPr>
        <w:numPr>
          <w:ilvl w:val="12"/>
          <w:numId w:val="0"/>
        </w:numPr>
        <w:tabs>
          <w:tab w:val="clear" w:pos="567"/>
        </w:tabs>
        <w:spacing w:line="240" w:lineRule="auto"/>
        <w:ind w:right="-2"/>
        <w:rPr>
          <w:color w:val="000000"/>
          <w:szCs w:val="22"/>
          <w:lang w:val="es-ES"/>
        </w:rPr>
      </w:pPr>
      <w:r w:rsidRPr="003E0B98">
        <w:rPr>
          <w:color w:val="000000"/>
          <w:szCs w:val="22"/>
          <w:lang w:val="es-ES"/>
        </w:rPr>
        <w:t xml:space="preserve">Si se está tratando a los pacientes </w:t>
      </w:r>
      <w:proofErr w:type="gramStart"/>
      <w:r w:rsidRPr="003E0B98">
        <w:rPr>
          <w:color w:val="000000"/>
          <w:szCs w:val="22"/>
          <w:lang w:val="es-ES"/>
        </w:rPr>
        <w:t>de acuerdo a</w:t>
      </w:r>
      <w:proofErr w:type="gramEnd"/>
      <w:r w:rsidRPr="003E0B98">
        <w:rPr>
          <w:color w:val="000000"/>
          <w:szCs w:val="22"/>
          <w:lang w:val="es-ES"/>
        </w:rPr>
        <w:t xml:space="preserve"> un régimen de tratar y extender, una vez se ha alcanzado la agudeza visual máxima y/o no hay signos de actividad de la enfermedad, los intervalos de tratamiento se pueden espaciar de forma gradual hasta que vuelvan a aparecer signos de actividad de la enfermedad o alteración visual. En el caso de la DMAE exudativa el intervalo de tratamiento no debe espaciarse en más de dos semanas cada vez y en el caso del EMD se puede espaciar hasta un mes cada vez. Para la </w:t>
      </w:r>
      <w:r w:rsidR="000B137F" w:rsidRPr="003E0B98">
        <w:rPr>
          <w:color w:val="000000"/>
          <w:szCs w:val="22"/>
          <w:lang w:val="es-ES"/>
        </w:rPr>
        <w:t xml:space="preserve">RDP y la </w:t>
      </w:r>
      <w:r w:rsidRPr="003E0B98">
        <w:rPr>
          <w:color w:val="000000"/>
          <w:szCs w:val="22"/>
          <w:lang w:val="es-ES"/>
        </w:rPr>
        <w:t xml:space="preserve">OVR, los intervalos de tratamiento también pueden espaciarse de forma gradual, sin </w:t>
      </w:r>
      <w:proofErr w:type="gramStart"/>
      <w:r w:rsidRPr="003E0B98">
        <w:rPr>
          <w:color w:val="000000"/>
          <w:szCs w:val="22"/>
          <w:lang w:val="es-ES"/>
        </w:rPr>
        <w:t>embargo</w:t>
      </w:r>
      <w:proofErr w:type="gramEnd"/>
      <w:r w:rsidRPr="003E0B98">
        <w:rPr>
          <w:color w:val="000000"/>
          <w:szCs w:val="22"/>
          <w:lang w:val="es-ES"/>
        </w:rPr>
        <w:t xml:space="preserve"> los datos que hay no son suficientes para determinar la duración de estos intervalos. Si vuelve a aparecer actividad de la enfermedad, se debe acortar el intervalo de tratamiento de manera consecuente.</w:t>
      </w:r>
    </w:p>
    <w:p w14:paraId="4880793A" w14:textId="77777777" w:rsidR="003538D7" w:rsidRPr="003E0B98" w:rsidRDefault="003538D7" w:rsidP="004361AC">
      <w:pPr>
        <w:numPr>
          <w:ilvl w:val="12"/>
          <w:numId w:val="0"/>
        </w:numPr>
        <w:tabs>
          <w:tab w:val="clear" w:pos="567"/>
        </w:tabs>
        <w:spacing w:line="240" w:lineRule="auto"/>
        <w:ind w:right="-2"/>
        <w:rPr>
          <w:color w:val="000000"/>
          <w:szCs w:val="22"/>
          <w:lang w:val="es-ES"/>
        </w:rPr>
      </w:pPr>
    </w:p>
    <w:p w14:paraId="03B785AF" w14:textId="77777777" w:rsidR="00E44956" w:rsidRPr="003E0B98" w:rsidRDefault="003538D7" w:rsidP="004361AC">
      <w:pPr>
        <w:numPr>
          <w:ilvl w:val="12"/>
          <w:numId w:val="0"/>
        </w:numPr>
        <w:tabs>
          <w:tab w:val="clear" w:pos="567"/>
        </w:tabs>
        <w:spacing w:line="240" w:lineRule="auto"/>
        <w:ind w:right="-2"/>
        <w:rPr>
          <w:color w:val="000000"/>
          <w:szCs w:val="22"/>
          <w:lang w:val="es-ES"/>
        </w:rPr>
      </w:pPr>
      <w:r w:rsidRPr="003E0B98">
        <w:rPr>
          <w:color w:val="000000"/>
          <w:szCs w:val="22"/>
          <w:lang w:val="es-ES"/>
        </w:rPr>
        <w:t>El tratamiento de la alteración visual debida a NVC se debe determinar para cada paciente de forma individualizada en base a la actividad de la enfermedad. Algunos pacientes pueden necesitar sólo una inyección durante los primeros 12 meses; otros pueden necesitar tratamiento con mayor frecuencia, incluyendo una inyección mensual. En el caso de NVC secundaria a miopía patológica (MP), muchos pacientes pueden necesitar sólo una o dos inyecciones durante el primer año.</w:t>
      </w:r>
    </w:p>
    <w:p w14:paraId="3290355C" w14:textId="77777777" w:rsidR="00E36F43" w:rsidRPr="003E0B98" w:rsidRDefault="00E36F43" w:rsidP="004361AC">
      <w:pPr>
        <w:tabs>
          <w:tab w:val="clear" w:pos="567"/>
        </w:tabs>
        <w:spacing w:line="240" w:lineRule="auto"/>
        <w:rPr>
          <w:color w:val="000000"/>
          <w:szCs w:val="22"/>
          <w:lang w:val="es-ES"/>
        </w:rPr>
      </w:pPr>
    </w:p>
    <w:p w14:paraId="615BD965" w14:textId="77777777" w:rsidR="00E36F43" w:rsidRPr="003E0B98" w:rsidRDefault="00E36F43" w:rsidP="004361AC">
      <w:pPr>
        <w:keepNext/>
        <w:tabs>
          <w:tab w:val="clear" w:pos="567"/>
        </w:tabs>
        <w:spacing w:line="240" w:lineRule="auto"/>
        <w:rPr>
          <w:i/>
          <w:color w:val="000000"/>
          <w:szCs w:val="22"/>
          <w:lang w:val="es-ES"/>
        </w:rPr>
      </w:pPr>
      <w:proofErr w:type="spellStart"/>
      <w:r w:rsidRPr="003E0B98">
        <w:rPr>
          <w:i/>
          <w:color w:val="000000"/>
          <w:szCs w:val="22"/>
          <w:lang w:val="es-ES"/>
        </w:rPr>
        <w:t>Lucentis</w:t>
      </w:r>
      <w:proofErr w:type="spellEnd"/>
      <w:r w:rsidRPr="003E0B98">
        <w:rPr>
          <w:i/>
          <w:color w:val="000000"/>
          <w:szCs w:val="22"/>
          <w:lang w:val="es-ES"/>
        </w:rPr>
        <w:t xml:space="preserve"> y fotocoagulación con láser en EMD y edema macular secundario a oclusión de la rama venosa retiniana (ORVR)</w:t>
      </w:r>
    </w:p>
    <w:p w14:paraId="1BAFE2C4" w14:textId="77777777" w:rsidR="00E36F43" w:rsidRPr="003E0B98" w:rsidRDefault="00E36F43" w:rsidP="004361AC">
      <w:pPr>
        <w:tabs>
          <w:tab w:val="clear" w:pos="567"/>
        </w:tabs>
        <w:spacing w:line="240" w:lineRule="auto"/>
        <w:rPr>
          <w:color w:val="000000"/>
          <w:szCs w:val="22"/>
          <w:lang w:val="es-ES_tradnl"/>
        </w:rPr>
      </w:pPr>
      <w:r w:rsidRPr="003E0B98">
        <w:rPr>
          <w:color w:val="000000"/>
          <w:szCs w:val="22"/>
          <w:lang w:val="es-ES"/>
        </w:rPr>
        <w:t xml:space="preserve">Existe alguna experiencia con </w:t>
      </w:r>
      <w:proofErr w:type="spellStart"/>
      <w:r w:rsidRPr="003E0B98">
        <w:rPr>
          <w:color w:val="000000"/>
          <w:szCs w:val="22"/>
          <w:lang w:val="es-ES"/>
        </w:rPr>
        <w:t>Lucentis</w:t>
      </w:r>
      <w:proofErr w:type="spellEnd"/>
      <w:r w:rsidRPr="003E0B98">
        <w:rPr>
          <w:color w:val="000000"/>
          <w:szCs w:val="22"/>
          <w:lang w:val="es-ES"/>
        </w:rPr>
        <w:t xml:space="preserve"> administrado concomitantemente con fotocoagulación con láser. Cuando se administren en el mismo día, </w:t>
      </w:r>
      <w:proofErr w:type="spellStart"/>
      <w:r w:rsidRPr="003E0B98">
        <w:rPr>
          <w:color w:val="000000"/>
          <w:szCs w:val="22"/>
          <w:lang w:val="es-ES"/>
        </w:rPr>
        <w:t>Lucentis</w:t>
      </w:r>
      <w:proofErr w:type="spellEnd"/>
      <w:r w:rsidRPr="003E0B98">
        <w:rPr>
          <w:color w:val="000000"/>
          <w:szCs w:val="22"/>
          <w:lang w:val="es-ES"/>
        </w:rPr>
        <w:t xml:space="preserve"> debe ser administrado como mínimo 30 minutos después de la fotocoagulación con láser. </w:t>
      </w:r>
      <w:proofErr w:type="spellStart"/>
      <w:r w:rsidRPr="003E0B98">
        <w:rPr>
          <w:color w:val="000000"/>
          <w:szCs w:val="22"/>
          <w:lang w:val="es-ES"/>
        </w:rPr>
        <w:t>Lucentis</w:t>
      </w:r>
      <w:proofErr w:type="spellEnd"/>
      <w:r w:rsidRPr="003E0B98">
        <w:rPr>
          <w:color w:val="000000"/>
          <w:szCs w:val="22"/>
          <w:lang w:val="es-ES"/>
        </w:rPr>
        <w:t xml:space="preserve"> puede administrarse en pacientes que han recibido fotocoagulación con láser previamente.</w:t>
      </w:r>
    </w:p>
    <w:p w14:paraId="459B4255" w14:textId="77777777" w:rsidR="00E36F43" w:rsidRPr="003E0B98" w:rsidRDefault="00E36F43" w:rsidP="004361AC">
      <w:pPr>
        <w:numPr>
          <w:ilvl w:val="12"/>
          <w:numId w:val="0"/>
        </w:numPr>
        <w:tabs>
          <w:tab w:val="clear" w:pos="567"/>
        </w:tabs>
        <w:spacing w:line="240" w:lineRule="auto"/>
        <w:ind w:right="-2"/>
        <w:rPr>
          <w:color w:val="000000"/>
          <w:szCs w:val="22"/>
          <w:lang w:val="es-ES_tradnl"/>
        </w:rPr>
      </w:pPr>
    </w:p>
    <w:p w14:paraId="704C9B81" w14:textId="77777777" w:rsidR="00E36F43" w:rsidRPr="003E0B98" w:rsidRDefault="00E36F43" w:rsidP="004361AC">
      <w:pPr>
        <w:keepNext/>
        <w:tabs>
          <w:tab w:val="clear" w:pos="567"/>
        </w:tabs>
        <w:spacing w:line="240" w:lineRule="auto"/>
        <w:rPr>
          <w:i/>
          <w:color w:val="000000"/>
          <w:szCs w:val="22"/>
          <w:lang w:val="es-ES"/>
        </w:rPr>
      </w:pPr>
      <w:proofErr w:type="spellStart"/>
      <w:r w:rsidRPr="003E0B98">
        <w:rPr>
          <w:i/>
          <w:color w:val="000000"/>
          <w:szCs w:val="22"/>
          <w:lang w:val="es-ES"/>
        </w:rPr>
        <w:t>Lucentis</w:t>
      </w:r>
      <w:proofErr w:type="spellEnd"/>
      <w:r w:rsidRPr="003E0B98">
        <w:rPr>
          <w:i/>
          <w:color w:val="000000"/>
          <w:szCs w:val="22"/>
          <w:lang w:val="es-ES"/>
        </w:rPr>
        <w:t xml:space="preserve"> y la terapia fotodinámica con </w:t>
      </w:r>
      <w:proofErr w:type="spellStart"/>
      <w:r w:rsidR="0022021E" w:rsidRPr="003E0B98">
        <w:rPr>
          <w:i/>
          <w:color w:val="000000"/>
          <w:szCs w:val="22"/>
          <w:lang w:val="es-ES"/>
        </w:rPr>
        <w:t>verteporfina</w:t>
      </w:r>
      <w:proofErr w:type="spellEnd"/>
      <w:r w:rsidRPr="003E0B98">
        <w:rPr>
          <w:i/>
          <w:color w:val="000000"/>
          <w:szCs w:val="22"/>
          <w:lang w:val="es-ES"/>
        </w:rPr>
        <w:t xml:space="preserve"> en la NVC secundaria a MP</w:t>
      </w:r>
    </w:p>
    <w:p w14:paraId="45F6A1E5" w14:textId="77777777" w:rsidR="00E36F43" w:rsidRPr="003E0B98" w:rsidRDefault="00E36F43" w:rsidP="004361AC">
      <w:pPr>
        <w:tabs>
          <w:tab w:val="clear" w:pos="567"/>
        </w:tabs>
        <w:spacing w:line="240" w:lineRule="auto"/>
        <w:rPr>
          <w:color w:val="000000"/>
          <w:szCs w:val="22"/>
          <w:lang w:val="es-ES"/>
        </w:rPr>
      </w:pPr>
      <w:r w:rsidRPr="003E0B98">
        <w:rPr>
          <w:color w:val="000000"/>
          <w:szCs w:val="22"/>
          <w:lang w:val="es-ES"/>
        </w:rPr>
        <w:t xml:space="preserve">No hay experiencia en la administración concomitante de </w:t>
      </w:r>
      <w:proofErr w:type="spellStart"/>
      <w:r w:rsidRPr="003E0B98">
        <w:rPr>
          <w:color w:val="000000"/>
          <w:szCs w:val="22"/>
          <w:lang w:val="es-ES"/>
        </w:rPr>
        <w:t>Lucentis</w:t>
      </w:r>
      <w:proofErr w:type="spellEnd"/>
      <w:r w:rsidRPr="003E0B98">
        <w:rPr>
          <w:color w:val="000000"/>
          <w:szCs w:val="22"/>
          <w:lang w:val="es-ES"/>
        </w:rPr>
        <w:t xml:space="preserve"> y </w:t>
      </w:r>
      <w:proofErr w:type="spellStart"/>
      <w:r w:rsidR="0022021E" w:rsidRPr="003E0B98">
        <w:rPr>
          <w:color w:val="000000"/>
          <w:szCs w:val="22"/>
          <w:lang w:val="es-ES"/>
        </w:rPr>
        <w:t>verteporfina</w:t>
      </w:r>
      <w:proofErr w:type="spellEnd"/>
      <w:r w:rsidRPr="003E0B98">
        <w:rPr>
          <w:color w:val="000000"/>
          <w:szCs w:val="22"/>
          <w:lang w:val="es-ES"/>
        </w:rPr>
        <w:t>.</w:t>
      </w:r>
    </w:p>
    <w:p w14:paraId="21AD95C0" w14:textId="77777777" w:rsidR="00E36F43" w:rsidRPr="003E0B98" w:rsidRDefault="00E36F43" w:rsidP="004361AC">
      <w:pPr>
        <w:numPr>
          <w:ilvl w:val="12"/>
          <w:numId w:val="0"/>
        </w:numPr>
        <w:tabs>
          <w:tab w:val="clear" w:pos="567"/>
        </w:tabs>
        <w:spacing w:line="240" w:lineRule="auto"/>
        <w:ind w:right="-2"/>
        <w:rPr>
          <w:color w:val="000000"/>
          <w:szCs w:val="22"/>
          <w:lang w:val="es-ES"/>
        </w:rPr>
      </w:pPr>
    </w:p>
    <w:p w14:paraId="1B56AC23" w14:textId="77777777" w:rsidR="00E36F43" w:rsidRPr="003E0B98" w:rsidRDefault="00E36F43" w:rsidP="004361AC">
      <w:pPr>
        <w:numPr>
          <w:ilvl w:val="12"/>
          <w:numId w:val="0"/>
        </w:numPr>
        <w:tabs>
          <w:tab w:val="clear" w:pos="567"/>
        </w:tabs>
        <w:spacing w:line="240" w:lineRule="auto"/>
        <w:ind w:right="-2"/>
        <w:rPr>
          <w:color w:val="000000"/>
          <w:szCs w:val="22"/>
          <w:lang w:val="es-ES_tradnl"/>
        </w:rPr>
      </w:pPr>
      <w:r w:rsidRPr="003E0B98">
        <w:rPr>
          <w:color w:val="000000"/>
          <w:szCs w:val="22"/>
          <w:lang w:val="es-ES"/>
        </w:rPr>
        <w:t xml:space="preserve">Antes de la administración de </w:t>
      </w:r>
      <w:proofErr w:type="spellStart"/>
      <w:r w:rsidRPr="003E0B98">
        <w:rPr>
          <w:color w:val="000000"/>
          <w:szCs w:val="22"/>
          <w:lang w:val="es-ES"/>
        </w:rPr>
        <w:t>Lucentis</w:t>
      </w:r>
      <w:proofErr w:type="spellEnd"/>
      <w:r w:rsidRPr="003E0B98">
        <w:rPr>
          <w:color w:val="000000"/>
          <w:szCs w:val="22"/>
          <w:lang w:val="es-ES"/>
        </w:rPr>
        <w:t xml:space="preserve"> se debe comprobar visualmente la ausencia de partículas y decoloración.</w:t>
      </w:r>
    </w:p>
    <w:p w14:paraId="671675D5" w14:textId="77777777" w:rsidR="00E36F43" w:rsidRPr="003E0B98" w:rsidRDefault="00E36F43" w:rsidP="004361AC">
      <w:pPr>
        <w:numPr>
          <w:ilvl w:val="12"/>
          <w:numId w:val="0"/>
        </w:numPr>
        <w:tabs>
          <w:tab w:val="clear" w:pos="567"/>
        </w:tabs>
        <w:spacing w:line="240" w:lineRule="auto"/>
        <w:ind w:right="-2"/>
        <w:rPr>
          <w:color w:val="000000"/>
          <w:szCs w:val="22"/>
          <w:lang w:val="es-ES_tradnl"/>
        </w:rPr>
      </w:pPr>
    </w:p>
    <w:p w14:paraId="63B35248" w14:textId="77777777" w:rsidR="00E36F43" w:rsidRPr="003E0B98" w:rsidRDefault="00E36F43" w:rsidP="004361AC">
      <w:pPr>
        <w:numPr>
          <w:ilvl w:val="12"/>
          <w:numId w:val="0"/>
        </w:numPr>
        <w:tabs>
          <w:tab w:val="clear" w:pos="567"/>
        </w:tabs>
        <w:spacing w:line="240" w:lineRule="auto"/>
        <w:ind w:right="-2"/>
        <w:rPr>
          <w:color w:val="000000"/>
          <w:szCs w:val="22"/>
          <w:lang w:val="es-ES"/>
        </w:rPr>
      </w:pPr>
      <w:r w:rsidRPr="003E0B98">
        <w:rPr>
          <w:color w:val="000000"/>
          <w:szCs w:val="22"/>
          <w:lang w:val="es-ES"/>
        </w:rPr>
        <w:t xml:space="preserve">El procedimiento de inyección deberá llevarse a cabo bajo condiciones asépticas, que incluyen el lavado quirúrgico de las manos, el uso de guantes estériles, un campo estéril, un </w:t>
      </w:r>
      <w:proofErr w:type="spellStart"/>
      <w:r w:rsidRPr="003E0B98">
        <w:rPr>
          <w:color w:val="000000"/>
          <w:szCs w:val="22"/>
          <w:lang w:val="es-ES"/>
        </w:rPr>
        <w:t>blefarostato</w:t>
      </w:r>
      <w:proofErr w:type="spellEnd"/>
      <w:r w:rsidRPr="003E0B98">
        <w:rPr>
          <w:color w:val="000000"/>
          <w:szCs w:val="22"/>
          <w:lang w:val="es-ES"/>
        </w:rPr>
        <w:t xml:space="preserve"> estéril para los párpados (o equivalente) y la disponibilidad de una paracentesis estéril (en caso necesario). Antes de realizar el procedimiento de inyección intravítrea, se deberá evaluar detalladamente la historia clínica del paciente en cuanto a reacciones de hipersensibilidad. Antes de la inyección se debe administrar una anestesia adecuada y un microbicida tópico de amplio espectro</w:t>
      </w:r>
      <w:r w:rsidR="00064432" w:rsidRPr="003E0B98">
        <w:rPr>
          <w:color w:val="000000"/>
          <w:szCs w:val="22"/>
          <w:lang w:val="es-ES"/>
        </w:rPr>
        <w:t xml:space="preserve"> para desinfectar la piel de la zona periocular, párpado y superficie ocular, de acuerdo con la práctica local</w:t>
      </w:r>
      <w:r w:rsidRPr="003E0B98">
        <w:rPr>
          <w:color w:val="000000"/>
          <w:szCs w:val="22"/>
          <w:lang w:val="es-ES"/>
        </w:rPr>
        <w:t>.</w:t>
      </w:r>
    </w:p>
    <w:p w14:paraId="71686F31" w14:textId="77777777" w:rsidR="00E36F43" w:rsidRPr="003E0B98" w:rsidRDefault="00E36F43" w:rsidP="004361AC">
      <w:pPr>
        <w:numPr>
          <w:ilvl w:val="12"/>
          <w:numId w:val="0"/>
        </w:numPr>
        <w:tabs>
          <w:tab w:val="clear" w:pos="567"/>
        </w:tabs>
        <w:spacing w:line="240" w:lineRule="auto"/>
        <w:ind w:right="-2"/>
        <w:rPr>
          <w:color w:val="000000"/>
          <w:szCs w:val="22"/>
          <w:lang w:val="es-ES"/>
        </w:rPr>
      </w:pPr>
    </w:p>
    <w:p w14:paraId="4E7E9F3D" w14:textId="77777777" w:rsidR="00E36F43" w:rsidRPr="003E0B98" w:rsidRDefault="00A629E4" w:rsidP="004361AC">
      <w:pPr>
        <w:numPr>
          <w:ilvl w:val="12"/>
          <w:numId w:val="0"/>
        </w:numPr>
        <w:tabs>
          <w:tab w:val="clear" w:pos="567"/>
        </w:tabs>
        <w:spacing w:line="240" w:lineRule="auto"/>
        <w:ind w:right="-2"/>
        <w:rPr>
          <w:color w:val="000000"/>
          <w:szCs w:val="22"/>
          <w:lang w:val="es-ES_tradnl"/>
        </w:rPr>
      </w:pPr>
      <w:r w:rsidRPr="003E0B98">
        <w:rPr>
          <w:color w:val="000000"/>
          <w:szCs w:val="22"/>
          <w:lang w:val="es-ES_tradnl"/>
        </w:rPr>
        <w:t>La jeringa precargada es para un solo uso. La jeringa precargada es estéril. No use el producto si el envase está deteriorado.</w:t>
      </w:r>
      <w:r w:rsidR="002E1225" w:rsidRPr="003E0B98">
        <w:rPr>
          <w:color w:val="000000"/>
          <w:szCs w:val="22"/>
          <w:lang w:val="es-ES_tradnl"/>
        </w:rPr>
        <w:t xml:space="preserve"> </w:t>
      </w:r>
      <w:r w:rsidR="00E36F43" w:rsidRPr="003E0B98">
        <w:rPr>
          <w:color w:val="000000"/>
          <w:szCs w:val="22"/>
          <w:lang w:val="es-ES_tradnl"/>
        </w:rPr>
        <w:t xml:space="preserve">La esterilidad </w:t>
      </w:r>
      <w:r w:rsidRPr="003E0B98">
        <w:rPr>
          <w:color w:val="000000"/>
          <w:szCs w:val="22"/>
          <w:lang w:val="es-ES_tradnl"/>
        </w:rPr>
        <w:t xml:space="preserve">de la jeringa precargada </w:t>
      </w:r>
      <w:r w:rsidR="00E36F43" w:rsidRPr="003E0B98">
        <w:rPr>
          <w:color w:val="000000"/>
          <w:szCs w:val="22"/>
          <w:lang w:val="es-ES_tradnl"/>
        </w:rPr>
        <w:t xml:space="preserve">sólo se puede garantizar si </w:t>
      </w:r>
      <w:r w:rsidRPr="003E0B98">
        <w:rPr>
          <w:color w:val="000000"/>
          <w:szCs w:val="22"/>
          <w:lang w:val="es-ES_tradnl"/>
        </w:rPr>
        <w:t>la bandeja</w:t>
      </w:r>
      <w:r w:rsidR="00E36F43" w:rsidRPr="003E0B98">
        <w:rPr>
          <w:color w:val="000000"/>
          <w:szCs w:val="22"/>
          <w:lang w:val="es-ES_tradnl"/>
        </w:rPr>
        <w:t xml:space="preserve"> se mantiene </w:t>
      </w:r>
      <w:r w:rsidRPr="003E0B98">
        <w:rPr>
          <w:color w:val="000000"/>
          <w:szCs w:val="22"/>
          <w:lang w:val="es-ES_tradnl"/>
        </w:rPr>
        <w:t>sellada</w:t>
      </w:r>
      <w:r w:rsidR="00E36F43" w:rsidRPr="003E0B98">
        <w:rPr>
          <w:color w:val="000000"/>
          <w:szCs w:val="22"/>
          <w:lang w:val="es-ES_tradnl"/>
        </w:rPr>
        <w:t xml:space="preserve">. </w:t>
      </w:r>
      <w:r w:rsidR="00043871" w:rsidRPr="003E0B98">
        <w:rPr>
          <w:color w:val="000000"/>
          <w:szCs w:val="22"/>
          <w:lang w:val="es-ES_tradnl"/>
        </w:rPr>
        <w:t>No use la jeringa precargada si la solución ha cambiado de color, está turbia o contiene partículas.</w:t>
      </w:r>
    </w:p>
    <w:p w14:paraId="6AAFCB7D" w14:textId="77777777" w:rsidR="00681FB0" w:rsidRPr="003E0B98" w:rsidRDefault="00681FB0" w:rsidP="004361AC">
      <w:pPr>
        <w:numPr>
          <w:ilvl w:val="12"/>
          <w:numId w:val="0"/>
        </w:numPr>
        <w:tabs>
          <w:tab w:val="clear" w:pos="567"/>
        </w:tabs>
        <w:spacing w:line="240" w:lineRule="auto"/>
        <w:ind w:right="-2"/>
        <w:rPr>
          <w:color w:val="000000"/>
          <w:szCs w:val="22"/>
          <w:lang w:val="es-ES_tradnl"/>
        </w:rPr>
      </w:pPr>
    </w:p>
    <w:p w14:paraId="751E5C90" w14:textId="77777777" w:rsidR="00681FB0" w:rsidRPr="003E0B98" w:rsidRDefault="00681FB0" w:rsidP="004361AC">
      <w:pPr>
        <w:tabs>
          <w:tab w:val="clear" w:pos="567"/>
        </w:tabs>
        <w:spacing w:line="240" w:lineRule="auto"/>
        <w:rPr>
          <w:color w:val="000000"/>
          <w:szCs w:val="22"/>
          <w:lang w:val="es-ES"/>
        </w:rPr>
      </w:pPr>
      <w:r w:rsidRPr="003E0B98">
        <w:rPr>
          <w:color w:val="000000"/>
          <w:szCs w:val="22"/>
          <w:lang w:val="es-ES"/>
        </w:rPr>
        <w:t>La jeringa precargada contiene más cantidad que la dosis recomendada de 0,5 mg. El volumen extraíble de la jeringa precargada (</w:t>
      </w:r>
      <w:r w:rsidR="002F3D35" w:rsidRPr="003E0B98">
        <w:rPr>
          <w:color w:val="000000"/>
          <w:szCs w:val="22"/>
          <w:lang w:val="es-ES"/>
        </w:rPr>
        <w:t>0,1 ml</w:t>
      </w:r>
      <w:r w:rsidRPr="003E0B98">
        <w:rPr>
          <w:color w:val="000000"/>
          <w:szCs w:val="22"/>
          <w:lang w:val="es-ES"/>
        </w:rPr>
        <w:t xml:space="preserve">) no se administrará en su totalidad. El exceso de volumen se debe expulsar antes de la inyección. Si se inyecta todo el volumen de la jeringa precargada puede dar lugar a una sobredosis. Para expulsar las burbujas de aire y el exceso de medicamento, presione lentamente el émbolo hasta que el borde inferior de la cúpula que </w:t>
      </w:r>
      <w:r w:rsidR="00C429C6" w:rsidRPr="003E0B98">
        <w:rPr>
          <w:color w:val="000000"/>
          <w:szCs w:val="22"/>
          <w:lang w:val="es-ES"/>
        </w:rPr>
        <w:t>forma</w:t>
      </w:r>
      <w:r w:rsidRPr="003E0B98">
        <w:rPr>
          <w:color w:val="000000"/>
          <w:szCs w:val="22"/>
          <w:lang w:val="es-ES"/>
        </w:rPr>
        <w:t xml:space="preserve"> el extremo del </w:t>
      </w:r>
      <w:r w:rsidR="00720145" w:rsidRPr="003E0B98">
        <w:rPr>
          <w:color w:val="000000"/>
          <w:szCs w:val="22"/>
          <w:lang w:val="es-ES"/>
        </w:rPr>
        <w:t>tapón</w:t>
      </w:r>
      <w:r w:rsidRPr="003E0B98">
        <w:rPr>
          <w:color w:val="000000"/>
          <w:szCs w:val="22"/>
          <w:lang w:val="es-ES"/>
        </w:rPr>
        <w:t xml:space="preserve"> de goma quede alineado con la línea negra de dosificación de la jeringa (equivalente a </w:t>
      </w:r>
      <w:r w:rsidR="002F3D35" w:rsidRPr="003E0B98">
        <w:rPr>
          <w:color w:val="000000"/>
          <w:szCs w:val="22"/>
          <w:lang w:val="es-ES"/>
        </w:rPr>
        <w:t>0,05 ml</w:t>
      </w:r>
      <w:r w:rsidRPr="003E0B98">
        <w:rPr>
          <w:color w:val="000000"/>
          <w:szCs w:val="22"/>
          <w:lang w:val="es-ES"/>
        </w:rPr>
        <w:t xml:space="preserve">, es decir, 0,5 mg de </w:t>
      </w:r>
      <w:proofErr w:type="spellStart"/>
      <w:r w:rsidRPr="003E0B98">
        <w:rPr>
          <w:color w:val="000000"/>
          <w:szCs w:val="22"/>
          <w:lang w:val="es-ES"/>
        </w:rPr>
        <w:t>ranibizumab</w:t>
      </w:r>
      <w:proofErr w:type="spellEnd"/>
      <w:r w:rsidRPr="003E0B98">
        <w:rPr>
          <w:color w:val="000000"/>
          <w:szCs w:val="22"/>
          <w:lang w:val="es-ES"/>
        </w:rPr>
        <w:t>).</w:t>
      </w:r>
    </w:p>
    <w:p w14:paraId="28D1FE92" w14:textId="77777777" w:rsidR="00681FB0" w:rsidRPr="003E0B98" w:rsidRDefault="00681FB0" w:rsidP="004361AC">
      <w:pPr>
        <w:tabs>
          <w:tab w:val="clear" w:pos="567"/>
        </w:tabs>
        <w:spacing w:line="240" w:lineRule="auto"/>
        <w:rPr>
          <w:color w:val="000000"/>
          <w:szCs w:val="22"/>
          <w:lang w:val="es-ES"/>
        </w:rPr>
      </w:pPr>
    </w:p>
    <w:p w14:paraId="1B1FDD11" w14:textId="77777777" w:rsidR="00681FB0" w:rsidRPr="003E0B98" w:rsidRDefault="00681FB0" w:rsidP="004361AC">
      <w:pPr>
        <w:tabs>
          <w:tab w:val="clear" w:pos="567"/>
        </w:tabs>
        <w:spacing w:line="240" w:lineRule="auto"/>
        <w:rPr>
          <w:color w:val="000000"/>
          <w:szCs w:val="22"/>
          <w:lang w:val="es-ES"/>
        </w:rPr>
      </w:pPr>
      <w:r w:rsidRPr="003E0B98">
        <w:rPr>
          <w:color w:val="000000"/>
          <w:szCs w:val="22"/>
          <w:lang w:val="es-ES"/>
        </w:rPr>
        <w:t>Para la inyección intravítrea, se debe usar una aguja para inyección estéril 30G x ½″.</w:t>
      </w:r>
    </w:p>
    <w:p w14:paraId="3070873B" w14:textId="77777777" w:rsidR="00681FB0" w:rsidRPr="003E0B98" w:rsidRDefault="00681FB0" w:rsidP="004361AC">
      <w:pPr>
        <w:tabs>
          <w:tab w:val="clear" w:pos="567"/>
        </w:tabs>
        <w:spacing w:line="240" w:lineRule="auto"/>
        <w:rPr>
          <w:color w:val="000000"/>
          <w:szCs w:val="22"/>
          <w:lang w:val="es-ES_tradnl"/>
        </w:rPr>
      </w:pPr>
    </w:p>
    <w:p w14:paraId="6800A2CB" w14:textId="77777777" w:rsidR="00681FB0" w:rsidRPr="003E0B98" w:rsidRDefault="00681FB0" w:rsidP="004361AC">
      <w:pPr>
        <w:keepNext/>
        <w:numPr>
          <w:ilvl w:val="12"/>
          <w:numId w:val="0"/>
        </w:numPr>
        <w:tabs>
          <w:tab w:val="clear" w:pos="567"/>
        </w:tabs>
        <w:spacing w:line="240" w:lineRule="auto"/>
        <w:rPr>
          <w:color w:val="000000"/>
          <w:szCs w:val="22"/>
          <w:lang w:val="es-ES_tradnl"/>
        </w:rPr>
      </w:pPr>
      <w:r w:rsidRPr="003E0B98">
        <w:rPr>
          <w:color w:val="000000"/>
          <w:szCs w:val="22"/>
          <w:lang w:val="es-ES_tradnl"/>
        </w:rPr>
        <w:t xml:space="preserve">Para la preparación de </w:t>
      </w:r>
      <w:proofErr w:type="spellStart"/>
      <w:r w:rsidRPr="003E0B98">
        <w:rPr>
          <w:color w:val="000000"/>
          <w:szCs w:val="22"/>
          <w:lang w:val="es-ES_tradnl"/>
        </w:rPr>
        <w:t>Lucentis</w:t>
      </w:r>
      <w:proofErr w:type="spellEnd"/>
      <w:r w:rsidRPr="003E0B98">
        <w:rPr>
          <w:color w:val="000000"/>
          <w:szCs w:val="22"/>
          <w:lang w:val="es-ES_tradnl"/>
        </w:rPr>
        <w:t xml:space="preserve"> para administración intravítrea, siga las instrucciones de uso:</w:t>
      </w:r>
    </w:p>
    <w:p w14:paraId="7B724712" w14:textId="77777777" w:rsidR="00E36F43" w:rsidRPr="003E0B98" w:rsidRDefault="00E36F43" w:rsidP="004361AC">
      <w:pPr>
        <w:keepNext/>
        <w:numPr>
          <w:ilvl w:val="12"/>
          <w:numId w:val="0"/>
        </w:numPr>
        <w:tabs>
          <w:tab w:val="clear" w:pos="567"/>
        </w:tabs>
        <w:spacing w:line="240" w:lineRule="auto"/>
        <w:rPr>
          <w:color w:val="000000"/>
          <w:szCs w:val="22"/>
          <w:lang w:val="es-ES_tradnl"/>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4395"/>
        <w:gridCol w:w="3118"/>
      </w:tblGrid>
      <w:tr w:rsidR="00681FB0" w:rsidRPr="003C169A" w14:paraId="10F966C6" w14:textId="77777777" w:rsidTr="005268B9">
        <w:trPr>
          <w:cantSplit/>
        </w:trPr>
        <w:tc>
          <w:tcPr>
            <w:tcW w:w="1701" w:type="dxa"/>
          </w:tcPr>
          <w:p w14:paraId="6A1D6B02" w14:textId="77777777" w:rsidR="00681FB0" w:rsidRPr="003E0B98" w:rsidRDefault="00681FB0" w:rsidP="004361AC">
            <w:pPr>
              <w:tabs>
                <w:tab w:val="clear" w:pos="567"/>
              </w:tabs>
              <w:spacing w:line="240" w:lineRule="auto"/>
              <w:rPr>
                <w:b/>
                <w:color w:val="000000"/>
                <w:szCs w:val="22"/>
              </w:rPr>
            </w:pPr>
            <w:proofErr w:type="spellStart"/>
            <w:r w:rsidRPr="003E0B98">
              <w:rPr>
                <w:b/>
                <w:color w:val="000000"/>
                <w:szCs w:val="22"/>
              </w:rPr>
              <w:t>Introducción</w:t>
            </w:r>
            <w:proofErr w:type="spellEnd"/>
          </w:p>
        </w:tc>
        <w:tc>
          <w:tcPr>
            <w:tcW w:w="7513" w:type="dxa"/>
            <w:gridSpan w:val="2"/>
          </w:tcPr>
          <w:p w14:paraId="059F141B" w14:textId="77777777" w:rsidR="00681FB0" w:rsidRPr="003E0B98" w:rsidRDefault="00681FB0" w:rsidP="004361AC">
            <w:pPr>
              <w:tabs>
                <w:tab w:val="clear" w:pos="567"/>
              </w:tabs>
              <w:spacing w:line="240" w:lineRule="auto"/>
              <w:rPr>
                <w:color w:val="000000"/>
                <w:szCs w:val="22"/>
                <w:lang w:val="es-ES"/>
              </w:rPr>
            </w:pPr>
            <w:r w:rsidRPr="003E0B98">
              <w:rPr>
                <w:color w:val="000000"/>
                <w:szCs w:val="22"/>
                <w:lang w:val="es-ES"/>
              </w:rPr>
              <w:t>Lea todas las instrucciones detenidamente antes de usar la jeringa precargada.</w:t>
            </w:r>
          </w:p>
          <w:p w14:paraId="42D30442" w14:textId="77777777" w:rsidR="00681FB0" w:rsidRPr="003E0B98" w:rsidRDefault="00681FB0" w:rsidP="004361AC">
            <w:pPr>
              <w:tabs>
                <w:tab w:val="clear" w:pos="567"/>
              </w:tabs>
              <w:spacing w:line="240" w:lineRule="auto"/>
              <w:rPr>
                <w:color w:val="000000"/>
                <w:szCs w:val="22"/>
                <w:lang w:val="es-ES"/>
              </w:rPr>
            </w:pPr>
            <w:r w:rsidRPr="003E0B98">
              <w:rPr>
                <w:color w:val="000000"/>
                <w:szCs w:val="22"/>
                <w:lang w:val="es-ES"/>
              </w:rPr>
              <w:t xml:space="preserve">La jeringa precargada es para un solo uso. La jeringa precargada es estéril. </w:t>
            </w:r>
            <w:r w:rsidRPr="003E0B98">
              <w:rPr>
                <w:color w:val="000000"/>
                <w:szCs w:val="22"/>
                <w:lang w:val="es-ES_tradnl"/>
              </w:rPr>
              <w:t>No usar el producto si el envase está deteriorado</w:t>
            </w:r>
            <w:r w:rsidRPr="003E0B98">
              <w:rPr>
                <w:color w:val="000000"/>
                <w:szCs w:val="22"/>
                <w:lang w:val="es-ES"/>
              </w:rPr>
              <w:t>. La apertura de la bandeja sellada y los siguientes pasos se deben realizar bajo condiciones asépticas.</w:t>
            </w:r>
          </w:p>
          <w:p w14:paraId="34573783" w14:textId="77777777" w:rsidR="00681FB0" w:rsidRPr="003E0B98" w:rsidRDefault="00681FB0" w:rsidP="004361AC">
            <w:pPr>
              <w:tabs>
                <w:tab w:val="clear" w:pos="567"/>
              </w:tabs>
              <w:spacing w:line="240" w:lineRule="auto"/>
              <w:rPr>
                <w:i/>
                <w:color w:val="000000"/>
                <w:szCs w:val="22"/>
                <w:lang w:val="es-ES"/>
              </w:rPr>
            </w:pPr>
            <w:r w:rsidRPr="003E0B98">
              <w:rPr>
                <w:b/>
                <w:color w:val="000000"/>
                <w:szCs w:val="22"/>
                <w:lang w:val="es-ES"/>
              </w:rPr>
              <w:t>Nota: La dosis a administrar se debe ajustar a 0,05 ml.</w:t>
            </w:r>
          </w:p>
        </w:tc>
      </w:tr>
      <w:tr w:rsidR="00681FB0" w:rsidRPr="003E0B98" w14:paraId="4726A980" w14:textId="77777777" w:rsidTr="005268B9">
        <w:trPr>
          <w:cantSplit/>
          <w:trHeight w:val="3173"/>
        </w:trPr>
        <w:tc>
          <w:tcPr>
            <w:tcW w:w="1701" w:type="dxa"/>
          </w:tcPr>
          <w:p w14:paraId="4AE866A9" w14:textId="77777777" w:rsidR="00681FB0" w:rsidRPr="003E0B98" w:rsidRDefault="00681FB0" w:rsidP="004361AC">
            <w:pPr>
              <w:tabs>
                <w:tab w:val="clear" w:pos="567"/>
              </w:tabs>
              <w:spacing w:line="240" w:lineRule="auto"/>
              <w:rPr>
                <w:b/>
                <w:color w:val="000000"/>
                <w:szCs w:val="22"/>
                <w:lang w:val="es-ES"/>
              </w:rPr>
            </w:pPr>
            <w:r w:rsidRPr="003E0B98">
              <w:rPr>
                <w:b/>
                <w:color w:val="000000"/>
                <w:szCs w:val="22"/>
                <w:lang w:val="es-ES"/>
              </w:rPr>
              <w:t>Descripción de la jeringa precargada</w:t>
            </w:r>
          </w:p>
        </w:tc>
        <w:tc>
          <w:tcPr>
            <w:tcW w:w="7513" w:type="dxa"/>
            <w:gridSpan w:val="2"/>
          </w:tcPr>
          <w:p w14:paraId="50B74C17" w14:textId="77777777" w:rsidR="00175E08" w:rsidRPr="003E0B98" w:rsidRDefault="00C240E6" w:rsidP="004361AC">
            <w:pPr>
              <w:spacing w:after="200" w:line="276" w:lineRule="auto"/>
              <w:rPr>
                <w:rFonts w:eastAsia="Calibri"/>
                <w:noProof/>
                <w:szCs w:val="22"/>
                <w:lang w:val="es-ES" w:eastAsia="en-GB"/>
              </w:rPr>
            </w:pPr>
            <w:r w:rsidRPr="003E0B98">
              <w:rPr>
                <w:rFonts w:eastAsia="Calibri"/>
                <w:noProof/>
                <w:szCs w:val="22"/>
                <w:lang w:val="es-ES" w:eastAsia="es-ES"/>
              </w:rPr>
              <mc:AlternateContent>
                <mc:Choice Requires="wps">
                  <w:drawing>
                    <wp:anchor distT="0" distB="0" distL="114300" distR="114300" simplePos="0" relativeHeight="251667968" behindDoc="0" locked="0" layoutInCell="1" allowOverlap="1" wp14:anchorId="4A1438C8" wp14:editId="04D33537">
                      <wp:simplePos x="0" y="0"/>
                      <wp:positionH relativeFrom="column">
                        <wp:posOffset>405130</wp:posOffset>
                      </wp:positionH>
                      <wp:positionV relativeFrom="paragraph">
                        <wp:posOffset>135255</wp:posOffset>
                      </wp:positionV>
                      <wp:extent cx="954405" cy="715010"/>
                      <wp:effectExtent l="0" t="0"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4405" cy="715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597F65" w14:textId="77777777" w:rsidR="00160989" w:rsidRPr="00B26220" w:rsidRDefault="00160989" w:rsidP="00175E08">
                                  <w:pPr>
                                    <w:jc w:val="center"/>
                                    <w:rPr>
                                      <w:rFonts w:eastAsia="MS PGothic"/>
                                      <w:color w:val="000000"/>
                                      <w:kern w:val="24"/>
                                      <w:szCs w:val="22"/>
                                      <w:lang w:val="es-ES"/>
                                    </w:rPr>
                                  </w:pPr>
                                  <w:r w:rsidRPr="00B26220">
                                    <w:rPr>
                                      <w:rFonts w:eastAsia="MS PGothic"/>
                                      <w:color w:val="000000"/>
                                      <w:kern w:val="24"/>
                                      <w:szCs w:val="22"/>
                                      <w:lang w:val="es-ES"/>
                                    </w:rPr>
                                    <w:t>Cápsula de cierre de la jeringa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A1438C8" id="_x0000_s1035" type="#_x0000_t202" style="position:absolute;margin-left:31.9pt;margin-top:10.65pt;width:75.15pt;height:56.3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1Ddk4gEAAKcDAAAOAAAAZHJzL2Uyb0RvYy54bWysU8Fu2zAMvQ/YPwi6L7aDZF2NOEXXosOA&#10;bh3Q7QNkWbKF2aJGKbGzrx8lp2m23YpeBJGUH997pDdX09CzvUJvwFa8WOScKSuhMbat+I/vd+8+&#10;cOaDsI3owaqKH5TnV9u3bzajK9USOugbhYxArC9HV/EuBFdmmZedGoRfgFOWihpwEIFCbLMGxUjo&#10;Q58t8/x9NgI2DkEq7yl7Oxf5NuFrrWR40NqrwPqKE7eQTkxnHc9suxFli8J1Rh5piBewGISx1PQE&#10;dSuCYDs0/0ENRiJ40GEhYchAayNV0kBqivwfNY+dcCppIXO8O9nkXw9Wft0/um/IwvQRJhpgEuHd&#10;Pcifnlm46YRt1TUijJ0SDTUuomXZ6Hx5/DRa7UsfQerxCzQ0ZLELkIAmjUN0hXQyQqcBHE6mqykw&#10;ScnL9WqVrzmTVLoo1uRC6iDKp48d+vBJwcDipeJIM03gYn/vQyQjyqcnsZeFO9P3aa69/StBD2Mm&#10;kY98Z+ZhqidmGiIS+0YtNTQHUoMwbwttN106wN+cjbQpFfe/dgIVZ/1nS45cFiSAVisFq/XFkgI8&#10;r9TnFWElQVU8cDZfb8K8jjuHpu2o0zwDC9fkojZJ4TOrI33ahiT8uLlx3c7j9Or5/9r+AQAA//8D&#10;AFBLAwQUAAYACAAAACEAGTxgBd4AAAAJAQAADwAAAGRycy9kb3ducmV2LnhtbEyPwU7DMBBE70j8&#10;g7WVuFE7SanaEKdCIK4gSluJmxtvk6jxOordJvw9ywmOoxnNvCk2k+vEFYfQetKQzBUIpMrblmoN&#10;u8/X+xWIEA1Z03lCDd8YYFPe3hQmt36kD7xuYy24hEJuNDQx9rmUoWrQmTD3PRJ7Jz84E1kOtbSD&#10;GbncdTJVaimdaYkXGtPjc4PVeXtxGvZvp6/DQr3XL+6hH/2kJLm11PpuNj09gog4xb8w/OIzOpTM&#10;dPQXskF0GpYZk0cNaZKBYD9NFgmIIwezbA2yLOT/B+UPAAAA//8DAFBLAQItABQABgAIAAAAIQC2&#10;gziS/gAAAOEBAAATAAAAAAAAAAAAAAAAAAAAAABbQ29udGVudF9UeXBlc10ueG1sUEsBAi0AFAAG&#10;AAgAAAAhADj9If/WAAAAlAEAAAsAAAAAAAAAAAAAAAAALwEAAF9yZWxzLy5yZWxzUEsBAi0AFAAG&#10;AAgAAAAhAHbUN2TiAQAApwMAAA4AAAAAAAAAAAAAAAAALgIAAGRycy9lMm9Eb2MueG1sUEsBAi0A&#10;FAAGAAgAAAAhABk8YAXeAAAACQEAAA8AAAAAAAAAAAAAAAAAPAQAAGRycy9kb3ducmV2LnhtbFBL&#10;BQYAAAAABAAEAPMAAABHBQAAAAA=&#10;" filled="f" stroked="f">
                      <v:textbox>
                        <w:txbxContent>
                          <w:p w14:paraId="51597F65" w14:textId="77777777" w:rsidR="00160989" w:rsidRPr="00B26220" w:rsidRDefault="00160989" w:rsidP="00175E08">
                            <w:pPr>
                              <w:jc w:val="center"/>
                              <w:rPr>
                                <w:rFonts w:eastAsia="MS PGothic"/>
                                <w:color w:val="000000"/>
                                <w:kern w:val="24"/>
                                <w:szCs w:val="22"/>
                                <w:lang w:val="es-ES"/>
                              </w:rPr>
                            </w:pPr>
                            <w:r w:rsidRPr="00B26220">
                              <w:rPr>
                                <w:rFonts w:eastAsia="MS PGothic"/>
                                <w:color w:val="000000"/>
                                <w:kern w:val="24"/>
                                <w:szCs w:val="22"/>
                                <w:lang w:val="es-ES"/>
                              </w:rPr>
                              <w:t>Cápsula de cierre de la jeringa</w:t>
                            </w:r>
                          </w:p>
                        </w:txbxContent>
                      </v:textbox>
                    </v:shape>
                  </w:pict>
                </mc:Fallback>
              </mc:AlternateContent>
            </w:r>
          </w:p>
          <w:p w14:paraId="22EF015F" w14:textId="77777777" w:rsidR="00175E08" w:rsidRPr="003E0B98" w:rsidRDefault="00C240E6" w:rsidP="004361AC">
            <w:pPr>
              <w:spacing w:after="200" w:line="276" w:lineRule="auto"/>
              <w:rPr>
                <w:rFonts w:eastAsia="Calibri"/>
                <w:noProof/>
                <w:szCs w:val="22"/>
                <w:lang w:val="es-ES" w:eastAsia="en-GB"/>
              </w:rPr>
            </w:pPr>
            <w:r w:rsidRPr="003E0B98">
              <w:rPr>
                <w:rFonts w:eastAsia="Calibri"/>
                <w:noProof/>
                <w:szCs w:val="22"/>
                <w:lang w:val="es-ES" w:eastAsia="es-ES"/>
              </w:rPr>
              <mc:AlternateContent>
                <mc:Choice Requires="wps">
                  <w:drawing>
                    <wp:anchor distT="0" distB="0" distL="114300" distR="114300" simplePos="0" relativeHeight="251674112" behindDoc="0" locked="0" layoutInCell="1" allowOverlap="1" wp14:anchorId="35AD2951" wp14:editId="4F16D3F4">
                      <wp:simplePos x="0" y="0"/>
                      <wp:positionH relativeFrom="column">
                        <wp:posOffset>2519045</wp:posOffset>
                      </wp:positionH>
                      <wp:positionV relativeFrom="paragraph">
                        <wp:posOffset>111760</wp:posOffset>
                      </wp:positionV>
                      <wp:extent cx="1229360" cy="257175"/>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936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BB1F0F" w14:textId="77777777" w:rsidR="00160989" w:rsidRPr="00803C66" w:rsidRDefault="00160989" w:rsidP="00175E08">
                                  <w:pPr>
                                    <w:jc w:val="center"/>
                                    <w:rPr>
                                      <w:rFonts w:eastAsia="MS PGothic"/>
                                      <w:color w:val="000000"/>
                                      <w:kern w:val="24"/>
                                      <w:szCs w:val="22"/>
                                      <w:lang w:val="de-CH"/>
                                    </w:rPr>
                                  </w:pPr>
                                  <w:r>
                                    <w:rPr>
                                      <w:rFonts w:eastAsia="MS PGothic"/>
                                      <w:color w:val="000000"/>
                                      <w:kern w:val="24"/>
                                      <w:szCs w:val="22"/>
                                      <w:lang w:val="de-CH"/>
                                    </w:rPr>
                                    <w:t>Aleta de sujeción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5AD2951" id="_x0000_s1036" type="#_x0000_t202" style="position:absolute;margin-left:198.35pt;margin-top:8.8pt;width:96.8pt;height:20.2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dtI4wEAAKkDAAAOAAAAZHJzL2Uyb0RvYy54bWysU9Fu0zAUfUfiHyy/0zShXVnUdBqbhpDG&#10;QBr7AMexG4vE11y7TcrXc+10XWFviBfL9nXOPefck/XV2Hdsr9AbsBXPZ3POlJXQGLut+NP3u3cf&#10;OPNB2EZ0YFXFD8rzq83bN+vBlaqAFrpGISMQ68vBVbwNwZVZ5mWreuFn4JSlogbsRaAjbrMGxUDo&#10;fZcV8/lFNgA2DkEq7+n2diryTcLXWsnwVWuvAusqTtxCWjGtdVyzzVqUWxSuNfJIQ/wDi14YS01P&#10;ULciCLZD8wqqNxLBgw4zCX0GWhupkgZSk8//UvPYCqeSFjLHu5NN/v/Byof9o/uGLIwfYaQBJhHe&#10;3YP84ZmFm1bYrbpGhKFVoqHGebQsG5wvj59Gq33pI0g9fIGGhix2ARLQqLGPrpBORug0gMPJdDUG&#10;JmPLorh8f0ElSbViucpXy9RClM9fO/Thk4KexU3FkYaa0MX+3ofIRpTPT2IzC3em69JgO/vHBT2M&#10;N4l9JDxRD2M9MtMQkxSHqKaG5kB6EKa8UL5p0wL+4mygrFTc/9wJVJx1ny15cpkvFjFc6bBYrgo6&#10;4HmlPq8IKwmq4oGzaXsTpkDuHJptS52mKVi4Jh+1SRJfWB35Ux6S8mN2Y+DOz+nVyx+2+Q0AAP//&#10;AwBQSwMEFAAGAAgAAAAhABjc3+ndAAAACQEAAA8AAABkcnMvZG93bnJldi54bWxMj01PwzAMhu9I&#10;/IfISNxYso11a2k6IRBXEPuSuGWN11ZrnKrJ1vLvMSe42XofvX6cr0fXiiv2ofGkYTpRIJBKbxuq&#10;NOy2bw8rECEasqb1hBq+McC6uL3JTWb9QJ943cRKcAmFzGioY+wyKUNZozNh4jskzk6+dyby2lfS&#10;9mbgctfKmVKJdKYhvlCbDl9qLM+bi9Owfz99HR7VR/XqFt3gRyXJpVLr+7vx+QlExDH+wfCrz+pQ&#10;sNPRX8gG0WqYp8mSUQ6WCQgGFqmagzjysJqCLHL5/4PiBwAA//8DAFBLAQItABQABgAIAAAAIQC2&#10;gziS/gAAAOEBAAATAAAAAAAAAAAAAAAAAAAAAABbQ29udGVudF9UeXBlc10ueG1sUEsBAi0AFAAG&#10;AAgAAAAhADj9If/WAAAAlAEAAAsAAAAAAAAAAAAAAAAALwEAAF9yZWxzLy5yZWxzUEsBAi0AFAAG&#10;AAgAAAAhAEAd20jjAQAAqQMAAA4AAAAAAAAAAAAAAAAALgIAAGRycy9lMm9Eb2MueG1sUEsBAi0A&#10;FAAGAAgAAAAhABjc3+ndAAAACQEAAA8AAAAAAAAAAAAAAAAAPQQAAGRycy9kb3ducmV2LnhtbFBL&#10;BQYAAAAABAAEAPMAAABHBQAAAAA=&#10;" filled="f" stroked="f">
                      <v:textbox>
                        <w:txbxContent>
                          <w:p w14:paraId="50BB1F0F" w14:textId="77777777" w:rsidR="00160989" w:rsidRPr="00803C66" w:rsidRDefault="00160989" w:rsidP="00175E08">
                            <w:pPr>
                              <w:jc w:val="center"/>
                              <w:rPr>
                                <w:rFonts w:eastAsia="MS PGothic"/>
                                <w:color w:val="000000"/>
                                <w:kern w:val="24"/>
                                <w:szCs w:val="22"/>
                                <w:lang w:val="de-CH"/>
                              </w:rPr>
                            </w:pPr>
                            <w:r>
                              <w:rPr>
                                <w:rFonts w:eastAsia="MS PGothic"/>
                                <w:color w:val="000000"/>
                                <w:kern w:val="24"/>
                                <w:szCs w:val="22"/>
                                <w:lang w:val="de-CH"/>
                              </w:rPr>
                              <w:t>Aleta de sujeción</w:t>
                            </w:r>
                          </w:p>
                        </w:txbxContent>
                      </v:textbox>
                    </v:shape>
                  </w:pict>
                </mc:Fallback>
              </mc:AlternateContent>
            </w:r>
            <w:r w:rsidRPr="003E0B98">
              <w:rPr>
                <w:rFonts w:eastAsia="Calibri"/>
                <w:noProof/>
                <w:szCs w:val="22"/>
                <w:lang w:val="es-ES" w:eastAsia="es-ES"/>
              </w:rPr>
              <mc:AlternateContent>
                <mc:Choice Requires="wps">
                  <w:drawing>
                    <wp:anchor distT="0" distB="0" distL="114300" distR="114300" simplePos="0" relativeHeight="251671040" behindDoc="0" locked="0" layoutInCell="1" allowOverlap="1" wp14:anchorId="39CE1514" wp14:editId="320B6726">
                      <wp:simplePos x="0" y="0"/>
                      <wp:positionH relativeFrom="column">
                        <wp:posOffset>1417320</wp:posOffset>
                      </wp:positionH>
                      <wp:positionV relativeFrom="paragraph">
                        <wp:posOffset>75565</wp:posOffset>
                      </wp:positionV>
                      <wp:extent cx="1101725" cy="424180"/>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1725" cy="424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54DD59" w14:textId="77777777" w:rsidR="00160989" w:rsidRPr="00136BB2" w:rsidRDefault="00160989" w:rsidP="00175E08">
                                  <w:pPr>
                                    <w:jc w:val="center"/>
                                    <w:rPr>
                                      <w:szCs w:val="22"/>
                                      <w:lang w:val="de-CH"/>
                                    </w:rPr>
                                  </w:pPr>
                                  <w:r>
                                    <w:rPr>
                                      <w:szCs w:val="22"/>
                                      <w:lang w:val="de-CH"/>
                                    </w:rPr>
                                    <w:t>Marca de dosis de 0,05 ml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9CE1514" id="_x0000_s1037" type="#_x0000_t202" style="position:absolute;margin-left:111.6pt;margin-top:5.95pt;width:86.75pt;height:33.4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Q/K4wEAAKkDAAAOAAAAZHJzL2Uyb0RvYy54bWysU9Fu1DAQfEfiHyy/c7lEKS3R5arSqgip&#10;UKTCBziOnVgkXrP2XXJ8PWvnej3gDfFi2V5ndmZ2srmex4HtFXoDtub5as2ZshJaY7uaf/t6/+aK&#10;Mx+EbcUAVtX8oDy/3r5+tZlcpQroYWgVMgKxvppczfsQXJVlXvZqFH4FTlkqasBRBDpil7UoJkIf&#10;h6xYr99mE2DrEKTynm7vliLfJnytlQyPWnsV2FBz4hbSimlt4pptN6LqULjeyCMN8Q8sRmEsNT1B&#10;3Ykg2A7NX1CjkQgedFhJGDPQ2kiVNJCafP2HmqdeOJW0kDnenWzy/w9Wft4/uS/IwvweZhpgEuHd&#10;A8jvnlm47YXt1A0iTL0SLTXOo2XZ5Hx1/DRa7SsfQZrpE7Q0ZLELkIBmjWN0hXQyQqcBHE6mqzkw&#10;GVvm6/yyuOBMUq0syvwqTSUT1fPXDn34oGBkcVNzpKEmdLF/8CGyEdXzk9jMwr0ZhjTYwf52QQ/j&#10;TWIfCS/Uw9zMzLSRSdQW1TTQHkgPwpIXyjdtesCfnE2UlZr7HzuBirPhoyVP3uVlGcOVDuXFZUEH&#10;PK805xVhJUHVPHC2bG/DEsidQ9P11GmZgoUb8lGbJPGF1ZE/5SEpP2Y3Bu78nF69/GHbXwAAAP//&#10;AwBQSwMEFAAGAAgAAAAhAFU48obeAAAACQEAAA8AAABkcnMvZG93bnJldi54bWxMj8tOwzAQRfeV&#10;+AdrkNi1dlNomhCnqkBsQZSHxM6Np0nUeBzFbhP+nmEFy9E9uvdMsZ1cJy44hNaThuVCgUCqvG2p&#10;1vD+9jTfgAjRkDWdJ9TwjQG25dWsMLn1I73iZR9rwSUUcqOhibHPpQxVg86Ehe+RODv6wZnI51BL&#10;O5iRy10nE6XW0pmWeKExPT40WJ32Z6fh4/n49XmrXupHd9ePflKSXCa1vrmedvcgIk7xD4ZffVaH&#10;kp0O/kw2iE5DkqwSRjlYZiAYWGXrFMRBQ7pJQZaF/P9B+QMAAP//AwBQSwECLQAUAAYACAAAACEA&#10;toM4kv4AAADhAQAAEwAAAAAAAAAAAAAAAAAAAAAAW0NvbnRlbnRfVHlwZXNdLnhtbFBLAQItABQA&#10;BgAIAAAAIQA4/SH/1gAAAJQBAAALAAAAAAAAAAAAAAAAAC8BAABfcmVscy8ucmVsc1BLAQItABQA&#10;BgAIAAAAIQCMsQ/K4wEAAKkDAAAOAAAAAAAAAAAAAAAAAC4CAABkcnMvZTJvRG9jLnhtbFBLAQIt&#10;ABQABgAIAAAAIQBVOPKG3gAAAAkBAAAPAAAAAAAAAAAAAAAAAD0EAABkcnMvZG93bnJldi54bWxQ&#10;SwUGAAAAAAQABADzAAAASAUAAAAA&#10;" filled="f" stroked="f">
                      <v:textbox>
                        <w:txbxContent>
                          <w:p w14:paraId="5654DD59" w14:textId="77777777" w:rsidR="00160989" w:rsidRPr="00136BB2" w:rsidRDefault="00160989" w:rsidP="00175E08">
                            <w:pPr>
                              <w:jc w:val="center"/>
                              <w:rPr>
                                <w:szCs w:val="22"/>
                                <w:lang w:val="de-CH"/>
                              </w:rPr>
                            </w:pPr>
                            <w:r>
                              <w:rPr>
                                <w:szCs w:val="22"/>
                                <w:lang w:val="de-CH"/>
                              </w:rPr>
                              <w:t>Marca de dosis de 0,05 ml</w:t>
                            </w:r>
                          </w:p>
                        </w:txbxContent>
                      </v:textbox>
                    </v:shape>
                  </w:pict>
                </mc:Fallback>
              </mc:AlternateContent>
            </w:r>
          </w:p>
          <w:p w14:paraId="46146C62" w14:textId="77777777" w:rsidR="00175E08" w:rsidRPr="003E0B98" w:rsidRDefault="00C240E6" w:rsidP="004361AC">
            <w:pPr>
              <w:spacing w:after="200" w:line="276" w:lineRule="auto"/>
              <w:ind w:firstLine="885"/>
              <w:rPr>
                <w:rFonts w:eastAsia="Calibri"/>
                <w:noProof/>
                <w:szCs w:val="22"/>
                <w:lang w:eastAsia="en-GB"/>
              </w:rPr>
            </w:pPr>
            <w:r w:rsidRPr="003E0B98">
              <w:rPr>
                <w:rFonts w:eastAsia="Calibri"/>
                <w:noProof/>
                <w:szCs w:val="22"/>
                <w:lang w:val="es-ES" w:eastAsia="es-ES"/>
              </w:rPr>
              <mc:AlternateContent>
                <mc:Choice Requires="wps">
                  <w:drawing>
                    <wp:anchor distT="0" distB="0" distL="114300" distR="114300" simplePos="0" relativeHeight="251677184" behindDoc="0" locked="0" layoutInCell="1" allowOverlap="1" wp14:anchorId="7A80F032" wp14:editId="3F8BB4BC">
                      <wp:simplePos x="0" y="0"/>
                      <wp:positionH relativeFrom="column">
                        <wp:posOffset>3046730</wp:posOffset>
                      </wp:positionH>
                      <wp:positionV relativeFrom="paragraph">
                        <wp:posOffset>1172845</wp:posOffset>
                      </wp:positionV>
                      <wp:extent cx="967740" cy="416560"/>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7740" cy="416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308B42" w14:textId="77777777" w:rsidR="00160989" w:rsidRPr="00803C66" w:rsidRDefault="00160989" w:rsidP="00175E08">
                                  <w:pPr>
                                    <w:jc w:val="center"/>
                                    <w:rPr>
                                      <w:rFonts w:eastAsia="MS PGothic"/>
                                      <w:color w:val="000000"/>
                                      <w:kern w:val="24"/>
                                      <w:szCs w:val="22"/>
                                      <w:lang w:val="de-CH"/>
                                    </w:rPr>
                                  </w:pPr>
                                  <w:r>
                                    <w:rPr>
                                      <w:rFonts w:eastAsia="MS PGothic"/>
                                      <w:color w:val="000000"/>
                                      <w:kern w:val="24"/>
                                      <w:szCs w:val="22"/>
                                      <w:lang w:val="de-CH"/>
                                    </w:rPr>
                                    <w:t>Émbolo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80F032" id="_x0000_s1038" type="#_x0000_t202" style="position:absolute;left:0;text-align:left;margin-left:239.9pt;margin-top:92.35pt;width:76.2pt;height:32.8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ie+4wEAAKgDAAAOAAAAZHJzL2Uyb0RvYy54bWysU9tu2zAMfR+wfxD0vjgO0mQ14hRdiw4D&#10;ugvQ7QNoWY6F2aJGKbGzrx8lp2m2vQ17EURSPjznkN7cjH0nDpq8QVvKfDaXQluFtbG7Un77+vDm&#10;rRQ+gK2hQ6tLedRe3mxfv9oMrtALbLGrNQkGsb4YXCnbEFyRZV61ugc/Q6ctFxukHgKHtMtqgoHR&#10;+y5bzOerbECqHaHS3nP2firKbcJvGq3C56bxOoiulMwtpJPSWcUz226g2BG41qgTDfgHFj0Yy03P&#10;UPcQQOzJ/AXVG0XosQkzhX2GTWOUThpYTT7/Q81TC04nLWyOd2eb/P+DVZ8OT+4LiTC+w5EHmER4&#10;94jquxcW71qwO31LhEOroebGebQsG5wvTp9Gq33hI0g1fMSahwz7gAlobKiPrrBOweg8gOPZdD0G&#10;oTh5vVqvl1xRXFrmq6tVGkoGxfPHjnx4r7EX8VJK4pkmcDg8+hDJQPH8JPay+GC6Ls21s78l+GHM&#10;JPKR78Q8jNUoTM3KFlFaFFNhfWQ5hNO68HrzpUX6KcXAq1JK/2MPpKXoPli25DpfRgEhBcur9YID&#10;uqxUlxWwiqFKGaSYrndh2se9I7NrudM0BIu3bGNjksQXVif+vA5J+Wl1475dxunVyw+2/QUAAP//&#10;AwBQSwMEFAAGAAgAAAAhANQl57/fAAAACwEAAA8AAABkcnMvZG93bnJldi54bWxMj81OwzAQhO9I&#10;vIO1SNyoTZr+hThVBeIKagtI3Nx4m0SN11HsNuHtWU70OJrRzDf5enStuGAfGk8aHicKBFLpbUOV&#10;ho/968MSRIiGrGk9oYYfDLAubm9yk1k/0BYvu1gJLqGQGQ11jF0mZShrdCZMfIfE3tH3zkSWfSVt&#10;bwYud61MlJpLZxrihdp0+FxjedqdnYbPt+P3V6reqxc36wY/KkluJbW+vxs3TyAijvE/DH/4jA4F&#10;Mx38mWwQrYZ0sWL0yMYyXYDgxHyaJCAOGpKZmoIscnn9ofgFAAD//wMAUEsBAi0AFAAGAAgAAAAh&#10;ALaDOJL+AAAA4QEAABMAAAAAAAAAAAAAAAAAAAAAAFtDb250ZW50X1R5cGVzXS54bWxQSwECLQAU&#10;AAYACAAAACEAOP0h/9YAAACUAQAACwAAAAAAAAAAAAAAAAAvAQAAX3JlbHMvLnJlbHNQSwECLQAU&#10;AAYACAAAACEAkpInvuMBAACoAwAADgAAAAAAAAAAAAAAAAAuAgAAZHJzL2Uyb0RvYy54bWxQSwEC&#10;LQAUAAYACAAAACEA1CXnv98AAAALAQAADwAAAAAAAAAAAAAAAAA9BAAAZHJzL2Rvd25yZXYueG1s&#10;UEsFBgAAAAAEAAQA8wAAAEkFAAAAAA==&#10;" filled="f" stroked="f">
                      <v:textbox>
                        <w:txbxContent>
                          <w:p w14:paraId="2B308B42" w14:textId="77777777" w:rsidR="00160989" w:rsidRPr="00803C66" w:rsidRDefault="00160989" w:rsidP="00175E08">
                            <w:pPr>
                              <w:jc w:val="center"/>
                              <w:rPr>
                                <w:rFonts w:eastAsia="MS PGothic"/>
                                <w:color w:val="000000"/>
                                <w:kern w:val="24"/>
                                <w:szCs w:val="22"/>
                                <w:lang w:val="de-CH"/>
                              </w:rPr>
                            </w:pPr>
                            <w:r>
                              <w:rPr>
                                <w:rFonts w:eastAsia="MS PGothic"/>
                                <w:color w:val="000000"/>
                                <w:kern w:val="24"/>
                                <w:szCs w:val="22"/>
                                <w:lang w:val="de-CH"/>
                              </w:rPr>
                              <w:t>Émbolo</w:t>
                            </w:r>
                          </w:p>
                        </w:txbxContent>
                      </v:textbox>
                    </v:shape>
                  </w:pict>
                </mc:Fallback>
              </mc:AlternateContent>
            </w:r>
            <w:r w:rsidRPr="003E0B98">
              <w:rPr>
                <w:rFonts w:eastAsia="Calibri"/>
                <w:noProof/>
                <w:szCs w:val="22"/>
                <w:lang w:val="es-ES" w:eastAsia="es-ES"/>
              </w:rPr>
              <mc:AlternateContent>
                <mc:Choice Requires="wps">
                  <w:drawing>
                    <wp:anchor distT="0" distB="0" distL="114300" distR="114300" simplePos="0" relativeHeight="251680256" behindDoc="0" locked="0" layoutInCell="1" allowOverlap="1" wp14:anchorId="6DA172D3" wp14:editId="65BF0362">
                      <wp:simplePos x="0" y="0"/>
                      <wp:positionH relativeFrom="column">
                        <wp:posOffset>1518285</wp:posOffset>
                      </wp:positionH>
                      <wp:positionV relativeFrom="paragraph">
                        <wp:posOffset>1207770</wp:posOffset>
                      </wp:positionV>
                      <wp:extent cx="1337310" cy="440690"/>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440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80F7E0" w14:textId="77777777" w:rsidR="00160989" w:rsidRPr="00803C66" w:rsidRDefault="00160989" w:rsidP="00175E08">
                                  <w:pPr>
                                    <w:jc w:val="center"/>
                                    <w:rPr>
                                      <w:rFonts w:eastAsia="MS PGothic"/>
                                      <w:color w:val="000000"/>
                                      <w:kern w:val="24"/>
                                      <w:szCs w:val="22"/>
                                      <w:lang w:val="de-CH"/>
                                    </w:rPr>
                                  </w:pPr>
                                  <w:r w:rsidRPr="00B26220">
                                    <w:rPr>
                                      <w:rFonts w:eastAsia="MS PGothic"/>
                                      <w:color w:val="000000"/>
                                      <w:kern w:val="24"/>
                                      <w:szCs w:val="22"/>
                                      <w:lang w:val="de-CH"/>
                                    </w:rPr>
                                    <w:t>Tapón de</w:t>
                                  </w:r>
                                  <w:r>
                                    <w:rPr>
                                      <w:rFonts w:eastAsia="MS PGothic"/>
                                      <w:color w:val="000000"/>
                                      <w:kern w:val="24"/>
                                      <w:szCs w:val="22"/>
                                      <w:lang w:val="de-CH"/>
                                    </w:rPr>
                                    <w:t xml:space="preserve"> goma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DA172D3" id="_x0000_s1039" type="#_x0000_t202" style="position:absolute;left:0;text-align:left;margin-left:119.55pt;margin-top:95.1pt;width:105.3pt;height:34.7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ou74wEAAKkDAAAOAAAAZHJzL2Uyb0RvYy54bWysU9Fu0zAUfUfiHyy/0yRt2VjUdBqbhpDG&#10;QBp8gOPYiUXia67dJuXruXa6rsAb4sWyfZ1zzzn3ZHM9DT3bK/QGbMWLRc6ZshIaY9uKf/t6/+Yd&#10;Zz4I24gerKr4QXl+vX39ajO6Ui2hg75RyAjE+nJ0Fe9CcGWWedmpQfgFOGWpqAEHEeiIbdagGAl9&#10;6LNlnl9kI2DjEKTynm7v5iLfJnytlQyftfYqsL7ixC2kFdNaxzXbbkTZonCdkUca4h9YDMJYanqC&#10;uhNBsB2av6AGIxE86LCQMGSgtZEqaSA1Rf6HmqdOOJW0kDnenWzy/w9WPu6f3BdkYXoPEw0wifDu&#10;AeR3zyzcdsK26gYRxk6JhhoX0bJsdL48fhqt9qWPIPX4CRoastgFSECTxiG6QjoZodMADifT1RSY&#10;jC1Xq8tVQSVJtfU6v7hKU8lE+fy1Qx8+KBhY3FQcaagJXewffIhsRPn8JDazcG/6Pg22t79d0MN4&#10;k9hHwjP1MNUTM01kErVFNTU0B9KDMOeF8k2bDvAnZyNlpeL+x06g4qz/aMmTq4J4U7jSYf32ckkH&#10;PK/U5xVhJUFVPHA2b2/DHMidQ9N21GmegoUb8lGbJPGF1ZE/5SEpP2Y3Bu78nF69/GHbXwAAAP//&#10;AwBQSwMEFAAGAAgAAAAhAPQ7gnLeAAAACwEAAA8AAABkcnMvZG93bnJldi54bWxMj8tOwzAQRfdI&#10;/IM1SOyo3ZAWHOJUCMQW1PKQ2LnxNImIx1HsNuHvGVawHJ2re8+Um9n34oRj7AIZWC4UCKQ6uI4a&#10;A2+vT1e3IGKy5GwfCA18Y4RNdX5W2sKFibZ42qVGcAnFwhpoUxoKKWPdordxEQYkZocwepv4HBvp&#10;Rjtxue9lptRaetsRL7R2wIcW66/d0Rt4fz58fuTqpXn0q2EKs5LktTTm8mK+vwORcE5/YfjVZ3Wo&#10;2GkfjuSi6A1k13rJUQZaZSA4kef6BsSe0UqvQVal/P9D9QMAAP//AwBQSwECLQAUAAYACAAAACEA&#10;toM4kv4AAADhAQAAEwAAAAAAAAAAAAAAAAAAAAAAW0NvbnRlbnRfVHlwZXNdLnhtbFBLAQItABQA&#10;BgAIAAAAIQA4/SH/1gAAAJQBAAALAAAAAAAAAAAAAAAAAC8BAABfcmVscy8ucmVsc1BLAQItABQA&#10;BgAIAAAAIQDthou74wEAAKkDAAAOAAAAAAAAAAAAAAAAAC4CAABkcnMvZTJvRG9jLnhtbFBLAQIt&#10;ABQABgAIAAAAIQD0O4Jy3gAAAAsBAAAPAAAAAAAAAAAAAAAAAD0EAABkcnMvZG93bnJldi54bWxQ&#10;SwUGAAAAAAQABADzAAAASAUAAAAA&#10;" filled="f" stroked="f">
                      <v:textbox>
                        <w:txbxContent>
                          <w:p w14:paraId="4680F7E0" w14:textId="77777777" w:rsidR="00160989" w:rsidRPr="00803C66" w:rsidRDefault="00160989" w:rsidP="00175E08">
                            <w:pPr>
                              <w:jc w:val="center"/>
                              <w:rPr>
                                <w:rFonts w:eastAsia="MS PGothic"/>
                                <w:color w:val="000000"/>
                                <w:kern w:val="24"/>
                                <w:szCs w:val="22"/>
                                <w:lang w:val="de-CH"/>
                              </w:rPr>
                            </w:pPr>
                            <w:r w:rsidRPr="00B26220">
                              <w:rPr>
                                <w:rFonts w:eastAsia="MS PGothic"/>
                                <w:color w:val="000000"/>
                                <w:kern w:val="24"/>
                                <w:szCs w:val="22"/>
                                <w:lang w:val="de-CH"/>
                              </w:rPr>
                              <w:t>Tapón de</w:t>
                            </w:r>
                            <w:r>
                              <w:rPr>
                                <w:rFonts w:eastAsia="MS PGothic"/>
                                <w:color w:val="000000"/>
                                <w:kern w:val="24"/>
                                <w:szCs w:val="22"/>
                                <w:lang w:val="de-CH"/>
                              </w:rPr>
                              <w:t xml:space="preserve"> goma</w:t>
                            </w:r>
                          </w:p>
                        </w:txbxContent>
                      </v:textbox>
                    </v:shape>
                  </w:pict>
                </mc:Fallback>
              </mc:AlternateContent>
            </w:r>
            <w:r w:rsidRPr="003E0B98">
              <w:rPr>
                <w:rFonts w:eastAsia="Calibri"/>
                <w:noProof/>
                <w:szCs w:val="22"/>
                <w:lang w:val="es-ES" w:eastAsia="es-ES"/>
              </w:rPr>
              <mc:AlternateContent>
                <mc:Choice Requires="wps">
                  <w:drawing>
                    <wp:anchor distT="0" distB="0" distL="114300" distR="114300" simplePos="0" relativeHeight="251683328" behindDoc="0" locked="0" layoutInCell="1" allowOverlap="1" wp14:anchorId="6BF1B4D2" wp14:editId="32B2BD8C">
                      <wp:simplePos x="0" y="0"/>
                      <wp:positionH relativeFrom="column">
                        <wp:posOffset>760095</wp:posOffset>
                      </wp:positionH>
                      <wp:positionV relativeFrom="paragraph">
                        <wp:posOffset>1240155</wp:posOffset>
                      </wp:positionV>
                      <wp:extent cx="895350" cy="49784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497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A7B518" w14:textId="77777777" w:rsidR="00160989" w:rsidRPr="00803C66" w:rsidRDefault="00160989" w:rsidP="00175E08">
                                  <w:pPr>
                                    <w:jc w:val="center"/>
                                    <w:rPr>
                                      <w:rFonts w:eastAsia="MS PGothic"/>
                                      <w:color w:val="000000"/>
                                      <w:kern w:val="24"/>
                                      <w:szCs w:val="22"/>
                                      <w:lang w:val="de-CH"/>
                                    </w:rPr>
                                  </w:pPr>
                                  <w:r>
                                    <w:rPr>
                                      <w:rFonts w:eastAsia="MS PGothic"/>
                                      <w:color w:val="000000"/>
                                      <w:kern w:val="24"/>
                                      <w:szCs w:val="22"/>
                                      <w:lang w:val="de-CH"/>
                                    </w:rPr>
                                    <w:t>Luer lock</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BF1B4D2" id="_x0000_s1040" type="#_x0000_t202" style="position:absolute;left:0;text-align:left;margin-left:59.85pt;margin-top:97.65pt;width:70.5pt;height:39.2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8E5AEAAKgDAAAOAAAAZHJzL2Uyb0RvYy54bWysU8GO0zAQvSPxD5bvNG1J2TZqulp2tQhp&#10;WZAWPsBx7MQi8Zix26R8PWOn2y1wQ1wsz4zz5r03k+312HfsoNAbsCVfzOacKSuhNrYp+bev92/W&#10;nPkgbC06sKrkR+X59e71q+3gCrWEFrpaISMQ64vBlbwNwRVZ5mWreuFn4JSlogbsRaAQm6xGMRB6&#10;32XL+fxdNgDWDkEq7yl7NxX5LuFrrWT4rLVXgXUlJ24hnZjOKp7ZbiuKBoVrjTzREP/AohfGUtMz&#10;1J0Igu3R/AXVG4ngQYeZhD4DrY1USQOpWcz/UPPUCqeSFjLHu7NN/v/BysfDk/uCLIzvYaQBJhHe&#10;PYD87pmF21bYRt0gwtAqUVPjRbQsG5wvTp9Gq33hI0g1fIKahiz2ARLQqLGPrpBORug0gOPZdDUG&#10;Jim53qzerqgiqZRvrtZ5GkomiuePHfrwQUHP4qXkSDNN4OLw4EMkI4rnJ7GXhXvTdWmunf0tQQ9j&#10;JpGPfCfmYaxGZmpSlkdpUUwF9ZHkIEzrQutNlxbwJ2cDrUrJ/Y+9QMVZ99GSJZtFTqRZSEG+ulpS&#10;gJeV6rIirCSokgfOputtmPZx79A0LXWahmDhhmzUJkl8YXXiT+uQlJ9WN+7bZZxevfxgu18AAAD/&#10;/wMAUEsDBBQABgAIAAAAIQDOVA053gAAAAsBAAAPAAAAZHJzL2Rvd25yZXYueG1sTI9BT8MwDIXv&#10;SPsPkZF2Y8k2ttLSdEJMXEEMNolb1nhttcapmmwt/x5zgtt79tPz53wzulZcsQ+NJw3zmQKBVHrb&#10;UKXh8+Pl7gFEiIasaT2hhm8MsCkmN7nJrB/oHa+7WAkuoZAZDXWMXSZlKGt0Jsx8h8S7k++diWz7&#10;StreDFzuWrlQai2daYgv1KbD5xrL8+7iNOxfT1+He/VWbd2qG/yoJLlUaj29HZ8eQUQc418YfvEZ&#10;HQpmOvoL2SBa9vM04SiLdLUEwYnFWvHkyCJZJiCLXP7/ofgBAAD//wMAUEsBAi0AFAAGAAgAAAAh&#10;ALaDOJL+AAAA4QEAABMAAAAAAAAAAAAAAAAAAAAAAFtDb250ZW50X1R5cGVzXS54bWxQSwECLQAU&#10;AAYACAAAACEAOP0h/9YAAACUAQAACwAAAAAAAAAAAAAAAAAvAQAAX3JlbHMvLnJlbHNQSwECLQAU&#10;AAYACAAAACEAew/vBOQBAACoAwAADgAAAAAAAAAAAAAAAAAuAgAAZHJzL2Uyb0RvYy54bWxQSwEC&#10;LQAUAAYACAAAACEAzlQNOd4AAAALAQAADwAAAAAAAAAAAAAAAAA+BAAAZHJzL2Rvd25yZXYueG1s&#10;UEsFBgAAAAAEAAQA8wAAAEkFAAAAAA==&#10;" filled="f" stroked="f">
                      <v:textbox>
                        <w:txbxContent>
                          <w:p w14:paraId="38A7B518" w14:textId="77777777" w:rsidR="00160989" w:rsidRPr="00803C66" w:rsidRDefault="00160989" w:rsidP="00175E08">
                            <w:pPr>
                              <w:jc w:val="center"/>
                              <w:rPr>
                                <w:rFonts w:eastAsia="MS PGothic"/>
                                <w:color w:val="000000"/>
                                <w:kern w:val="24"/>
                                <w:szCs w:val="22"/>
                                <w:lang w:val="de-CH"/>
                              </w:rPr>
                            </w:pPr>
                            <w:r>
                              <w:rPr>
                                <w:rFonts w:eastAsia="MS PGothic"/>
                                <w:color w:val="000000"/>
                                <w:kern w:val="24"/>
                                <w:szCs w:val="22"/>
                                <w:lang w:val="de-CH"/>
                              </w:rPr>
                              <w:t>Luer lock</w:t>
                            </w:r>
                          </w:p>
                        </w:txbxContent>
                      </v:textbox>
                    </v:shape>
                  </w:pict>
                </mc:Fallback>
              </mc:AlternateContent>
            </w:r>
            <w:r w:rsidRPr="003E0B98">
              <w:rPr>
                <w:noProof/>
                <w:lang w:val="es-ES" w:eastAsia="es-ES"/>
              </w:rPr>
              <w:drawing>
                <wp:inline distT="0" distB="0" distL="0" distR="0" wp14:anchorId="0E1E7503" wp14:editId="417B9CB4">
                  <wp:extent cx="3219450" cy="1343025"/>
                  <wp:effectExtent l="0" t="0" r="0" b="0"/>
                  <wp:docPr id="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219450" cy="1343025"/>
                          </a:xfrm>
                          <a:prstGeom prst="rect">
                            <a:avLst/>
                          </a:prstGeom>
                          <a:noFill/>
                          <a:ln>
                            <a:noFill/>
                          </a:ln>
                        </pic:spPr>
                      </pic:pic>
                    </a:graphicData>
                  </a:graphic>
                </wp:inline>
              </w:drawing>
            </w:r>
          </w:p>
          <w:p w14:paraId="188EC166" w14:textId="77777777" w:rsidR="00681FB0" w:rsidRPr="003E0B98" w:rsidRDefault="00C240E6" w:rsidP="004361AC">
            <w:pPr>
              <w:spacing w:after="200" w:line="276" w:lineRule="auto"/>
              <w:rPr>
                <w:rFonts w:eastAsia="Calibri"/>
                <w:noProof/>
                <w:szCs w:val="22"/>
                <w:lang w:val="es-ES" w:eastAsia="en-GB"/>
              </w:rPr>
            </w:pPr>
            <w:r w:rsidRPr="003E0B98">
              <w:rPr>
                <w:rFonts w:ascii="NewsGothicBdBT-Reg" w:eastAsia="Calibri" w:hAnsi="NewsGothicBdBT-Reg" w:cs="NewsGothicBdBT-Reg"/>
                <w:noProof/>
                <w:sz w:val="18"/>
                <w:szCs w:val="18"/>
                <w:lang w:val="es-ES" w:eastAsia="es-ES"/>
              </w:rPr>
              <mc:AlternateContent>
                <mc:Choice Requires="wps">
                  <w:drawing>
                    <wp:anchor distT="0" distB="0" distL="114300" distR="114300" simplePos="0" relativeHeight="251661824" behindDoc="0" locked="0" layoutInCell="1" allowOverlap="1" wp14:anchorId="3E376A1A" wp14:editId="6EEE3093">
                      <wp:simplePos x="0" y="0"/>
                      <wp:positionH relativeFrom="column">
                        <wp:posOffset>1727835</wp:posOffset>
                      </wp:positionH>
                      <wp:positionV relativeFrom="paragraph">
                        <wp:posOffset>182880</wp:posOffset>
                      </wp:positionV>
                      <wp:extent cx="886460" cy="31877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6460" cy="318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C96F7D" w14:textId="77777777" w:rsidR="00160989" w:rsidRPr="00803C66" w:rsidRDefault="00160989" w:rsidP="00681FB0">
                                  <w:pPr>
                                    <w:jc w:val="center"/>
                                    <w:rPr>
                                      <w:rFonts w:eastAsia="MS PGothic"/>
                                      <w:b/>
                                      <w:color w:val="000000"/>
                                      <w:kern w:val="24"/>
                                      <w:szCs w:val="22"/>
                                      <w:lang w:val="de-CH"/>
                                    </w:rPr>
                                  </w:pPr>
                                  <w:r>
                                    <w:rPr>
                                      <w:rFonts w:eastAsia="MS PGothic"/>
                                      <w:b/>
                                      <w:color w:val="000000"/>
                                      <w:kern w:val="24"/>
                                      <w:szCs w:val="22"/>
                                      <w:lang w:val="de-CH"/>
                                    </w:rPr>
                                    <w:t>Figura 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376A1A" id="_x0000_s1041" type="#_x0000_t202" style="position:absolute;margin-left:136.05pt;margin-top:14.4pt;width:69.8pt;height:25.1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KR5AEAAKgDAAAOAAAAZHJzL2Uyb0RvYy54bWysU8GO0zAQvSPxD5bvNE3ptiVqulp2tQhp&#10;WZAWPsBx7MQi8Zix26R8PWOn2y1wQ1wsz4zz5r03k+312HfsoNAbsCXPZ3POlJVQG9uU/NvX+zcb&#10;znwQthYdWFXyo/L8evf61XZwhVpAC12tkBGI9cXgSt6G4Ios87JVvfAzcMpSUQP2IlCITVajGAi9&#10;77LFfL7KBsDaIUjlPWXvpiLfJXytlQyftfYqsK7kxC2kE9NZxTPbbUXRoHCtkSca4h9Y9MJYanqG&#10;uhNBsD2av6B6IxE86DCT0GegtZEqaSA1+fwPNU+tcCppIXO8O9vk/x+sfDw8uS/IwvgeRhpgEuHd&#10;A8jvnlm4bYVt1A0iDK0SNTXOo2XZ4Hxx+jRa7QsfQarhE9Q0ZLEPkIBGjX10hXQyQqcBHM+mqzEw&#10;ScnNZrVcUUVS6W2+Wa/TUDJRPH/s0IcPCnoWLyVHmmkCF4cHHyIZUTw/ib0s3JuuS3Pt7G8Jehgz&#10;iXzkOzEPYzUyU5OyqygtiqmgPpIchGldaL3p0gL+5GygVSm5/7EXqDjrPlqy5F2+XMbdSsHyar2g&#10;AC8r1WVFWElQJQ+cTdfbMO3j3qFpWuo0DcHCDdmoTZL4wurEn9YhKT+tbty3yzi9evnBdr8AAAD/&#10;/wMAUEsDBBQABgAIAAAAIQB26uK03gAAAAkBAAAPAAAAZHJzL2Rvd25yZXYueG1sTI/BTsMwDIbv&#10;SHuHyJO4saTVoFtpOk1DXEEMmLRb1nhtReNUTbaWt8ec4GbLn35/f7GZXCeuOITWk4ZkoUAgVd62&#10;VGv4eH++W4EI0ZA1nSfU8I0BNuXspjC59SO94XUfa8EhFHKjoYmxz6UMVYPOhIXvkfh29oMzkdeh&#10;lnYwI4e7TqZKPUhnWuIPjelx12D1tb84DZ8v5+NhqV7rJ3ffj35Sktxaan07n7aPICJO8Q+GX31W&#10;h5KdTv5CNohOQ5qlCaM8rLgCA8skyUCcNGRrBbIs5P8G5Q8AAAD//wMAUEsBAi0AFAAGAAgAAAAh&#10;ALaDOJL+AAAA4QEAABMAAAAAAAAAAAAAAAAAAAAAAFtDb250ZW50X1R5cGVzXS54bWxQSwECLQAU&#10;AAYACAAAACEAOP0h/9YAAACUAQAACwAAAAAAAAAAAAAAAAAvAQAAX3JlbHMvLnJlbHNQSwECLQAU&#10;AAYACAAAACEA49vykeQBAACoAwAADgAAAAAAAAAAAAAAAAAuAgAAZHJzL2Uyb0RvYy54bWxQSwEC&#10;LQAUAAYACAAAACEAduritN4AAAAJAQAADwAAAAAAAAAAAAAAAAA+BAAAZHJzL2Rvd25yZXYueG1s&#10;UEsFBgAAAAAEAAQA8wAAAEkFAAAAAA==&#10;" filled="f" stroked="f">
                      <v:textbox>
                        <w:txbxContent>
                          <w:p w14:paraId="34C96F7D" w14:textId="77777777" w:rsidR="00160989" w:rsidRPr="00803C66" w:rsidRDefault="00160989" w:rsidP="00681FB0">
                            <w:pPr>
                              <w:jc w:val="center"/>
                              <w:rPr>
                                <w:rFonts w:eastAsia="MS PGothic"/>
                                <w:b/>
                                <w:color w:val="000000"/>
                                <w:kern w:val="24"/>
                                <w:szCs w:val="22"/>
                                <w:lang w:val="de-CH"/>
                              </w:rPr>
                            </w:pPr>
                            <w:r>
                              <w:rPr>
                                <w:rFonts w:eastAsia="MS PGothic"/>
                                <w:b/>
                                <w:color w:val="000000"/>
                                <w:kern w:val="24"/>
                                <w:szCs w:val="22"/>
                                <w:lang w:val="de-CH"/>
                              </w:rPr>
                              <w:t>Figura 1</w:t>
                            </w:r>
                          </w:p>
                        </w:txbxContent>
                      </v:textbox>
                    </v:shape>
                  </w:pict>
                </mc:Fallback>
              </mc:AlternateContent>
            </w:r>
          </w:p>
          <w:p w14:paraId="379E18B5" w14:textId="77777777" w:rsidR="00681FB0" w:rsidRPr="003E0B98" w:rsidRDefault="00C240E6" w:rsidP="004361AC">
            <w:pPr>
              <w:tabs>
                <w:tab w:val="clear" w:pos="567"/>
              </w:tabs>
              <w:spacing w:line="240" w:lineRule="auto"/>
              <w:rPr>
                <w:i/>
                <w:color w:val="000000"/>
                <w:szCs w:val="22"/>
                <w:lang w:val="es-ES"/>
              </w:rPr>
            </w:pPr>
            <w:r w:rsidRPr="003E0B98">
              <w:rPr>
                <w:noProof/>
                <w:color w:val="000000"/>
                <w:szCs w:val="22"/>
                <w:lang w:val="es-ES" w:eastAsia="es-ES"/>
              </w:rPr>
              <mc:AlternateContent>
                <mc:Choice Requires="wps">
                  <w:drawing>
                    <wp:anchor distT="0" distB="0" distL="114300" distR="114300" simplePos="0" relativeHeight="251658752" behindDoc="0" locked="0" layoutInCell="1" allowOverlap="1" wp14:anchorId="42CA5C08" wp14:editId="683976A5">
                      <wp:simplePos x="0" y="0"/>
                      <wp:positionH relativeFrom="column">
                        <wp:posOffset>7254875</wp:posOffset>
                      </wp:positionH>
                      <wp:positionV relativeFrom="paragraph">
                        <wp:posOffset>2633980</wp:posOffset>
                      </wp:positionV>
                      <wp:extent cx="2160270" cy="675005"/>
                      <wp:effectExtent l="0" t="0" r="0" b="0"/>
                      <wp:wrapNone/>
                      <wp:docPr id="12"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60270" cy="675005"/>
                              </a:xfrm>
                              <a:prstGeom prst="rect">
                                <a:avLst/>
                              </a:prstGeom>
                              <a:noFill/>
                            </wps:spPr>
                            <wps:txbx>
                              <w:txbxContent>
                                <w:p w14:paraId="1F66F552" w14:textId="77777777" w:rsidR="00160989" w:rsidRDefault="00160989" w:rsidP="00681FB0">
                                  <w:pPr>
                                    <w:pStyle w:val="NormalWeb"/>
                                    <w:spacing w:before="0" w:beforeAutospacing="0" w:after="0" w:afterAutospacing="0"/>
                                    <w:textAlignment w:val="baseline"/>
                                  </w:pPr>
                                  <w:r w:rsidRPr="004B1825">
                                    <w:rPr>
                                      <w:rFonts w:ascii="Arial" w:eastAsia="MS PGothic" w:hAnsi="Arial"/>
                                      <w:color w:val="000000"/>
                                      <w:kern w:val="24"/>
                                      <w:sz w:val="40"/>
                                      <w:szCs w:val="40"/>
                                      <w:lang w:val="de-CH"/>
                                    </w:rPr>
                                    <w:t>Plunger</w:t>
                                  </w:r>
                                </w:p>
                                <w:p w14:paraId="4BDE16D7" w14:textId="77777777" w:rsidR="00160989" w:rsidRDefault="00160989" w:rsidP="00681FB0">
                                  <w:pPr>
                                    <w:pStyle w:val="NormalWeb"/>
                                    <w:spacing w:before="0" w:beforeAutospacing="0" w:after="0" w:afterAutospacing="0"/>
                                    <w:textAlignment w:val="baseline"/>
                                  </w:pPr>
                                  <w:r w:rsidRPr="004B1825">
                                    <w:rPr>
                                      <w:rFonts w:ascii="Arial" w:eastAsia="MS PGothic" w:hAnsi="Arial"/>
                                      <w:color w:val="000000"/>
                                      <w:kern w:val="24"/>
                                      <w:sz w:val="40"/>
                                      <w:szCs w:val="40"/>
                                      <w:lang w:val="de-CH"/>
                                    </w:rPr>
                                    <w:t xml:space="preserve">    Rod</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 w14:anchorId="42CA5C08" id="_x0000_s1042" type="#_x0000_t202" style="position:absolute;margin-left:571.25pt;margin-top:207.4pt;width:170.1pt;height:53.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oHrkAEAAAoDAAAOAAAAZHJzL2Uyb0RvYy54bWysUsFO4zAQvSPxD5bv1GklCoqaViwILohF&#10;Aj7AdezG2thjPG6T/v2O3dKudm8rLpPYM37z3ptZrEbXs52OaME3fDqpONNeQWv9puEf749Xt5xh&#10;kr6VPXjd8L1GvlpeXiyGUOsZdNC3OjIC8VgPoeFdSqEWAlWnncQJBO0paSA6megYN6KNciB014tZ&#10;Vc3FALENEZRGpNuHQ5IvC74xWqWfxqBOrG84cUslxhLXOYrlQtabKENn1ZGG/A8WTlpPTU9QDzJJ&#10;to32HyhnVQQEkyYKnABjrNJFA6mZVn+peetk0EULmYPhZBN+H6x62b2F18jS+ANGGmARgeEZ1C8k&#10;b8QQsD7WZE+xRqrOQkcTXf6SBEYPydv9yU89JqbocjadV7MbSinKzW+uq+o6Gy7Or0PE9KTBsfzT&#10;8EjzKgzk7hnTofSrJDfz8Gj7/ovXgUomlcb1yGxL/Oe5Qb5aQ7snXQONtuH4uZVRcxZTfw9lEzIa&#10;hrttIsTS6PzmqJoML1SPy5En+ue5VJ1XePkbAAD//wMAUEsDBBQABgAIAAAAIQBq7ZlZ3wAAAA0B&#10;AAAPAAAAZHJzL2Rvd25yZXYueG1sTI/LTsMwEEX3SPyDNUjsqOMogSrEqSoeEgs2lLB342kSNR5H&#10;sdukf890BcurObpzbrlZ3CDOOIXekwa1SkAgNd721Gqov98f1iBCNGTN4Ak1XDDAprq9KU1h/Uxf&#10;eN7FVnAJhcJo6GIcCylD06EzYeVHJL4d/ORM5Di10k5m5nI3yDRJHqUzPfGHzoz40mFz3J2chhjt&#10;Vl3qNxc+fpbP17lLmtzUWt/fLdtnEBGX+AfDVZ/VoWKnvT+RDWLgrLI0Z1ZDpjIecUWydfoEYq8h&#10;T5UCWZXy/4rqFwAA//8DAFBLAQItABQABgAIAAAAIQC2gziS/gAAAOEBAAATAAAAAAAAAAAAAAAA&#10;AAAAAABbQ29udGVudF9UeXBlc10ueG1sUEsBAi0AFAAGAAgAAAAhADj9If/WAAAAlAEAAAsAAAAA&#10;AAAAAAAAAAAALwEAAF9yZWxzLy5yZWxzUEsBAi0AFAAGAAgAAAAhAHoageuQAQAACgMAAA4AAAAA&#10;AAAAAAAAAAAALgIAAGRycy9lMm9Eb2MueG1sUEsBAi0AFAAGAAgAAAAhAGrtmVnfAAAADQEAAA8A&#10;AAAAAAAAAAAAAAAA6gMAAGRycy9kb3ducmV2LnhtbFBLBQYAAAAABAAEAPMAAAD2BAAAAAA=&#10;" filled="f" stroked="f">
                      <v:textbox style="mso-fit-shape-to-text:t">
                        <w:txbxContent>
                          <w:p w14:paraId="1F66F552" w14:textId="77777777" w:rsidR="00160989" w:rsidRDefault="00160989" w:rsidP="00681FB0">
                            <w:pPr>
                              <w:pStyle w:val="NormalWeb"/>
                              <w:spacing w:before="0" w:beforeAutospacing="0" w:after="0" w:afterAutospacing="0"/>
                              <w:textAlignment w:val="baseline"/>
                            </w:pPr>
                            <w:r w:rsidRPr="004B1825">
                              <w:rPr>
                                <w:rFonts w:ascii="Arial" w:eastAsia="MS PGothic" w:hAnsi="Arial"/>
                                <w:color w:val="000000"/>
                                <w:kern w:val="24"/>
                                <w:sz w:val="40"/>
                                <w:szCs w:val="40"/>
                                <w:lang w:val="de-CH"/>
                              </w:rPr>
                              <w:t>Plunger</w:t>
                            </w:r>
                          </w:p>
                          <w:p w14:paraId="4BDE16D7" w14:textId="77777777" w:rsidR="00160989" w:rsidRDefault="00160989" w:rsidP="00681FB0">
                            <w:pPr>
                              <w:pStyle w:val="NormalWeb"/>
                              <w:spacing w:before="0" w:beforeAutospacing="0" w:after="0" w:afterAutospacing="0"/>
                              <w:textAlignment w:val="baseline"/>
                            </w:pPr>
                            <w:r w:rsidRPr="004B1825">
                              <w:rPr>
                                <w:rFonts w:ascii="Arial" w:eastAsia="MS PGothic" w:hAnsi="Arial"/>
                                <w:color w:val="000000"/>
                                <w:kern w:val="24"/>
                                <w:sz w:val="40"/>
                                <w:szCs w:val="40"/>
                                <w:lang w:val="de-CH"/>
                              </w:rPr>
                              <w:t xml:space="preserve">    Rod</w:t>
                            </w:r>
                          </w:p>
                        </w:txbxContent>
                      </v:textbox>
                    </v:shape>
                  </w:pict>
                </mc:Fallback>
              </mc:AlternateContent>
            </w:r>
          </w:p>
        </w:tc>
      </w:tr>
      <w:tr w:rsidR="00681FB0" w:rsidRPr="003C169A" w14:paraId="68C5C4D3" w14:textId="77777777" w:rsidTr="005268B9">
        <w:trPr>
          <w:cantSplit/>
        </w:trPr>
        <w:tc>
          <w:tcPr>
            <w:tcW w:w="1701" w:type="dxa"/>
          </w:tcPr>
          <w:p w14:paraId="314173DC" w14:textId="77777777" w:rsidR="00681FB0" w:rsidRPr="003E0B98" w:rsidRDefault="00681FB0" w:rsidP="004361AC">
            <w:pPr>
              <w:tabs>
                <w:tab w:val="clear" w:pos="567"/>
              </w:tabs>
              <w:spacing w:line="240" w:lineRule="auto"/>
              <w:rPr>
                <w:color w:val="000000"/>
                <w:szCs w:val="22"/>
                <w:lang w:val="en-US"/>
              </w:rPr>
            </w:pPr>
            <w:proofErr w:type="spellStart"/>
            <w:r w:rsidRPr="003E0B98">
              <w:rPr>
                <w:b/>
                <w:color w:val="000000"/>
                <w:szCs w:val="22"/>
              </w:rPr>
              <w:t>Preparar</w:t>
            </w:r>
            <w:proofErr w:type="spellEnd"/>
          </w:p>
        </w:tc>
        <w:tc>
          <w:tcPr>
            <w:tcW w:w="7513" w:type="dxa"/>
            <w:gridSpan w:val="2"/>
          </w:tcPr>
          <w:p w14:paraId="37068907" w14:textId="77777777" w:rsidR="00681FB0" w:rsidRPr="003E0B98" w:rsidRDefault="00681FB0" w:rsidP="004361AC">
            <w:pPr>
              <w:tabs>
                <w:tab w:val="clear" w:pos="567"/>
              </w:tabs>
              <w:spacing w:line="240" w:lineRule="auto"/>
              <w:ind w:left="459" w:hanging="459"/>
              <w:rPr>
                <w:color w:val="000000"/>
                <w:szCs w:val="22"/>
                <w:lang w:val="es-ES"/>
              </w:rPr>
            </w:pPr>
            <w:r w:rsidRPr="003E0B98">
              <w:rPr>
                <w:color w:val="000000"/>
                <w:szCs w:val="22"/>
                <w:lang w:val="es-ES"/>
              </w:rPr>
              <w:t>1.</w:t>
            </w:r>
            <w:r w:rsidRPr="003E0B98">
              <w:rPr>
                <w:color w:val="000000"/>
                <w:szCs w:val="22"/>
                <w:lang w:val="es-ES"/>
              </w:rPr>
              <w:tab/>
              <w:t>Asegurarse que el envase contiene:</w:t>
            </w:r>
          </w:p>
          <w:p w14:paraId="10C39DAC" w14:textId="77777777" w:rsidR="00681FB0" w:rsidRPr="003E0B98" w:rsidRDefault="00681FB0" w:rsidP="004361AC">
            <w:pPr>
              <w:numPr>
                <w:ilvl w:val="0"/>
                <w:numId w:val="10"/>
              </w:numPr>
              <w:tabs>
                <w:tab w:val="clear" w:pos="357"/>
                <w:tab w:val="clear" w:pos="567"/>
              </w:tabs>
              <w:spacing w:line="240" w:lineRule="auto"/>
              <w:ind w:left="459" w:hanging="459"/>
              <w:rPr>
                <w:color w:val="000000"/>
                <w:szCs w:val="22"/>
                <w:lang w:val="es-ES"/>
              </w:rPr>
            </w:pPr>
            <w:r w:rsidRPr="003E0B98">
              <w:rPr>
                <w:color w:val="000000"/>
                <w:szCs w:val="22"/>
                <w:lang w:val="es-ES"/>
              </w:rPr>
              <w:t>una jeringa precargada estéril en una bandeja sellada.</w:t>
            </w:r>
          </w:p>
          <w:p w14:paraId="3B8497F1" w14:textId="77777777" w:rsidR="00681FB0" w:rsidRPr="003E0B98" w:rsidRDefault="00681FB0" w:rsidP="004361AC">
            <w:pPr>
              <w:tabs>
                <w:tab w:val="clear" w:pos="567"/>
              </w:tabs>
              <w:spacing w:line="240" w:lineRule="auto"/>
              <w:ind w:left="459" w:hanging="459"/>
              <w:rPr>
                <w:b/>
                <w:bCs/>
                <w:i/>
                <w:color w:val="000000"/>
                <w:szCs w:val="22"/>
                <w:lang w:val="es-ES"/>
              </w:rPr>
            </w:pPr>
            <w:r w:rsidRPr="003E0B98">
              <w:rPr>
                <w:color w:val="000000"/>
                <w:szCs w:val="22"/>
                <w:lang w:val="es-ES"/>
              </w:rPr>
              <w:t>2.</w:t>
            </w:r>
            <w:r w:rsidRPr="003E0B98">
              <w:rPr>
                <w:color w:val="000000"/>
                <w:szCs w:val="22"/>
                <w:lang w:val="es-ES"/>
              </w:rPr>
              <w:tab/>
              <w:t>Quitar la cubierta de la bandeja</w:t>
            </w:r>
            <w:r w:rsidR="00405C96" w:rsidRPr="003E0B98">
              <w:rPr>
                <w:color w:val="000000"/>
                <w:szCs w:val="22"/>
                <w:lang w:val="es-ES"/>
              </w:rPr>
              <w:t xml:space="preserve"> contenedora</w:t>
            </w:r>
            <w:r w:rsidRPr="003E0B98">
              <w:rPr>
                <w:color w:val="000000"/>
                <w:szCs w:val="22"/>
                <w:lang w:val="es-ES"/>
              </w:rPr>
              <w:t xml:space="preserve"> de la jeringa y, usando una técnica aséptica, extraer la jeringa cuidadosamente.</w:t>
            </w:r>
          </w:p>
        </w:tc>
      </w:tr>
      <w:tr w:rsidR="00681FB0" w:rsidRPr="003C169A" w14:paraId="315465CD" w14:textId="77777777" w:rsidTr="005268B9">
        <w:trPr>
          <w:cantSplit/>
        </w:trPr>
        <w:tc>
          <w:tcPr>
            <w:tcW w:w="1701" w:type="dxa"/>
          </w:tcPr>
          <w:p w14:paraId="061CCF69" w14:textId="77777777" w:rsidR="00681FB0" w:rsidRPr="003E0B98" w:rsidRDefault="00681FB0" w:rsidP="004361AC">
            <w:pPr>
              <w:tabs>
                <w:tab w:val="clear" w:pos="567"/>
              </w:tabs>
              <w:spacing w:line="240" w:lineRule="auto"/>
              <w:rPr>
                <w:b/>
                <w:color w:val="000000"/>
                <w:szCs w:val="22"/>
              </w:rPr>
            </w:pPr>
            <w:proofErr w:type="spellStart"/>
            <w:r w:rsidRPr="003E0B98">
              <w:rPr>
                <w:b/>
                <w:color w:val="000000"/>
                <w:szCs w:val="22"/>
              </w:rPr>
              <w:t>Comprobar</w:t>
            </w:r>
            <w:proofErr w:type="spellEnd"/>
            <w:r w:rsidRPr="003E0B98">
              <w:rPr>
                <w:b/>
                <w:color w:val="000000"/>
                <w:szCs w:val="22"/>
              </w:rPr>
              <w:t xml:space="preserve"> la </w:t>
            </w:r>
            <w:proofErr w:type="spellStart"/>
            <w:r w:rsidRPr="003E0B98">
              <w:rPr>
                <w:b/>
                <w:color w:val="000000"/>
                <w:szCs w:val="22"/>
              </w:rPr>
              <w:t>jeringa</w:t>
            </w:r>
            <w:proofErr w:type="spellEnd"/>
          </w:p>
        </w:tc>
        <w:tc>
          <w:tcPr>
            <w:tcW w:w="4395" w:type="dxa"/>
          </w:tcPr>
          <w:p w14:paraId="1A4DB32F" w14:textId="77777777" w:rsidR="00681FB0" w:rsidRPr="003E0B98" w:rsidRDefault="00681FB0" w:rsidP="004361AC">
            <w:pPr>
              <w:tabs>
                <w:tab w:val="clear" w:pos="567"/>
              </w:tabs>
              <w:spacing w:line="240" w:lineRule="auto"/>
              <w:ind w:left="459" w:hanging="459"/>
              <w:rPr>
                <w:color w:val="000000"/>
                <w:szCs w:val="22"/>
              </w:rPr>
            </w:pPr>
            <w:r w:rsidRPr="003E0B98">
              <w:rPr>
                <w:color w:val="000000"/>
                <w:szCs w:val="22"/>
              </w:rPr>
              <w:t>3.</w:t>
            </w:r>
            <w:r w:rsidRPr="003E0B98">
              <w:rPr>
                <w:color w:val="000000"/>
                <w:szCs w:val="22"/>
              </w:rPr>
              <w:tab/>
            </w:r>
            <w:proofErr w:type="spellStart"/>
            <w:r w:rsidRPr="003E0B98">
              <w:rPr>
                <w:color w:val="000000"/>
                <w:szCs w:val="22"/>
              </w:rPr>
              <w:t>Comprobar</w:t>
            </w:r>
            <w:proofErr w:type="spellEnd"/>
            <w:r w:rsidRPr="003E0B98">
              <w:rPr>
                <w:color w:val="000000"/>
                <w:szCs w:val="22"/>
              </w:rPr>
              <w:t xml:space="preserve"> que:</w:t>
            </w:r>
          </w:p>
          <w:p w14:paraId="31DFC2DB" w14:textId="77777777" w:rsidR="00681FB0" w:rsidRPr="003E0B98" w:rsidRDefault="006F0338" w:rsidP="004361AC">
            <w:pPr>
              <w:numPr>
                <w:ilvl w:val="0"/>
                <w:numId w:val="10"/>
              </w:numPr>
              <w:tabs>
                <w:tab w:val="clear" w:pos="357"/>
                <w:tab w:val="clear" w:pos="567"/>
              </w:tabs>
              <w:spacing w:line="240" w:lineRule="auto"/>
              <w:ind w:left="459" w:hanging="459"/>
              <w:rPr>
                <w:color w:val="000000"/>
                <w:szCs w:val="22"/>
                <w:lang w:val="es-ES"/>
              </w:rPr>
            </w:pPr>
            <w:r w:rsidRPr="003E0B98">
              <w:rPr>
                <w:color w:val="000000"/>
                <w:szCs w:val="22"/>
                <w:lang w:val="es-ES"/>
              </w:rPr>
              <w:t>la cápsula de cierre</w:t>
            </w:r>
            <w:r w:rsidR="00681FB0" w:rsidRPr="003E0B98">
              <w:rPr>
                <w:color w:val="000000"/>
                <w:szCs w:val="22"/>
                <w:lang w:val="es-ES"/>
              </w:rPr>
              <w:t xml:space="preserve"> de la jeringa no esté </w:t>
            </w:r>
            <w:proofErr w:type="gramStart"/>
            <w:r w:rsidR="00681FB0" w:rsidRPr="003E0B98">
              <w:rPr>
                <w:color w:val="000000"/>
                <w:szCs w:val="22"/>
                <w:lang w:val="es-ES"/>
              </w:rPr>
              <w:t>separado</w:t>
            </w:r>
            <w:proofErr w:type="gramEnd"/>
            <w:r w:rsidR="00681FB0" w:rsidRPr="003E0B98">
              <w:rPr>
                <w:color w:val="000000"/>
                <w:szCs w:val="22"/>
                <w:lang w:val="es-ES"/>
              </w:rPr>
              <w:t xml:space="preserve"> del </w:t>
            </w:r>
            <w:proofErr w:type="spellStart"/>
            <w:r w:rsidR="00681FB0" w:rsidRPr="003E0B98">
              <w:rPr>
                <w:color w:val="000000"/>
                <w:szCs w:val="22"/>
                <w:lang w:val="es-ES"/>
              </w:rPr>
              <w:t>Luer</w:t>
            </w:r>
            <w:proofErr w:type="spellEnd"/>
            <w:r w:rsidR="00681FB0" w:rsidRPr="003E0B98">
              <w:rPr>
                <w:color w:val="000000"/>
                <w:szCs w:val="22"/>
                <w:lang w:val="es-ES"/>
              </w:rPr>
              <w:t xml:space="preserve"> </w:t>
            </w:r>
            <w:proofErr w:type="spellStart"/>
            <w:r w:rsidR="00681FB0" w:rsidRPr="003E0B98">
              <w:rPr>
                <w:color w:val="000000"/>
                <w:szCs w:val="22"/>
                <w:lang w:val="es-ES"/>
              </w:rPr>
              <w:t>lock</w:t>
            </w:r>
            <w:proofErr w:type="spellEnd"/>
            <w:r w:rsidR="00681FB0" w:rsidRPr="003E0B98">
              <w:rPr>
                <w:color w:val="000000"/>
                <w:szCs w:val="22"/>
                <w:lang w:val="es-ES"/>
              </w:rPr>
              <w:t>.</w:t>
            </w:r>
          </w:p>
          <w:p w14:paraId="7043088C" w14:textId="77777777" w:rsidR="00681FB0" w:rsidRPr="003E0B98" w:rsidRDefault="00681FB0" w:rsidP="004361AC">
            <w:pPr>
              <w:numPr>
                <w:ilvl w:val="0"/>
                <w:numId w:val="10"/>
              </w:numPr>
              <w:tabs>
                <w:tab w:val="clear" w:pos="357"/>
                <w:tab w:val="clear" w:pos="567"/>
              </w:tabs>
              <w:spacing w:line="240" w:lineRule="auto"/>
              <w:ind w:left="459" w:hanging="459"/>
              <w:rPr>
                <w:color w:val="000000"/>
                <w:szCs w:val="22"/>
                <w:lang w:val="es-ES"/>
              </w:rPr>
            </w:pPr>
            <w:r w:rsidRPr="003E0B98">
              <w:rPr>
                <w:color w:val="000000"/>
                <w:szCs w:val="22"/>
                <w:lang w:val="es-ES"/>
              </w:rPr>
              <w:t>la jeringa no esté deteriorada.</w:t>
            </w:r>
          </w:p>
          <w:p w14:paraId="56ABDD84" w14:textId="3F843D10" w:rsidR="00681FB0" w:rsidRPr="003E0B98" w:rsidRDefault="00681FB0" w:rsidP="004361AC">
            <w:pPr>
              <w:numPr>
                <w:ilvl w:val="0"/>
                <w:numId w:val="10"/>
              </w:numPr>
              <w:tabs>
                <w:tab w:val="clear" w:pos="357"/>
                <w:tab w:val="clear" w:pos="567"/>
              </w:tabs>
              <w:spacing w:line="240" w:lineRule="auto"/>
              <w:ind w:left="459" w:hanging="459"/>
              <w:rPr>
                <w:color w:val="000000"/>
                <w:szCs w:val="22"/>
                <w:lang w:val="es-ES"/>
              </w:rPr>
            </w:pPr>
            <w:r w:rsidRPr="003E0B98">
              <w:rPr>
                <w:color w:val="000000"/>
                <w:szCs w:val="22"/>
                <w:lang w:val="es-ES"/>
              </w:rPr>
              <w:t xml:space="preserve">la solución tenga un aspecto transparente, de incolora a amarillo </w:t>
            </w:r>
            <w:r w:rsidR="00490F86">
              <w:rPr>
                <w:color w:val="000000"/>
                <w:szCs w:val="22"/>
                <w:lang w:val="es-ES"/>
              </w:rPr>
              <w:t xml:space="preserve">pardusco </w:t>
            </w:r>
            <w:r w:rsidRPr="003E0B98">
              <w:rPr>
                <w:color w:val="000000"/>
                <w:szCs w:val="22"/>
                <w:lang w:val="es-ES"/>
              </w:rPr>
              <w:t>pálido y no contenga ninguna partícula.</w:t>
            </w:r>
          </w:p>
          <w:p w14:paraId="1A5DF822" w14:textId="77777777" w:rsidR="00681FB0" w:rsidRPr="003E0B98" w:rsidRDefault="00681FB0" w:rsidP="004361AC">
            <w:pPr>
              <w:tabs>
                <w:tab w:val="clear" w:pos="567"/>
              </w:tabs>
              <w:spacing w:line="240" w:lineRule="auto"/>
              <w:ind w:left="459" w:hanging="459"/>
              <w:rPr>
                <w:color w:val="000000"/>
                <w:szCs w:val="22"/>
                <w:lang w:val="es-ES"/>
              </w:rPr>
            </w:pPr>
            <w:r w:rsidRPr="003E0B98">
              <w:rPr>
                <w:color w:val="000000"/>
                <w:szCs w:val="22"/>
                <w:lang w:val="es-ES"/>
              </w:rPr>
              <w:t>4.</w:t>
            </w:r>
            <w:r w:rsidRPr="003E0B98">
              <w:rPr>
                <w:color w:val="000000"/>
                <w:szCs w:val="22"/>
                <w:lang w:val="es-ES"/>
              </w:rPr>
              <w:tab/>
              <w:t>Si alguno de los puntos anteriores no es cierto, desechar la jeringa precargada y usar una nueva.</w:t>
            </w:r>
          </w:p>
        </w:tc>
        <w:tc>
          <w:tcPr>
            <w:tcW w:w="3118" w:type="dxa"/>
            <w:vAlign w:val="center"/>
          </w:tcPr>
          <w:p w14:paraId="2204E866" w14:textId="77777777" w:rsidR="00681FB0" w:rsidRPr="003E0B98" w:rsidRDefault="00681FB0" w:rsidP="004361AC">
            <w:pPr>
              <w:tabs>
                <w:tab w:val="clear" w:pos="567"/>
              </w:tabs>
              <w:spacing w:line="240" w:lineRule="auto"/>
              <w:rPr>
                <w:i/>
                <w:color w:val="000000"/>
                <w:szCs w:val="22"/>
                <w:lang w:val="es-ES"/>
              </w:rPr>
            </w:pPr>
          </w:p>
        </w:tc>
      </w:tr>
      <w:tr w:rsidR="00681FB0" w:rsidRPr="003E0B98" w14:paraId="1E032E2B" w14:textId="77777777" w:rsidTr="005268B9">
        <w:trPr>
          <w:cantSplit/>
          <w:trHeight w:val="2665"/>
        </w:trPr>
        <w:tc>
          <w:tcPr>
            <w:tcW w:w="1701" w:type="dxa"/>
          </w:tcPr>
          <w:p w14:paraId="0DD22DA9" w14:textId="77777777" w:rsidR="00681FB0" w:rsidRPr="003E0B98" w:rsidRDefault="00681FB0" w:rsidP="004361AC">
            <w:pPr>
              <w:tabs>
                <w:tab w:val="clear" w:pos="567"/>
              </w:tabs>
              <w:spacing w:line="240" w:lineRule="auto"/>
              <w:rPr>
                <w:b/>
                <w:color w:val="000000"/>
                <w:szCs w:val="22"/>
                <w:lang w:val="es-ES"/>
              </w:rPr>
            </w:pPr>
            <w:r w:rsidRPr="003E0B98">
              <w:rPr>
                <w:b/>
                <w:color w:val="000000"/>
                <w:szCs w:val="22"/>
                <w:lang w:val="es-ES"/>
              </w:rPr>
              <w:t xml:space="preserve">Quitar </w:t>
            </w:r>
            <w:r w:rsidR="006F0338" w:rsidRPr="003E0B98">
              <w:rPr>
                <w:b/>
                <w:color w:val="000000"/>
                <w:szCs w:val="22"/>
                <w:lang w:val="es-ES"/>
              </w:rPr>
              <w:t>la cápsula de cierre</w:t>
            </w:r>
            <w:r w:rsidRPr="003E0B98">
              <w:rPr>
                <w:b/>
                <w:color w:val="000000"/>
                <w:szCs w:val="22"/>
                <w:lang w:val="es-ES"/>
              </w:rPr>
              <w:t xml:space="preserve"> de la jeringa</w:t>
            </w:r>
          </w:p>
        </w:tc>
        <w:tc>
          <w:tcPr>
            <w:tcW w:w="4395" w:type="dxa"/>
          </w:tcPr>
          <w:p w14:paraId="532E6B1C" w14:textId="77777777" w:rsidR="00681FB0" w:rsidRPr="003E0B98" w:rsidRDefault="00681FB0" w:rsidP="004361AC">
            <w:pPr>
              <w:tabs>
                <w:tab w:val="clear" w:pos="567"/>
              </w:tabs>
              <w:spacing w:line="240" w:lineRule="auto"/>
              <w:ind w:left="459" w:hanging="459"/>
              <w:rPr>
                <w:color w:val="000000"/>
                <w:szCs w:val="22"/>
                <w:lang w:val="es-ES"/>
              </w:rPr>
            </w:pPr>
            <w:r w:rsidRPr="003E0B98">
              <w:rPr>
                <w:color w:val="000000"/>
                <w:szCs w:val="22"/>
                <w:lang w:val="es-ES"/>
              </w:rPr>
              <w:t>5.</w:t>
            </w:r>
            <w:r w:rsidRPr="003E0B98">
              <w:rPr>
                <w:color w:val="000000"/>
                <w:szCs w:val="22"/>
                <w:lang w:val="es-ES"/>
              </w:rPr>
              <w:tab/>
              <w:t xml:space="preserve">Tirar y desprender </w:t>
            </w:r>
            <w:r w:rsidR="006F0338" w:rsidRPr="003E0B98">
              <w:rPr>
                <w:color w:val="000000"/>
                <w:szCs w:val="22"/>
                <w:lang w:val="es-ES"/>
              </w:rPr>
              <w:t>la cápsula de cierre</w:t>
            </w:r>
            <w:r w:rsidRPr="003E0B98">
              <w:rPr>
                <w:color w:val="000000"/>
                <w:szCs w:val="22"/>
                <w:lang w:val="es-ES"/>
              </w:rPr>
              <w:t xml:space="preserve"> de la jeringa (no lo gire ni lo retuerza) (ver Figura 2).</w:t>
            </w:r>
          </w:p>
          <w:p w14:paraId="36CFEC49" w14:textId="77777777" w:rsidR="00681FB0" w:rsidRPr="003E0B98" w:rsidRDefault="00681FB0" w:rsidP="004361AC">
            <w:pPr>
              <w:tabs>
                <w:tab w:val="clear" w:pos="567"/>
              </w:tabs>
              <w:spacing w:line="240" w:lineRule="auto"/>
              <w:ind w:left="459" w:hanging="459"/>
              <w:rPr>
                <w:b/>
                <w:bCs/>
                <w:color w:val="000000"/>
                <w:szCs w:val="22"/>
                <w:lang w:val="es-ES"/>
              </w:rPr>
            </w:pPr>
            <w:r w:rsidRPr="003E0B98">
              <w:rPr>
                <w:color w:val="000000"/>
                <w:szCs w:val="22"/>
                <w:lang w:val="es-ES"/>
              </w:rPr>
              <w:t>6.</w:t>
            </w:r>
            <w:r w:rsidRPr="003E0B98">
              <w:rPr>
                <w:color w:val="000000"/>
                <w:szCs w:val="22"/>
                <w:lang w:val="es-ES"/>
              </w:rPr>
              <w:tab/>
              <w:t xml:space="preserve">Desechar </w:t>
            </w:r>
            <w:r w:rsidR="006F0338" w:rsidRPr="003E0B98">
              <w:rPr>
                <w:color w:val="000000"/>
                <w:szCs w:val="22"/>
                <w:lang w:val="es-ES"/>
              </w:rPr>
              <w:t>la cápsula de cierre</w:t>
            </w:r>
            <w:r w:rsidRPr="003E0B98">
              <w:rPr>
                <w:color w:val="000000"/>
                <w:szCs w:val="22"/>
                <w:lang w:val="es-ES"/>
              </w:rPr>
              <w:t xml:space="preserve"> de la jeringa (ver Figura 3).</w:t>
            </w:r>
          </w:p>
        </w:tc>
        <w:tc>
          <w:tcPr>
            <w:tcW w:w="3118" w:type="dxa"/>
          </w:tcPr>
          <w:p w14:paraId="61A88190" w14:textId="77777777" w:rsidR="00681FB0" w:rsidRPr="003E0B98" w:rsidRDefault="00C240E6" w:rsidP="004361AC">
            <w:pPr>
              <w:tabs>
                <w:tab w:val="clear" w:pos="567"/>
              </w:tabs>
              <w:spacing w:line="240" w:lineRule="auto"/>
              <w:rPr>
                <w:bCs/>
                <w:color w:val="000000"/>
                <w:szCs w:val="22"/>
                <w:lang w:val="en-US"/>
              </w:rPr>
            </w:pPr>
            <w:r w:rsidRPr="003E0B98">
              <w:rPr>
                <w:i/>
                <w:noProof/>
                <w:color w:val="000000"/>
                <w:szCs w:val="22"/>
                <w:lang w:val="es-ES" w:eastAsia="es-ES"/>
              </w:rPr>
              <w:drawing>
                <wp:inline distT="0" distB="0" distL="0" distR="0" wp14:anchorId="7F898CAD" wp14:editId="5AE6C8E6">
                  <wp:extent cx="1762125" cy="1457325"/>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762125" cy="1457325"/>
                          </a:xfrm>
                          <a:prstGeom prst="rect">
                            <a:avLst/>
                          </a:prstGeom>
                          <a:noFill/>
                          <a:ln>
                            <a:noFill/>
                          </a:ln>
                        </pic:spPr>
                      </pic:pic>
                    </a:graphicData>
                  </a:graphic>
                </wp:inline>
              </w:drawing>
            </w:r>
          </w:p>
          <w:p w14:paraId="187F5160" w14:textId="77777777" w:rsidR="00681FB0" w:rsidRPr="003E0B98" w:rsidRDefault="00681FB0" w:rsidP="004361AC">
            <w:pPr>
              <w:tabs>
                <w:tab w:val="clear" w:pos="567"/>
              </w:tabs>
              <w:spacing w:line="240" w:lineRule="auto"/>
              <w:jc w:val="center"/>
              <w:rPr>
                <w:rFonts w:eastAsia="MS PGothic"/>
                <w:b/>
                <w:color w:val="000000"/>
                <w:kern w:val="24"/>
                <w:szCs w:val="22"/>
                <w:lang w:val="de-CH"/>
              </w:rPr>
            </w:pPr>
            <w:r w:rsidRPr="003E0B98">
              <w:rPr>
                <w:rFonts w:eastAsia="MS PGothic"/>
                <w:b/>
                <w:color w:val="000000"/>
                <w:kern w:val="24"/>
                <w:szCs w:val="22"/>
                <w:lang w:val="de-CH"/>
              </w:rPr>
              <w:t>Figura 2</w:t>
            </w:r>
          </w:p>
          <w:p w14:paraId="67617E1B" w14:textId="77777777" w:rsidR="00681FB0" w:rsidRPr="003E0B98" w:rsidRDefault="00681FB0" w:rsidP="004361AC">
            <w:pPr>
              <w:tabs>
                <w:tab w:val="clear" w:pos="567"/>
              </w:tabs>
              <w:spacing w:line="240" w:lineRule="auto"/>
              <w:rPr>
                <w:bCs/>
                <w:color w:val="000000"/>
                <w:szCs w:val="22"/>
                <w:lang w:val="en-US"/>
              </w:rPr>
            </w:pPr>
          </w:p>
          <w:p w14:paraId="222FAE6C" w14:textId="77777777" w:rsidR="00681FB0" w:rsidRPr="003E0B98" w:rsidRDefault="00C240E6" w:rsidP="004361AC">
            <w:pPr>
              <w:tabs>
                <w:tab w:val="clear" w:pos="567"/>
              </w:tabs>
              <w:spacing w:line="240" w:lineRule="auto"/>
              <w:rPr>
                <w:b/>
                <w:bCs/>
                <w:color w:val="000000"/>
                <w:szCs w:val="22"/>
                <w:lang w:val="en-US"/>
              </w:rPr>
            </w:pPr>
            <w:r w:rsidRPr="003E0B98">
              <w:rPr>
                <w:b/>
                <w:bCs/>
                <w:noProof/>
                <w:color w:val="000000"/>
                <w:szCs w:val="22"/>
                <w:lang w:val="es-ES" w:eastAsia="es-ES"/>
              </w:rPr>
              <w:drawing>
                <wp:inline distT="0" distB="0" distL="0" distR="0" wp14:anchorId="62B609BA" wp14:editId="7CA00D2B">
                  <wp:extent cx="1838325" cy="137160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38325" cy="1371600"/>
                          </a:xfrm>
                          <a:prstGeom prst="rect">
                            <a:avLst/>
                          </a:prstGeom>
                          <a:noFill/>
                          <a:ln>
                            <a:noFill/>
                          </a:ln>
                        </pic:spPr>
                      </pic:pic>
                    </a:graphicData>
                  </a:graphic>
                </wp:inline>
              </w:drawing>
            </w:r>
          </w:p>
          <w:p w14:paraId="1A432C32" w14:textId="77777777" w:rsidR="00681FB0" w:rsidRPr="003E0B98" w:rsidRDefault="00681FB0" w:rsidP="004361AC">
            <w:pPr>
              <w:tabs>
                <w:tab w:val="clear" w:pos="567"/>
              </w:tabs>
              <w:spacing w:line="240" w:lineRule="auto"/>
              <w:jc w:val="center"/>
              <w:rPr>
                <w:b/>
                <w:bCs/>
                <w:color w:val="000000"/>
                <w:szCs w:val="22"/>
                <w:lang w:val="en-US"/>
              </w:rPr>
            </w:pPr>
            <w:r w:rsidRPr="003E0B98">
              <w:rPr>
                <w:rFonts w:eastAsia="MS PGothic"/>
                <w:b/>
                <w:color w:val="000000"/>
                <w:kern w:val="24"/>
                <w:szCs w:val="22"/>
                <w:lang w:val="de-CH"/>
              </w:rPr>
              <w:t>Figura 3</w:t>
            </w:r>
          </w:p>
        </w:tc>
      </w:tr>
      <w:tr w:rsidR="00681FB0" w:rsidRPr="003E0B98" w14:paraId="4F618B0A" w14:textId="77777777" w:rsidTr="005268B9">
        <w:trPr>
          <w:cantSplit/>
          <w:trHeight w:val="3235"/>
        </w:trPr>
        <w:tc>
          <w:tcPr>
            <w:tcW w:w="1701" w:type="dxa"/>
          </w:tcPr>
          <w:p w14:paraId="7B0EDD57" w14:textId="77777777" w:rsidR="00681FB0" w:rsidRPr="003E0B98" w:rsidRDefault="00681FB0" w:rsidP="004361AC">
            <w:pPr>
              <w:tabs>
                <w:tab w:val="clear" w:pos="567"/>
              </w:tabs>
              <w:spacing w:line="240" w:lineRule="auto"/>
              <w:rPr>
                <w:b/>
                <w:color w:val="000000"/>
                <w:szCs w:val="22"/>
                <w:lang w:val="en-US"/>
              </w:rPr>
            </w:pPr>
            <w:proofErr w:type="spellStart"/>
            <w:r w:rsidRPr="003E0B98">
              <w:rPr>
                <w:b/>
                <w:color w:val="000000"/>
                <w:szCs w:val="22"/>
              </w:rPr>
              <w:t>Conectar</w:t>
            </w:r>
            <w:proofErr w:type="spellEnd"/>
            <w:r w:rsidRPr="003E0B98">
              <w:rPr>
                <w:b/>
                <w:color w:val="000000"/>
                <w:szCs w:val="22"/>
              </w:rPr>
              <w:t xml:space="preserve"> la </w:t>
            </w:r>
            <w:proofErr w:type="spellStart"/>
            <w:r w:rsidRPr="003E0B98">
              <w:rPr>
                <w:b/>
                <w:color w:val="000000"/>
                <w:szCs w:val="22"/>
              </w:rPr>
              <w:t>aguja</w:t>
            </w:r>
            <w:proofErr w:type="spellEnd"/>
          </w:p>
        </w:tc>
        <w:tc>
          <w:tcPr>
            <w:tcW w:w="4395" w:type="dxa"/>
          </w:tcPr>
          <w:p w14:paraId="044E5BE1" w14:textId="77777777" w:rsidR="00681FB0" w:rsidRPr="003E0B98" w:rsidRDefault="00681FB0" w:rsidP="004361AC">
            <w:pPr>
              <w:tabs>
                <w:tab w:val="clear" w:pos="567"/>
              </w:tabs>
              <w:spacing w:line="240" w:lineRule="auto"/>
              <w:ind w:left="459" w:hanging="459"/>
              <w:rPr>
                <w:color w:val="000000"/>
                <w:szCs w:val="22"/>
                <w:lang w:val="es-ES"/>
              </w:rPr>
            </w:pPr>
            <w:r w:rsidRPr="003E0B98">
              <w:rPr>
                <w:color w:val="000000"/>
                <w:szCs w:val="22"/>
                <w:lang w:val="es-ES"/>
              </w:rPr>
              <w:t>7.</w:t>
            </w:r>
            <w:r w:rsidRPr="003E0B98">
              <w:rPr>
                <w:color w:val="000000"/>
                <w:szCs w:val="22"/>
                <w:lang w:val="es-ES"/>
              </w:rPr>
              <w:tab/>
              <w:t xml:space="preserve">Conectar con firmeza a la jeringa una aguja para inyección estéril 30G x ½″, enroscando bien la aguja en el </w:t>
            </w:r>
            <w:proofErr w:type="spellStart"/>
            <w:r w:rsidRPr="003E0B98">
              <w:rPr>
                <w:color w:val="000000"/>
                <w:szCs w:val="22"/>
                <w:lang w:val="es-ES"/>
              </w:rPr>
              <w:t>Luer</w:t>
            </w:r>
            <w:proofErr w:type="spellEnd"/>
            <w:r w:rsidRPr="003E0B98">
              <w:rPr>
                <w:color w:val="000000"/>
                <w:szCs w:val="22"/>
                <w:lang w:val="es-ES"/>
              </w:rPr>
              <w:t xml:space="preserve"> </w:t>
            </w:r>
            <w:proofErr w:type="spellStart"/>
            <w:r w:rsidRPr="003E0B98">
              <w:rPr>
                <w:color w:val="000000"/>
                <w:szCs w:val="22"/>
                <w:lang w:val="es-ES"/>
              </w:rPr>
              <w:t>lock</w:t>
            </w:r>
            <w:proofErr w:type="spellEnd"/>
            <w:r w:rsidRPr="003E0B98">
              <w:rPr>
                <w:color w:val="000000"/>
                <w:szCs w:val="22"/>
                <w:lang w:val="es-ES"/>
              </w:rPr>
              <w:t xml:space="preserve"> (ver Figura 4).</w:t>
            </w:r>
          </w:p>
          <w:p w14:paraId="4D277139" w14:textId="77777777" w:rsidR="00681FB0" w:rsidRPr="003E0B98" w:rsidRDefault="00681FB0" w:rsidP="004361AC">
            <w:pPr>
              <w:tabs>
                <w:tab w:val="clear" w:pos="567"/>
              </w:tabs>
              <w:spacing w:line="240" w:lineRule="auto"/>
              <w:ind w:left="459" w:hanging="459"/>
              <w:rPr>
                <w:color w:val="000000"/>
                <w:szCs w:val="22"/>
                <w:lang w:val="es-ES"/>
              </w:rPr>
            </w:pPr>
            <w:r w:rsidRPr="003E0B98">
              <w:rPr>
                <w:color w:val="000000"/>
                <w:szCs w:val="22"/>
                <w:lang w:val="es-ES"/>
              </w:rPr>
              <w:t>8.</w:t>
            </w:r>
            <w:r w:rsidRPr="003E0B98">
              <w:rPr>
                <w:color w:val="000000"/>
                <w:szCs w:val="22"/>
                <w:lang w:val="es-ES"/>
              </w:rPr>
              <w:tab/>
              <w:t xml:space="preserve">Quitar </w:t>
            </w:r>
            <w:r w:rsidR="008E7E7E" w:rsidRPr="003E0B98">
              <w:rPr>
                <w:color w:val="000000"/>
                <w:szCs w:val="22"/>
                <w:lang w:val="es-ES"/>
              </w:rPr>
              <w:t>la cápsula de cierre</w:t>
            </w:r>
            <w:r w:rsidRPr="003E0B98">
              <w:rPr>
                <w:color w:val="000000"/>
                <w:szCs w:val="22"/>
                <w:lang w:val="es-ES"/>
              </w:rPr>
              <w:t xml:space="preserve"> de la aguja cuidadosamente, tirando directamente de él hacia fuera (ver </w:t>
            </w:r>
            <w:r w:rsidRPr="003E0B98">
              <w:rPr>
                <w:lang w:val="es-ES"/>
              </w:rPr>
              <w:t>Figura 5</w:t>
            </w:r>
            <w:r w:rsidRPr="003E0B98">
              <w:rPr>
                <w:color w:val="000000"/>
                <w:szCs w:val="22"/>
                <w:lang w:val="es-ES"/>
              </w:rPr>
              <w:t>).</w:t>
            </w:r>
          </w:p>
          <w:p w14:paraId="7D2F712B" w14:textId="77777777" w:rsidR="00681FB0" w:rsidRPr="003E0B98" w:rsidRDefault="00681FB0" w:rsidP="004361AC">
            <w:pPr>
              <w:tabs>
                <w:tab w:val="clear" w:pos="567"/>
              </w:tabs>
              <w:spacing w:line="240" w:lineRule="auto"/>
              <w:rPr>
                <w:b/>
                <w:bCs/>
                <w:color w:val="000000"/>
                <w:szCs w:val="22"/>
                <w:lang w:val="es-ES"/>
              </w:rPr>
            </w:pPr>
            <w:r w:rsidRPr="003E0B98">
              <w:rPr>
                <w:b/>
                <w:color w:val="000000"/>
                <w:szCs w:val="22"/>
                <w:lang w:val="es-ES"/>
              </w:rPr>
              <w:t>Nota: No secar la aguja en ningún momento.</w:t>
            </w:r>
          </w:p>
        </w:tc>
        <w:tc>
          <w:tcPr>
            <w:tcW w:w="3118" w:type="dxa"/>
          </w:tcPr>
          <w:p w14:paraId="20157A2E" w14:textId="77777777" w:rsidR="00681FB0" w:rsidRPr="003E0B98" w:rsidRDefault="00681FB0" w:rsidP="004361AC">
            <w:pPr>
              <w:tabs>
                <w:tab w:val="clear" w:pos="567"/>
              </w:tabs>
              <w:spacing w:line="240" w:lineRule="auto"/>
              <w:rPr>
                <w:rFonts w:eastAsia="MS PGothic"/>
                <w:color w:val="000000"/>
                <w:kern w:val="24"/>
                <w:szCs w:val="22"/>
                <w:lang w:val="es-ES"/>
              </w:rPr>
            </w:pPr>
          </w:p>
          <w:p w14:paraId="72FCFE6A" w14:textId="77777777" w:rsidR="00681FB0" w:rsidRPr="003E0B98" w:rsidRDefault="00C240E6" w:rsidP="004361AC">
            <w:pPr>
              <w:tabs>
                <w:tab w:val="clear" w:pos="567"/>
              </w:tabs>
              <w:spacing w:line="240" w:lineRule="auto"/>
              <w:rPr>
                <w:rFonts w:ascii="Arial" w:eastAsia="MS PGothic" w:hAnsi="Arial"/>
                <w:b/>
                <w:color w:val="000000"/>
                <w:kern w:val="24"/>
                <w:sz w:val="20"/>
                <w:lang w:val="de-CH"/>
              </w:rPr>
            </w:pPr>
            <w:r w:rsidRPr="003E0B98">
              <w:rPr>
                <w:rFonts w:ascii="Arial" w:eastAsia="MS PGothic" w:hAnsi="Arial"/>
                <w:b/>
                <w:noProof/>
                <w:color w:val="000000"/>
                <w:kern w:val="24"/>
                <w:sz w:val="20"/>
                <w:lang w:val="es-ES" w:eastAsia="es-ES"/>
              </w:rPr>
              <w:drawing>
                <wp:inline distT="0" distB="0" distL="0" distR="0" wp14:anchorId="23261A57" wp14:editId="07CD4EDB">
                  <wp:extent cx="1838325" cy="1562100"/>
                  <wp:effectExtent l="0" t="0" r="0" b="0"/>
                  <wp:docPr id="45" name="Picture 2"/>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Grp="1"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38325" cy="1562100"/>
                          </a:xfrm>
                          <a:prstGeom prst="rect">
                            <a:avLst/>
                          </a:prstGeom>
                          <a:noFill/>
                          <a:ln>
                            <a:noFill/>
                          </a:ln>
                        </pic:spPr>
                      </pic:pic>
                    </a:graphicData>
                  </a:graphic>
                </wp:inline>
              </w:drawing>
            </w:r>
          </w:p>
          <w:p w14:paraId="6EB92230" w14:textId="77777777" w:rsidR="00681FB0" w:rsidRPr="003E0B98" w:rsidRDefault="00681FB0" w:rsidP="004361AC">
            <w:pPr>
              <w:tabs>
                <w:tab w:val="clear" w:pos="567"/>
              </w:tabs>
              <w:spacing w:line="240" w:lineRule="auto"/>
              <w:jc w:val="center"/>
              <w:rPr>
                <w:rFonts w:eastAsia="MS PGothic"/>
                <w:b/>
                <w:color w:val="000000"/>
                <w:kern w:val="24"/>
                <w:szCs w:val="22"/>
                <w:lang w:val="en-US"/>
              </w:rPr>
            </w:pPr>
            <w:proofErr w:type="spellStart"/>
            <w:r w:rsidRPr="003E0B98">
              <w:rPr>
                <w:rFonts w:eastAsia="MS PGothic"/>
                <w:b/>
                <w:color w:val="000000"/>
                <w:kern w:val="24"/>
                <w:szCs w:val="22"/>
                <w:lang w:val="en-US"/>
              </w:rPr>
              <w:t>Figura</w:t>
            </w:r>
            <w:proofErr w:type="spellEnd"/>
            <w:r w:rsidRPr="003E0B98">
              <w:rPr>
                <w:rFonts w:eastAsia="MS PGothic"/>
                <w:b/>
                <w:color w:val="000000"/>
                <w:kern w:val="24"/>
                <w:szCs w:val="22"/>
                <w:lang w:val="en-US"/>
              </w:rPr>
              <w:t> 4</w:t>
            </w:r>
            <w:r w:rsidRPr="003E0B98">
              <w:rPr>
                <w:rFonts w:eastAsia="MS PGothic"/>
                <w:b/>
                <w:color w:val="000000"/>
                <w:kern w:val="24"/>
                <w:szCs w:val="22"/>
                <w:lang w:val="en-US"/>
              </w:rPr>
              <w:tab/>
            </w:r>
            <w:proofErr w:type="spellStart"/>
            <w:r w:rsidRPr="003E0B98">
              <w:rPr>
                <w:rFonts w:eastAsia="MS PGothic"/>
                <w:b/>
                <w:color w:val="000000"/>
                <w:kern w:val="24"/>
                <w:szCs w:val="22"/>
                <w:lang w:val="en-US"/>
              </w:rPr>
              <w:t>Figura</w:t>
            </w:r>
            <w:proofErr w:type="spellEnd"/>
            <w:r w:rsidRPr="003E0B98">
              <w:rPr>
                <w:rFonts w:eastAsia="MS PGothic"/>
                <w:b/>
                <w:color w:val="000000"/>
                <w:kern w:val="24"/>
                <w:szCs w:val="22"/>
                <w:lang w:val="en-US"/>
              </w:rPr>
              <w:t> 5</w:t>
            </w:r>
          </w:p>
        </w:tc>
      </w:tr>
      <w:tr w:rsidR="00681FB0" w:rsidRPr="003E0B98" w14:paraId="292EFAEC" w14:textId="77777777" w:rsidTr="005268B9">
        <w:trPr>
          <w:cantSplit/>
          <w:trHeight w:val="3308"/>
        </w:trPr>
        <w:tc>
          <w:tcPr>
            <w:tcW w:w="1701" w:type="dxa"/>
          </w:tcPr>
          <w:p w14:paraId="6C1FE55B" w14:textId="77777777" w:rsidR="00681FB0" w:rsidRPr="003E0B98" w:rsidRDefault="00681FB0" w:rsidP="004361AC">
            <w:pPr>
              <w:tabs>
                <w:tab w:val="clear" w:pos="567"/>
              </w:tabs>
              <w:spacing w:line="240" w:lineRule="auto"/>
              <w:rPr>
                <w:b/>
                <w:color w:val="000000"/>
                <w:szCs w:val="22"/>
                <w:lang w:val="es-ES"/>
              </w:rPr>
            </w:pPr>
            <w:r w:rsidRPr="003E0B98">
              <w:rPr>
                <w:b/>
                <w:color w:val="000000"/>
                <w:szCs w:val="22"/>
                <w:lang w:val="es-ES"/>
              </w:rPr>
              <w:t>Extraer las burbujas de aire</w:t>
            </w:r>
          </w:p>
        </w:tc>
        <w:tc>
          <w:tcPr>
            <w:tcW w:w="4395" w:type="dxa"/>
          </w:tcPr>
          <w:p w14:paraId="1EAED563" w14:textId="77777777" w:rsidR="00681FB0" w:rsidRPr="003E0B98" w:rsidRDefault="00681FB0" w:rsidP="004361AC">
            <w:pPr>
              <w:tabs>
                <w:tab w:val="clear" w:pos="567"/>
              </w:tabs>
              <w:spacing w:line="240" w:lineRule="auto"/>
              <w:ind w:left="459" w:hanging="459"/>
              <w:rPr>
                <w:color w:val="000000"/>
                <w:szCs w:val="22"/>
                <w:lang w:val="es-ES"/>
              </w:rPr>
            </w:pPr>
            <w:r w:rsidRPr="003E0B98">
              <w:rPr>
                <w:color w:val="000000"/>
                <w:szCs w:val="22"/>
                <w:lang w:val="es-ES"/>
              </w:rPr>
              <w:t>9.</w:t>
            </w:r>
            <w:r w:rsidRPr="003E0B98">
              <w:rPr>
                <w:color w:val="000000"/>
                <w:szCs w:val="22"/>
                <w:lang w:val="es-ES"/>
              </w:rPr>
              <w:tab/>
              <w:t>Mantener la jeringa en posición vertical con la aguja dirigida hacia arriba.</w:t>
            </w:r>
          </w:p>
          <w:p w14:paraId="343CFE39" w14:textId="77777777" w:rsidR="00681FB0" w:rsidRPr="003E0B98" w:rsidRDefault="00681FB0" w:rsidP="004361AC">
            <w:pPr>
              <w:tabs>
                <w:tab w:val="clear" w:pos="567"/>
              </w:tabs>
              <w:spacing w:line="240" w:lineRule="auto"/>
              <w:ind w:left="459" w:hanging="459"/>
              <w:rPr>
                <w:color w:val="000000"/>
                <w:szCs w:val="22"/>
                <w:lang w:val="es-ES"/>
              </w:rPr>
            </w:pPr>
            <w:r w:rsidRPr="003E0B98">
              <w:rPr>
                <w:color w:val="000000"/>
                <w:szCs w:val="22"/>
                <w:lang w:val="es-ES"/>
              </w:rPr>
              <w:t>10.</w:t>
            </w:r>
            <w:r w:rsidRPr="003E0B98">
              <w:rPr>
                <w:color w:val="000000"/>
                <w:szCs w:val="22"/>
                <w:lang w:val="es-ES"/>
              </w:rPr>
              <w:tab/>
              <w:t>Si hay alguna burbuja de aire, golpear suavemente la jeringa con el dedo hasta que las burbujas asciendan a su parte superior (ver Figura 6).</w:t>
            </w:r>
          </w:p>
        </w:tc>
        <w:tc>
          <w:tcPr>
            <w:tcW w:w="3118" w:type="dxa"/>
          </w:tcPr>
          <w:p w14:paraId="22F1A095" w14:textId="77777777" w:rsidR="00681FB0" w:rsidRPr="003E0B98" w:rsidRDefault="00681FB0" w:rsidP="004361AC">
            <w:pPr>
              <w:tabs>
                <w:tab w:val="clear" w:pos="567"/>
              </w:tabs>
              <w:spacing w:line="240" w:lineRule="auto"/>
              <w:rPr>
                <w:color w:val="000000"/>
                <w:szCs w:val="22"/>
                <w:lang w:val="es-ES"/>
              </w:rPr>
            </w:pPr>
          </w:p>
          <w:p w14:paraId="2AAA3FBC" w14:textId="77777777" w:rsidR="00681FB0" w:rsidRPr="003E0B98" w:rsidRDefault="00C240E6" w:rsidP="004361AC">
            <w:pPr>
              <w:tabs>
                <w:tab w:val="clear" w:pos="567"/>
              </w:tabs>
              <w:spacing w:line="240" w:lineRule="auto"/>
              <w:rPr>
                <w:color w:val="000000"/>
                <w:szCs w:val="22"/>
                <w:lang w:val="en-US"/>
              </w:rPr>
            </w:pPr>
            <w:r w:rsidRPr="003E0B98">
              <w:rPr>
                <w:noProof/>
                <w:color w:val="000000"/>
                <w:szCs w:val="22"/>
                <w:lang w:val="es-ES" w:eastAsia="es-ES"/>
              </w:rPr>
              <w:drawing>
                <wp:inline distT="0" distB="0" distL="0" distR="0" wp14:anchorId="6A56D377" wp14:editId="1FFB6701">
                  <wp:extent cx="1875155" cy="2312670"/>
                  <wp:effectExtent l="0" t="0" r="0" b="0"/>
                  <wp:docPr id="9149" name="Picture 9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4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875155" cy="2312670"/>
                          </a:xfrm>
                          <a:prstGeom prst="rect">
                            <a:avLst/>
                          </a:prstGeom>
                          <a:noFill/>
                        </pic:spPr>
                      </pic:pic>
                    </a:graphicData>
                  </a:graphic>
                </wp:inline>
              </w:drawing>
            </w:r>
          </w:p>
          <w:p w14:paraId="605BCD56" w14:textId="77777777" w:rsidR="00681FB0" w:rsidRPr="003E0B98" w:rsidRDefault="00681FB0" w:rsidP="004361AC">
            <w:pPr>
              <w:tabs>
                <w:tab w:val="clear" w:pos="567"/>
              </w:tabs>
              <w:spacing w:line="240" w:lineRule="auto"/>
              <w:jc w:val="center"/>
              <w:rPr>
                <w:color w:val="000000"/>
                <w:szCs w:val="22"/>
                <w:lang w:val="en-US"/>
              </w:rPr>
            </w:pPr>
            <w:r w:rsidRPr="003E0B98">
              <w:rPr>
                <w:rFonts w:eastAsia="MS PGothic"/>
                <w:b/>
                <w:color w:val="000000"/>
                <w:kern w:val="24"/>
                <w:szCs w:val="22"/>
                <w:lang w:val="de-CH"/>
              </w:rPr>
              <w:t>Figura 6</w:t>
            </w:r>
          </w:p>
          <w:p w14:paraId="3CE1455E" w14:textId="77777777" w:rsidR="00681FB0" w:rsidRPr="003E0B98" w:rsidRDefault="00681FB0" w:rsidP="004361AC">
            <w:pPr>
              <w:tabs>
                <w:tab w:val="clear" w:pos="567"/>
              </w:tabs>
              <w:spacing w:line="240" w:lineRule="auto"/>
              <w:rPr>
                <w:color w:val="000000"/>
                <w:szCs w:val="22"/>
                <w:lang w:val="en-US"/>
              </w:rPr>
            </w:pPr>
          </w:p>
        </w:tc>
      </w:tr>
      <w:tr w:rsidR="00681FB0" w:rsidRPr="003E0B98" w14:paraId="5C30722C" w14:textId="77777777" w:rsidTr="005268B9">
        <w:trPr>
          <w:cantSplit/>
          <w:trHeight w:val="3449"/>
        </w:trPr>
        <w:tc>
          <w:tcPr>
            <w:tcW w:w="1701" w:type="dxa"/>
          </w:tcPr>
          <w:p w14:paraId="0A5CE610" w14:textId="77777777" w:rsidR="00681FB0" w:rsidRPr="003E0B98" w:rsidRDefault="00681FB0" w:rsidP="004361AC">
            <w:pPr>
              <w:tabs>
                <w:tab w:val="clear" w:pos="567"/>
              </w:tabs>
              <w:spacing w:line="240" w:lineRule="auto"/>
              <w:rPr>
                <w:b/>
                <w:color w:val="000000"/>
                <w:szCs w:val="22"/>
                <w:lang w:val="en-US"/>
              </w:rPr>
            </w:pPr>
            <w:proofErr w:type="spellStart"/>
            <w:r w:rsidRPr="003E0B98">
              <w:rPr>
                <w:b/>
                <w:color w:val="000000"/>
                <w:szCs w:val="22"/>
              </w:rPr>
              <w:t>Ajustar</w:t>
            </w:r>
            <w:proofErr w:type="spellEnd"/>
            <w:r w:rsidRPr="003E0B98">
              <w:rPr>
                <w:b/>
                <w:color w:val="000000"/>
                <w:szCs w:val="22"/>
              </w:rPr>
              <w:t xml:space="preserve"> la </w:t>
            </w:r>
            <w:proofErr w:type="spellStart"/>
            <w:r w:rsidRPr="003E0B98">
              <w:rPr>
                <w:b/>
                <w:color w:val="000000"/>
                <w:szCs w:val="22"/>
              </w:rPr>
              <w:t>dosis</w:t>
            </w:r>
            <w:proofErr w:type="spellEnd"/>
          </w:p>
        </w:tc>
        <w:tc>
          <w:tcPr>
            <w:tcW w:w="4395" w:type="dxa"/>
          </w:tcPr>
          <w:p w14:paraId="28F29B60" w14:textId="77777777" w:rsidR="00681FB0" w:rsidRPr="003E0B98" w:rsidRDefault="00681FB0" w:rsidP="004361AC">
            <w:pPr>
              <w:tabs>
                <w:tab w:val="clear" w:pos="567"/>
              </w:tabs>
              <w:spacing w:line="240" w:lineRule="auto"/>
              <w:ind w:left="459" w:hanging="459"/>
              <w:rPr>
                <w:color w:val="000000"/>
                <w:szCs w:val="22"/>
                <w:lang w:val="es-ES"/>
              </w:rPr>
            </w:pPr>
            <w:r w:rsidRPr="003E0B98">
              <w:rPr>
                <w:color w:val="000000"/>
                <w:szCs w:val="22"/>
                <w:lang w:val="es-ES"/>
              </w:rPr>
              <w:t>11.</w:t>
            </w:r>
            <w:r w:rsidRPr="003E0B98">
              <w:rPr>
                <w:color w:val="000000"/>
                <w:szCs w:val="22"/>
                <w:lang w:val="es-ES"/>
              </w:rPr>
              <w:tab/>
              <w:t xml:space="preserve">Mantener la jeringa a la altura de los ojos y presionar cuidadosamente el émbolo hasta que el </w:t>
            </w:r>
            <w:r w:rsidRPr="003E0B98">
              <w:rPr>
                <w:b/>
                <w:color w:val="000000"/>
                <w:szCs w:val="22"/>
                <w:lang w:val="es-ES"/>
              </w:rPr>
              <w:t xml:space="preserve">borde inferior de la cúpula que </w:t>
            </w:r>
            <w:r w:rsidR="001F10F3" w:rsidRPr="003E0B98">
              <w:rPr>
                <w:b/>
                <w:color w:val="000000"/>
                <w:szCs w:val="22"/>
                <w:lang w:val="es-ES"/>
              </w:rPr>
              <w:t>forma</w:t>
            </w:r>
            <w:r w:rsidRPr="003E0B98">
              <w:rPr>
                <w:b/>
                <w:color w:val="000000"/>
                <w:szCs w:val="22"/>
                <w:lang w:val="es-ES"/>
              </w:rPr>
              <w:t xml:space="preserve"> el extremo del </w:t>
            </w:r>
            <w:r w:rsidR="006F0338" w:rsidRPr="003E0B98">
              <w:rPr>
                <w:b/>
                <w:color w:val="000000"/>
                <w:szCs w:val="22"/>
                <w:lang w:val="es-ES"/>
              </w:rPr>
              <w:t>tapón</w:t>
            </w:r>
            <w:r w:rsidRPr="003E0B98">
              <w:rPr>
                <w:b/>
                <w:color w:val="000000"/>
                <w:szCs w:val="22"/>
                <w:lang w:val="es-ES"/>
              </w:rPr>
              <w:t xml:space="preserve"> de goma</w:t>
            </w:r>
            <w:r w:rsidRPr="003E0B98">
              <w:rPr>
                <w:color w:val="000000"/>
                <w:szCs w:val="22"/>
                <w:lang w:val="es-ES"/>
              </w:rPr>
              <w:t xml:space="preserve"> quede alineado con la marca de dosis (ver Figura 7). Con esto se expulsará el aire y el exceso de solución y se ajustará la dosis a 0,05 ml.</w:t>
            </w:r>
          </w:p>
          <w:p w14:paraId="7E3F881D" w14:textId="77777777" w:rsidR="00681FB0" w:rsidRPr="003E0B98" w:rsidRDefault="00681FB0" w:rsidP="004361AC">
            <w:pPr>
              <w:tabs>
                <w:tab w:val="clear" w:pos="567"/>
              </w:tabs>
              <w:spacing w:line="240" w:lineRule="auto"/>
              <w:rPr>
                <w:b/>
                <w:bCs/>
                <w:color w:val="000000"/>
                <w:szCs w:val="22"/>
                <w:lang w:val="es-ES"/>
              </w:rPr>
            </w:pPr>
            <w:r w:rsidRPr="003E0B98">
              <w:rPr>
                <w:b/>
                <w:color w:val="000000"/>
                <w:szCs w:val="22"/>
                <w:lang w:val="es-ES"/>
              </w:rPr>
              <w:t xml:space="preserve">Nota: </w:t>
            </w:r>
            <w:r w:rsidR="001F10F3" w:rsidRPr="003E0B98">
              <w:rPr>
                <w:b/>
                <w:color w:val="000000"/>
                <w:szCs w:val="22"/>
                <w:lang w:val="es-ES"/>
              </w:rPr>
              <w:t>El émbolo no está</w:t>
            </w:r>
            <w:r w:rsidRPr="003E0B98">
              <w:rPr>
                <w:b/>
                <w:color w:val="000000"/>
                <w:szCs w:val="22"/>
                <w:lang w:val="es-ES"/>
              </w:rPr>
              <w:t xml:space="preserve"> unido al </w:t>
            </w:r>
            <w:r w:rsidR="006F0338" w:rsidRPr="003E0B98">
              <w:rPr>
                <w:b/>
                <w:color w:val="000000"/>
                <w:szCs w:val="22"/>
                <w:lang w:val="es-ES"/>
              </w:rPr>
              <w:t>tapón</w:t>
            </w:r>
            <w:r w:rsidRPr="003E0B98">
              <w:rPr>
                <w:b/>
                <w:color w:val="000000"/>
                <w:szCs w:val="22"/>
                <w:lang w:val="es-ES"/>
              </w:rPr>
              <w:t xml:space="preserve"> de goma – esto es para evitar la entrada de aire en la jeringa.</w:t>
            </w:r>
          </w:p>
        </w:tc>
        <w:tc>
          <w:tcPr>
            <w:tcW w:w="3118" w:type="dxa"/>
          </w:tcPr>
          <w:p w14:paraId="6655C35C" w14:textId="77777777" w:rsidR="00175E08" w:rsidRPr="003E0B98" w:rsidRDefault="00175E08" w:rsidP="004361AC">
            <w:pPr>
              <w:tabs>
                <w:tab w:val="clear" w:pos="567"/>
              </w:tabs>
              <w:spacing w:line="240" w:lineRule="auto"/>
              <w:rPr>
                <w:bCs/>
                <w:color w:val="000000"/>
                <w:szCs w:val="22"/>
                <w:lang w:val="es-ES"/>
              </w:rPr>
            </w:pPr>
          </w:p>
          <w:p w14:paraId="03347FF6" w14:textId="77777777" w:rsidR="00681FB0" w:rsidRPr="003E0B98" w:rsidRDefault="00C240E6" w:rsidP="004361AC">
            <w:pPr>
              <w:tabs>
                <w:tab w:val="clear" w:pos="567"/>
              </w:tabs>
              <w:spacing w:line="240" w:lineRule="auto"/>
              <w:rPr>
                <w:bCs/>
                <w:color w:val="000000"/>
                <w:szCs w:val="22"/>
                <w:lang w:val="en-US"/>
              </w:rPr>
            </w:pPr>
            <w:r w:rsidRPr="003E0B98">
              <w:rPr>
                <w:noProof/>
                <w:lang w:val="es-ES" w:eastAsia="es-ES"/>
              </w:rPr>
              <w:drawing>
                <wp:inline distT="0" distB="0" distL="0" distR="0" wp14:anchorId="0AAB64FD" wp14:editId="6C4DE64B">
                  <wp:extent cx="1714500" cy="1724025"/>
                  <wp:effectExtent l="0" t="0" r="0" b="0"/>
                  <wp:docPr id="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714500" cy="1724025"/>
                          </a:xfrm>
                          <a:prstGeom prst="rect">
                            <a:avLst/>
                          </a:prstGeom>
                          <a:noFill/>
                          <a:ln>
                            <a:noFill/>
                          </a:ln>
                        </pic:spPr>
                      </pic:pic>
                    </a:graphicData>
                  </a:graphic>
                </wp:inline>
              </w:drawing>
            </w:r>
            <w:r w:rsidRPr="003E0B98">
              <w:rPr>
                <w:b/>
                <w:bCs/>
                <w:noProof/>
                <w:color w:val="000000"/>
                <w:szCs w:val="22"/>
                <w:lang w:val="es-ES" w:eastAsia="es-ES"/>
              </w:rPr>
              <mc:AlternateContent>
                <mc:Choice Requires="wps">
                  <w:drawing>
                    <wp:inline distT="0" distB="0" distL="0" distR="0" wp14:anchorId="0388C7C8" wp14:editId="3164F2F0">
                      <wp:extent cx="1943100" cy="1733550"/>
                      <wp:effectExtent l="0" t="0" r="0" b="0"/>
                      <wp:docPr id="2" name="AutoShape 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3100" cy="1733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AB9577A" id="AutoShape 12" o:spid="_x0000_s1026" style="width:153pt;height:1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IMb2gEAAKADAAAOAAAAZHJzL2Uyb0RvYy54bWysU9tu2zAMfR+wfxD0vjjOZV2NOEXRosOA&#10;7gJ0/QBFlmxjtqiRSpzs60fJaZKtb8NeBJGUDw8Pj1c3+74TO4PUgitlPplKYZyGqnV1KZ+/P7z7&#10;IAUF5SrVgTOlPBiSN+u3b1aDL8wMGugqg4JBHBWDL2UTgi+yjHRjekUT8MZx0QL2KnCIdVahGhi9&#10;77LZdPo+GwArj6ANEWfvx6JcJ3xrjQ5frSUTRFdK5hbSiencxDNbr1RRo/JNq4801D+w6FXruOkJ&#10;6l4FJbbYvoLqW41AYMNEQ5+Bta02aQaeJp/+Nc1To7xJs7A45E8y0f+D1V92T/4bRurkH0H/IOHg&#10;rlGuNrfkWT5eqjynEGFojKqYQR61ywZPxQkjBsRoYjN8hoq3rbYBkix7i33swQOLfVL/cFLf7IPQ&#10;nMyvF/N8ykvSXMuv5vPlMu0nU8XL5x4pfDTQi3gpJTK/BK92jxQiHVW8PIndHDy0XZdW3Lk/Evww&#10;ZhL9yDj6hYoNVAdmjzDahG3NlwbwlxQDW6SU9HOr0EjRfXKswHW+WERPpWCxvJpxgJeVzWVFOc1Q&#10;pQxSjNe7MPpw67GtmyT0yPGWVbNtmufM6kiWbZDGPFo2+uwyTq/OP9b6NwAAAP//AwBQSwMEFAAG&#10;AAgAAAAhAKfSDSTdAAAABQEAAA8AAABkcnMvZG93bnJldi54bWxMj0FLw0AQhe8F/8MyQi/F7tpC&#10;lZhNkYJYilBMtedtdkyC2dk0u03iv3f0opcHjze89026Hl0jeuxC7UnD7VyBQCq8ranU8HZ4urkH&#10;EaIhaxpPqOELA6yzq0lqEusHesU+j6XgEgqJ0VDF2CZShqJCZ8Lct0icffjOmci2K6XtzMDlrpEL&#10;pVbSmZp4oTItbiosPvOL0zAU+/54eHmW+9lx6+m8PW/y953W0+vx8QFExDH+HcMPPqNDxkwnfyEb&#10;RKOBH4m/ytlSrdieNCzulgpklsr/9Nk3AAAA//8DAFBLAQItABQABgAIAAAAIQC2gziS/gAAAOEB&#10;AAATAAAAAAAAAAAAAAAAAAAAAABbQ29udGVudF9UeXBlc10ueG1sUEsBAi0AFAAGAAgAAAAhADj9&#10;If/WAAAAlAEAAAsAAAAAAAAAAAAAAAAALwEAAF9yZWxzLy5yZWxzUEsBAi0AFAAGAAgAAAAhAMFE&#10;gxvaAQAAoAMAAA4AAAAAAAAAAAAAAAAALgIAAGRycy9lMm9Eb2MueG1sUEsBAi0AFAAGAAgAAAAh&#10;AKfSDSTdAAAABQEAAA8AAAAAAAAAAAAAAAAANAQAAGRycy9kb3ducmV2LnhtbFBLBQYAAAAABAAE&#10;APMAAAA+BQAAAAA=&#10;" filled="f" stroked="f">
                      <o:lock v:ext="edit" aspectratio="t"/>
                      <w10:anchorlock/>
                    </v:rect>
                  </w:pict>
                </mc:Fallback>
              </mc:AlternateContent>
            </w:r>
          </w:p>
          <w:p w14:paraId="101DA430" w14:textId="77777777" w:rsidR="00681FB0" w:rsidRPr="003E0B98" w:rsidRDefault="00681FB0" w:rsidP="004361AC">
            <w:pPr>
              <w:tabs>
                <w:tab w:val="clear" w:pos="567"/>
              </w:tabs>
              <w:spacing w:line="240" w:lineRule="auto"/>
              <w:jc w:val="center"/>
              <w:rPr>
                <w:b/>
                <w:bCs/>
                <w:color w:val="000000"/>
                <w:szCs w:val="22"/>
                <w:lang w:val="en-US"/>
              </w:rPr>
            </w:pPr>
            <w:proofErr w:type="spellStart"/>
            <w:r w:rsidRPr="003E0B98">
              <w:rPr>
                <w:rFonts w:eastAsia="MS PGothic"/>
                <w:b/>
                <w:color w:val="000000"/>
                <w:kern w:val="24"/>
                <w:szCs w:val="22"/>
                <w:lang w:val="en-US"/>
              </w:rPr>
              <w:t>Figura</w:t>
            </w:r>
            <w:proofErr w:type="spellEnd"/>
            <w:r w:rsidRPr="003E0B98">
              <w:rPr>
                <w:rFonts w:eastAsia="MS PGothic"/>
                <w:b/>
                <w:color w:val="000000"/>
                <w:kern w:val="24"/>
                <w:szCs w:val="22"/>
                <w:lang w:val="en-US"/>
              </w:rPr>
              <w:t> 7</w:t>
            </w:r>
          </w:p>
        </w:tc>
      </w:tr>
      <w:tr w:rsidR="00681FB0" w:rsidRPr="003C169A" w14:paraId="0499F2F2" w14:textId="77777777" w:rsidTr="005268B9">
        <w:trPr>
          <w:cantSplit/>
          <w:trHeight w:val="2541"/>
        </w:trPr>
        <w:tc>
          <w:tcPr>
            <w:tcW w:w="1701" w:type="dxa"/>
          </w:tcPr>
          <w:p w14:paraId="4998DD52" w14:textId="77777777" w:rsidR="00681FB0" w:rsidRPr="003E0B98" w:rsidRDefault="00681FB0" w:rsidP="004361AC">
            <w:pPr>
              <w:tabs>
                <w:tab w:val="clear" w:pos="567"/>
              </w:tabs>
              <w:spacing w:line="240" w:lineRule="auto"/>
              <w:rPr>
                <w:b/>
                <w:color w:val="000000"/>
                <w:szCs w:val="22"/>
              </w:rPr>
            </w:pPr>
            <w:proofErr w:type="spellStart"/>
            <w:r w:rsidRPr="003E0B98">
              <w:rPr>
                <w:b/>
                <w:color w:val="000000"/>
                <w:szCs w:val="22"/>
              </w:rPr>
              <w:t>Inyección</w:t>
            </w:r>
            <w:proofErr w:type="spellEnd"/>
          </w:p>
        </w:tc>
        <w:tc>
          <w:tcPr>
            <w:tcW w:w="7513" w:type="dxa"/>
            <w:gridSpan w:val="2"/>
          </w:tcPr>
          <w:p w14:paraId="086F7CBE" w14:textId="77777777" w:rsidR="00681FB0" w:rsidRPr="003E0B98" w:rsidRDefault="00681FB0" w:rsidP="004361AC">
            <w:pPr>
              <w:tabs>
                <w:tab w:val="clear" w:pos="567"/>
              </w:tabs>
              <w:spacing w:line="240" w:lineRule="auto"/>
              <w:ind w:left="459" w:hanging="459"/>
              <w:rPr>
                <w:color w:val="000000"/>
                <w:szCs w:val="22"/>
                <w:lang w:val="es-ES"/>
              </w:rPr>
            </w:pPr>
            <w:r w:rsidRPr="003E0B98">
              <w:rPr>
                <w:color w:val="000000"/>
                <w:szCs w:val="22"/>
                <w:lang w:val="es-ES"/>
              </w:rPr>
              <w:t>El procedimiento de inyección debe llevarse a cabo bajo condiciones asépticas.</w:t>
            </w:r>
          </w:p>
          <w:p w14:paraId="3811325B" w14:textId="77777777" w:rsidR="00681FB0" w:rsidRPr="003E0B98" w:rsidRDefault="00681FB0" w:rsidP="004361AC">
            <w:pPr>
              <w:tabs>
                <w:tab w:val="clear" w:pos="567"/>
              </w:tabs>
              <w:spacing w:line="240" w:lineRule="auto"/>
              <w:ind w:left="459" w:hanging="459"/>
              <w:rPr>
                <w:color w:val="000000"/>
                <w:szCs w:val="22"/>
                <w:lang w:val="es-ES"/>
              </w:rPr>
            </w:pPr>
            <w:r w:rsidRPr="003E0B98">
              <w:rPr>
                <w:color w:val="000000"/>
                <w:szCs w:val="22"/>
                <w:lang w:val="es-ES"/>
              </w:rPr>
              <w:t>12.</w:t>
            </w:r>
            <w:r w:rsidRPr="003E0B98">
              <w:rPr>
                <w:color w:val="000000"/>
                <w:szCs w:val="22"/>
                <w:lang w:val="es-ES"/>
              </w:rPr>
              <w:tab/>
              <w:t>La aguja para inyección se debe introducir 3,5</w:t>
            </w:r>
            <w:r w:rsidRPr="003E0B98">
              <w:rPr>
                <w:color w:val="000000"/>
                <w:szCs w:val="22"/>
                <w:lang w:val="es-ES"/>
              </w:rPr>
              <w:noBreakHyphen/>
              <w:t xml:space="preserve">4,0 mm por detrás del limbo en la cavidad vítrea, </w:t>
            </w:r>
            <w:r w:rsidRPr="003E0B98">
              <w:rPr>
                <w:color w:val="000000"/>
                <w:lang w:val="es-ES"/>
              </w:rPr>
              <w:t>evitando el meridiano horizontal y en dirección al centro del globo.</w:t>
            </w:r>
          </w:p>
          <w:p w14:paraId="06C5A2C8" w14:textId="77777777" w:rsidR="00681FB0" w:rsidRPr="003E0B98" w:rsidRDefault="00681FB0" w:rsidP="004361AC">
            <w:pPr>
              <w:tabs>
                <w:tab w:val="clear" w:pos="567"/>
              </w:tabs>
              <w:spacing w:line="240" w:lineRule="auto"/>
              <w:ind w:left="459" w:hanging="459"/>
              <w:rPr>
                <w:color w:val="000000"/>
                <w:szCs w:val="22"/>
                <w:lang w:val="es-ES"/>
              </w:rPr>
            </w:pPr>
            <w:r w:rsidRPr="003E0B98">
              <w:rPr>
                <w:color w:val="000000"/>
                <w:szCs w:val="22"/>
                <w:lang w:val="es-ES"/>
              </w:rPr>
              <w:t>13.</w:t>
            </w:r>
            <w:r w:rsidRPr="003E0B98">
              <w:rPr>
                <w:color w:val="000000"/>
                <w:szCs w:val="22"/>
                <w:lang w:val="es-ES"/>
              </w:rPr>
              <w:tab/>
              <w:t xml:space="preserve">Inyectar lentamente hasta que el </w:t>
            </w:r>
            <w:r w:rsidR="006F0338" w:rsidRPr="003E0B98">
              <w:rPr>
                <w:color w:val="000000"/>
                <w:szCs w:val="22"/>
                <w:lang w:val="es-ES"/>
              </w:rPr>
              <w:t>tapón</w:t>
            </w:r>
            <w:r w:rsidRPr="003E0B98">
              <w:rPr>
                <w:color w:val="000000"/>
                <w:szCs w:val="22"/>
                <w:lang w:val="es-ES"/>
              </w:rPr>
              <w:t xml:space="preserve"> de goma llegue a la parte inferior de la jeringa, con el fin de administrar el volumen de 0,05 ml.</w:t>
            </w:r>
          </w:p>
          <w:p w14:paraId="67027E56" w14:textId="77777777" w:rsidR="00681FB0" w:rsidRPr="003E0B98" w:rsidRDefault="00681FB0" w:rsidP="004361AC">
            <w:pPr>
              <w:tabs>
                <w:tab w:val="clear" w:pos="567"/>
              </w:tabs>
              <w:spacing w:line="240" w:lineRule="auto"/>
              <w:ind w:left="459" w:hanging="459"/>
              <w:rPr>
                <w:color w:val="000000"/>
                <w:szCs w:val="22"/>
                <w:lang w:val="es-ES"/>
              </w:rPr>
            </w:pPr>
            <w:r w:rsidRPr="003E0B98">
              <w:rPr>
                <w:color w:val="000000"/>
                <w:szCs w:val="22"/>
                <w:lang w:val="es-ES"/>
              </w:rPr>
              <w:t>14.</w:t>
            </w:r>
            <w:r w:rsidRPr="003E0B98">
              <w:rPr>
                <w:color w:val="000000"/>
                <w:szCs w:val="22"/>
                <w:lang w:val="es-ES"/>
              </w:rPr>
              <w:tab/>
              <w:t xml:space="preserve">Las inyecciones siguientes se deben aplicar cada vez en un punto </w:t>
            </w:r>
            <w:proofErr w:type="spellStart"/>
            <w:r w:rsidRPr="003E0B98">
              <w:rPr>
                <w:color w:val="000000"/>
                <w:szCs w:val="22"/>
                <w:lang w:val="es-ES"/>
              </w:rPr>
              <w:t>escleral</w:t>
            </w:r>
            <w:proofErr w:type="spellEnd"/>
            <w:r w:rsidRPr="003E0B98">
              <w:rPr>
                <w:color w:val="000000"/>
                <w:szCs w:val="22"/>
                <w:lang w:val="es-ES"/>
              </w:rPr>
              <w:t xml:space="preserve"> distinto.</w:t>
            </w:r>
          </w:p>
          <w:p w14:paraId="65B5A579" w14:textId="77777777" w:rsidR="00681FB0" w:rsidRPr="003E0B98" w:rsidRDefault="00681FB0" w:rsidP="004361AC">
            <w:pPr>
              <w:tabs>
                <w:tab w:val="clear" w:pos="567"/>
              </w:tabs>
              <w:spacing w:line="240" w:lineRule="auto"/>
              <w:ind w:left="459" w:hanging="459"/>
              <w:rPr>
                <w:b/>
                <w:bCs/>
                <w:color w:val="000000"/>
                <w:szCs w:val="22"/>
                <w:lang w:val="es-ES"/>
              </w:rPr>
            </w:pPr>
            <w:r w:rsidRPr="003E0B98">
              <w:rPr>
                <w:color w:val="000000"/>
                <w:szCs w:val="22"/>
                <w:lang w:val="es-ES"/>
              </w:rPr>
              <w:t>15.</w:t>
            </w:r>
            <w:r w:rsidRPr="003E0B98">
              <w:rPr>
                <w:color w:val="000000"/>
                <w:szCs w:val="22"/>
                <w:lang w:val="es-ES"/>
              </w:rPr>
              <w:tab/>
              <w:t xml:space="preserve">Tras la inyección, no tapar la aguja con </w:t>
            </w:r>
            <w:r w:rsidR="008E7E7E" w:rsidRPr="003E0B98">
              <w:rPr>
                <w:color w:val="000000"/>
                <w:szCs w:val="22"/>
                <w:lang w:val="es-ES"/>
              </w:rPr>
              <w:t>la cápsula de cierre</w:t>
            </w:r>
            <w:r w:rsidRPr="003E0B98">
              <w:rPr>
                <w:color w:val="000000"/>
                <w:szCs w:val="22"/>
                <w:lang w:val="es-ES"/>
              </w:rPr>
              <w:t xml:space="preserve"> ni separarla de la jeringa. Eliminar la jeringa usada junto con la aguja en un contenedor para objetos punzantes o </w:t>
            </w:r>
            <w:r w:rsidR="001408AA" w:rsidRPr="003E0B98">
              <w:rPr>
                <w:color w:val="000000"/>
                <w:szCs w:val="22"/>
                <w:lang w:val="es-ES"/>
              </w:rPr>
              <w:t xml:space="preserve">eliminar </w:t>
            </w:r>
            <w:r w:rsidRPr="003E0B98">
              <w:rPr>
                <w:color w:val="000000"/>
                <w:szCs w:val="22"/>
                <w:lang w:val="es-ES"/>
              </w:rPr>
              <w:t>de acuerdo con la normativa local.</w:t>
            </w:r>
          </w:p>
        </w:tc>
      </w:tr>
    </w:tbl>
    <w:p w14:paraId="2109D52E" w14:textId="77777777" w:rsidR="00816612" w:rsidRPr="003E0B98" w:rsidRDefault="00816612" w:rsidP="004361AC">
      <w:pPr>
        <w:numPr>
          <w:ilvl w:val="12"/>
          <w:numId w:val="0"/>
        </w:numPr>
        <w:tabs>
          <w:tab w:val="clear" w:pos="567"/>
        </w:tabs>
        <w:spacing w:line="240" w:lineRule="auto"/>
        <w:ind w:right="-2"/>
        <w:rPr>
          <w:color w:val="000000"/>
          <w:szCs w:val="22"/>
          <w:lang w:val="es-ES"/>
        </w:rPr>
      </w:pPr>
    </w:p>
    <w:p w14:paraId="11440015" w14:textId="77777777" w:rsidR="003F59DD" w:rsidRPr="003E0B98" w:rsidRDefault="00935744" w:rsidP="004361AC">
      <w:pPr>
        <w:tabs>
          <w:tab w:val="clear" w:pos="567"/>
        </w:tabs>
        <w:spacing w:line="240" w:lineRule="auto"/>
        <w:jc w:val="center"/>
        <w:rPr>
          <w:b/>
          <w:color w:val="000000"/>
          <w:szCs w:val="22"/>
          <w:lang w:val="es-ES_tradnl"/>
        </w:rPr>
      </w:pPr>
      <w:r w:rsidRPr="003E0B98">
        <w:rPr>
          <w:color w:val="000000"/>
          <w:szCs w:val="22"/>
          <w:lang w:val="es-ES"/>
        </w:rPr>
        <w:br w:type="page"/>
      </w:r>
      <w:r w:rsidR="003F59DD" w:rsidRPr="003E0B98">
        <w:rPr>
          <w:b/>
          <w:szCs w:val="24"/>
          <w:lang w:val="es-ES_tradnl"/>
        </w:rPr>
        <w:t>Prospecto:</w:t>
      </w:r>
      <w:r w:rsidR="003F59DD" w:rsidRPr="003E0B98">
        <w:rPr>
          <w:b/>
          <w:noProof/>
          <w:szCs w:val="24"/>
          <w:lang w:val="es-ES_tradnl"/>
        </w:rPr>
        <w:t xml:space="preserve"> </w:t>
      </w:r>
      <w:r w:rsidR="003F59DD" w:rsidRPr="003E0B98">
        <w:rPr>
          <w:b/>
          <w:szCs w:val="24"/>
          <w:lang w:val="es-ES_tradnl"/>
        </w:rPr>
        <w:t xml:space="preserve">información para </w:t>
      </w:r>
      <w:r w:rsidR="00F7293F" w:rsidRPr="003E0B98">
        <w:rPr>
          <w:b/>
          <w:szCs w:val="24"/>
          <w:lang w:val="es-ES_tradnl"/>
        </w:rPr>
        <w:t>los tutores de bebés nacidos prematuramente</w:t>
      </w:r>
    </w:p>
    <w:p w14:paraId="78C3EC35" w14:textId="77777777" w:rsidR="003F59DD" w:rsidRPr="003E0B98" w:rsidRDefault="003F59DD" w:rsidP="004361AC">
      <w:pPr>
        <w:tabs>
          <w:tab w:val="clear" w:pos="567"/>
        </w:tabs>
        <w:spacing w:line="240" w:lineRule="auto"/>
        <w:jc w:val="center"/>
        <w:rPr>
          <w:color w:val="000000"/>
          <w:szCs w:val="22"/>
          <w:lang w:val="es-ES_tradnl"/>
        </w:rPr>
      </w:pPr>
    </w:p>
    <w:p w14:paraId="0F49B181" w14:textId="77777777" w:rsidR="003F59DD" w:rsidRPr="003E0B98" w:rsidRDefault="003F59DD" w:rsidP="004361AC">
      <w:pPr>
        <w:numPr>
          <w:ilvl w:val="12"/>
          <w:numId w:val="0"/>
        </w:numPr>
        <w:tabs>
          <w:tab w:val="clear" w:pos="567"/>
        </w:tabs>
        <w:spacing w:line="240" w:lineRule="auto"/>
        <w:jc w:val="center"/>
        <w:rPr>
          <w:b/>
          <w:color w:val="000000"/>
          <w:szCs w:val="22"/>
          <w:lang w:val="es-ES_tradnl"/>
        </w:rPr>
      </w:pPr>
      <w:proofErr w:type="spellStart"/>
      <w:r w:rsidRPr="003E0B98">
        <w:rPr>
          <w:b/>
          <w:color w:val="000000"/>
          <w:szCs w:val="22"/>
          <w:lang w:val="es-ES_tradnl"/>
        </w:rPr>
        <w:t>Lucentis</w:t>
      </w:r>
      <w:proofErr w:type="spellEnd"/>
      <w:r w:rsidRPr="003E0B98">
        <w:rPr>
          <w:b/>
          <w:color w:val="000000"/>
          <w:szCs w:val="22"/>
          <w:lang w:val="es-ES_tradnl"/>
        </w:rPr>
        <w:t xml:space="preserve"> 10 mg/ml solución inyectable</w:t>
      </w:r>
    </w:p>
    <w:p w14:paraId="192B6C45" w14:textId="77777777" w:rsidR="003F59DD" w:rsidRPr="003E0B98" w:rsidRDefault="003F59DD" w:rsidP="004361AC">
      <w:pPr>
        <w:numPr>
          <w:ilvl w:val="12"/>
          <w:numId w:val="0"/>
        </w:numPr>
        <w:tabs>
          <w:tab w:val="clear" w:pos="567"/>
        </w:tabs>
        <w:spacing w:line="240" w:lineRule="auto"/>
        <w:jc w:val="center"/>
        <w:rPr>
          <w:color w:val="000000"/>
          <w:szCs w:val="22"/>
          <w:lang w:val="es-ES_tradnl"/>
        </w:rPr>
      </w:pPr>
      <w:proofErr w:type="spellStart"/>
      <w:r w:rsidRPr="003E0B98">
        <w:rPr>
          <w:color w:val="000000"/>
          <w:szCs w:val="22"/>
          <w:lang w:val="es-ES_tradnl"/>
        </w:rPr>
        <w:t>ranibizumab</w:t>
      </w:r>
      <w:proofErr w:type="spellEnd"/>
    </w:p>
    <w:p w14:paraId="31E554B4" w14:textId="77777777" w:rsidR="003F59DD" w:rsidRPr="003E0B98" w:rsidRDefault="003F59DD" w:rsidP="004361AC">
      <w:pPr>
        <w:numPr>
          <w:ilvl w:val="12"/>
          <w:numId w:val="0"/>
        </w:numPr>
        <w:tabs>
          <w:tab w:val="clear" w:pos="567"/>
        </w:tabs>
        <w:spacing w:line="240" w:lineRule="auto"/>
        <w:rPr>
          <w:color w:val="000000"/>
          <w:szCs w:val="22"/>
          <w:lang w:val="es-ES_tradnl"/>
        </w:rPr>
      </w:pPr>
    </w:p>
    <w:p w14:paraId="45EF5BBA" w14:textId="77777777" w:rsidR="003F59DD" w:rsidRPr="003E0B98" w:rsidRDefault="00F7293F" w:rsidP="004361AC">
      <w:pPr>
        <w:numPr>
          <w:ilvl w:val="12"/>
          <w:numId w:val="0"/>
        </w:numPr>
        <w:tabs>
          <w:tab w:val="clear" w:pos="567"/>
          <w:tab w:val="left" w:pos="720"/>
        </w:tabs>
        <w:spacing w:line="240" w:lineRule="auto"/>
        <w:rPr>
          <w:b/>
          <w:color w:val="FFFFFF"/>
          <w:szCs w:val="22"/>
          <w:shd w:val="solid" w:color="auto" w:fill="auto"/>
          <w:lang w:val="es-ES"/>
        </w:rPr>
      </w:pPr>
      <w:r w:rsidRPr="003E0B98">
        <w:rPr>
          <w:b/>
          <w:color w:val="FFFFFF"/>
          <w:szCs w:val="22"/>
          <w:shd w:val="solid" w:color="auto" w:fill="auto"/>
          <w:lang w:val="es-ES"/>
        </w:rPr>
        <w:t>BEBÉS NACIDOS PREMATURAMENTE</w:t>
      </w:r>
    </w:p>
    <w:p w14:paraId="0A9EBC59" w14:textId="77777777" w:rsidR="003F59DD" w:rsidRPr="003E0B98" w:rsidRDefault="003F59DD" w:rsidP="004361AC">
      <w:pPr>
        <w:numPr>
          <w:ilvl w:val="12"/>
          <w:numId w:val="0"/>
        </w:numPr>
        <w:tabs>
          <w:tab w:val="clear" w:pos="567"/>
          <w:tab w:val="left" w:pos="720"/>
        </w:tabs>
        <w:spacing w:line="240" w:lineRule="auto"/>
        <w:rPr>
          <w:color w:val="000000"/>
          <w:szCs w:val="22"/>
          <w:lang w:val="es-ES"/>
        </w:rPr>
      </w:pPr>
    </w:p>
    <w:p w14:paraId="06AC6AA4" w14:textId="77777777" w:rsidR="003F59DD" w:rsidRPr="003E0B98" w:rsidRDefault="003F59DD" w:rsidP="004361AC">
      <w:pPr>
        <w:numPr>
          <w:ilvl w:val="12"/>
          <w:numId w:val="0"/>
        </w:numPr>
        <w:pBdr>
          <w:top w:val="single" w:sz="4" w:space="1" w:color="auto"/>
          <w:left w:val="single" w:sz="4" w:space="4" w:color="auto"/>
          <w:bottom w:val="single" w:sz="4" w:space="1" w:color="auto"/>
          <w:right w:val="single" w:sz="4" w:space="4" w:color="auto"/>
        </w:pBdr>
        <w:rPr>
          <w:color w:val="000000"/>
          <w:szCs w:val="22"/>
          <w:lang w:val="es-ES"/>
        </w:rPr>
      </w:pPr>
      <w:r w:rsidRPr="003E0B98">
        <w:rPr>
          <w:color w:val="000000"/>
          <w:szCs w:val="22"/>
          <w:lang w:val="es-ES"/>
        </w:rPr>
        <w:t xml:space="preserve">Información para </w:t>
      </w:r>
      <w:r w:rsidR="00F7293F" w:rsidRPr="003E0B98">
        <w:rPr>
          <w:color w:val="000000"/>
          <w:szCs w:val="22"/>
          <w:lang w:val="es-ES"/>
        </w:rPr>
        <w:t>adultos</w:t>
      </w:r>
      <w:r w:rsidRPr="003E0B98">
        <w:rPr>
          <w:color w:val="000000"/>
          <w:szCs w:val="22"/>
          <w:lang w:val="es-ES"/>
        </w:rPr>
        <w:t xml:space="preserve"> en la otra cara del prospecto.</w:t>
      </w:r>
    </w:p>
    <w:p w14:paraId="1F83D3EC" w14:textId="77777777" w:rsidR="003F59DD" w:rsidRPr="003E0B98" w:rsidRDefault="003F59DD" w:rsidP="004361AC">
      <w:pPr>
        <w:numPr>
          <w:ilvl w:val="12"/>
          <w:numId w:val="0"/>
        </w:numPr>
        <w:tabs>
          <w:tab w:val="clear" w:pos="567"/>
        </w:tabs>
        <w:spacing w:line="240" w:lineRule="auto"/>
        <w:jc w:val="center"/>
        <w:rPr>
          <w:color w:val="000000"/>
          <w:szCs w:val="22"/>
          <w:lang w:val="es-ES"/>
        </w:rPr>
      </w:pPr>
    </w:p>
    <w:p w14:paraId="1F65BD02" w14:textId="77777777" w:rsidR="003F59DD" w:rsidRPr="003E0B98" w:rsidRDefault="003F59DD" w:rsidP="004361AC">
      <w:pPr>
        <w:numPr>
          <w:ilvl w:val="12"/>
          <w:numId w:val="0"/>
        </w:numPr>
        <w:tabs>
          <w:tab w:val="clear" w:pos="567"/>
        </w:tabs>
        <w:spacing w:line="240" w:lineRule="auto"/>
        <w:rPr>
          <w:b/>
          <w:color w:val="000000"/>
          <w:szCs w:val="22"/>
          <w:lang w:val="es-ES_tradnl"/>
        </w:rPr>
      </w:pPr>
      <w:r w:rsidRPr="003E0B98">
        <w:rPr>
          <w:b/>
          <w:noProof/>
          <w:color w:val="000000"/>
          <w:lang w:val="es-ES_tradnl"/>
        </w:rPr>
        <w:t xml:space="preserve">Lea todo el prospecto detenidamente antes de </w:t>
      </w:r>
      <w:r w:rsidRPr="003E0B98">
        <w:rPr>
          <w:b/>
          <w:color w:val="000000"/>
          <w:lang w:val="es-ES_tradnl"/>
        </w:rPr>
        <w:t>que le administren este medicamento</w:t>
      </w:r>
      <w:r w:rsidR="00F7293F" w:rsidRPr="003E0B98">
        <w:rPr>
          <w:b/>
          <w:color w:val="000000"/>
          <w:lang w:val="es-ES_tradnl"/>
        </w:rPr>
        <w:t xml:space="preserve"> a su bebé</w:t>
      </w:r>
      <w:r w:rsidRPr="003E0B98">
        <w:rPr>
          <w:b/>
          <w:color w:val="000000"/>
          <w:lang w:val="es-ES_tradnl"/>
        </w:rPr>
        <w:t>, porque contiene información importante para usted.</w:t>
      </w:r>
    </w:p>
    <w:p w14:paraId="1D10B904" w14:textId="77777777" w:rsidR="003F59DD" w:rsidRPr="003E0B98" w:rsidRDefault="003F59DD" w:rsidP="004361AC">
      <w:pPr>
        <w:numPr>
          <w:ilvl w:val="12"/>
          <w:numId w:val="0"/>
        </w:numPr>
        <w:tabs>
          <w:tab w:val="clear" w:pos="567"/>
        </w:tabs>
        <w:spacing w:line="240" w:lineRule="auto"/>
        <w:rPr>
          <w:color w:val="000000"/>
          <w:szCs w:val="22"/>
          <w:lang w:val="es-ES_tradnl"/>
        </w:rPr>
      </w:pPr>
      <w:r w:rsidRPr="003E0B98">
        <w:rPr>
          <w:color w:val="000000"/>
          <w:szCs w:val="22"/>
          <w:lang w:val="es-ES_tradnl"/>
        </w:rPr>
        <w:t>-</w:t>
      </w:r>
      <w:r w:rsidRPr="003E0B98">
        <w:rPr>
          <w:color w:val="000000"/>
          <w:szCs w:val="22"/>
          <w:lang w:val="es-ES_tradnl"/>
        </w:rPr>
        <w:tab/>
      </w:r>
      <w:r w:rsidRPr="003E0B98">
        <w:rPr>
          <w:noProof/>
          <w:color w:val="000000"/>
          <w:lang w:val="es-ES_tradnl"/>
        </w:rPr>
        <w:t>Conserve este prospecto, ya que puede tener que volver a leerlo.</w:t>
      </w:r>
    </w:p>
    <w:p w14:paraId="25968647" w14:textId="77777777" w:rsidR="003F59DD" w:rsidRPr="003E0B98" w:rsidRDefault="003F59DD" w:rsidP="004361AC">
      <w:pPr>
        <w:numPr>
          <w:ilvl w:val="12"/>
          <w:numId w:val="0"/>
        </w:numPr>
        <w:tabs>
          <w:tab w:val="clear" w:pos="567"/>
        </w:tabs>
        <w:spacing w:line="240" w:lineRule="auto"/>
        <w:rPr>
          <w:noProof/>
          <w:color w:val="000000"/>
          <w:lang w:val="es-ES_tradnl"/>
        </w:rPr>
      </w:pPr>
      <w:r w:rsidRPr="003E0B98">
        <w:rPr>
          <w:color w:val="000000"/>
          <w:szCs w:val="22"/>
          <w:lang w:val="es-ES_tradnl"/>
        </w:rPr>
        <w:t>-</w:t>
      </w:r>
      <w:r w:rsidRPr="003E0B98">
        <w:rPr>
          <w:color w:val="000000"/>
          <w:szCs w:val="22"/>
          <w:lang w:val="es-ES_tradnl"/>
        </w:rPr>
        <w:tab/>
      </w:r>
      <w:r w:rsidRPr="003E0B98">
        <w:rPr>
          <w:noProof/>
          <w:color w:val="000000"/>
          <w:lang w:val="es-ES_tradnl"/>
        </w:rPr>
        <w:t>Si tiene alguna duda, consulte a</w:t>
      </w:r>
      <w:r w:rsidR="00F7293F" w:rsidRPr="003E0B98">
        <w:rPr>
          <w:noProof/>
          <w:color w:val="000000"/>
          <w:lang w:val="es-ES_tradnl"/>
        </w:rPr>
        <w:t>l médico de su bebé</w:t>
      </w:r>
      <w:r w:rsidRPr="003E0B98">
        <w:rPr>
          <w:noProof/>
          <w:color w:val="000000"/>
          <w:lang w:val="es-ES_tradnl"/>
        </w:rPr>
        <w:t>.</w:t>
      </w:r>
    </w:p>
    <w:p w14:paraId="1AAA11A2" w14:textId="77777777" w:rsidR="003F59DD" w:rsidRPr="003E0B98" w:rsidRDefault="003F59DD" w:rsidP="004361AC">
      <w:pPr>
        <w:numPr>
          <w:ilvl w:val="12"/>
          <w:numId w:val="0"/>
        </w:numPr>
        <w:tabs>
          <w:tab w:val="clear" w:pos="567"/>
        </w:tabs>
        <w:spacing w:line="240" w:lineRule="auto"/>
        <w:ind w:left="567" w:hanging="567"/>
        <w:rPr>
          <w:color w:val="000000"/>
          <w:szCs w:val="22"/>
          <w:lang w:val="es-ES_tradnl"/>
        </w:rPr>
      </w:pPr>
      <w:r w:rsidRPr="003E0B98">
        <w:rPr>
          <w:color w:val="000000"/>
          <w:szCs w:val="22"/>
          <w:lang w:val="es-ES_tradnl"/>
        </w:rPr>
        <w:t>-</w:t>
      </w:r>
      <w:r w:rsidRPr="003E0B98">
        <w:rPr>
          <w:color w:val="000000"/>
          <w:szCs w:val="22"/>
          <w:lang w:val="es-ES_tradnl"/>
        </w:rPr>
        <w:tab/>
      </w:r>
      <w:r w:rsidRPr="003E0B98">
        <w:rPr>
          <w:lang w:val="es-ES_tradnl"/>
        </w:rPr>
        <w:t xml:space="preserve">Si </w:t>
      </w:r>
      <w:r w:rsidR="00F7293F" w:rsidRPr="003E0B98">
        <w:rPr>
          <w:lang w:val="es-ES_tradnl"/>
        </w:rPr>
        <w:t xml:space="preserve">su bebé </w:t>
      </w:r>
      <w:r w:rsidRPr="003E0B98">
        <w:rPr>
          <w:szCs w:val="24"/>
          <w:lang w:val="es-ES_tradnl"/>
        </w:rPr>
        <w:t>experimenta</w:t>
      </w:r>
      <w:r w:rsidRPr="003E0B98">
        <w:rPr>
          <w:lang w:val="es-ES_tradnl"/>
        </w:rPr>
        <w:t xml:space="preserve"> efectos adversos</w:t>
      </w:r>
      <w:r w:rsidRPr="003E0B98">
        <w:rPr>
          <w:szCs w:val="24"/>
          <w:lang w:val="es-ES_tradnl"/>
        </w:rPr>
        <w:t>, consulte a</w:t>
      </w:r>
      <w:r w:rsidR="00F7293F" w:rsidRPr="003E0B98">
        <w:rPr>
          <w:szCs w:val="24"/>
          <w:lang w:val="es-ES_tradnl"/>
        </w:rPr>
        <w:t xml:space="preserve">l médico de </w:t>
      </w:r>
      <w:r w:rsidRPr="003E0B98">
        <w:rPr>
          <w:szCs w:val="24"/>
          <w:lang w:val="es-ES_tradnl"/>
        </w:rPr>
        <w:t xml:space="preserve">su </w:t>
      </w:r>
      <w:r w:rsidR="00F7293F" w:rsidRPr="003E0B98">
        <w:rPr>
          <w:szCs w:val="24"/>
          <w:lang w:val="es-ES_tradnl"/>
        </w:rPr>
        <w:t>bebé</w:t>
      </w:r>
      <w:r w:rsidRPr="003E0B98">
        <w:rPr>
          <w:szCs w:val="24"/>
          <w:lang w:val="es-ES_tradnl"/>
        </w:rPr>
        <w:t>,</w:t>
      </w:r>
      <w:r w:rsidRPr="003E0B98">
        <w:rPr>
          <w:color w:val="FF0000"/>
          <w:szCs w:val="24"/>
          <w:lang w:val="es-ES_tradnl"/>
        </w:rPr>
        <w:t xml:space="preserve"> </w:t>
      </w:r>
      <w:r w:rsidRPr="003E0B98">
        <w:rPr>
          <w:szCs w:val="24"/>
          <w:lang w:val="es-ES_tradnl"/>
        </w:rPr>
        <w:t xml:space="preserve">incluso </w:t>
      </w:r>
      <w:r w:rsidRPr="003E0B98">
        <w:rPr>
          <w:lang w:val="es-ES_tradnl"/>
        </w:rPr>
        <w:t xml:space="preserve">si </w:t>
      </w:r>
      <w:r w:rsidRPr="003E0B98">
        <w:rPr>
          <w:szCs w:val="24"/>
          <w:lang w:val="es-ES_tradnl"/>
        </w:rPr>
        <w:t xml:space="preserve">se trata de efectos adversos que </w:t>
      </w:r>
      <w:r w:rsidRPr="003E0B98">
        <w:rPr>
          <w:lang w:val="es-ES_tradnl"/>
        </w:rPr>
        <w:t xml:space="preserve">no </w:t>
      </w:r>
      <w:r w:rsidRPr="003E0B98">
        <w:rPr>
          <w:szCs w:val="24"/>
          <w:lang w:val="es-ES_tradnl"/>
        </w:rPr>
        <w:t>aparecen</w:t>
      </w:r>
      <w:r w:rsidRPr="003E0B98">
        <w:rPr>
          <w:lang w:val="es-ES_tradnl"/>
        </w:rPr>
        <w:t xml:space="preserve"> en este prospecto</w:t>
      </w:r>
      <w:r w:rsidRPr="003E0B98">
        <w:rPr>
          <w:szCs w:val="24"/>
          <w:lang w:val="es-ES_tradnl"/>
        </w:rPr>
        <w:t>. Ver sección 4.</w:t>
      </w:r>
    </w:p>
    <w:p w14:paraId="09734467" w14:textId="77777777" w:rsidR="003F59DD" w:rsidRPr="003E0B98" w:rsidRDefault="003F59DD" w:rsidP="004361AC">
      <w:pPr>
        <w:tabs>
          <w:tab w:val="clear" w:pos="567"/>
        </w:tabs>
        <w:spacing w:line="240" w:lineRule="auto"/>
        <w:ind w:right="-2"/>
        <w:rPr>
          <w:color w:val="000000"/>
          <w:szCs w:val="22"/>
          <w:lang w:val="es-ES_tradnl"/>
        </w:rPr>
      </w:pPr>
    </w:p>
    <w:p w14:paraId="2613E103" w14:textId="77777777" w:rsidR="003F59DD" w:rsidRPr="003E0B98" w:rsidRDefault="003F59DD" w:rsidP="004361AC">
      <w:pPr>
        <w:keepNext/>
        <w:numPr>
          <w:ilvl w:val="12"/>
          <w:numId w:val="0"/>
        </w:numPr>
        <w:tabs>
          <w:tab w:val="clear" w:pos="567"/>
        </w:tabs>
        <w:spacing w:line="240" w:lineRule="auto"/>
        <w:rPr>
          <w:color w:val="000000"/>
          <w:szCs w:val="22"/>
          <w:lang w:val="es-ES_tradnl"/>
        </w:rPr>
      </w:pPr>
      <w:r w:rsidRPr="003E0B98">
        <w:rPr>
          <w:b/>
          <w:color w:val="000000"/>
          <w:szCs w:val="22"/>
          <w:lang w:val="es-ES_tradnl"/>
        </w:rPr>
        <w:t>Contenido del prospecto</w:t>
      </w:r>
    </w:p>
    <w:p w14:paraId="63ABEF67" w14:textId="77777777" w:rsidR="003F59DD" w:rsidRPr="003E0B98" w:rsidRDefault="003F59DD" w:rsidP="004361AC">
      <w:pPr>
        <w:numPr>
          <w:ilvl w:val="12"/>
          <w:numId w:val="0"/>
        </w:numPr>
        <w:tabs>
          <w:tab w:val="clear" w:pos="567"/>
        </w:tabs>
        <w:spacing w:line="240" w:lineRule="auto"/>
        <w:ind w:right="-29"/>
        <w:rPr>
          <w:color w:val="000000"/>
          <w:szCs w:val="22"/>
          <w:lang w:val="es-ES_tradnl"/>
        </w:rPr>
      </w:pPr>
      <w:r w:rsidRPr="003E0B98">
        <w:rPr>
          <w:color w:val="000000"/>
          <w:szCs w:val="22"/>
          <w:lang w:val="es-ES_tradnl"/>
        </w:rPr>
        <w:t>1.</w:t>
      </w:r>
      <w:r w:rsidRPr="003E0B98">
        <w:rPr>
          <w:color w:val="000000"/>
          <w:szCs w:val="22"/>
          <w:lang w:val="es-ES_tradnl"/>
        </w:rPr>
        <w:tab/>
      </w:r>
      <w:r w:rsidRPr="003E0B98">
        <w:rPr>
          <w:color w:val="000000"/>
          <w:lang w:val="es-ES_tradnl"/>
        </w:rPr>
        <w:t xml:space="preserve">Qué es </w:t>
      </w:r>
      <w:proofErr w:type="spellStart"/>
      <w:r w:rsidRPr="003E0B98">
        <w:rPr>
          <w:color w:val="000000"/>
          <w:szCs w:val="22"/>
          <w:lang w:val="es-ES_tradnl"/>
        </w:rPr>
        <w:t>Lucentis</w:t>
      </w:r>
      <w:proofErr w:type="spellEnd"/>
      <w:r w:rsidRPr="003E0B98">
        <w:rPr>
          <w:color w:val="000000"/>
          <w:szCs w:val="22"/>
          <w:lang w:val="es-ES_tradnl"/>
        </w:rPr>
        <w:t xml:space="preserve"> </w:t>
      </w:r>
      <w:r w:rsidRPr="003E0B98">
        <w:rPr>
          <w:color w:val="000000"/>
          <w:lang w:val="es-ES_tradnl"/>
        </w:rPr>
        <w:t>y para qué se utiliza</w:t>
      </w:r>
    </w:p>
    <w:p w14:paraId="560C2EEA" w14:textId="77777777" w:rsidR="003F59DD" w:rsidRPr="003E0B98" w:rsidRDefault="003F59DD" w:rsidP="004361AC">
      <w:pPr>
        <w:numPr>
          <w:ilvl w:val="12"/>
          <w:numId w:val="0"/>
        </w:numPr>
        <w:tabs>
          <w:tab w:val="clear" w:pos="567"/>
        </w:tabs>
        <w:spacing w:line="240" w:lineRule="auto"/>
        <w:ind w:right="-29"/>
        <w:rPr>
          <w:color w:val="000000"/>
          <w:szCs w:val="22"/>
          <w:lang w:val="es-ES_tradnl"/>
        </w:rPr>
      </w:pPr>
      <w:r w:rsidRPr="003E0B98">
        <w:rPr>
          <w:color w:val="000000"/>
          <w:szCs w:val="22"/>
          <w:lang w:val="es-ES_tradnl"/>
        </w:rPr>
        <w:t>2.</w:t>
      </w:r>
      <w:r w:rsidRPr="003E0B98">
        <w:rPr>
          <w:color w:val="000000"/>
          <w:szCs w:val="22"/>
          <w:lang w:val="es-ES_tradnl"/>
        </w:rPr>
        <w:tab/>
      </w:r>
      <w:r w:rsidRPr="003E0B98">
        <w:rPr>
          <w:noProof/>
          <w:szCs w:val="24"/>
          <w:lang w:val="es-ES_tradnl"/>
        </w:rPr>
        <w:t>Qué necesita saber</w:t>
      </w:r>
      <w:r w:rsidRPr="003E0B98">
        <w:rPr>
          <w:szCs w:val="24"/>
          <w:lang w:val="es-ES_tradnl"/>
        </w:rPr>
        <w:t xml:space="preserve"> </w:t>
      </w:r>
      <w:r w:rsidRPr="003E0B98">
        <w:rPr>
          <w:color w:val="000000"/>
          <w:szCs w:val="22"/>
          <w:lang w:val="es-ES_tradnl"/>
        </w:rPr>
        <w:t xml:space="preserve">antes de que le administren </w:t>
      </w:r>
      <w:proofErr w:type="spellStart"/>
      <w:r w:rsidRPr="003E0B98">
        <w:rPr>
          <w:color w:val="000000"/>
          <w:szCs w:val="22"/>
          <w:lang w:val="es-ES_tradnl"/>
        </w:rPr>
        <w:t>Lucentis</w:t>
      </w:r>
      <w:proofErr w:type="spellEnd"/>
      <w:r w:rsidR="00B03D93" w:rsidRPr="003E0B98">
        <w:rPr>
          <w:color w:val="000000"/>
          <w:szCs w:val="22"/>
          <w:lang w:val="es-ES_tradnl"/>
        </w:rPr>
        <w:t xml:space="preserve"> a su bebé</w:t>
      </w:r>
    </w:p>
    <w:p w14:paraId="2C70A173" w14:textId="77777777" w:rsidR="003F59DD" w:rsidRPr="003E0B98" w:rsidRDefault="003F59DD" w:rsidP="004361AC">
      <w:pPr>
        <w:numPr>
          <w:ilvl w:val="12"/>
          <w:numId w:val="0"/>
        </w:numPr>
        <w:tabs>
          <w:tab w:val="clear" w:pos="567"/>
        </w:tabs>
        <w:spacing w:line="240" w:lineRule="auto"/>
        <w:ind w:right="-29"/>
        <w:rPr>
          <w:color w:val="000000"/>
          <w:szCs w:val="22"/>
          <w:lang w:val="es-ES_tradnl"/>
        </w:rPr>
      </w:pPr>
      <w:r w:rsidRPr="003E0B98">
        <w:rPr>
          <w:color w:val="000000"/>
          <w:szCs w:val="22"/>
          <w:lang w:val="es-ES_tradnl"/>
        </w:rPr>
        <w:t>3.</w:t>
      </w:r>
      <w:r w:rsidRPr="003E0B98">
        <w:rPr>
          <w:color w:val="000000"/>
          <w:szCs w:val="22"/>
          <w:lang w:val="es-ES_tradnl"/>
        </w:rPr>
        <w:tab/>
        <w:t xml:space="preserve">Cómo se administra </w:t>
      </w:r>
      <w:proofErr w:type="spellStart"/>
      <w:r w:rsidRPr="003E0B98">
        <w:rPr>
          <w:color w:val="000000"/>
          <w:szCs w:val="22"/>
          <w:lang w:val="es-ES_tradnl"/>
        </w:rPr>
        <w:t>Lucentis</w:t>
      </w:r>
      <w:proofErr w:type="spellEnd"/>
    </w:p>
    <w:p w14:paraId="77EE7577" w14:textId="77777777" w:rsidR="003F59DD" w:rsidRPr="003E0B98" w:rsidRDefault="003F59DD" w:rsidP="004361AC">
      <w:pPr>
        <w:numPr>
          <w:ilvl w:val="12"/>
          <w:numId w:val="0"/>
        </w:numPr>
        <w:tabs>
          <w:tab w:val="clear" w:pos="567"/>
        </w:tabs>
        <w:spacing w:line="240" w:lineRule="auto"/>
        <w:ind w:right="-29"/>
        <w:rPr>
          <w:color w:val="000000"/>
          <w:szCs w:val="22"/>
          <w:lang w:val="es-ES_tradnl"/>
        </w:rPr>
      </w:pPr>
      <w:r w:rsidRPr="003E0B98">
        <w:rPr>
          <w:color w:val="000000"/>
          <w:szCs w:val="22"/>
          <w:lang w:val="es-ES_tradnl"/>
        </w:rPr>
        <w:t>4.</w:t>
      </w:r>
      <w:r w:rsidRPr="003E0B98">
        <w:rPr>
          <w:color w:val="000000"/>
          <w:szCs w:val="22"/>
          <w:lang w:val="es-ES_tradnl"/>
        </w:rPr>
        <w:tab/>
      </w:r>
      <w:r w:rsidRPr="003E0B98">
        <w:rPr>
          <w:noProof/>
          <w:color w:val="000000"/>
          <w:lang w:val="es-ES_tradnl"/>
        </w:rPr>
        <w:t>Posibles efectos adversos</w:t>
      </w:r>
    </w:p>
    <w:p w14:paraId="121D5B62" w14:textId="77777777" w:rsidR="003F59DD" w:rsidRPr="003E0B98" w:rsidRDefault="003F59DD" w:rsidP="004361AC">
      <w:pPr>
        <w:tabs>
          <w:tab w:val="clear" w:pos="567"/>
        </w:tabs>
        <w:spacing w:line="240" w:lineRule="auto"/>
        <w:ind w:left="567" w:right="-29" w:hanging="567"/>
        <w:rPr>
          <w:color w:val="000000"/>
          <w:szCs w:val="22"/>
          <w:lang w:val="es-ES_tradnl"/>
        </w:rPr>
      </w:pPr>
      <w:r w:rsidRPr="003E0B98">
        <w:rPr>
          <w:color w:val="000000"/>
          <w:szCs w:val="22"/>
          <w:lang w:val="es-ES_tradnl"/>
        </w:rPr>
        <w:t>5.</w:t>
      </w:r>
      <w:r w:rsidRPr="003E0B98">
        <w:rPr>
          <w:color w:val="000000"/>
          <w:szCs w:val="22"/>
          <w:lang w:val="es-ES_tradnl"/>
        </w:rPr>
        <w:tab/>
        <w:t xml:space="preserve">Conservación de </w:t>
      </w:r>
      <w:proofErr w:type="spellStart"/>
      <w:r w:rsidRPr="003E0B98">
        <w:rPr>
          <w:color w:val="000000"/>
          <w:szCs w:val="22"/>
          <w:lang w:val="es-ES_tradnl"/>
        </w:rPr>
        <w:t>Lucentis</w:t>
      </w:r>
      <w:proofErr w:type="spellEnd"/>
    </w:p>
    <w:p w14:paraId="0B47698A" w14:textId="77777777" w:rsidR="003F59DD" w:rsidRPr="003E0B98" w:rsidRDefault="003F59DD" w:rsidP="004361AC">
      <w:pPr>
        <w:tabs>
          <w:tab w:val="clear" w:pos="567"/>
        </w:tabs>
        <w:spacing w:line="240" w:lineRule="auto"/>
        <w:ind w:right="-29"/>
        <w:rPr>
          <w:color w:val="000000"/>
          <w:szCs w:val="22"/>
          <w:lang w:val="es-ES_tradnl"/>
        </w:rPr>
      </w:pPr>
      <w:r w:rsidRPr="003E0B98">
        <w:rPr>
          <w:color w:val="000000"/>
          <w:szCs w:val="22"/>
          <w:lang w:val="es-ES_tradnl"/>
        </w:rPr>
        <w:t>6.</w:t>
      </w:r>
      <w:r w:rsidRPr="003E0B98">
        <w:rPr>
          <w:color w:val="000000"/>
          <w:szCs w:val="22"/>
          <w:lang w:val="es-ES_tradnl"/>
        </w:rPr>
        <w:tab/>
      </w:r>
      <w:r w:rsidRPr="003E0B98">
        <w:rPr>
          <w:szCs w:val="24"/>
          <w:lang w:val="es-ES_tradnl"/>
        </w:rPr>
        <w:t xml:space="preserve">Contenido del envase e </w:t>
      </w:r>
      <w:r w:rsidRPr="003E0B98">
        <w:rPr>
          <w:color w:val="000000"/>
          <w:szCs w:val="22"/>
          <w:lang w:val="es-ES_tradnl"/>
        </w:rPr>
        <w:t>información adicional</w:t>
      </w:r>
    </w:p>
    <w:p w14:paraId="4DA889AE" w14:textId="77777777" w:rsidR="003F59DD" w:rsidRPr="003E0B98" w:rsidRDefault="003F59DD" w:rsidP="004361AC">
      <w:pPr>
        <w:numPr>
          <w:ilvl w:val="12"/>
          <w:numId w:val="0"/>
        </w:numPr>
        <w:tabs>
          <w:tab w:val="clear" w:pos="567"/>
        </w:tabs>
        <w:spacing w:line="240" w:lineRule="auto"/>
        <w:rPr>
          <w:color w:val="000000"/>
          <w:szCs w:val="22"/>
          <w:lang w:val="es-ES_tradnl"/>
        </w:rPr>
      </w:pPr>
    </w:p>
    <w:p w14:paraId="55B6BB0A" w14:textId="77777777" w:rsidR="003F59DD" w:rsidRPr="003E0B98" w:rsidRDefault="003F59DD" w:rsidP="004361AC">
      <w:pPr>
        <w:numPr>
          <w:ilvl w:val="12"/>
          <w:numId w:val="0"/>
        </w:numPr>
        <w:tabs>
          <w:tab w:val="clear" w:pos="567"/>
        </w:tabs>
        <w:spacing w:line="240" w:lineRule="auto"/>
        <w:rPr>
          <w:color w:val="000000"/>
          <w:szCs w:val="22"/>
          <w:lang w:val="es-ES_tradnl"/>
        </w:rPr>
      </w:pPr>
    </w:p>
    <w:p w14:paraId="5E325EE0" w14:textId="77777777" w:rsidR="003F59DD" w:rsidRPr="003E0B98" w:rsidRDefault="003F59DD" w:rsidP="004361AC">
      <w:pPr>
        <w:keepNext/>
        <w:tabs>
          <w:tab w:val="clear" w:pos="567"/>
        </w:tabs>
        <w:spacing w:line="240" w:lineRule="auto"/>
        <w:ind w:left="567" w:hanging="567"/>
        <w:rPr>
          <w:b/>
          <w:color w:val="000000"/>
          <w:szCs w:val="22"/>
          <w:lang w:val="es-ES_tradnl"/>
        </w:rPr>
      </w:pPr>
      <w:r w:rsidRPr="003E0B98">
        <w:rPr>
          <w:b/>
          <w:color w:val="000000"/>
          <w:lang w:val="es-ES_tradnl"/>
        </w:rPr>
        <w:t>1.</w:t>
      </w:r>
      <w:r w:rsidRPr="003E0B98">
        <w:rPr>
          <w:b/>
          <w:color w:val="000000"/>
          <w:lang w:val="es-ES_tradnl"/>
        </w:rPr>
        <w:tab/>
        <w:t xml:space="preserve">Qué es </w:t>
      </w:r>
      <w:proofErr w:type="spellStart"/>
      <w:r w:rsidRPr="003E0B98">
        <w:rPr>
          <w:b/>
          <w:color w:val="000000"/>
          <w:lang w:val="es-ES_tradnl"/>
        </w:rPr>
        <w:t>Lucentis</w:t>
      </w:r>
      <w:proofErr w:type="spellEnd"/>
      <w:r w:rsidRPr="003E0B98">
        <w:rPr>
          <w:b/>
          <w:color w:val="000000"/>
          <w:lang w:val="es-ES_tradnl"/>
        </w:rPr>
        <w:t xml:space="preserve"> y para qué se utiliza</w:t>
      </w:r>
    </w:p>
    <w:p w14:paraId="4D6E94F6" w14:textId="77777777" w:rsidR="003F59DD" w:rsidRPr="003E0B98" w:rsidRDefault="003F59DD" w:rsidP="004361AC">
      <w:pPr>
        <w:keepNext/>
        <w:numPr>
          <w:ilvl w:val="12"/>
          <w:numId w:val="0"/>
        </w:numPr>
        <w:tabs>
          <w:tab w:val="clear" w:pos="567"/>
        </w:tabs>
        <w:spacing w:line="240" w:lineRule="auto"/>
        <w:rPr>
          <w:color w:val="000000"/>
          <w:szCs w:val="22"/>
          <w:lang w:val="es-ES_tradnl"/>
        </w:rPr>
      </w:pPr>
    </w:p>
    <w:p w14:paraId="26557630" w14:textId="77777777" w:rsidR="003F59DD" w:rsidRPr="003E0B98" w:rsidRDefault="003F59DD" w:rsidP="004361AC">
      <w:pPr>
        <w:keepNext/>
        <w:numPr>
          <w:ilvl w:val="12"/>
          <w:numId w:val="0"/>
        </w:numPr>
        <w:tabs>
          <w:tab w:val="clear" w:pos="567"/>
        </w:tabs>
        <w:spacing w:line="240" w:lineRule="auto"/>
        <w:rPr>
          <w:b/>
          <w:color w:val="000000"/>
          <w:szCs w:val="22"/>
          <w:lang w:val="es-ES_tradnl"/>
        </w:rPr>
      </w:pPr>
      <w:r w:rsidRPr="003E0B98">
        <w:rPr>
          <w:b/>
          <w:color w:val="000000"/>
          <w:szCs w:val="22"/>
          <w:lang w:val="es-ES_tradnl"/>
        </w:rPr>
        <w:t xml:space="preserve">Qué es </w:t>
      </w:r>
      <w:proofErr w:type="spellStart"/>
      <w:r w:rsidRPr="003E0B98">
        <w:rPr>
          <w:b/>
          <w:color w:val="000000"/>
          <w:szCs w:val="22"/>
          <w:lang w:val="es-ES_tradnl"/>
        </w:rPr>
        <w:t>Lucentis</w:t>
      </w:r>
      <w:proofErr w:type="spellEnd"/>
    </w:p>
    <w:p w14:paraId="37A3DA97" w14:textId="77777777" w:rsidR="003F59DD" w:rsidRPr="003E0B98" w:rsidRDefault="003F59DD" w:rsidP="004361AC">
      <w:pPr>
        <w:numPr>
          <w:ilvl w:val="12"/>
          <w:numId w:val="0"/>
        </w:numPr>
        <w:tabs>
          <w:tab w:val="clear" w:pos="567"/>
        </w:tabs>
        <w:spacing w:line="240" w:lineRule="auto"/>
        <w:rPr>
          <w:color w:val="000000"/>
          <w:szCs w:val="22"/>
          <w:lang w:val="es-ES"/>
        </w:rPr>
      </w:pPr>
      <w:proofErr w:type="spellStart"/>
      <w:r w:rsidRPr="003E0B98">
        <w:rPr>
          <w:color w:val="000000"/>
          <w:szCs w:val="22"/>
          <w:lang w:val="es-ES_tradnl"/>
        </w:rPr>
        <w:t>Lucentis</w:t>
      </w:r>
      <w:proofErr w:type="spellEnd"/>
      <w:r w:rsidRPr="003E0B98">
        <w:rPr>
          <w:color w:val="000000"/>
          <w:szCs w:val="22"/>
          <w:lang w:val="es-ES_tradnl"/>
        </w:rPr>
        <w:t xml:space="preserve"> es una solución que se inyecta en el ojo. </w:t>
      </w:r>
      <w:proofErr w:type="spellStart"/>
      <w:r w:rsidRPr="003E0B98">
        <w:rPr>
          <w:color w:val="000000"/>
          <w:szCs w:val="22"/>
          <w:lang w:val="es-ES_tradnl"/>
        </w:rPr>
        <w:t>Lucentis</w:t>
      </w:r>
      <w:proofErr w:type="spellEnd"/>
      <w:r w:rsidRPr="003E0B98">
        <w:rPr>
          <w:color w:val="000000"/>
          <w:szCs w:val="22"/>
          <w:lang w:val="es-ES_tradnl"/>
        </w:rPr>
        <w:t xml:space="preserve"> pertenece a un grupo de medicamentos denominados agentes </w:t>
      </w:r>
      <w:proofErr w:type="spellStart"/>
      <w:r w:rsidRPr="003E0B98">
        <w:rPr>
          <w:color w:val="000000"/>
          <w:szCs w:val="22"/>
          <w:lang w:val="es-ES_tradnl"/>
        </w:rPr>
        <w:t>antineovascularización</w:t>
      </w:r>
      <w:proofErr w:type="spellEnd"/>
      <w:r w:rsidRPr="003E0B98">
        <w:rPr>
          <w:color w:val="000000"/>
          <w:szCs w:val="22"/>
          <w:lang w:val="es-ES_tradnl"/>
        </w:rPr>
        <w:t xml:space="preserve">. Contiene el principio activo denominado </w:t>
      </w:r>
      <w:proofErr w:type="spellStart"/>
      <w:r w:rsidRPr="003E0B98">
        <w:rPr>
          <w:color w:val="000000"/>
          <w:szCs w:val="22"/>
          <w:lang w:val="es-ES_tradnl"/>
        </w:rPr>
        <w:t>ranibizumab</w:t>
      </w:r>
      <w:proofErr w:type="spellEnd"/>
      <w:r w:rsidRPr="003E0B98">
        <w:rPr>
          <w:color w:val="000000"/>
          <w:szCs w:val="22"/>
          <w:lang w:val="es-ES_tradnl"/>
        </w:rPr>
        <w:t>.</w:t>
      </w:r>
    </w:p>
    <w:p w14:paraId="2405B3D1" w14:textId="77777777" w:rsidR="003F59DD" w:rsidRPr="003E0B98" w:rsidRDefault="003F59DD" w:rsidP="004361AC">
      <w:pPr>
        <w:numPr>
          <w:ilvl w:val="12"/>
          <w:numId w:val="0"/>
        </w:numPr>
        <w:tabs>
          <w:tab w:val="clear" w:pos="567"/>
        </w:tabs>
        <w:spacing w:line="240" w:lineRule="auto"/>
        <w:rPr>
          <w:color w:val="000000"/>
          <w:szCs w:val="22"/>
          <w:lang w:val="es-ES"/>
        </w:rPr>
      </w:pPr>
    </w:p>
    <w:p w14:paraId="09D00E0E" w14:textId="77777777" w:rsidR="003F59DD" w:rsidRPr="003E0B98" w:rsidRDefault="003F59DD" w:rsidP="004361AC">
      <w:pPr>
        <w:keepNext/>
        <w:numPr>
          <w:ilvl w:val="12"/>
          <w:numId w:val="0"/>
        </w:numPr>
        <w:tabs>
          <w:tab w:val="clear" w:pos="567"/>
        </w:tabs>
        <w:spacing w:line="240" w:lineRule="auto"/>
        <w:rPr>
          <w:b/>
          <w:color w:val="000000"/>
          <w:szCs w:val="22"/>
          <w:lang w:val="es-ES_tradnl"/>
        </w:rPr>
      </w:pPr>
      <w:r w:rsidRPr="003E0B98">
        <w:rPr>
          <w:b/>
          <w:color w:val="000000"/>
          <w:szCs w:val="22"/>
          <w:lang w:val="es-ES_tradnl"/>
        </w:rPr>
        <w:t xml:space="preserve">Para qué se utiliza </w:t>
      </w:r>
      <w:proofErr w:type="spellStart"/>
      <w:r w:rsidRPr="003E0B98">
        <w:rPr>
          <w:b/>
          <w:color w:val="000000"/>
          <w:szCs w:val="22"/>
          <w:lang w:val="es-ES_tradnl"/>
        </w:rPr>
        <w:t>Lucentis</w:t>
      </w:r>
      <w:proofErr w:type="spellEnd"/>
    </w:p>
    <w:p w14:paraId="0DB7DA3F" w14:textId="440A7A9D" w:rsidR="003F59DD" w:rsidRPr="003E0B98" w:rsidRDefault="003F59DD" w:rsidP="004361AC">
      <w:pPr>
        <w:numPr>
          <w:ilvl w:val="12"/>
          <w:numId w:val="0"/>
        </w:numPr>
        <w:tabs>
          <w:tab w:val="clear" w:pos="567"/>
        </w:tabs>
        <w:spacing w:line="240" w:lineRule="auto"/>
        <w:rPr>
          <w:color w:val="000000"/>
          <w:szCs w:val="22"/>
          <w:lang w:val="es-ES_tradnl"/>
        </w:rPr>
      </w:pPr>
      <w:proofErr w:type="spellStart"/>
      <w:r w:rsidRPr="003E0B98">
        <w:rPr>
          <w:color w:val="000000"/>
          <w:szCs w:val="22"/>
          <w:lang w:val="es-ES_tradnl"/>
        </w:rPr>
        <w:t>Lucentis</w:t>
      </w:r>
      <w:proofErr w:type="spellEnd"/>
      <w:r w:rsidRPr="003E0B98">
        <w:rPr>
          <w:color w:val="000000"/>
          <w:szCs w:val="22"/>
          <w:lang w:val="es-ES_tradnl"/>
        </w:rPr>
        <w:t xml:space="preserve"> se utiliza en </w:t>
      </w:r>
      <w:r w:rsidR="00F7293F" w:rsidRPr="003E0B98">
        <w:rPr>
          <w:color w:val="000000"/>
          <w:szCs w:val="22"/>
          <w:lang w:val="es-ES_tradnl"/>
        </w:rPr>
        <w:t xml:space="preserve">bebés nacidos prematuramente </w:t>
      </w:r>
      <w:r w:rsidRPr="003E0B98">
        <w:rPr>
          <w:color w:val="000000"/>
          <w:szCs w:val="22"/>
          <w:lang w:val="es-ES_tradnl"/>
        </w:rPr>
        <w:t xml:space="preserve">para tratar </w:t>
      </w:r>
      <w:r w:rsidR="00F7293F" w:rsidRPr="003E0B98">
        <w:rPr>
          <w:color w:val="000000"/>
          <w:szCs w:val="22"/>
          <w:lang w:val="es-ES_tradnl"/>
        </w:rPr>
        <w:t>la retinopatía de</w:t>
      </w:r>
      <w:r w:rsidR="00B2061A" w:rsidRPr="003E0B98">
        <w:rPr>
          <w:color w:val="000000"/>
          <w:szCs w:val="22"/>
          <w:lang w:val="es-ES_tradnl"/>
        </w:rPr>
        <w:t>l</w:t>
      </w:r>
      <w:r w:rsidR="00F7293F" w:rsidRPr="003E0B98">
        <w:rPr>
          <w:color w:val="000000"/>
          <w:szCs w:val="22"/>
          <w:lang w:val="es-ES_tradnl"/>
        </w:rPr>
        <w:t xml:space="preserve"> prematuro (</w:t>
      </w:r>
      <w:r w:rsidR="00153893" w:rsidRPr="003E0B98">
        <w:rPr>
          <w:color w:val="000000"/>
          <w:szCs w:val="22"/>
          <w:lang w:val="es-ES_tradnl"/>
        </w:rPr>
        <w:t>R</w:t>
      </w:r>
      <w:r w:rsidR="00440BE3" w:rsidRPr="003E0B98">
        <w:rPr>
          <w:color w:val="000000"/>
          <w:szCs w:val="22"/>
          <w:lang w:val="es-ES_tradnl"/>
        </w:rPr>
        <w:t>O</w:t>
      </w:r>
      <w:r w:rsidR="00153893" w:rsidRPr="003E0B98">
        <w:rPr>
          <w:color w:val="000000"/>
          <w:szCs w:val="22"/>
          <w:lang w:val="es-ES_tradnl"/>
        </w:rPr>
        <w:t>P</w:t>
      </w:r>
      <w:r w:rsidR="00F7293F" w:rsidRPr="003E0B98">
        <w:rPr>
          <w:color w:val="000000"/>
          <w:szCs w:val="22"/>
          <w:lang w:val="es-ES_tradnl"/>
        </w:rPr>
        <w:t>), una</w:t>
      </w:r>
      <w:r w:rsidRPr="003E0B98">
        <w:rPr>
          <w:color w:val="000000"/>
          <w:szCs w:val="22"/>
          <w:lang w:val="es-ES_tradnl"/>
        </w:rPr>
        <w:t xml:space="preserve"> enfermedad </w:t>
      </w:r>
      <w:r w:rsidR="00F7293F" w:rsidRPr="003E0B98">
        <w:rPr>
          <w:color w:val="000000"/>
          <w:szCs w:val="22"/>
          <w:lang w:val="es-ES_tradnl"/>
        </w:rPr>
        <w:t>que causa</w:t>
      </w:r>
      <w:r w:rsidRPr="003E0B98">
        <w:rPr>
          <w:color w:val="000000"/>
          <w:szCs w:val="22"/>
          <w:lang w:val="es-ES_tradnl"/>
        </w:rPr>
        <w:t xml:space="preserve"> alteración de la visión</w:t>
      </w:r>
      <w:r w:rsidR="00F7293F" w:rsidRPr="003E0B98">
        <w:rPr>
          <w:color w:val="000000"/>
          <w:szCs w:val="22"/>
          <w:lang w:val="es-ES_tradnl"/>
        </w:rPr>
        <w:t xml:space="preserve"> debido </w:t>
      </w:r>
      <w:r w:rsidR="00B2061A" w:rsidRPr="003E0B98">
        <w:rPr>
          <w:color w:val="000000"/>
          <w:szCs w:val="22"/>
          <w:lang w:val="es-ES_tradnl"/>
        </w:rPr>
        <w:t xml:space="preserve">a una lesión </w:t>
      </w:r>
      <w:r w:rsidR="00F7293F" w:rsidRPr="003E0B98">
        <w:rPr>
          <w:color w:val="000000"/>
          <w:szCs w:val="22"/>
          <w:lang w:val="es-ES_tradnl"/>
        </w:rPr>
        <w:t>de</w:t>
      </w:r>
      <w:r w:rsidR="00B2061A" w:rsidRPr="003E0B98">
        <w:rPr>
          <w:color w:val="000000"/>
          <w:szCs w:val="22"/>
          <w:lang w:val="es-ES_tradnl"/>
        </w:rPr>
        <w:t xml:space="preserve"> la parte posterior del ojo (</w:t>
      </w:r>
      <w:r w:rsidR="00F7293F" w:rsidRPr="003E0B98">
        <w:rPr>
          <w:color w:val="000000"/>
          <w:szCs w:val="22"/>
          <w:lang w:val="es-ES_tradnl"/>
        </w:rPr>
        <w:t>la retina</w:t>
      </w:r>
      <w:r w:rsidR="00B2061A" w:rsidRPr="003E0B98">
        <w:rPr>
          <w:color w:val="000000"/>
          <w:szCs w:val="22"/>
          <w:lang w:val="es-ES_tradnl"/>
        </w:rPr>
        <w:t>)</w:t>
      </w:r>
      <w:r w:rsidR="00F7293F" w:rsidRPr="003E0B98">
        <w:rPr>
          <w:color w:val="000000"/>
          <w:szCs w:val="22"/>
          <w:lang w:val="es-ES_tradnl"/>
        </w:rPr>
        <w:t xml:space="preserve"> causad</w:t>
      </w:r>
      <w:r w:rsidR="00B2061A" w:rsidRPr="003E0B98">
        <w:rPr>
          <w:color w:val="000000"/>
          <w:szCs w:val="22"/>
          <w:lang w:val="es-ES_tradnl"/>
        </w:rPr>
        <w:t>a</w:t>
      </w:r>
      <w:r w:rsidR="00F7293F" w:rsidRPr="003E0B98">
        <w:rPr>
          <w:color w:val="000000"/>
          <w:szCs w:val="22"/>
          <w:lang w:val="es-ES_tradnl"/>
        </w:rPr>
        <w:t xml:space="preserve"> por un crecimiento anormal de </w:t>
      </w:r>
      <w:r w:rsidR="00B2061A" w:rsidRPr="003E0B98">
        <w:rPr>
          <w:color w:val="000000"/>
          <w:szCs w:val="22"/>
          <w:lang w:val="es-ES_tradnl"/>
        </w:rPr>
        <w:t>los vasos sanguíneos</w:t>
      </w:r>
      <w:r w:rsidRPr="003E0B98">
        <w:rPr>
          <w:color w:val="000000"/>
          <w:szCs w:val="22"/>
          <w:lang w:val="es-ES_tradnl"/>
        </w:rPr>
        <w:t>.</w:t>
      </w:r>
    </w:p>
    <w:p w14:paraId="613C6E56" w14:textId="77777777" w:rsidR="003F59DD" w:rsidRPr="003E0B98" w:rsidRDefault="003F59DD" w:rsidP="004361AC">
      <w:pPr>
        <w:numPr>
          <w:ilvl w:val="12"/>
          <w:numId w:val="0"/>
        </w:numPr>
        <w:tabs>
          <w:tab w:val="clear" w:pos="567"/>
        </w:tabs>
        <w:spacing w:line="240" w:lineRule="auto"/>
        <w:rPr>
          <w:color w:val="000000"/>
          <w:szCs w:val="22"/>
          <w:lang w:val="es-ES_tradnl"/>
        </w:rPr>
      </w:pPr>
    </w:p>
    <w:p w14:paraId="6661D612" w14:textId="77777777" w:rsidR="003F59DD" w:rsidRPr="003E0B98" w:rsidRDefault="003F59DD" w:rsidP="004361AC">
      <w:pPr>
        <w:keepNext/>
        <w:numPr>
          <w:ilvl w:val="12"/>
          <w:numId w:val="0"/>
        </w:numPr>
        <w:tabs>
          <w:tab w:val="clear" w:pos="567"/>
        </w:tabs>
        <w:spacing w:line="240" w:lineRule="auto"/>
        <w:rPr>
          <w:b/>
          <w:color w:val="000000"/>
          <w:szCs w:val="22"/>
          <w:lang w:val="es-ES"/>
        </w:rPr>
      </w:pPr>
      <w:r w:rsidRPr="003E0B98">
        <w:rPr>
          <w:b/>
          <w:color w:val="000000"/>
          <w:szCs w:val="22"/>
          <w:lang w:val="es-ES"/>
        </w:rPr>
        <w:t xml:space="preserve">Cómo actúa </w:t>
      </w:r>
      <w:proofErr w:type="spellStart"/>
      <w:r w:rsidRPr="003E0B98">
        <w:rPr>
          <w:b/>
          <w:color w:val="000000"/>
          <w:szCs w:val="22"/>
          <w:lang w:val="es-ES"/>
        </w:rPr>
        <w:t>Lucentis</w:t>
      </w:r>
      <w:proofErr w:type="spellEnd"/>
    </w:p>
    <w:p w14:paraId="525E61E8" w14:textId="77777777" w:rsidR="003F59DD" w:rsidRPr="003E0B98" w:rsidRDefault="003F59DD" w:rsidP="004361AC">
      <w:pPr>
        <w:numPr>
          <w:ilvl w:val="12"/>
          <w:numId w:val="0"/>
        </w:numPr>
        <w:tabs>
          <w:tab w:val="clear" w:pos="567"/>
        </w:tabs>
        <w:spacing w:line="240" w:lineRule="auto"/>
        <w:rPr>
          <w:color w:val="000000"/>
          <w:szCs w:val="22"/>
          <w:lang w:val="es-ES_tradnl"/>
        </w:rPr>
      </w:pPr>
      <w:proofErr w:type="spellStart"/>
      <w:r w:rsidRPr="003E0B98">
        <w:rPr>
          <w:color w:val="000000"/>
          <w:szCs w:val="22"/>
          <w:lang w:val="es-ES"/>
        </w:rPr>
        <w:t>Lucentis</w:t>
      </w:r>
      <w:proofErr w:type="spellEnd"/>
      <w:r w:rsidRPr="003E0B98">
        <w:rPr>
          <w:color w:val="000000"/>
          <w:szCs w:val="22"/>
          <w:lang w:val="es-ES"/>
        </w:rPr>
        <w:t xml:space="preserve"> reconoce y se une de forma específica a una proteína denominada </w:t>
      </w:r>
      <w:r w:rsidRPr="003E0B98">
        <w:rPr>
          <w:color w:val="000000"/>
          <w:szCs w:val="22"/>
          <w:lang w:val="es-ES_tradnl"/>
        </w:rPr>
        <w:t>factor de crecimiento endotelial vascular A (VEGF-A) humano presente en los ojos. En exceso, el VEGF-A causa el crecimiento de vasos sanguíneos anómalos en el ojo</w:t>
      </w:r>
      <w:r w:rsidR="00DC0762" w:rsidRPr="003E0B98">
        <w:rPr>
          <w:color w:val="000000"/>
          <w:szCs w:val="22"/>
          <w:lang w:val="es-ES_tradnl"/>
        </w:rPr>
        <w:t>.</w:t>
      </w:r>
      <w:r w:rsidRPr="003E0B98">
        <w:rPr>
          <w:color w:val="000000"/>
          <w:szCs w:val="22"/>
          <w:lang w:val="es-ES_tradnl"/>
        </w:rPr>
        <w:t xml:space="preserve"> </w:t>
      </w:r>
      <w:proofErr w:type="spellStart"/>
      <w:r w:rsidRPr="003E0B98">
        <w:rPr>
          <w:color w:val="000000"/>
          <w:szCs w:val="22"/>
          <w:lang w:val="es-ES_tradnl"/>
        </w:rPr>
        <w:t>Lucentis</w:t>
      </w:r>
      <w:proofErr w:type="spellEnd"/>
      <w:r w:rsidRPr="003E0B98">
        <w:rPr>
          <w:color w:val="000000"/>
          <w:szCs w:val="22"/>
          <w:lang w:val="es-ES_tradnl"/>
        </w:rPr>
        <w:t xml:space="preserve"> puede impedir que actúe</w:t>
      </w:r>
      <w:r w:rsidR="00DC0762" w:rsidRPr="003E0B98">
        <w:rPr>
          <w:color w:val="000000"/>
          <w:szCs w:val="22"/>
          <w:lang w:val="es-ES_tradnl"/>
        </w:rPr>
        <w:t xml:space="preserve"> y prevenir dicho crecimiento a</w:t>
      </w:r>
      <w:r w:rsidRPr="003E0B98">
        <w:rPr>
          <w:color w:val="000000"/>
          <w:szCs w:val="22"/>
          <w:lang w:val="es-ES_tradnl"/>
        </w:rPr>
        <w:t>nómalo.</w:t>
      </w:r>
    </w:p>
    <w:p w14:paraId="09DED44E" w14:textId="77777777" w:rsidR="003F59DD" w:rsidRPr="003E0B98" w:rsidRDefault="003F59DD" w:rsidP="004361AC">
      <w:pPr>
        <w:numPr>
          <w:ilvl w:val="12"/>
          <w:numId w:val="0"/>
        </w:numPr>
        <w:tabs>
          <w:tab w:val="clear" w:pos="567"/>
        </w:tabs>
        <w:spacing w:line="240" w:lineRule="auto"/>
        <w:rPr>
          <w:color w:val="000000"/>
          <w:szCs w:val="22"/>
          <w:lang w:val="es-ES_tradnl"/>
        </w:rPr>
      </w:pPr>
    </w:p>
    <w:p w14:paraId="448371B4" w14:textId="77777777" w:rsidR="003F59DD" w:rsidRPr="003E0B98" w:rsidRDefault="003F59DD" w:rsidP="004361AC">
      <w:pPr>
        <w:numPr>
          <w:ilvl w:val="12"/>
          <w:numId w:val="0"/>
        </w:numPr>
        <w:tabs>
          <w:tab w:val="clear" w:pos="567"/>
        </w:tabs>
        <w:spacing w:line="240" w:lineRule="auto"/>
        <w:rPr>
          <w:color w:val="000000"/>
          <w:szCs w:val="22"/>
          <w:lang w:val="es-ES"/>
        </w:rPr>
      </w:pPr>
    </w:p>
    <w:p w14:paraId="01ADD72B" w14:textId="77777777" w:rsidR="003F59DD" w:rsidRPr="003E0B98" w:rsidRDefault="003F59DD" w:rsidP="004361AC">
      <w:pPr>
        <w:keepNext/>
        <w:tabs>
          <w:tab w:val="clear" w:pos="567"/>
        </w:tabs>
        <w:spacing w:line="240" w:lineRule="auto"/>
        <w:ind w:left="567" w:hanging="567"/>
        <w:rPr>
          <w:b/>
          <w:color w:val="000000"/>
          <w:szCs w:val="22"/>
          <w:lang w:val="es-ES_tradnl"/>
        </w:rPr>
      </w:pPr>
      <w:r w:rsidRPr="003E0B98">
        <w:rPr>
          <w:b/>
          <w:color w:val="000000"/>
          <w:szCs w:val="22"/>
          <w:lang w:val="es-ES_tradnl"/>
        </w:rPr>
        <w:t>2.</w:t>
      </w:r>
      <w:r w:rsidRPr="003E0B98">
        <w:rPr>
          <w:b/>
          <w:color w:val="000000"/>
          <w:szCs w:val="22"/>
          <w:lang w:val="es-ES_tradnl"/>
        </w:rPr>
        <w:tab/>
        <w:t xml:space="preserve">Qué necesita saber antes de que le administren </w:t>
      </w:r>
      <w:proofErr w:type="spellStart"/>
      <w:r w:rsidRPr="003E0B98">
        <w:rPr>
          <w:b/>
          <w:color w:val="000000"/>
          <w:szCs w:val="22"/>
          <w:lang w:val="es-ES_tradnl"/>
        </w:rPr>
        <w:t>Lucentis</w:t>
      </w:r>
      <w:proofErr w:type="spellEnd"/>
      <w:r w:rsidR="00DC0762" w:rsidRPr="003E0B98">
        <w:rPr>
          <w:b/>
          <w:color w:val="000000"/>
          <w:szCs w:val="22"/>
          <w:lang w:val="es-ES_tradnl"/>
        </w:rPr>
        <w:t xml:space="preserve"> a su bebé</w:t>
      </w:r>
    </w:p>
    <w:p w14:paraId="052438C2" w14:textId="77777777" w:rsidR="003F59DD" w:rsidRPr="003E0B98" w:rsidRDefault="003F59DD" w:rsidP="004361AC">
      <w:pPr>
        <w:keepNext/>
        <w:numPr>
          <w:ilvl w:val="12"/>
          <w:numId w:val="0"/>
        </w:numPr>
        <w:tabs>
          <w:tab w:val="clear" w:pos="567"/>
        </w:tabs>
        <w:spacing w:line="240" w:lineRule="auto"/>
        <w:rPr>
          <w:color w:val="000000"/>
          <w:szCs w:val="22"/>
          <w:lang w:val="es-ES_tradnl"/>
        </w:rPr>
      </w:pPr>
    </w:p>
    <w:p w14:paraId="59A21D6E" w14:textId="77777777" w:rsidR="003F59DD" w:rsidRPr="003E0B98" w:rsidRDefault="003F59DD" w:rsidP="004361AC">
      <w:pPr>
        <w:keepNext/>
        <w:numPr>
          <w:ilvl w:val="12"/>
          <w:numId w:val="0"/>
        </w:numPr>
        <w:tabs>
          <w:tab w:val="clear" w:pos="567"/>
        </w:tabs>
        <w:spacing w:line="240" w:lineRule="auto"/>
        <w:rPr>
          <w:b/>
          <w:color w:val="000000"/>
          <w:szCs w:val="22"/>
          <w:lang w:val="es-ES_tradnl"/>
        </w:rPr>
      </w:pPr>
      <w:r w:rsidRPr="003E0B98">
        <w:rPr>
          <w:b/>
          <w:color w:val="000000"/>
          <w:lang w:val="es-ES_tradnl"/>
        </w:rPr>
        <w:t xml:space="preserve">No le deben administrar </w:t>
      </w:r>
      <w:proofErr w:type="spellStart"/>
      <w:r w:rsidRPr="003E0B98">
        <w:rPr>
          <w:b/>
          <w:color w:val="000000"/>
          <w:szCs w:val="22"/>
          <w:lang w:val="es-ES_tradnl"/>
        </w:rPr>
        <w:t>Lucentis</w:t>
      </w:r>
      <w:proofErr w:type="spellEnd"/>
      <w:r w:rsidR="00DC0762" w:rsidRPr="003E0B98">
        <w:rPr>
          <w:b/>
          <w:color w:val="000000"/>
          <w:szCs w:val="22"/>
          <w:lang w:val="es-ES_tradnl"/>
        </w:rPr>
        <w:t xml:space="preserve"> a su bebé</w:t>
      </w:r>
    </w:p>
    <w:p w14:paraId="3B4FE336" w14:textId="77777777" w:rsidR="003F59DD" w:rsidRPr="003E0B98" w:rsidRDefault="003F59DD" w:rsidP="004361AC">
      <w:pPr>
        <w:numPr>
          <w:ilvl w:val="12"/>
          <w:numId w:val="0"/>
        </w:numPr>
        <w:tabs>
          <w:tab w:val="clear" w:pos="567"/>
        </w:tabs>
        <w:spacing w:line="240" w:lineRule="auto"/>
        <w:ind w:left="567" w:hanging="567"/>
        <w:rPr>
          <w:color w:val="000000"/>
          <w:szCs w:val="22"/>
          <w:lang w:val="es-ES"/>
        </w:rPr>
      </w:pPr>
      <w:r w:rsidRPr="003E0B98">
        <w:rPr>
          <w:color w:val="000000"/>
          <w:szCs w:val="22"/>
          <w:lang w:val="es-ES"/>
        </w:rPr>
        <w:t>-</w:t>
      </w:r>
      <w:r w:rsidRPr="003E0B98">
        <w:rPr>
          <w:color w:val="000000"/>
          <w:szCs w:val="22"/>
          <w:lang w:val="es-ES"/>
        </w:rPr>
        <w:tab/>
        <w:t xml:space="preserve">Si </w:t>
      </w:r>
      <w:r w:rsidR="00DC0762" w:rsidRPr="003E0B98">
        <w:rPr>
          <w:color w:val="000000"/>
          <w:szCs w:val="22"/>
          <w:lang w:val="es-ES"/>
        </w:rPr>
        <w:t xml:space="preserve">su bebé </w:t>
      </w:r>
      <w:r w:rsidRPr="003E0B98">
        <w:rPr>
          <w:color w:val="000000"/>
          <w:szCs w:val="22"/>
          <w:lang w:val="es-ES"/>
        </w:rPr>
        <w:t xml:space="preserve">es alérgico al </w:t>
      </w:r>
      <w:proofErr w:type="spellStart"/>
      <w:r w:rsidRPr="003E0B98">
        <w:rPr>
          <w:color w:val="000000"/>
          <w:szCs w:val="22"/>
          <w:lang w:val="es-ES"/>
        </w:rPr>
        <w:t>ranibizumab</w:t>
      </w:r>
      <w:proofErr w:type="spellEnd"/>
      <w:r w:rsidRPr="003E0B98">
        <w:rPr>
          <w:color w:val="000000"/>
          <w:szCs w:val="22"/>
          <w:lang w:val="es-ES"/>
        </w:rPr>
        <w:t xml:space="preserve"> o a alguno de los demás componentes de este medicamento </w:t>
      </w:r>
      <w:r w:rsidRPr="003E0B98">
        <w:rPr>
          <w:color w:val="000000"/>
          <w:szCs w:val="22"/>
          <w:lang w:val="es-ES_tradnl"/>
        </w:rPr>
        <w:t>(incluidos en la</w:t>
      </w:r>
      <w:r w:rsidRPr="003E0B98">
        <w:rPr>
          <w:color w:val="000000"/>
          <w:szCs w:val="22"/>
          <w:lang w:val="es-ES"/>
        </w:rPr>
        <w:t xml:space="preserve"> sección 6).</w:t>
      </w:r>
    </w:p>
    <w:p w14:paraId="02CC6C82" w14:textId="77777777" w:rsidR="003F59DD" w:rsidRPr="003E0B98" w:rsidRDefault="003F59DD" w:rsidP="004361AC">
      <w:pPr>
        <w:numPr>
          <w:ilvl w:val="12"/>
          <w:numId w:val="0"/>
        </w:numPr>
        <w:tabs>
          <w:tab w:val="clear" w:pos="567"/>
        </w:tabs>
        <w:spacing w:line="240" w:lineRule="auto"/>
        <w:ind w:left="567" w:hanging="567"/>
        <w:rPr>
          <w:color w:val="000000"/>
          <w:szCs w:val="22"/>
          <w:lang w:val="es-ES"/>
        </w:rPr>
      </w:pPr>
      <w:r w:rsidRPr="003E0B98">
        <w:rPr>
          <w:color w:val="000000"/>
          <w:szCs w:val="22"/>
          <w:lang w:val="es-ES"/>
        </w:rPr>
        <w:t>-</w:t>
      </w:r>
      <w:r w:rsidRPr="003E0B98">
        <w:rPr>
          <w:color w:val="000000"/>
          <w:szCs w:val="22"/>
          <w:lang w:val="es-ES"/>
        </w:rPr>
        <w:tab/>
        <w:t xml:space="preserve">Si </w:t>
      </w:r>
      <w:r w:rsidR="00DC0762" w:rsidRPr="003E0B98">
        <w:rPr>
          <w:color w:val="000000"/>
          <w:szCs w:val="22"/>
          <w:lang w:val="es-ES"/>
        </w:rPr>
        <w:t xml:space="preserve">su bebé </w:t>
      </w:r>
      <w:r w:rsidRPr="003E0B98">
        <w:rPr>
          <w:color w:val="000000"/>
          <w:szCs w:val="22"/>
          <w:lang w:val="es-ES"/>
        </w:rPr>
        <w:t>tiene una infección en el ojo o alrededor del mismo.</w:t>
      </w:r>
    </w:p>
    <w:p w14:paraId="776B5B30" w14:textId="77777777" w:rsidR="003F59DD" w:rsidRPr="003E0B98" w:rsidRDefault="003F59DD" w:rsidP="004361AC">
      <w:pPr>
        <w:numPr>
          <w:ilvl w:val="12"/>
          <w:numId w:val="0"/>
        </w:numPr>
        <w:tabs>
          <w:tab w:val="clear" w:pos="567"/>
        </w:tabs>
        <w:spacing w:line="240" w:lineRule="auto"/>
        <w:ind w:left="567" w:hanging="567"/>
        <w:rPr>
          <w:color w:val="000000"/>
          <w:szCs w:val="22"/>
          <w:lang w:val="es-ES"/>
        </w:rPr>
      </w:pPr>
      <w:r w:rsidRPr="003E0B98">
        <w:rPr>
          <w:color w:val="000000"/>
          <w:szCs w:val="22"/>
          <w:lang w:val="es-ES"/>
        </w:rPr>
        <w:t>-</w:t>
      </w:r>
      <w:r w:rsidRPr="003E0B98">
        <w:rPr>
          <w:color w:val="000000"/>
          <w:szCs w:val="22"/>
          <w:lang w:val="es-ES"/>
        </w:rPr>
        <w:tab/>
        <w:t xml:space="preserve">Si </w:t>
      </w:r>
      <w:r w:rsidR="00DC0762" w:rsidRPr="003E0B98">
        <w:rPr>
          <w:color w:val="000000"/>
          <w:szCs w:val="22"/>
          <w:lang w:val="es-ES"/>
        </w:rPr>
        <w:t xml:space="preserve">su bebé </w:t>
      </w:r>
      <w:r w:rsidRPr="003E0B98">
        <w:rPr>
          <w:color w:val="000000"/>
          <w:szCs w:val="22"/>
          <w:lang w:val="es-ES"/>
        </w:rPr>
        <w:t>tiene dolor o enrojecimiento (inflamación intraocular grave) en el ojo.</w:t>
      </w:r>
    </w:p>
    <w:p w14:paraId="6C9647D5" w14:textId="77777777" w:rsidR="003F59DD" w:rsidRPr="003E0B98" w:rsidRDefault="003F59DD" w:rsidP="004361AC">
      <w:pPr>
        <w:numPr>
          <w:ilvl w:val="12"/>
          <w:numId w:val="0"/>
        </w:numPr>
        <w:tabs>
          <w:tab w:val="clear" w:pos="567"/>
        </w:tabs>
        <w:spacing w:line="240" w:lineRule="auto"/>
        <w:ind w:right="-2"/>
        <w:rPr>
          <w:color w:val="000000"/>
          <w:szCs w:val="22"/>
          <w:lang w:val="es-ES"/>
        </w:rPr>
      </w:pPr>
    </w:p>
    <w:p w14:paraId="5C4EAFD6" w14:textId="77777777" w:rsidR="003F59DD" w:rsidRPr="003E0B98" w:rsidRDefault="003F59DD" w:rsidP="004361AC">
      <w:pPr>
        <w:keepNext/>
        <w:numPr>
          <w:ilvl w:val="12"/>
          <w:numId w:val="0"/>
        </w:numPr>
        <w:tabs>
          <w:tab w:val="clear" w:pos="567"/>
        </w:tabs>
        <w:spacing w:line="240" w:lineRule="auto"/>
        <w:rPr>
          <w:color w:val="000000"/>
          <w:szCs w:val="22"/>
          <w:lang w:val="es-ES_tradnl"/>
        </w:rPr>
      </w:pPr>
      <w:r w:rsidRPr="003E0B98">
        <w:rPr>
          <w:b/>
          <w:szCs w:val="24"/>
          <w:lang w:val="es-ES_tradnl"/>
        </w:rPr>
        <w:t>Advertencias y precauciones</w:t>
      </w:r>
    </w:p>
    <w:p w14:paraId="51BC8F84" w14:textId="77777777" w:rsidR="003F59DD" w:rsidRPr="003E0B98" w:rsidRDefault="003F59DD" w:rsidP="004361AC">
      <w:pPr>
        <w:keepNext/>
        <w:numPr>
          <w:ilvl w:val="12"/>
          <w:numId w:val="0"/>
        </w:numPr>
        <w:tabs>
          <w:tab w:val="clear" w:pos="567"/>
        </w:tabs>
        <w:spacing w:line="240" w:lineRule="auto"/>
        <w:rPr>
          <w:szCs w:val="24"/>
          <w:lang w:val="es-ES_tradnl"/>
        </w:rPr>
      </w:pPr>
      <w:r w:rsidRPr="003E0B98">
        <w:rPr>
          <w:szCs w:val="24"/>
          <w:lang w:val="es-ES_tradnl"/>
        </w:rPr>
        <w:t>Consulte a</w:t>
      </w:r>
      <w:r w:rsidR="00DC0762" w:rsidRPr="003E0B98">
        <w:rPr>
          <w:szCs w:val="24"/>
          <w:lang w:val="es-ES_tradnl"/>
        </w:rPr>
        <w:t>l</w:t>
      </w:r>
      <w:r w:rsidRPr="003E0B98">
        <w:rPr>
          <w:szCs w:val="24"/>
          <w:lang w:val="es-ES_tradnl"/>
        </w:rPr>
        <w:t xml:space="preserve"> médico</w:t>
      </w:r>
      <w:r w:rsidR="00DC0762" w:rsidRPr="003E0B98">
        <w:rPr>
          <w:szCs w:val="24"/>
          <w:lang w:val="es-ES_tradnl"/>
        </w:rPr>
        <w:t xml:space="preserve"> de su bebé</w:t>
      </w:r>
      <w:r w:rsidRPr="003E0B98">
        <w:rPr>
          <w:szCs w:val="24"/>
          <w:lang w:val="es-ES_tradnl"/>
        </w:rPr>
        <w:t xml:space="preserve"> antes de que le administren </w:t>
      </w:r>
      <w:proofErr w:type="spellStart"/>
      <w:r w:rsidRPr="003E0B98">
        <w:rPr>
          <w:szCs w:val="24"/>
          <w:lang w:val="es-ES_tradnl"/>
        </w:rPr>
        <w:t>Lucentis</w:t>
      </w:r>
      <w:proofErr w:type="spellEnd"/>
      <w:r w:rsidR="00DC0762" w:rsidRPr="003E0B98">
        <w:rPr>
          <w:szCs w:val="24"/>
          <w:lang w:val="es-ES_tradnl"/>
        </w:rPr>
        <w:t xml:space="preserve"> a su bebé</w:t>
      </w:r>
    </w:p>
    <w:p w14:paraId="49DA8E93" w14:textId="77777777" w:rsidR="00DC0762" w:rsidRPr="003E0B98" w:rsidRDefault="003F59DD" w:rsidP="004361AC">
      <w:pPr>
        <w:numPr>
          <w:ilvl w:val="12"/>
          <w:numId w:val="0"/>
        </w:numPr>
        <w:tabs>
          <w:tab w:val="clear" w:pos="567"/>
        </w:tabs>
        <w:spacing w:line="240" w:lineRule="auto"/>
        <w:ind w:left="567" w:hanging="567"/>
        <w:rPr>
          <w:color w:val="000000"/>
          <w:szCs w:val="22"/>
          <w:lang w:val="es-ES_tradnl"/>
        </w:rPr>
      </w:pPr>
      <w:r w:rsidRPr="003E0B98">
        <w:rPr>
          <w:color w:val="000000"/>
          <w:szCs w:val="22"/>
          <w:lang w:val="es-ES"/>
        </w:rPr>
        <w:t>-</w:t>
      </w:r>
      <w:r w:rsidRPr="003E0B98">
        <w:rPr>
          <w:color w:val="000000"/>
          <w:szCs w:val="22"/>
          <w:lang w:val="es-ES"/>
        </w:rPr>
        <w:tab/>
      </w:r>
      <w:proofErr w:type="spellStart"/>
      <w:r w:rsidRPr="003E0B98">
        <w:rPr>
          <w:color w:val="000000"/>
          <w:szCs w:val="22"/>
          <w:lang w:val="es-ES"/>
        </w:rPr>
        <w:t>Lucentis</w:t>
      </w:r>
      <w:proofErr w:type="spellEnd"/>
      <w:r w:rsidRPr="003E0B98">
        <w:rPr>
          <w:color w:val="000000"/>
          <w:szCs w:val="22"/>
          <w:lang w:val="es-ES"/>
        </w:rPr>
        <w:t xml:space="preserve"> se administra mediante una inyección en el ojo. Ocasionalmente, tras el tratamiento con </w:t>
      </w:r>
      <w:proofErr w:type="spellStart"/>
      <w:r w:rsidRPr="003E0B98">
        <w:rPr>
          <w:color w:val="000000"/>
          <w:szCs w:val="22"/>
          <w:lang w:val="es-ES"/>
        </w:rPr>
        <w:t>Lucentis</w:t>
      </w:r>
      <w:proofErr w:type="spellEnd"/>
      <w:r w:rsidRPr="003E0B98">
        <w:rPr>
          <w:color w:val="000000"/>
          <w:szCs w:val="22"/>
          <w:lang w:val="es-ES"/>
        </w:rPr>
        <w:t xml:space="preserve"> puede aparecer una infección en la parte interna del ojo, dolor o enrojecimiento (inflamación), </w:t>
      </w:r>
      <w:r w:rsidRPr="003E0B98">
        <w:rPr>
          <w:color w:val="000000"/>
          <w:szCs w:val="22"/>
          <w:lang w:val="es-ES_tradnl"/>
        </w:rPr>
        <w:t>desprendimiento o desgarro de una de las capas situadas en el fondo del ojo (desprendimiento o desgarro de la retina y desprendimiento o desgarro del epitelio pigmentario de la retina), o enturbiamiento del cristalino (catarata). Es importante identificar y tratar tal infección o desprendimiento de retina lo antes posible. Informe inmediatamente a</w:t>
      </w:r>
      <w:r w:rsidR="00DC0762" w:rsidRPr="003E0B98">
        <w:rPr>
          <w:color w:val="000000"/>
          <w:szCs w:val="22"/>
          <w:lang w:val="es-ES_tradnl"/>
        </w:rPr>
        <w:t>l</w:t>
      </w:r>
      <w:r w:rsidRPr="003E0B98">
        <w:rPr>
          <w:color w:val="000000"/>
          <w:szCs w:val="22"/>
          <w:lang w:val="es-ES_tradnl"/>
        </w:rPr>
        <w:t xml:space="preserve"> médico si </w:t>
      </w:r>
      <w:r w:rsidR="00DC0762" w:rsidRPr="003E0B98">
        <w:rPr>
          <w:color w:val="000000"/>
          <w:szCs w:val="22"/>
          <w:lang w:val="es-ES_tradnl"/>
        </w:rPr>
        <w:t>su bebé presenta</w:t>
      </w:r>
      <w:r w:rsidRPr="003E0B98">
        <w:rPr>
          <w:color w:val="000000"/>
          <w:szCs w:val="22"/>
          <w:lang w:val="es-ES_tradnl"/>
        </w:rPr>
        <w:t xml:space="preserve"> signos como dolor en el ojo o si empeora el enrojecimiento en el ojo</w:t>
      </w:r>
      <w:r w:rsidR="00DC0762" w:rsidRPr="003E0B98">
        <w:rPr>
          <w:color w:val="000000"/>
          <w:szCs w:val="22"/>
          <w:lang w:val="es-ES_tradnl"/>
        </w:rPr>
        <w:t>.</w:t>
      </w:r>
    </w:p>
    <w:p w14:paraId="609C6C26" w14:textId="77777777" w:rsidR="003F59DD" w:rsidRPr="003E0B98" w:rsidRDefault="003F59DD" w:rsidP="004361AC">
      <w:pPr>
        <w:numPr>
          <w:ilvl w:val="12"/>
          <w:numId w:val="0"/>
        </w:numPr>
        <w:tabs>
          <w:tab w:val="clear" w:pos="567"/>
        </w:tabs>
        <w:spacing w:line="240" w:lineRule="auto"/>
        <w:ind w:left="567" w:hanging="567"/>
        <w:rPr>
          <w:color w:val="000000"/>
          <w:szCs w:val="22"/>
          <w:lang w:val="es-ES_tradnl"/>
        </w:rPr>
      </w:pPr>
      <w:r w:rsidRPr="003E0B98">
        <w:rPr>
          <w:color w:val="000000"/>
          <w:szCs w:val="22"/>
          <w:lang w:val="es-ES_tradnl"/>
        </w:rPr>
        <w:tab/>
        <w:t xml:space="preserve">En algunos pacientes, después de la inyección la presión en el ojo puede aumentar durante un corto periodo de tiempo. </w:t>
      </w:r>
      <w:r w:rsidR="00DC0762" w:rsidRPr="003E0B98">
        <w:rPr>
          <w:color w:val="000000"/>
          <w:szCs w:val="22"/>
          <w:lang w:val="es-ES_tradnl"/>
        </w:rPr>
        <w:t>El m</w:t>
      </w:r>
      <w:r w:rsidRPr="003E0B98">
        <w:rPr>
          <w:color w:val="000000"/>
          <w:szCs w:val="22"/>
          <w:lang w:val="es-ES_tradnl"/>
        </w:rPr>
        <w:t>édico</w:t>
      </w:r>
      <w:r w:rsidR="00DC0762" w:rsidRPr="003E0B98">
        <w:rPr>
          <w:color w:val="000000"/>
          <w:szCs w:val="22"/>
          <w:lang w:val="es-ES_tradnl"/>
        </w:rPr>
        <w:t xml:space="preserve"> de su bebé puede que</w:t>
      </w:r>
      <w:r w:rsidRPr="003E0B98">
        <w:rPr>
          <w:color w:val="000000"/>
          <w:szCs w:val="22"/>
          <w:lang w:val="es-ES_tradnl"/>
        </w:rPr>
        <w:t xml:space="preserve"> realice un seguimiento de la presión ocular después de cada inyección.</w:t>
      </w:r>
    </w:p>
    <w:p w14:paraId="6BEDEA55" w14:textId="77777777" w:rsidR="003F59DD" w:rsidRPr="003E0B98" w:rsidRDefault="003F59DD" w:rsidP="004361AC">
      <w:pPr>
        <w:numPr>
          <w:ilvl w:val="12"/>
          <w:numId w:val="0"/>
        </w:numPr>
        <w:tabs>
          <w:tab w:val="clear" w:pos="567"/>
        </w:tabs>
        <w:spacing w:line="240" w:lineRule="auto"/>
        <w:rPr>
          <w:color w:val="000000"/>
          <w:szCs w:val="22"/>
          <w:lang w:val="es-ES_tradnl"/>
        </w:rPr>
      </w:pPr>
    </w:p>
    <w:p w14:paraId="2143BABD" w14:textId="77777777" w:rsidR="003F59DD" w:rsidRPr="003E0B98" w:rsidRDefault="003F59DD" w:rsidP="004361AC">
      <w:pPr>
        <w:numPr>
          <w:ilvl w:val="12"/>
          <w:numId w:val="0"/>
        </w:numPr>
        <w:tabs>
          <w:tab w:val="clear" w:pos="567"/>
        </w:tabs>
        <w:spacing w:line="240" w:lineRule="auto"/>
        <w:rPr>
          <w:color w:val="000000"/>
          <w:szCs w:val="22"/>
          <w:lang w:val="es-ES"/>
        </w:rPr>
      </w:pPr>
      <w:r w:rsidRPr="003E0B98">
        <w:rPr>
          <w:color w:val="000000"/>
          <w:szCs w:val="22"/>
          <w:lang w:val="es-ES_tradnl"/>
        </w:rPr>
        <w:t xml:space="preserve">Para consultar información más detallada sobre los efectos adversos que podrían ocurrir durante el tratamiento con </w:t>
      </w:r>
      <w:proofErr w:type="spellStart"/>
      <w:r w:rsidRPr="003E0B98">
        <w:rPr>
          <w:color w:val="000000"/>
          <w:szCs w:val="22"/>
          <w:lang w:val="es-ES_tradnl"/>
        </w:rPr>
        <w:t>Lucentis</w:t>
      </w:r>
      <w:proofErr w:type="spellEnd"/>
      <w:r w:rsidRPr="003E0B98">
        <w:rPr>
          <w:color w:val="000000"/>
          <w:szCs w:val="22"/>
          <w:lang w:val="es-ES_tradnl"/>
        </w:rPr>
        <w:t xml:space="preserve">, ver sección 4 </w:t>
      </w:r>
      <w:r w:rsidRPr="003E0B98">
        <w:rPr>
          <w:szCs w:val="22"/>
          <w:lang w:val="es-ES"/>
        </w:rPr>
        <w:t>(“Posibles efectos adversos”).</w:t>
      </w:r>
    </w:p>
    <w:p w14:paraId="3E5FA1E1" w14:textId="77777777" w:rsidR="003F59DD" w:rsidRPr="003E0B98" w:rsidRDefault="003F59DD" w:rsidP="004361AC">
      <w:pPr>
        <w:numPr>
          <w:ilvl w:val="12"/>
          <w:numId w:val="0"/>
        </w:numPr>
        <w:tabs>
          <w:tab w:val="clear" w:pos="567"/>
        </w:tabs>
        <w:spacing w:line="240" w:lineRule="auto"/>
        <w:rPr>
          <w:color w:val="000000"/>
          <w:szCs w:val="22"/>
          <w:lang w:val="es-ES_tradnl"/>
        </w:rPr>
      </w:pPr>
    </w:p>
    <w:p w14:paraId="75D1F792" w14:textId="77777777" w:rsidR="003F59DD" w:rsidRPr="003E0B98" w:rsidRDefault="003F59DD" w:rsidP="004361AC">
      <w:pPr>
        <w:keepNext/>
        <w:numPr>
          <w:ilvl w:val="12"/>
          <w:numId w:val="0"/>
        </w:numPr>
        <w:tabs>
          <w:tab w:val="clear" w:pos="567"/>
        </w:tabs>
        <w:spacing w:line="240" w:lineRule="auto"/>
        <w:rPr>
          <w:b/>
          <w:color w:val="000000"/>
          <w:szCs w:val="22"/>
          <w:lang w:val="es-ES_tradnl"/>
        </w:rPr>
      </w:pPr>
      <w:r w:rsidRPr="003E0B98">
        <w:rPr>
          <w:b/>
          <w:noProof/>
          <w:color w:val="000000"/>
          <w:lang w:val="es-ES_tradnl"/>
        </w:rPr>
        <w:t>Otros medicamentos y Lucentis</w:t>
      </w:r>
    </w:p>
    <w:p w14:paraId="13139D25" w14:textId="77777777" w:rsidR="003F59DD" w:rsidRPr="003E0B98" w:rsidRDefault="003F59DD" w:rsidP="004361AC">
      <w:pPr>
        <w:numPr>
          <w:ilvl w:val="12"/>
          <w:numId w:val="0"/>
        </w:numPr>
        <w:tabs>
          <w:tab w:val="clear" w:pos="567"/>
        </w:tabs>
        <w:spacing w:line="240" w:lineRule="auto"/>
        <w:ind w:right="-2"/>
        <w:rPr>
          <w:color w:val="000000"/>
          <w:szCs w:val="22"/>
          <w:lang w:val="es-ES_tradnl"/>
        </w:rPr>
      </w:pPr>
      <w:r w:rsidRPr="003E0B98">
        <w:rPr>
          <w:noProof/>
          <w:color w:val="000000"/>
          <w:lang w:val="es-ES_tradnl"/>
        </w:rPr>
        <w:t>Informe a</w:t>
      </w:r>
      <w:r w:rsidR="00DC0762" w:rsidRPr="003E0B98">
        <w:rPr>
          <w:noProof/>
          <w:color w:val="000000"/>
          <w:lang w:val="es-ES_tradnl"/>
        </w:rPr>
        <w:t>l</w:t>
      </w:r>
      <w:r w:rsidRPr="003E0B98">
        <w:rPr>
          <w:noProof/>
          <w:color w:val="000000"/>
          <w:lang w:val="es-ES_tradnl"/>
        </w:rPr>
        <w:t xml:space="preserve"> médico </w:t>
      </w:r>
      <w:r w:rsidR="00DC0762" w:rsidRPr="003E0B98">
        <w:rPr>
          <w:noProof/>
          <w:color w:val="000000"/>
          <w:lang w:val="es-ES_tradnl"/>
        </w:rPr>
        <w:t xml:space="preserve">de su bebé </w:t>
      </w:r>
      <w:r w:rsidRPr="003E0B98">
        <w:rPr>
          <w:noProof/>
          <w:color w:val="000000"/>
          <w:lang w:val="es-ES_tradnl"/>
        </w:rPr>
        <w:t xml:space="preserve">si </w:t>
      </w:r>
      <w:r w:rsidR="00DC0762" w:rsidRPr="003E0B98">
        <w:rPr>
          <w:noProof/>
          <w:color w:val="000000"/>
          <w:lang w:val="es-ES_tradnl"/>
        </w:rPr>
        <w:t xml:space="preserve">su bebé </w:t>
      </w:r>
      <w:r w:rsidRPr="003E0B98">
        <w:rPr>
          <w:noProof/>
          <w:color w:val="000000"/>
          <w:lang w:val="es-ES_tradnl"/>
        </w:rPr>
        <w:t xml:space="preserve">está </w:t>
      </w:r>
      <w:r w:rsidR="00B03D93" w:rsidRPr="003E0B98">
        <w:rPr>
          <w:noProof/>
          <w:color w:val="000000"/>
          <w:lang w:val="es-ES_tradnl"/>
        </w:rPr>
        <w:t>tomando</w:t>
      </w:r>
      <w:r w:rsidRPr="003E0B98">
        <w:rPr>
          <w:noProof/>
          <w:color w:val="000000"/>
          <w:lang w:val="es-ES_tradnl"/>
        </w:rPr>
        <w:t xml:space="preserve">, ha </w:t>
      </w:r>
      <w:r w:rsidR="00B03D93" w:rsidRPr="003E0B98">
        <w:rPr>
          <w:noProof/>
          <w:color w:val="000000"/>
          <w:lang w:val="es-ES_tradnl"/>
        </w:rPr>
        <w:t>tomado</w:t>
      </w:r>
      <w:r w:rsidRPr="003E0B98">
        <w:rPr>
          <w:noProof/>
          <w:color w:val="000000"/>
          <w:lang w:val="es-ES_tradnl"/>
        </w:rPr>
        <w:t xml:space="preserve"> recientemente </w:t>
      </w:r>
      <w:r w:rsidRPr="003E0B98">
        <w:rPr>
          <w:szCs w:val="24"/>
          <w:lang w:val="es-ES_tradnl"/>
        </w:rPr>
        <w:t xml:space="preserve">o pudiera tener que </w:t>
      </w:r>
      <w:r w:rsidR="00B03D93" w:rsidRPr="003E0B98">
        <w:rPr>
          <w:szCs w:val="24"/>
          <w:lang w:val="es-ES_tradnl"/>
        </w:rPr>
        <w:t>tomar</w:t>
      </w:r>
      <w:r w:rsidRPr="003E0B98">
        <w:rPr>
          <w:szCs w:val="24"/>
          <w:lang w:val="es-ES_tradnl"/>
        </w:rPr>
        <w:t xml:space="preserve"> cualquier</w:t>
      </w:r>
      <w:r w:rsidRPr="003E0B98">
        <w:rPr>
          <w:noProof/>
          <w:color w:val="000000"/>
          <w:lang w:val="es-ES_tradnl"/>
        </w:rPr>
        <w:t xml:space="preserve"> otro medicamento.</w:t>
      </w:r>
    </w:p>
    <w:p w14:paraId="728046B7" w14:textId="77777777" w:rsidR="003F59DD" w:rsidRPr="003E0B98" w:rsidRDefault="003F59DD" w:rsidP="004361AC">
      <w:pPr>
        <w:numPr>
          <w:ilvl w:val="12"/>
          <w:numId w:val="0"/>
        </w:numPr>
        <w:tabs>
          <w:tab w:val="clear" w:pos="567"/>
        </w:tabs>
        <w:spacing w:line="240" w:lineRule="auto"/>
        <w:ind w:right="-2"/>
        <w:rPr>
          <w:color w:val="000000"/>
          <w:szCs w:val="22"/>
          <w:lang w:val="es-ES_tradnl"/>
        </w:rPr>
      </w:pPr>
    </w:p>
    <w:p w14:paraId="3E25D61D" w14:textId="77777777" w:rsidR="003F59DD" w:rsidRPr="003E0B98" w:rsidRDefault="003F59DD" w:rsidP="004361AC">
      <w:pPr>
        <w:numPr>
          <w:ilvl w:val="12"/>
          <w:numId w:val="0"/>
        </w:numPr>
        <w:tabs>
          <w:tab w:val="clear" w:pos="567"/>
        </w:tabs>
        <w:spacing w:line="240" w:lineRule="auto"/>
        <w:ind w:right="-2"/>
        <w:rPr>
          <w:color w:val="000000"/>
          <w:szCs w:val="22"/>
          <w:lang w:val="es-ES_tradnl"/>
        </w:rPr>
      </w:pPr>
    </w:p>
    <w:p w14:paraId="4C93E549" w14:textId="77777777" w:rsidR="003F59DD" w:rsidRPr="003E0B98" w:rsidRDefault="003F59DD" w:rsidP="004361AC">
      <w:pPr>
        <w:keepNext/>
        <w:tabs>
          <w:tab w:val="clear" w:pos="567"/>
        </w:tabs>
        <w:spacing w:line="240" w:lineRule="auto"/>
        <w:ind w:left="567" w:hanging="567"/>
        <w:rPr>
          <w:b/>
          <w:color w:val="000000"/>
          <w:szCs w:val="22"/>
          <w:lang w:val="es-ES_tradnl"/>
        </w:rPr>
      </w:pPr>
      <w:r w:rsidRPr="003E0B98">
        <w:rPr>
          <w:b/>
          <w:color w:val="000000"/>
          <w:szCs w:val="22"/>
          <w:lang w:val="es-ES_tradnl"/>
        </w:rPr>
        <w:t>3.</w:t>
      </w:r>
      <w:r w:rsidRPr="003E0B98">
        <w:rPr>
          <w:b/>
          <w:color w:val="000000"/>
          <w:szCs w:val="22"/>
          <w:lang w:val="es-ES_tradnl"/>
        </w:rPr>
        <w:tab/>
        <w:t xml:space="preserve">Cómo se administra </w:t>
      </w:r>
      <w:proofErr w:type="spellStart"/>
      <w:r w:rsidRPr="003E0B98">
        <w:rPr>
          <w:b/>
          <w:color w:val="000000"/>
          <w:szCs w:val="22"/>
          <w:lang w:val="es-ES_tradnl"/>
        </w:rPr>
        <w:t>Lucentis</w:t>
      </w:r>
      <w:proofErr w:type="spellEnd"/>
    </w:p>
    <w:p w14:paraId="60CFF7AF" w14:textId="77777777" w:rsidR="003F59DD" w:rsidRPr="003E0B98" w:rsidRDefault="003F59DD" w:rsidP="004361AC">
      <w:pPr>
        <w:keepNext/>
        <w:numPr>
          <w:ilvl w:val="12"/>
          <w:numId w:val="0"/>
        </w:numPr>
        <w:tabs>
          <w:tab w:val="clear" w:pos="567"/>
        </w:tabs>
        <w:spacing w:line="240" w:lineRule="auto"/>
        <w:rPr>
          <w:color w:val="000000"/>
          <w:szCs w:val="22"/>
          <w:lang w:val="es-ES_tradnl"/>
        </w:rPr>
      </w:pPr>
    </w:p>
    <w:p w14:paraId="255DF06F" w14:textId="77777777" w:rsidR="003F59DD" w:rsidRPr="003E0B98" w:rsidRDefault="003F59DD" w:rsidP="004361AC">
      <w:pPr>
        <w:numPr>
          <w:ilvl w:val="12"/>
          <w:numId w:val="0"/>
        </w:numPr>
        <w:tabs>
          <w:tab w:val="clear" w:pos="567"/>
        </w:tabs>
        <w:spacing w:line="240" w:lineRule="auto"/>
        <w:ind w:right="-2"/>
        <w:rPr>
          <w:color w:val="000000"/>
          <w:szCs w:val="22"/>
          <w:lang w:val="es-ES_tradnl"/>
        </w:rPr>
      </w:pPr>
      <w:proofErr w:type="spellStart"/>
      <w:r w:rsidRPr="003E0B98">
        <w:rPr>
          <w:color w:val="000000"/>
          <w:szCs w:val="22"/>
          <w:lang w:val="es-ES_tradnl"/>
        </w:rPr>
        <w:t>Lucentis</w:t>
      </w:r>
      <w:proofErr w:type="spellEnd"/>
      <w:r w:rsidRPr="003E0B98">
        <w:rPr>
          <w:color w:val="000000"/>
          <w:szCs w:val="22"/>
          <w:lang w:val="es-ES_tradnl"/>
        </w:rPr>
        <w:t xml:space="preserve"> se administra por el oftalmólogo en forma de inyección única en </w:t>
      </w:r>
      <w:r w:rsidR="00942FB8" w:rsidRPr="003E0B98">
        <w:rPr>
          <w:color w:val="000000"/>
          <w:szCs w:val="22"/>
          <w:lang w:val="es-ES_tradnl"/>
        </w:rPr>
        <w:t>los</w:t>
      </w:r>
      <w:r w:rsidRPr="003E0B98">
        <w:rPr>
          <w:color w:val="000000"/>
          <w:szCs w:val="22"/>
          <w:lang w:val="es-ES_tradnl"/>
        </w:rPr>
        <w:t xml:space="preserve"> ojo</w:t>
      </w:r>
      <w:r w:rsidR="00942FB8" w:rsidRPr="003E0B98">
        <w:rPr>
          <w:color w:val="000000"/>
          <w:szCs w:val="22"/>
          <w:lang w:val="es-ES_tradnl"/>
        </w:rPr>
        <w:t>s de su bebé</w:t>
      </w:r>
      <w:r w:rsidR="00841F75" w:rsidRPr="003E0B98">
        <w:rPr>
          <w:color w:val="000000"/>
          <w:szCs w:val="22"/>
          <w:lang w:val="es-ES_tradnl"/>
        </w:rPr>
        <w:t>, normalmente</w:t>
      </w:r>
      <w:r w:rsidRPr="003E0B98">
        <w:rPr>
          <w:color w:val="000000"/>
          <w:szCs w:val="22"/>
          <w:lang w:val="es-ES_tradnl"/>
        </w:rPr>
        <w:t xml:space="preserve"> bajo anestesia local. </w:t>
      </w:r>
      <w:r w:rsidRPr="003E0B98">
        <w:rPr>
          <w:color w:val="000000"/>
          <w:szCs w:val="22"/>
          <w:lang w:val="es-ES"/>
        </w:rPr>
        <w:t>La dosis habitual de una inyección es 0,0</w:t>
      </w:r>
      <w:r w:rsidR="00942FB8" w:rsidRPr="003E0B98">
        <w:rPr>
          <w:color w:val="000000"/>
          <w:szCs w:val="22"/>
          <w:lang w:val="es-ES"/>
        </w:rPr>
        <w:t>2</w:t>
      </w:r>
      <w:r w:rsidRPr="003E0B98">
        <w:rPr>
          <w:color w:val="000000"/>
          <w:szCs w:val="22"/>
          <w:lang w:val="es-ES"/>
        </w:rPr>
        <w:t xml:space="preserve"> ml (que </w:t>
      </w:r>
      <w:r w:rsidR="00942FB8" w:rsidRPr="003E0B98">
        <w:rPr>
          <w:color w:val="000000"/>
          <w:szCs w:val="22"/>
          <w:lang w:val="es-ES"/>
        </w:rPr>
        <w:t>contiene 0,2</w:t>
      </w:r>
      <w:r w:rsidRPr="003E0B98">
        <w:rPr>
          <w:color w:val="000000"/>
          <w:szCs w:val="22"/>
          <w:lang w:val="es-ES"/>
        </w:rPr>
        <w:t> mg de principio activo). El intervalo entre dos dosis aplicadas en el mismo ojo debe ser como mínimo de cuatro semanas</w:t>
      </w:r>
      <w:r w:rsidRPr="003E0B98">
        <w:rPr>
          <w:color w:val="000000"/>
          <w:szCs w:val="22"/>
          <w:lang w:val="es-ES_tradnl"/>
        </w:rPr>
        <w:t xml:space="preserve">. Todas las inyecciones serán administradas por </w:t>
      </w:r>
      <w:r w:rsidR="00942FB8" w:rsidRPr="003E0B98">
        <w:rPr>
          <w:color w:val="000000"/>
          <w:szCs w:val="22"/>
          <w:lang w:val="es-ES_tradnl"/>
        </w:rPr>
        <w:t>el</w:t>
      </w:r>
      <w:r w:rsidRPr="003E0B98">
        <w:rPr>
          <w:color w:val="000000"/>
          <w:szCs w:val="22"/>
          <w:lang w:val="es-ES_tradnl"/>
        </w:rPr>
        <w:t xml:space="preserve"> oftalmólogo.</w:t>
      </w:r>
    </w:p>
    <w:p w14:paraId="1FDD8F78" w14:textId="77777777" w:rsidR="003F59DD" w:rsidRPr="003E0B98" w:rsidRDefault="003F59DD" w:rsidP="004361AC">
      <w:pPr>
        <w:numPr>
          <w:ilvl w:val="12"/>
          <w:numId w:val="0"/>
        </w:numPr>
        <w:tabs>
          <w:tab w:val="clear" w:pos="567"/>
        </w:tabs>
        <w:spacing w:line="240" w:lineRule="auto"/>
        <w:ind w:right="-2"/>
        <w:rPr>
          <w:color w:val="000000"/>
          <w:szCs w:val="22"/>
          <w:lang w:val="es-ES_tradnl"/>
        </w:rPr>
      </w:pPr>
    </w:p>
    <w:p w14:paraId="11D5AA77" w14:textId="77777777" w:rsidR="003F59DD" w:rsidRPr="003E0B98" w:rsidRDefault="003F59DD" w:rsidP="004361AC">
      <w:pPr>
        <w:numPr>
          <w:ilvl w:val="12"/>
          <w:numId w:val="0"/>
        </w:numPr>
        <w:tabs>
          <w:tab w:val="clear" w:pos="567"/>
        </w:tabs>
        <w:spacing w:line="240" w:lineRule="auto"/>
        <w:ind w:right="-2"/>
        <w:rPr>
          <w:color w:val="000000"/>
          <w:szCs w:val="22"/>
          <w:lang w:val="es-ES_tradnl"/>
        </w:rPr>
      </w:pPr>
      <w:r w:rsidRPr="003E0B98">
        <w:rPr>
          <w:color w:val="000000"/>
          <w:szCs w:val="22"/>
          <w:lang w:val="es-ES_tradnl"/>
        </w:rPr>
        <w:t>Para prevenir una in</w:t>
      </w:r>
      <w:r w:rsidR="00942FB8" w:rsidRPr="003E0B98">
        <w:rPr>
          <w:color w:val="000000"/>
          <w:szCs w:val="22"/>
          <w:lang w:val="es-ES_tradnl"/>
        </w:rPr>
        <w:t>fección, antes de la inyección el</w:t>
      </w:r>
      <w:r w:rsidRPr="003E0B98">
        <w:rPr>
          <w:color w:val="000000"/>
          <w:szCs w:val="22"/>
          <w:lang w:val="es-ES_tradnl"/>
        </w:rPr>
        <w:t xml:space="preserve"> médico</w:t>
      </w:r>
      <w:r w:rsidR="00942FB8" w:rsidRPr="003E0B98">
        <w:rPr>
          <w:color w:val="000000"/>
          <w:szCs w:val="22"/>
          <w:lang w:val="es-ES_tradnl"/>
        </w:rPr>
        <w:t xml:space="preserve"> de su bebé</w:t>
      </w:r>
      <w:r w:rsidRPr="003E0B98">
        <w:rPr>
          <w:color w:val="000000"/>
          <w:szCs w:val="22"/>
          <w:lang w:val="es-ES_tradnl"/>
        </w:rPr>
        <w:t xml:space="preserve"> lavará </w:t>
      </w:r>
      <w:r w:rsidR="00942FB8" w:rsidRPr="003E0B98">
        <w:rPr>
          <w:color w:val="000000"/>
          <w:szCs w:val="22"/>
          <w:lang w:val="es-ES_tradnl"/>
        </w:rPr>
        <w:t>los</w:t>
      </w:r>
      <w:r w:rsidRPr="003E0B98">
        <w:rPr>
          <w:color w:val="000000"/>
          <w:szCs w:val="22"/>
          <w:lang w:val="es-ES_tradnl"/>
        </w:rPr>
        <w:t xml:space="preserve"> ojo</w:t>
      </w:r>
      <w:r w:rsidR="00942FB8" w:rsidRPr="003E0B98">
        <w:rPr>
          <w:color w:val="000000"/>
          <w:szCs w:val="22"/>
          <w:lang w:val="es-ES_tradnl"/>
        </w:rPr>
        <w:t>s de su bebé</w:t>
      </w:r>
      <w:r w:rsidRPr="003E0B98">
        <w:rPr>
          <w:color w:val="000000"/>
          <w:szCs w:val="22"/>
          <w:lang w:val="es-ES_tradnl"/>
        </w:rPr>
        <w:t xml:space="preserve"> cuidadosamente. </w:t>
      </w:r>
      <w:r w:rsidR="00942FB8" w:rsidRPr="003E0B98">
        <w:rPr>
          <w:color w:val="000000"/>
          <w:szCs w:val="22"/>
          <w:lang w:val="es-ES_tradnl"/>
        </w:rPr>
        <w:t>El</w:t>
      </w:r>
      <w:r w:rsidRPr="003E0B98">
        <w:rPr>
          <w:color w:val="000000"/>
          <w:szCs w:val="22"/>
          <w:lang w:val="es-ES_tradnl"/>
        </w:rPr>
        <w:t xml:space="preserve"> médico también administrará un anestésico local </w:t>
      </w:r>
      <w:r w:rsidR="00942FB8" w:rsidRPr="003E0B98">
        <w:rPr>
          <w:color w:val="000000"/>
          <w:szCs w:val="22"/>
          <w:lang w:val="es-ES_tradnl"/>
        </w:rPr>
        <w:t xml:space="preserve">a su bebé </w:t>
      </w:r>
      <w:r w:rsidRPr="003E0B98">
        <w:rPr>
          <w:color w:val="000000"/>
          <w:szCs w:val="22"/>
          <w:lang w:val="es-ES_tradnl"/>
        </w:rPr>
        <w:t>para reducir o prevenir cualquier dolor.</w:t>
      </w:r>
    </w:p>
    <w:p w14:paraId="4CF94FBA" w14:textId="77777777" w:rsidR="003F59DD" w:rsidRPr="003E0B98" w:rsidRDefault="003F59DD" w:rsidP="004361AC">
      <w:pPr>
        <w:numPr>
          <w:ilvl w:val="12"/>
          <w:numId w:val="0"/>
        </w:numPr>
        <w:tabs>
          <w:tab w:val="clear" w:pos="567"/>
        </w:tabs>
        <w:spacing w:line="240" w:lineRule="auto"/>
        <w:ind w:right="-2"/>
        <w:rPr>
          <w:color w:val="000000"/>
          <w:szCs w:val="22"/>
          <w:lang w:val="es-ES_tradnl"/>
        </w:rPr>
      </w:pPr>
    </w:p>
    <w:p w14:paraId="13746AC4" w14:textId="77777777" w:rsidR="003F59DD" w:rsidRPr="003E0B98" w:rsidRDefault="003F59DD" w:rsidP="004361AC">
      <w:pPr>
        <w:numPr>
          <w:ilvl w:val="12"/>
          <w:numId w:val="0"/>
        </w:numPr>
        <w:tabs>
          <w:tab w:val="clear" w:pos="567"/>
        </w:tabs>
        <w:spacing w:line="240" w:lineRule="auto"/>
        <w:ind w:right="-2"/>
        <w:rPr>
          <w:color w:val="000000"/>
          <w:szCs w:val="22"/>
          <w:lang w:val="es-ES"/>
        </w:rPr>
      </w:pPr>
      <w:r w:rsidRPr="003E0B98">
        <w:rPr>
          <w:color w:val="000000"/>
          <w:szCs w:val="22"/>
          <w:lang w:val="es-ES"/>
        </w:rPr>
        <w:t xml:space="preserve">El tratamiento se inicia con una inyección de </w:t>
      </w:r>
      <w:proofErr w:type="spellStart"/>
      <w:r w:rsidRPr="003E0B98">
        <w:rPr>
          <w:color w:val="000000"/>
          <w:szCs w:val="22"/>
          <w:lang w:val="es-ES"/>
        </w:rPr>
        <w:t>Lucentis</w:t>
      </w:r>
      <w:proofErr w:type="spellEnd"/>
      <w:r w:rsidRPr="003E0B98">
        <w:rPr>
          <w:color w:val="000000"/>
          <w:szCs w:val="22"/>
          <w:lang w:val="es-ES"/>
        </w:rPr>
        <w:t xml:space="preserve"> </w:t>
      </w:r>
      <w:r w:rsidR="00942FB8" w:rsidRPr="003E0B98">
        <w:rPr>
          <w:color w:val="000000"/>
          <w:szCs w:val="22"/>
          <w:lang w:val="es-ES"/>
        </w:rPr>
        <w:t xml:space="preserve">en </w:t>
      </w:r>
      <w:r w:rsidR="00841F75" w:rsidRPr="003E0B98">
        <w:rPr>
          <w:color w:val="000000"/>
          <w:szCs w:val="22"/>
          <w:lang w:val="es-ES"/>
        </w:rPr>
        <w:t xml:space="preserve">cada </w:t>
      </w:r>
      <w:r w:rsidR="00942FB8" w:rsidRPr="003E0B98">
        <w:rPr>
          <w:color w:val="000000"/>
          <w:szCs w:val="22"/>
          <w:lang w:val="es-ES"/>
        </w:rPr>
        <w:t>ojo</w:t>
      </w:r>
      <w:r w:rsidR="00841F75" w:rsidRPr="003E0B98">
        <w:rPr>
          <w:color w:val="000000"/>
          <w:szCs w:val="22"/>
          <w:lang w:val="es-ES"/>
        </w:rPr>
        <w:t xml:space="preserve"> (algunos bebés podrían necesitar tratamiento en solo un ojo)</w:t>
      </w:r>
      <w:r w:rsidRPr="003E0B98">
        <w:rPr>
          <w:color w:val="000000"/>
          <w:szCs w:val="22"/>
          <w:lang w:val="es-ES"/>
        </w:rPr>
        <w:t xml:space="preserve">. </w:t>
      </w:r>
      <w:r w:rsidR="00942FB8" w:rsidRPr="003E0B98">
        <w:rPr>
          <w:color w:val="000000"/>
          <w:szCs w:val="22"/>
          <w:lang w:val="es-ES"/>
        </w:rPr>
        <w:t>El</w:t>
      </w:r>
      <w:r w:rsidRPr="003E0B98">
        <w:rPr>
          <w:color w:val="000000"/>
          <w:szCs w:val="22"/>
          <w:lang w:val="es-ES"/>
        </w:rPr>
        <w:t xml:space="preserve"> médico controlará la enfermedad de</w:t>
      </w:r>
      <w:r w:rsidR="00942FB8" w:rsidRPr="003E0B98">
        <w:rPr>
          <w:color w:val="000000"/>
          <w:szCs w:val="22"/>
          <w:lang w:val="es-ES"/>
        </w:rPr>
        <w:t>l/</w:t>
      </w:r>
      <w:proofErr w:type="gramStart"/>
      <w:r w:rsidR="00942FB8" w:rsidRPr="003E0B98">
        <w:rPr>
          <w:color w:val="000000"/>
          <w:szCs w:val="22"/>
          <w:lang w:val="es-ES"/>
        </w:rPr>
        <w:t>de los ojo</w:t>
      </w:r>
      <w:proofErr w:type="gramEnd"/>
      <w:r w:rsidR="00942FB8" w:rsidRPr="003E0B98">
        <w:rPr>
          <w:color w:val="000000"/>
          <w:szCs w:val="22"/>
          <w:lang w:val="es-ES"/>
        </w:rPr>
        <w:t>/s de su bebé</w:t>
      </w:r>
      <w:r w:rsidRPr="003E0B98">
        <w:rPr>
          <w:color w:val="000000"/>
          <w:szCs w:val="22"/>
          <w:lang w:val="es-ES"/>
        </w:rPr>
        <w:t xml:space="preserve"> y dependiendo de cómo responda </w:t>
      </w:r>
      <w:r w:rsidR="00942FB8" w:rsidRPr="003E0B98">
        <w:rPr>
          <w:color w:val="000000"/>
          <w:szCs w:val="22"/>
          <w:lang w:val="es-ES"/>
        </w:rPr>
        <w:t xml:space="preserve">su bebé </w:t>
      </w:r>
      <w:r w:rsidRPr="003E0B98">
        <w:rPr>
          <w:color w:val="000000"/>
          <w:szCs w:val="22"/>
          <w:lang w:val="es-ES"/>
        </w:rPr>
        <w:t>al tratamiento, decidirá si necesita o no recibir más tratamiento y cuándo necesita ser tratado.</w:t>
      </w:r>
    </w:p>
    <w:p w14:paraId="74308CA9" w14:textId="77777777" w:rsidR="003F59DD" w:rsidRPr="003E0B98" w:rsidRDefault="003F59DD" w:rsidP="004361AC">
      <w:pPr>
        <w:numPr>
          <w:ilvl w:val="12"/>
          <w:numId w:val="0"/>
        </w:numPr>
        <w:tabs>
          <w:tab w:val="clear" w:pos="567"/>
        </w:tabs>
        <w:spacing w:line="240" w:lineRule="auto"/>
        <w:ind w:right="-2"/>
        <w:rPr>
          <w:color w:val="000000"/>
          <w:szCs w:val="22"/>
          <w:lang w:val="es-ES_tradnl"/>
        </w:rPr>
      </w:pPr>
    </w:p>
    <w:p w14:paraId="059116B9" w14:textId="4BCCFA28" w:rsidR="003F59DD" w:rsidRPr="003E0B98" w:rsidRDefault="003F59DD" w:rsidP="004361AC">
      <w:pPr>
        <w:numPr>
          <w:ilvl w:val="12"/>
          <w:numId w:val="0"/>
        </w:numPr>
        <w:tabs>
          <w:tab w:val="clear" w:pos="567"/>
        </w:tabs>
        <w:spacing w:line="240" w:lineRule="auto"/>
        <w:ind w:right="-2"/>
        <w:rPr>
          <w:color w:val="000000"/>
          <w:szCs w:val="22"/>
          <w:lang w:val="es-ES_tradnl"/>
        </w:rPr>
      </w:pPr>
      <w:r w:rsidRPr="003E0B98">
        <w:rPr>
          <w:color w:val="000000"/>
          <w:szCs w:val="22"/>
          <w:lang w:val="es-ES_tradnl"/>
        </w:rPr>
        <w:t xml:space="preserve">Al final del prospecto en el apartado “Cómo preparar y administrar </w:t>
      </w:r>
      <w:proofErr w:type="spellStart"/>
      <w:r w:rsidRPr="003E0B98">
        <w:rPr>
          <w:color w:val="000000"/>
          <w:szCs w:val="22"/>
          <w:lang w:val="es-ES_tradnl"/>
        </w:rPr>
        <w:t>Lucentis</w:t>
      </w:r>
      <w:proofErr w:type="spellEnd"/>
      <w:r w:rsidR="00490F86">
        <w:rPr>
          <w:color w:val="000000"/>
          <w:szCs w:val="22"/>
          <w:lang w:val="es-ES_tradnl"/>
        </w:rPr>
        <w:t xml:space="preserve"> en recién nacidos pretérmino</w:t>
      </w:r>
      <w:r w:rsidRPr="003E0B98">
        <w:rPr>
          <w:color w:val="000000"/>
          <w:szCs w:val="22"/>
          <w:lang w:val="es-ES_tradnl"/>
        </w:rPr>
        <w:t>” se dan instrucciones detalladas de uso.</w:t>
      </w:r>
    </w:p>
    <w:p w14:paraId="2A217D44" w14:textId="77777777" w:rsidR="003F59DD" w:rsidRPr="003E0B98" w:rsidRDefault="003F59DD" w:rsidP="004361AC">
      <w:pPr>
        <w:numPr>
          <w:ilvl w:val="12"/>
          <w:numId w:val="0"/>
        </w:numPr>
        <w:tabs>
          <w:tab w:val="clear" w:pos="567"/>
        </w:tabs>
        <w:spacing w:line="240" w:lineRule="auto"/>
        <w:ind w:right="-2"/>
        <w:rPr>
          <w:color w:val="000000"/>
          <w:szCs w:val="22"/>
          <w:lang w:val="es-ES_tradnl"/>
        </w:rPr>
      </w:pPr>
    </w:p>
    <w:p w14:paraId="61CF6D2C" w14:textId="77777777" w:rsidR="003F59DD" w:rsidRPr="003E0B98" w:rsidRDefault="003F59DD" w:rsidP="004361AC">
      <w:pPr>
        <w:keepNext/>
        <w:numPr>
          <w:ilvl w:val="12"/>
          <w:numId w:val="0"/>
        </w:numPr>
        <w:tabs>
          <w:tab w:val="clear" w:pos="567"/>
        </w:tabs>
        <w:spacing w:line="240" w:lineRule="auto"/>
        <w:rPr>
          <w:b/>
          <w:color w:val="000000"/>
          <w:szCs w:val="22"/>
          <w:lang w:val="es-ES_tradnl"/>
        </w:rPr>
      </w:pPr>
      <w:r w:rsidRPr="003E0B98">
        <w:rPr>
          <w:b/>
          <w:color w:val="000000"/>
          <w:szCs w:val="22"/>
          <w:lang w:val="es-ES_tradnl"/>
        </w:rPr>
        <w:t xml:space="preserve">Antes de interrumpir el tratamiento con </w:t>
      </w:r>
      <w:proofErr w:type="spellStart"/>
      <w:r w:rsidRPr="003E0B98">
        <w:rPr>
          <w:b/>
          <w:color w:val="000000"/>
          <w:szCs w:val="22"/>
          <w:lang w:val="es-ES_tradnl"/>
        </w:rPr>
        <w:t>Lucentis</w:t>
      </w:r>
      <w:proofErr w:type="spellEnd"/>
    </w:p>
    <w:p w14:paraId="6D9C1828" w14:textId="77777777" w:rsidR="003F59DD" w:rsidRPr="003E0B98" w:rsidRDefault="003F59DD" w:rsidP="004361AC">
      <w:pPr>
        <w:numPr>
          <w:ilvl w:val="12"/>
          <w:numId w:val="0"/>
        </w:numPr>
        <w:tabs>
          <w:tab w:val="clear" w:pos="567"/>
        </w:tabs>
        <w:spacing w:line="240" w:lineRule="auto"/>
        <w:ind w:right="-2"/>
        <w:rPr>
          <w:color w:val="000000"/>
          <w:szCs w:val="22"/>
          <w:lang w:val="es-ES_tradnl"/>
        </w:rPr>
      </w:pPr>
      <w:r w:rsidRPr="003E0B98">
        <w:rPr>
          <w:color w:val="000000"/>
          <w:szCs w:val="22"/>
          <w:lang w:val="es-ES_tradnl"/>
        </w:rPr>
        <w:t xml:space="preserve">Si usted se está planteando interrumpir el tratamiento con </w:t>
      </w:r>
      <w:proofErr w:type="spellStart"/>
      <w:r w:rsidRPr="003E0B98">
        <w:rPr>
          <w:color w:val="000000"/>
          <w:szCs w:val="22"/>
          <w:lang w:val="es-ES_tradnl"/>
        </w:rPr>
        <w:t>Lucentis</w:t>
      </w:r>
      <w:proofErr w:type="spellEnd"/>
      <w:r w:rsidR="00942FB8" w:rsidRPr="003E0B98">
        <w:rPr>
          <w:color w:val="000000"/>
          <w:szCs w:val="22"/>
          <w:lang w:val="es-ES_tradnl"/>
        </w:rPr>
        <w:t xml:space="preserve"> en su bebé</w:t>
      </w:r>
      <w:r w:rsidRPr="003E0B98">
        <w:rPr>
          <w:color w:val="000000"/>
          <w:szCs w:val="22"/>
          <w:lang w:val="es-ES_tradnl"/>
        </w:rPr>
        <w:t xml:space="preserve">, acuda a la siguiente consulta y coméntelo antes con </w:t>
      </w:r>
      <w:r w:rsidR="00942FB8" w:rsidRPr="003E0B98">
        <w:rPr>
          <w:color w:val="000000"/>
          <w:szCs w:val="22"/>
          <w:lang w:val="es-ES_tradnl"/>
        </w:rPr>
        <w:t>el</w:t>
      </w:r>
      <w:r w:rsidRPr="003E0B98">
        <w:rPr>
          <w:color w:val="000000"/>
          <w:szCs w:val="22"/>
          <w:lang w:val="es-ES_tradnl"/>
        </w:rPr>
        <w:t xml:space="preserve"> médico</w:t>
      </w:r>
      <w:r w:rsidR="00942FB8" w:rsidRPr="003E0B98">
        <w:rPr>
          <w:color w:val="000000"/>
          <w:szCs w:val="22"/>
          <w:lang w:val="es-ES_tradnl"/>
        </w:rPr>
        <w:t xml:space="preserve"> de su bebé</w:t>
      </w:r>
      <w:r w:rsidRPr="003E0B98">
        <w:rPr>
          <w:color w:val="000000"/>
          <w:szCs w:val="22"/>
          <w:lang w:val="es-ES_tradnl"/>
        </w:rPr>
        <w:t xml:space="preserve">. </w:t>
      </w:r>
      <w:r w:rsidR="00942FB8" w:rsidRPr="003E0B98">
        <w:rPr>
          <w:color w:val="000000"/>
          <w:szCs w:val="22"/>
          <w:lang w:val="es-ES_tradnl"/>
        </w:rPr>
        <w:t>El</w:t>
      </w:r>
      <w:r w:rsidRPr="003E0B98">
        <w:rPr>
          <w:color w:val="000000"/>
          <w:szCs w:val="22"/>
          <w:lang w:val="es-ES_tradnl"/>
        </w:rPr>
        <w:t xml:space="preserve"> médico</w:t>
      </w:r>
      <w:r w:rsidR="00942FB8" w:rsidRPr="003E0B98">
        <w:rPr>
          <w:color w:val="000000"/>
          <w:szCs w:val="22"/>
          <w:lang w:val="es-ES_tradnl"/>
        </w:rPr>
        <w:t xml:space="preserve"> de su bebé</w:t>
      </w:r>
      <w:r w:rsidRPr="003E0B98">
        <w:rPr>
          <w:color w:val="000000"/>
          <w:szCs w:val="22"/>
          <w:lang w:val="es-ES_tradnl"/>
        </w:rPr>
        <w:t xml:space="preserve"> le aconsejará y decidirá durante cuánto tiempo </w:t>
      </w:r>
      <w:r w:rsidR="00942FB8" w:rsidRPr="003E0B98">
        <w:rPr>
          <w:color w:val="000000"/>
          <w:szCs w:val="22"/>
          <w:lang w:val="es-ES_tradnl"/>
        </w:rPr>
        <w:t xml:space="preserve">su bebé </w:t>
      </w:r>
      <w:r w:rsidRPr="003E0B98">
        <w:rPr>
          <w:color w:val="000000"/>
          <w:szCs w:val="22"/>
          <w:lang w:val="es-ES_tradnl"/>
        </w:rPr>
        <w:t xml:space="preserve">deberá ser tratado con </w:t>
      </w:r>
      <w:proofErr w:type="spellStart"/>
      <w:r w:rsidRPr="003E0B98">
        <w:rPr>
          <w:color w:val="000000"/>
          <w:szCs w:val="22"/>
          <w:lang w:val="es-ES_tradnl"/>
        </w:rPr>
        <w:t>Lucentis</w:t>
      </w:r>
      <w:proofErr w:type="spellEnd"/>
      <w:r w:rsidRPr="003E0B98">
        <w:rPr>
          <w:color w:val="000000"/>
          <w:szCs w:val="22"/>
          <w:lang w:val="es-ES_tradnl"/>
        </w:rPr>
        <w:t>.</w:t>
      </w:r>
    </w:p>
    <w:p w14:paraId="1857BB4F" w14:textId="77777777" w:rsidR="003F59DD" w:rsidRPr="003E0B98" w:rsidRDefault="003F59DD" w:rsidP="004361AC">
      <w:pPr>
        <w:numPr>
          <w:ilvl w:val="12"/>
          <w:numId w:val="0"/>
        </w:numPr>
        <w:tabs>
          <w:tab w:val="clear" w:pos="567"/>
        </w:tabs>
        <w:spacing w:line="240" w:lineRule="auto"/>
        <w:ind w:right="-2"/>
        <w:rPr>
          <w:color w:val="000000"/>
          <w:szCs w:val="22"/>
          <w:lang w:val="es-ES"/>
        </w:rPr>
      </w:pPr>
    </w:p>
    <w:p w14:paraId="78B97414" w14:textId="77777777" w:rsidR="003F59DD" w:rsidRPr="003E0B98" w:rsidRDefault="003F59DD" w:rsidP="004361AC">
      <w:pPr>
        <w:numPr>
          <w:ilvl w:val="12"/>
          <w:numId w:val="0"/>
        </w:numPr>
        <w:tabs>
          <w:tab w:val="clear" w:pos="567"/>
        </w:tabs>
        <w:spacing w:line="240" w:lineRule="auto"/>
        <w:ind w:right="-2"/>
        <w:rPr>
          <w:color w:val="000000"/>
          <w:szCs w:val="22"/>
          <w:lang w:val="es-ES_tradnl"/>
        </w:rPr>
      </w:pPr>
      <w:r w:rsidRPr="003E0B98">
        <w:rPr>
          <w:noProof/>
          <w:color w:val="000000"/>
          <w:lang w:val="es-ES_tradnl"/>
        </w:rPr>
        <w:t>Si tiene cualquier otra duda sobre el uso de</w:t>
      </w:r>
      <w:r w:rsidR="00942FB8" w:rsidRPr="003E0B98">
        <w:rPr>
          <w:noProof/>
          <w:color w:val="000000"/>
          <w:lang w:val="es-ES_tradnl"/>
        </w:rPr>
        <w:t xml:space="preserve"> este medicamento, pregunte al</w:t>
      </w:r>
      <w:r w:rsidRPr="003E0B98">
        <w:rPr>
          <w:noProof/>
          <w:color w:val="000000"/>
          <w:lang w:val="es-ES_tradnl"/>
        </w:rPr>
        <w:t xml:space="preserve"> médico</w:t>
      </w:r>
      <w:r w:rsidR="00942FB8" w:rsidRPr="003E0B98">
        <w:rPr>
          <w:noProof/>
          <w:color w:val="000000"/>
          <w:lang w:val="es-ES_tradnl"/>
        </w:rPr>
        <w:t xml:space="preserve"> de su bebé</w:t>
      </w:r>
      <w:r w:rsidRPr="003E0B98">
        <w:rPr>
          <w:noProof/>
          <w:color w:val="000000"/>
          <w:lang w:val="es-ES_tradnl"/>
        </w:rPr>
        <w:t>.</w:t>
      </w:r>
    </w:p>
    <w:p w14:paraId="7DA70DCF" w14:textId="77777777" w:rsidR="003F59DD" w:rsidRPr="003E0B98" w:rsidRDefault="003F59DD" w:rsidP="004361AC">
      <w:pPr>
        <w:numPr>
          <w:ilvl w:val="12"/>
          <w:numId w:val="0"/>
        </w:numPr>
        <w:tabs>
          <w:tab w:val="clear" w:pos="567"/>
        </w:tabs>
        <w:spacing w:line="240" w:lineRule="auto"/>
        <w:ind w:right="-2"/>
        <w:rPr>
          <w:color w:val="000000"/>
          <w:szCs w:val="22"/>
          <w:lang w:val="es-ES_tradnl"/>
        </w:rPr>
      </w:pPr>
    </w:p>
    <w:p w14:paraId="0CC9C9CB" w14:textId="77777777" w:rsidR="003F59DD" w:rsidRPr="003E0B98" w:rsidRDefault="003F59DD" w:rsidP="004361AC">
      <w:pPr>
        <w:numPr>
          <w:ilvl w:val="12"/>
          <w:numId w:val="0"/>
        </w:numPr>
        <w:tabs>
          <w:tab w:val="clear" w:pos="567"/>
        </w:tabs>
        <w:spacing w:line="240" w:lineRule="auto"/>
        <w:ind w:right="-2"/>
        <w:rPr>
          <w:color w:val="000000"/>
          <w:szCs w:val="22"/>
          <w:lang w:val="es-ES_tradnl"/>
        </w:rPr>
      </w:pPr>
    </w:p>
    <w:p w14:paraId="344F3382" w14:textId="77777777" w:rsidR="003F59DD" w:rsidRPr="003E0B98" w:rsidRDefault="003F59DD" w:rsidP="004361AC">
      <w:pPr>
        <w:keepNext/>
        <w:numPr>
          <w:ilvl w:val="12"/>
          <w:numId w:val="0"/>
        </w:numPr>
        <w:tabs>
          <w:tab w:val="clear" w:pos="567"/>
        </w:tabs>
        <w:spacing w:line="240" w:lineRule="auto"/>
        <w:ind w:left="567" w:hanging="567"/>
        <w:rPr>
          <w:color w:val="000000"/>
          <w:szCs w:val="22"/>
          <w:lang w:val="es-ES_tradnl"/>
        </w:rPr>
      </w:pPr>
      <w:r w:rsidRPr="003E0B98">
        <w:rPr>
          <w:b/>
          <w:color w:val="000000"/>
          <w:szCs w:val="22"/>
          <w:lang w:val="es-ES_tradnl"/>
        </w:rPr>
        <w:t>4.</w:t>
      </w:r>
      <w:r w:rsidRPr="003E0B98">
        <w:rPr>
          <w:b/>
          <w:color w:val="000000"/>
          <w:szCs w:val="22"/>
          <w:lang w:val="es-ES_tradnl"/>
        </w:rPr>
        <w:tab/>
        <w:t>Posibles efectos adversos</w:t>
      </w:r>
    </w:p>
    <w:p w14:paraId="5D77D5FF" w14:textId="77777777" w:rsidR="003F59DD" w:rsidRPr="003E0B98" w:rsidRDefault="003F59DD" w:rsidP="004361AC">
      <w:pPr>
        <w:keepNext/>
        <w:numPr>
          <w:ilvl w:val="12"/>
          <w:numId w:val="0"/>
        </w:numPr>
        <w:tabs>
          <w:tab w:val="clear" w:pos="567"/>
        </w:tabs>
        <w:spacing w:line="240" w:lineRule="auto"/>
        <w:rPr>
          <w:color w:val="000000"/>
          <w:szCs w:val="22"/>
          <w:lang w:val="es-ES_tradnl"/>
        </w:rPr>
      </w:pPr>
    </w:p>
    <w:p w14:paraId="59597452" w14:textId="77777777" w:rsidR="003F59DD" w:rsidRPr="003E0B98" w:rsidRDefault="003F59DD" w:rsidP="004361AC">
      <w:pPr>
        <w:numPr>
          <w:ilvl w:val="12"/>
          <w:numId w:val="0"/>
        </w:numPr>
        <w:tabs>
          <w:tab w:val="clear" w:pos="567"/>
        </w:tabs>
        <w:spacing w:line="240" w:lineRule="auto"/>
        <w:ind w:right="-2"/>
        <w:rPr>
          <w:color w:val="000000"/>
          <w:szCs w:val="22"/>
          <w:lang w:val="es-ES_tradnl"/>
        </w:rPr>
      </w:pPr>
      <w:r w:rsidRPr="003E0B98">
        <w:rPr>
          <w:noProof/>
          <w:color w:val="000000"/>
          <w:lang w:val="es-ES_tradnl"/>
        </w:rPr>
        <w:t>Al igual que todos los medicamentos, este medicamento puede producir efectos adversos, aunque no todas las personas los sufran.</w:t>
      </w:r>
    </w:p>
    <w:p w14:paraId="57D06214" w14:textId="77777777" w:rsidR="003F59DD" w:rsidRPr="003E0B98" w:rsidRDefault="003F59DD" w:rsidP="004361AC">
      <w:pPr>
        <w:numPr>
          <w:ilvl w:val="12"/>
          <w:numId w:val="0"/>
        </w:numPr>
        <w:tabs>
          <w:tab w:val="clear" w:pos="567"/>
        </w:tabs>
        <w:spacing w:line="240" w:lineRule="auto"/>
        <w:ind w:right="-2"/>
        <w:rPr>
          <w:color w:val="000000"/>
          <w:szCs w:val="22"/>
          <w:lang w:val="es-ES_tradnl"/>
        </w:rPr>
      </w:pPr>
    </w:p>
    <w:p w14:paraId="704F6F81" w14:textId="77777777" w:rsidR="003F59DD" w:rsidRPr="003E0B98" w:rsidRDefault="003F59DD" w:rsidP="004361AC">
      <w:pPr>
        <w:numPr>
          <w:ilvl w:val="12"/>
          <w:numId w:val="0"/>
        </w:numPr>
        <w:tabs>
          <w:tab w:val="clear" w:pos="567"/>
        </w:tabs>
        <w:spacing w:line="240" w:lineRule="auto"/>
        <w:ind w:right="-2"/>
        <w:rPr>
          <w:color w:val="000000"/>
          <w:szCs w:val="22"/>
          <w:lang w:val="es-ES_tradnl"/>
        </w:rPr>
      </w:pPr>
      <w:r w:rsidRPr="003E0B98">
        <w:rPr>
          <w:color w:val="000000"/>
          <w:szCs w:val="22"/>
          <w:lang w:val="es-ES_tradnl"/>
        </w:rPr>
        <w:t xml:space="preserve">Los efectos adversos asociados con la administración de </w:t>
      </w:r>
      <w:proofErr w:type="spellStart"/>
      <w:r w:rsidRPr="003E0B98">
        <w:rPr>
          <w:color w:val="000000"/>
          <w:szCs w:val="22"/>
          <w:lang w:val="es-ES_tradnl"/>
        </w:rPr>
        <w:t>Lucentis</w:t>
      </w:r>
      <w:proofErr w:type="spellEnd"/>
      <w:r w:rsidRPr="003E0B98">
        <w:rPr>
          <w:color w:val="000000"/>
          <w:szCs w:val="22"/>
          <w:lang w:val="es-ES_tradnl"/>
        </w:rPr>
        <w:t xml:space="preserve"> se deben o al </w:t>
      </w:r>
      <w:r w:rsidR="007950ED" w:rsidRPr="003E0B98">
        <w:rPr>
          <w:color w:val="000000"/>
          <w:szCs w:val="22"/>
          <w:lang w:val="es-ES_tradnl"/>
        </w:rPr>
        <w:t>prop</w:t>
      </w:r>
      <w:r w:rsidRPr="003E0B98">
        <w:rPr>
          <w:color w:val="000000"/>
          <w:szCs w:val="22"/>
          <w:lang w:val="es-ES_tradnl"/>
        </w:rPr>
        <w:t>io medicamento o al procedimiento de inyección y la mayoría afectan al ojo.</w:t>
      </w:r>
    </w:p>
    <w:p w14:paraId="3275AAB0" w14:textId="77777777" w:rsidR="003F59DD" w:rsidRPr="003E0B98" w:rsidRDefault="003F59DD" w:rsidP="004361AC">
      <w:pPr>
        <w:numPr>
          <w:ilvl w:val="12"/>
          <w:numId w:val="0"/>
        </w:numPr>
        <w:tabs>
          <w:tab w:val="clear" w:pos="567"/>
        </w:tabs>
        <w:spacing w:line="240" w:lineRule="auto"/>
        <w:ind w:right="-2"/>
        <w:rPr>
          <w:color w:val="000000"/>
          <w:szCs w:val="22"/>
          <w:lang w:val="es-ES_tradnl"/>
        </w:rPr>
      </w:pPr>
    </w:p>
    <w:p w14:paraId="67220178" w14:textId="77777777" w:rsidR="009C241A" w:rsidRPr="003E0B98" w:rsidRDefault="00867568" w:rsidP="004361AC">
      <w:pPr>
        <w:keepNext/>
        <w:numPr>
          <w:ilvl w:val="12"/>
          <w:numId w:val="0"/>
        </w:numPr>
        <w:tabs>
          <w:tab w:val="clear" w:pos="567"/>
        </w:tabs>
        <w:spacing w:line="240" w:lineRule="auto"/>
        <w:rPr>
          <w:b/>
          <w:color w:val="000000"/>
          <w:szCs w:val="22"/>
          <w:lang w:val="es-ES_tradnl"/>
        </w:rPr>
      </w:pPr>
      <w:r w:rsidRPr="003E0B98">
        <w:rPr>
          <w:b/>
          <w:color w:val="000000"/>
          <w:szCs w:val="22"/>
          <w:lang w:val="es-ES_tradnl"/>
        </w:rPr>
        <w:t xml:space="preserve">A </w:t>
      </w:r>
      <w:proofErr w:type="gramStart"/>
      <w:r w:rsidRPr="003E0B98">
        <w:rPr>
          <w:b/>
          <w:color w:val="000000"/>
          <w:szCs w:val="22"/>
          <w:lang w:val="es-ES_tradnl"/>
        </w:rPr>
        <w:t>continuación</w:t>
      </w:r>
      <w:proofErr w:type="gramEnd"/>
      <w:r w:rsidRPr="003E0B98">
        <w:rPr>
          <w:b/>
          <w:color w:val="000000"/>
          <w:szCs w:val="22"/>
          <w:lang w:val="es-ES_tradnl"/>
        </w:rPr>
        <w:t xml:space="preserve"> se describen l</w:t>
      </w:r>
      <w:r w:rsidR="009C241A" w:rsidRPr="003E0B98">
        <w:rPr>
          <w:b/>
          <w:color w:val="000000"/>
          <w:szCs w:val="22"/>
          <w:lang w:val="es-ES_tradnl"/>
        </w:rPr>
        <w:t>os efectos adversos</w:t>
      </w:r>
      <w:r w:rsidR="0029473B" w:rsidRPr="003E0B98">
        <w:rPr>
          <w:b/>
          <w:color w:val="000000"/>
          <w:szCs w:val="22"/>
          <w:lang w:val="es-ES_tradnl"/>
        </w:rPr>
        <w:t xml:space="preserve"> más frecuentes en beb</w:t>
      </w:r>
      <w:r w:rsidRPr="003E0B98">
        <w:rPr>
          <w:b/>
          <w:color w:val="000000"/>
          <w:szCs w:val="22"/>
          <w:lang w:val="es-ES_tradnl"/>
        </w:rPr>
        <w:t>és nacidos prematuramente</w:t>
      </w:r>
      <w:r w:rsidR="0029473B" w:rsidRPr="003E0B98">
        <w:rPr>
          <w:b/>
          <w:color w:val="000000"/>
          <w:szCs w:val="22"/>
          <w:lang w:val="es-ES_tradnl"/>
        </w:rPr>
        <w:t>:</w:t>
      </w:r>
    </w:p>
    <w:p w14:paraId="1E9F4923" w14:textId="77777777" w:rsidR="0029473B" w:rsidRPr="003E0B98" w:rsidRDefault="0029473B" w:rsidP="004361AC">
      <w:pPr>
        <w:keepNext/>
        <w:numPr>
          <w:ilvl w:val="12"/>
          <w:numId w:val="0"/>
        </w:numPr>
        <w:tabs>
          <w:tab w:val="clear" w:pos="567"/>
        </w:tabs>
        <w:spacing w:line="240" w:lineRule="auto"/>
        <w:rPr>
          <w:color w:val="000000"/>
          <w:szCs w:val="22"/>
          <w:lang w:val="es-ES_tradnl"/>
        </w:rPr>
      </w:pPr>
    </w:p>
    <w:p w14:paraId="5FC596CF" w14:textId="77777777" w:rsidR="0029473B" w:rsidRPr="003E0B98" w:rsidRDefault="0029473B" w:rsidP="004361AC">
      <w:pPr>
        <w:numPr>
          <w:ilvl w:val="12"/>
          <w:numId w:val="0"/>
        </w:numPr>
        <w:tabs>
          <w:tab w:val="clear" w:pos="567"/>
        </w:tabs>
        <w:spacing w:line="240" w:lineRule="auto"/>
        <w:ind w:right="-2"/>
        <w:rPr>
          <w:color w:val="000000"/>
          <w:szCs w:val="22"/>
          <w:lang w:val="es-ES"/>
        </w:rPr>
      </w:pPr>
      <w:r w:rsidRPr="003E0B98">
        <w:rPr>
          <w:color w:val="000000"/>
          <w:szCs w:val="22"/>
          <w:lang w:val="es-ES"/>
        </w:rPr>
        <w:t xml:space="preserve">Los efectos adversos </w:t>
      </w:r>
      <w:r w:rsidR="00867568" w:rsidRPr="003E0B98">
        <w:rPr>
          <w:color w:val="000000"/>
          <w:szCs w:val="22"/>
          <w:lang w:val="es-ES"/>
        </w:rPr>
        <w:t>oculares</w:t>
      </w:r>
      <w:r w:rsidRPr="003E0B98">
        <w:rPr>
          <w:color w:val="000000"/>
          <w:szCs w:val="22"/>
          <w:lang w:val="es-ES"/>
        </w:rPr>
        <w:t xml:space="preserve"> incluyen: sangrado en la parte posterior del ojo (sangrado de la retina), sangrado en el ojo o en el lugar de la inyección y sangre en el ojo (sangrado de la conjuntiva).</w:t>
      </w:r>
    </w:p>
    <w:p w14:paraId="3A376DE6" w14:textId="77777777" w:rsidR="0029473B" w:rsidRPr="003E0B98" w:rsidRDefault="0029473B" w:rsidP="004361AC">
      <w:pPr>
        <w:numPr>
          <w:ilvl w:val="12"/>
          <w:numId w:val="0"/>
        </w:numPr>
        <w:tabs>
          <w:tab w:val="clear" w:pos="567"/>
        </w:tabs>
        <w:spacing w:line="240" w:lineRule="auto"/>
        <w:ind w:right="-2"/>
        <w:rPr>
          <w:color w:val="000000"/>
          <w:szCs w:val="22"/>
          <w:lang w:val="es-ES"/>
        </w:rPr>
      </w:pPr>
    </w:p>
    <w:p w14:paraId="7B7FDD34" w14:textId="77777777" w:rsidR="0029473B" w:rsidRPr="003E0B98" w:rsidRDefault="0029473B" w:rsidP="004361AC">
      <w:pPr>
        <w:numPr>
          <w:ilvl w:val="12"/>
          <w:numId w:val="0"/>
        </w:numPr>
        <w:tabs>
          <w:tab w:val="clear" w:pos="567"/>
        </w:tabs>
        <w:spacing w:line="240" w:lineRule="auto"/>
        <w:ind w:right="-2"/>
        <w:rPr>
          <w:color w:val="000000"/>
          <w:szCs w:val="22"/>
          <w:lang w:val="es-ES"/>
        </w:rPr>
      </w:pPr>
      <w:r w:rsidRPr="003E0B98">
        <w:rPr>
          <w:color w:val="000000"/>
          <w:szCs w:val="22"/>
          <w:lang w:val="es-ES"/>
        </w:rPr>
        <w:t xml:space="preserve">Los efectos adversos no </w:t>
      </w:r>
      <w:r w:rsidR="00867568" w:rsidRPr="003E0B98">
        <w:rPr>
          <w:color w:val="000000"/>
          <w:szCs w:val="22"/>
          <w:lang w:val="es-ES"/>
        </w:rPr>
        <w:t>oculares</w:t>
      </w:r>
      <w:r w:rsidRPr="003E0B98">
        <w:rPr>
          <w:color w:val="000000"/>
          <w:szCs w:val="22"/>
          <w:lang w:val="es-ES"/>
        </w:rPr>
        <w:t xml:space="preserve"> incluyen: dolor de garganta, </w:t>
      </w:r>
      <w:proofErr w:type="gramStart"/>
      <w:r w:rsidRPr="003E0B98">
        <w:rPr>
          <w:color w:val="000000"/>
          <w:szCs w:val="22"/>
          <w:lang w:val="es-ES"/>
        </w:rPr>
        <w:t>congestión nasal y secreción nasal</w:t>
      </w:r>
      <w:proofErr w:type="gramEnd"/>
      <w:r w:rsidRPr="003E0B98">
        <w:rPr>
          <w:color w:val="000000"/>
          <w:szCs w:val="22"/>
          <w:lang w:val="es-ES"/>
        </w:rPr>
        <w:t xml:space="preserve">, bajo </w:t>
      </w:r>
      <w:r w:rsidR="00AE3466" w:rsidRPr="003E0B98">
        <w:rPr>
          <w:color w:val="000000"/>
          <w:szCs w:val="22"/>
          <w:lang w:val="es-ES"/>
        </w:rPr>
        <w:t xml:space="preserve">número </w:t>
      </w:r>
      <w:r w:rsidRPr="003E0B98">
        <w:rPr>
          <w:color w:val="000000"/>
          <w:szCs w:val="22"/>
          <w:lang w:val="es-ES"/>
        </w:rPr>
        <w:t>de glóbulos rojos (</w:t>
      </w:r>
      <w:r w:rsidR="009715A7" w:rsidRPr="003E0B98">
        <w:rPr>
          <w:color w:val="000000"/>
          <w:szCs w:val="22"/>
          <w:lang w:val="es-ES"/>
        </w:rPr>
        <w:t>con síntomas tales como cansancio, dificultad respiratoria y piel pálida</w:t>
      </w:r>
      <w:r w:rsidRPr="003E0B98">
        <w:rPr>
          <w:color w:val="000000"/>
          <w:szCs w:val="22"/>
          <w:lang w:val="es-ES"/>
        </w:rPr>
        <w:t>), tos, infección del tracto urinario, reacciones alérgicas como erupción y enrojecimiento de la piel.</w:t>
      </w:r>
    </w:p>
    <w:p w14:paraId="73560D1F" w14:textId="77777777" w:rsidR="0029473B" w:rsidRPr="003E0B98" w:rsidRDefault="0029473B" w:rsidP="004361AC">
      <w:pPr>
        <w:numPr>
          <w:ilvl w:val="12"/>
          <w:numId w:val="0"/>
        </w:numPr>
        <w:tabs>
          <w:tab w:val="clear" w:pos="567"/>
        </w:tabs>
        <w:spacing w:line="240" w:lineRule="auto"/>
        <w:ind w:right="-2"/>
        <w:rPr>
          <w:color w:val="000000"/>
          <w:szCs w:val="22"/>
          <w:lang w:val="es-ES"/>
        </w:rPr>
      </w:pPr>
    </w:p>
    <w:p w14:paraId="47425A91" w14:textId="77777777" w:rsidR="009C241A" w:rsidRPr="003E0B98" w:rsidRDefault="009715A7" w:rsidP="004361AC">
      <w:pPr>
        <w:keepNext/>
        <w:numPr>
          <w:ilvl w:val="12"/>
          <w:numId w:val="0"/>
        </w:numPr>
        <w:tabs>
          <w:tab w:val="clear" w:pos="567"/>
        </w:tabs>
        <w:spacing w:line="240" w:lineRule="auto"/>
        <w:rPr>
          <w:b/>
          <w:color w:val="000000"/>
          <w:szCs w:val="22"/>
          <w:lang w:val="es-ES"/>
        </w:rPr>
      </w:pPr>
      <w:r w:rsidRPr="003E0B98">
        <w:rPr>
          <w:b/>
          <w:color w:val="000000"/>
          <w:szCs w:val="22"/>
          <w:lang w:val="es-ES"/>
        </w:rPr>
        <w:t xml:space="preserve">A </w:t>
      </w:r>
      <w:proofErr w:type="gramStart"/>
      <w:r w:rsidRPr="003E0B98">
        <w:rPr>
          <w:b/>
          <w:color w:val="000000"/>
          <w:szCs w:val="22"/>
          <w:lang w:val="es-ES"/>
        </w:rPr>
        <w:t>continuación</w:t>
      </w:r>
      <w:proofErr w:type="gramEnd"/>
      <w:r w:rsidRPr="003E0B98">
        <w:rPr>
          <w:b/>
          <w:color w:val="000000"/>
          <w:szCs w:val="22"/>
          <w:lang w:val="es-ES"/>
        </w:rPr>
        <w:t xml:space="preserve"> se listan e</w:t>
      </w:r>
      <w:r w:rsidR="0029473B" w:rsidRPr="003E0B98">
        <w:rPr>
          <w:b/>
          <w:color w:val="000000"/>
          <w:szCs w:val="22"/>
          <w:lang w:val="es-ES"/>
        </w:rPr>
        <w:t xml:space="preserve">fectos </w:t>
      </w:r>
      <w:r w:rsidR="000F656D" w:rsidRPr="003E0B98">
        <w:rPr>
          <w:b/>
          <w:color w:val="000000"/>
          <w:szCs w:val="22"/>
          <w:lang w:val="es-ES"/>
        </w:rPr>
        <w:t>adversos</w:t>
      </w:r>
      <w:r w:rsidRPr="003E0B98">
        <w:rPr>
          <w:b/>
          <w:color w:val="000000"/>
          <w:szCs w:val="22"/>
          <w:lang w:val="es-ES"/>
        </w:rPr>
        <w:t xml:space="preserve"> adicionales</w:t>
      </w:r>
      <w:r w:rsidR="0029473B" w:rsidRPr="003E0B98">
        <w:rPr>
          <w:b/>
          <w:color w:val="000000"/>
          <w:szCs w:val="22"/>
          <w:lang w:val="es-ES"/>
        </w:rPr>
        <w:t xml:space="preserve">, que se han observado </w:t>
      </w:r>
      <w:r w:rsidRPr="003E0B98">
        <w:rPr>
          <w:b/>
          <w:color w:val="000000"/>
          <w:szCs w:val="22"/>
          <w:lang w:val="es-ES"/>
        </w:rPr>
        <w:t>con</w:t>
      </w:r>
      <w:r w:rsidR="0029473B" w:rsidRPr="003E0B98">
        <w:rPr>
          <w:b/>
          <w:color w:val="000000"/>
          <w:szCs w:val="22"/>
          <w:lang w:val="es-ES"/>
        </w:rPr>
        <w:t xml:space="preserve"> </w:t>
      </w:r>
      <w:proofErr w:type="spellStart"/>
      <w:r w:rsidR="0029473B" w:rsidRPr="003E0B98">
        <w:rPr>
          <w:b/>
          <w:color w:val="000000"/>
          <w:szCs w:val="22"/>
          <w:lang w:val="es-ES"/>
        </w:rPr>
        <w:t>Lucentis</w:t>
      </w:r>
      <w:proofErr w:type="spellEnd"/>
      <w:r w:rsidRPr="003E0B98">
        <w:rPr>
          <w:b/>
          <w:color w:val="000000"/>
          <w:szCs w:val="22"/>
          <w:lang w:val="es-ES"/>
        </w:rPr>
        <w:t xml:space="preserve"> en adultos.</w:t>
      </w:r>
      <w:r w:rsidR="0029473B" w:rsidRPr="003E0B98">
        <w:rPr>
          <w:b/>
          <w:color w:val="000000"/>
          <w:szCs w:val="22"/>
          <w:lang w:val="es-ES"/>
        </w:rPr>
        <w:t xml:space="preserve"> </w:t>
      </w:r>
      <w:r w:rsidRPr="003E0B98">
        <w:rPr>
          <w:b/>
          <w:color w:val="000000"/>
          <w:szCs w:val="22"/>
          <w:lang w:val="es-ES"/>
        </w:rPr>
        <w:t xml:space="preserve">Estos efectos adversos </w:t>
      </w:r>
      <w:r w:rsidR="0029473B" w:rsidRPr="003E0B98">
        <w:rPr>
          <w:b/>
          <w:color w:val="000000"/>
          <w:szCs w:val="22"/>
          <w:lang w:val="es-ES"/>
        </w:rPr>
        <w:t>también pueden ocurrir en bebés nacidos prematuramente.</w:t>
      </w:r>
    </w:p>
    <w:p w14:paraId="579953B3" w14:textId="77777777" w:rsidR="0029473B" w:rsidRPr="003E0B98" w:rsidRDefault="0029473B" w:rsidP="004361AC">
      <w:pPr>
        <w:keepNext/>
        <w:numPr>
          <w:ilvl w:val="12"/>
          <w:numId w:val="0"/>
        </w:numPr>
        <w:tabs>
          <w:tab w:val="clear" w:pos="567"/>
        </w:tabs>
        <w:spacing w:line="240" w:lineRule="auto"/>
        <w:rPr>
          <w:color w:val="000000"/>
          <w:szCs w:val="22"/>
          <w:lang w:val="es-ES_tradnl"/>
        </w:rPr>
      </w:pPr>
    </w:p>
    <w:p w14:paraId="302CF0DD" w14:textId="77777777" w:rsidR="003F59DD" w:rsidRPr="003E0B98" w:rsidRDefault="003F59DD" w:rsidP="004361AC">
      <w:pPr>
        <w:keepNext/>
        <w:numPr>
          <w:ilvl w:val="12"/>
          <w:numId w:val="0"/>
        </w:numPr>
        <w:tabs>
          <w:tab w:val="clear" w:pos="567"/>
        </w:tabs>
        <w:spacing w:line="240" w:lineRule="auto"/>
        <w:rPr>
          <w:color w:val="000000"/>
          <w:szCs w:val="22"/>
          <w:lang w:val="es-ES_tradnl"/>
        </w:rPr>
      </w:pPr>
      <w:r w:rsidRPr="003E0B98">
        <w:rPr>
          <w:color w:val="000000"/>
          <w:szCs w:val="22"/>
          <w:lang w:val="es-ES_tradnl"/>
        </w:rPr>
        <w:t xml:space="preserve">A </w:t>
      </w:r>
      <w:proofErr w:type="gramStart"/>
      <w:r w:rsidRPr="003E0B98">
        <w:rPr>
          <w:color w:val="000000"/>
          <w:szCs w:val="22"/>
          <w:lang w:val="es-ES_tradnl"/>
        </w:rPr>
        <w:t>continuación</w:t>
      </w:r>
      <w:proofErr w:type="gramEnd"/>
      <w:r w:rsidRPr="003E0B98">
        <w:rPr>
          <w:color w:val="000000"/>
          <w:szCs w:val="22"/>
          <w:lang w:val="es-ES_tradnl"/>
        </w:rPr>
        <w:t xml:space="preserve"> se describen los efectos adversos más graves</w:t>
      </w:r>
      <w:r w:rsidR="000F656D" w:rsidRPr="003E0B98">
        <w:rPr>
          <w:color w:val="000000"/>
          <w:szCs w:val="22"/>
          <w:lang w:val="es-ES_tradnl"/>
        </w:rPr>
        <w:t xml:space="preserve"> en adultos</w:t>
      </w:r>
      <w:r w:rsidRPr="003E0B98">
        <w:rPr>
          <w:color w:val="000000"/>
          <w:szCs w:val="22"/>
          <w:lang w:val="es-ES_tradnl"/>
        </w:rPr>
        <w:t>:</w:t>
      </w:r>
    </w:p>
    <w:p w14:paraId="47212B45" w14:textId="77777777" w:rsidR="003F59DD" w:rsidRPr="003E0B98" w:rsidRDefault="003F59DD" w:rsidP="004361AC">
      <w:pPr>
        <w:numPr>
          <w:ilvl w:val="12"/>
          <w:numId w:val="0"/>
        </w:numPr>
        <w:tabs>
          <w:tab w:val="clear" w:pos="567"/>
        </w:tabs>
        <w:spacing w:line="240" w:lineRule="auto"/>
        <w:ind w:right="-2"/>
        <w:rPr>
          <w:color w:val="000000"/>
          <w:szCs w:val="22"/>
          <w:lang w:val="es-ES_tradnl"/>
        </w:rPr>
      </w:pPr>
      <w:r w:rsidRPr="003E0B98">
        <w:rPr>
          <w:color w:val="000000"/>
          <w:szCs w:val="22"/>
          <w:lang w:val="es-ES_tradnl"/>
        </w:rPr>
        <w:t xml:space="preserve">Efectos adversos graves frecuentes </w:t>
      </w:r>
      <w:r w:rsidRPr="003E0B98">
        <w:rPr>
          <w:color w:val="000000"/>
          <w:szCs w:val="22"/>
          <w:lang w:val="es-ES"/>
        </w:rPr>
        <w:t xml:space="preserve">(pueden afectar hasta 1 de cada 10 pacientes): Desprendimiento o desgarro de una capa en la parte interna del ojo (desprendimiento o desgarro de la retina) </w:t>
      </w:r>
      <w:r w:rsidRPr="003E0B98">
        <w:rPr>
          <w:color w:val="000000"/>
          <w:szCs w:val="22"/>
          <w:lang w:val="es-ES_tradnl"/>
        </w:rPr>
        <w:t>que progresa a una pérdida de visión transitoria o a un enturbiamiento del cristalino (catarata).</w:t>
      </w:r>
    </w:p>
    <w:p w14:paraId="5E85DFDD" w14:textId="77777777" w:rsidR="003F59DD" w:rsidRPr="003E0B98" w:rsidRDefault="003F59DD" w:rsidP="004361AC">
      <w:pPr>
        <w:numPr>
          <w:ilvl w:val="12"/>
          <w:numId w:val="0"/>
        </w:numPr>
        <w:tabs>
          <w:tab w:val="clear" w:pos="567"/>
        </w:tabs>
        <w:spacing w:line="240" w:lineRule="auto"/>
        <w:ind w:right="-2"/>
        <w:rPr>
          <w:color w:val="000000"/>
          <w:szCs w:val="22"/>
          <w:lang w:val="es-ES_tradnl"/>
        </w:rPr>
      </w:pPr>
      <w:r w:rsidRPr="003E0B98">
        <w:rPr>
          <w:color w:val="000000"/>
          <w:szCs w:val="22"/>
          <w:lang w:val="es-ES"/>
        </w:rPr>
        <w:t xml:space="preserve">Efectos adversos graves poco frecuentes (pueden afectar hasta 1 de cada 100 pacientes): </w:t>
      </w:r>
      <w:r w:rsidRPr="003E0B98">
        <w:rPr>
          <w:color w:val="000000"/>
          <w:szCs w:val="22"/>
          <w:lang w:val="es-ES_tradnl"/>
        </w:rPr>
        <w:t>Ceguera, infección del globo ocular (</w:t>
      </w:r>
      <w:proofErr w:type="spellStart"/>
      <w:r w:rsidRPr="003E0B98">
        <w:rPr>
          <w:color w:val="000000"/>
          <w:szCs w:val="22"/>
          <w:lang w:val="es-ES_tradnl"/>
        </w:rPr>
        <w:t>endoftalmitis</w:t>
      </w:r>
      <w:proofErr w:type="spellEnd"/>
      <w:r w:rsidRPr="003E0B98">
        <w:rPr>
          <w:color w:val="000000"/>
          <w:szCs w:val="22"/>
          <w:lang w:val="es-ES_tradnl"/>
        </w:rPr>
        <w:t>) con inflamación de la parte interna del ojo.</w:t>
      </w:r>
    </w:p>
    <w:p w14:paraId="50EA0D68" w14:textId="77777777" w:rsidR="003F59DD" w:rsidRPr="003E0B98" w:rsidRDefault="003F59DD" w:rsidP="004361AC">
      <w:pPr>
        <w:numPr>
          <w:ilvl w:val="12"/>
          <w:numId w:val="0"/>
        </w:numPr>
        <w:tabs>
          <w:tab w:val="clear" w:pos="567"/>
        </w:tabs>
        <w:spacing w:line="240" w:lineRule="auto"/>
        <w:ind w:right="-2"/>
        <w:rPr>
          <w:color w:val="000000"/>
          <w:szCs w:val="22"/>
          <w:lang w:val="es-ES_tradnl"/>
        </w:rPr>
      </w:pPr>
    </w:p>
    <w:p w14:paraId="3E112CBE" w14:textId="77777777" w:rsidR="00867568" w:rsidRPr="003E0B98" w:rsidRDefault="00867568" w:rsidP="004361AC">
      <w:pPr>
        <w:numPr>
          <w:ilvl w:val="12"/>
          <w:numId w:val="0"/>
        </w:numPr>
        <w:tabs>
          <w:tab w:val="clear" w:pos="567"/>
        </w:tabs>
        <w:spacing w:line="240" w:lineRule="auto"/>
        <w:ind w:right="-2"/>
        <w:rPr>
          <w:color w:val="000000"/>
          <w:szCs w:val="22"/>
          <w:lang w:val="es-ES"/>
        </w:rPr>
      </w:pPr>
      <w:r w:rsidRPr="003E0B98">
        <w:rPr>
          <w:color w:val="000000"/>
          <w:szCs w:val="22"/>
          <w:lang w:val="es-ES"/>
        </w:rPr>
        <w:t xml:space="preserve">Es importante identificar y tratar </w:t>
      </w:r>
      <w:r w:rsidR="00AE3466" w:rsidRPr="003E0B98">
        <w:rPr>
          <w:color w:val="000000"/>
          <w:szCs w:val="22"/>
          <w:lang w:val="es-ES"/>
        </w:rPr>
        <w:t xml:space="preserve">lo antes posible </w:t>
      </w:r>
      <w:r w:rsidRPr="003E0B98">
        <w:rPr>
          <w:color w:val="000000"/>
          <w:szCs w:val="22"/>
          <w:lang w:val="es-ES"/>
        </w:rPr>
        <w:t xml:space="preserve">los efectos adversos graves, como la infección del globo ocular o el desprendimiento de retina. </w:t>
      </w:r>
      <w:r w:rsidRPr="003E0B98">
        <w:rPr>
          <w:b/>
          <w:color w:val="000000"/>
          <w:szCs w:val="22"/>
          <w:lang w:val="es-ES"/>
        </w:rPr>
        <w:t>Informe a</w:t>
      </w:r>
      <w:r w:rsidR="00AE3466" w:rsidRPr="003E0B98">
        <w:rPr>
          <w:b/>
          <w:color w:val="000000"/>
          <w:szCs w:val="22"/>
          <w:lang w:val="es-ES"/>
        </w:rPr>
        <w:t>l</w:t>
      </w:r>
      <w:r w:rsidRPr="003E0B98">
        <w:rPr>
          <w:b/>
          <w:color w:val="000000"/>
          <w:szCs w:val="22"/>
          <w:lang w:val="es-ES"/>
        </w:rPr>
        <w:t xml:space="preserve"> médico inmediatamente si su bebé presenta signos como dolor en los ojos o empeoramiento del enrojecimiento de los ojos.</w:t>
      </w:r>
    </w:p>
    <w:p w14:paraId="33EE4652" w14:textId="77777777" w:rsidR="00867568" w:rsidRPr="003E0B98" w:rsidRDefault="00867568" w:rsidP="004361AC">
      <w:pPr>
        <w:numPr>
          <w:ilvl w:val="12"/>
          <w:numId w:val="0"/>
        </w:numPr>
        <w:tabs>
          <w:tab w:val="clear" w:pos="567"/>
        </w:tabs>
        <w:spacing w:line="240" w:lineRule="auto"/>
        <w:ind w:right="-2"/>
        <w:rPr>
          <w:color w:val="000000"/>
          <w:szCs w:val="22"/>
          <w:lang w:val="es-ES"/>
        </w:rPr>
      </w:pPr>
    </w:p>
    <w:p w14:paraId="570C94B3" w14:textId="77777777" w:rsidR="003F59DD" w:rsidRPr="003E0B98" w:rsidRDefault="003F59DD" w:rsidP="004361AC">
      <w:pPr>
        <w:keepNext/>
        <w:numPr>
          <w:ilvl w:val="12"/>
          <w:numId w:val="0"/>
        </w:numPr>
        <w:tabs>
          <w:tab w:val="clear" w:pos="567"/>
        </w:tabs>
        <w:spacing w:line="240" w:lineRule="auto"/>
        <w:rPr>
          <w:color w:val="000000"/>
          <w:szCs w:val="22"/>
          <w:lang w:val="es-ES_tradnl"/>
        </w:rPr>
      </w:pPr>
      <w:r w:rsidRPr="003E0B98">
        <w:rPr>
          <w:color w:val="000000"/>
          <w:szCs w:val="22"/>
          <w:lang w:val="es-ES_tradnl"/>
        </w:rPr>
        <w:t xml:space="preserve">A </w:t>
      </w:r>
      <w:proofErr w:type="gramStart"/>
      <w:r w:rsidRPr="003E0B98">
        <w:rPr>
          <w:color w:val="000000"/>
          <w:szCs w:val="22"/>
          <w:lang w:val="es-ES_tradnl"/>
        </w:rPr>
        <w:t>continuación</w:t>
      </w:r>
      <w:proofErr w:type="gramEnd"/>
      <w:r w:rsidRPr="003E0B98">
        <w:rPr>
          <w:color w:val="000000"/>
          <w:szCs w:val="22"/>
          <w:lang w:val="es-ES_tradnl"/>
        </w:rPr>
        <w:t xml:space="preserve"> se describen los efectos adversos </w:t>
      </w:r>
      <w:r w:rsidR="00AE3466" w:rsidRPr="003E0B98">
        <w:rPr>
          <w:color w:val="000000"/>
          <w:szCs w:val="22"/>
          <w:lang w:val="es-ES_tradnl"/>
        </w:rPr>
        <w:t>notificados</w:t>
      </w:r>
      <w:r w:rsidRPr="003E0B98">
        <w:rPr>
          <w:color w:val="000000"/>
          <w:szCs w:val="22"/>
          <w:lang w:val="es-ES_tradnl"/>
        </w:rPr>
        <w:t xml:space="preserve"> más frecuentemente</w:t>
      </w:r>
      <w:r w:rsidR="00867568" w:rsidRPr="003E0B98">
        <w:rPr>
          <w:color w:val="000000"/>
          <w:szCs w:val="22"/>
          <w:lang w:val="es-ES_tradnl"/>
        </w:rPr>
        <w:t xml:space="preserve"> en adultos</w:t>
      </w:r>
      <w:r w:rsidRPr="003E0B98">
        <w:rPr>
          <w:color w:val="000000"/>
          <w:szCs w:val="22"/>
          <w:lang w:val="es-ES_tradnl"/>
        </w:rPr>
        <w:t>:</w:t>
      </w:r>
    </w:p>
    <w:p w14:paraId="18B179DC" w14:textId="77777777" w:rsidR="003F59DD" w:rsidRPr="003E0B98" w:rsidRDefault="003F59DD" w:rsidP="004361AC">
      <w:pPr>
        <w:keepNext/>
        <w:numPr>
          <w:ilvl w:val="12"/>
          <w:numId w:val="0"/>
        </w:numPr>
        <w:tabs>
          <w:tab w:val="clear" w:pos="567"/>
        </w:tabs>
        <w:spacing w:line="240" w:lineRule="auto"/>
        <w:rPr>
          <w:color w:val="000000"/>
          <w:szCs w:val="22"/>
          <w:lang w:val="es-ES_tradnl"/>
        </w:rPr>
      </w:pPr>
      <w:r w:rsidRPr="003E0B98">
        <w:rPr>
          <w:color w:val="000000"/>
          <w:szCs w:val="22"/>
          <w:lang w:val="es-ES_tradnl"/>
        </w:rPr>
        <w:t>Efectos adversos muy frecuentes</w:t>
      </w:r>
      <w:r w:rsidRPr="003E0B98">
        <w:rPr>
          <w:b/>
          <w:color w:val="000000"/>
          <w:szCs w:val="22"/>
          <w:lang w:val="es-ES_tradnl"/>
        </w:rPr>
        <w:t xml:space="preserve"> </w:t>
      </w:r>
      <w:r w:rsidRPr="003E0B98">
        <w:rPr>
          <w:color w:val="000000"/>
          <w:szCs w:val="22"/>
          <w:lang w:val="es-ES_tradnl"/>
        </w:rPr>
        <w:t>(pueden afectar a más de 1 de cada 10 pacientes)</w:t>
      </w:r>
    </w:p>
    <w:p w14:paraId="6B9CB6CD" w14:textId="77777777" w:rsidR="003F59DD" w:rsidRPr="003E0B98" w:rsidRDefault="003F59DD" w:rsidP="004361AC">
      <w:pPr>
        <w:numPr>
          <w:ilvl w:val="12"/>
          <w:numId w:val="0"/>
        </w:numPr>
        <w:tabs>
          <w:tab w:val="clear" w:pos="567"/>
        </w:tabs>
        <w:spacing w:line="240" w:lineRule="auto"/>
        <w:ind w:right="-2"/>
        <w:rPr>
          <w:color w:val="000000"/>
          <w:szCs w:val="22"/>
          <w:lang w:val="es-ES_tradnl"/>
        </w:rPr>
      </w:pPr>
      <w:r w:rsidRPr="003E0B98">
        <w:rPr>
          <w:color w:val="000000"/>
          <w:szCs w:val="22"/>
          <w:lang w:val="es-ES_tradnl"/>
        </w:rPr>
        <w:t>Los efectos adversos oculares incluyen: Inflamación del ojo, alteraciones visuales, dolor en el ojo, pequeñas partículas o manchas en la visión (partículas flotantes), irritación del ojo, sensación de tener algo dentro del ojo, aumento de la producción de lágrima, inflamación o infección en el borde de los párpados, ojo seco, enrojecimiento o picor en el ojo y aumento de la presión en el ojo.</w:t>
      </w:r>
    </w:p>
    <w:p w14:paraId="761DB40E" w14:textId="77777777" w:rsidR="003F59DD" w:rsidRPr="003E0B98" w:rsidRDefault="003F59DD" w:rsidP="004361AC">
      <w:pPr>
        <w:numPr>
          <w:ilvl w:val="12"/>
          <w:numId w:val="0"/>
        </w:numPr>
        <w:tabs>
          <w:tab w:val="clear" w:pos="567"/>
        </w:tabs>
        <w:spacing w:line="240" w:lineRule="auto"/>
        <w:ind w:right="-2"/>
        <w:rPr>
          <w:color w:val="000000"/>
          <w:szCs w:val="22"/>
          <w:lang w:val="es-ES"/>
        </w:rPr>
      </w:pPr>
      <w:r w:rsidRPr="003E0B98">
        <w:rPr>
          <w:color w:val="000000"/>
          <w:szCs w:val="22"/>
          <w:lang w:val="es-ES_tradnl"/>
        </w:rPr>
        <w:t xml:space="preserve">Los efectos adversos no oculares incluyen: </w:t>
      </w:r>
      <w:r w:rsidR="006B3359" w:rsidRPr="003E0B98">
        <w:rPr>
          <w:color w:val="000000"/>
          <w:szCs w:val="22"/>
          <w:lang w:val="es-ES_tradnl"/>
        </w:rPr>
        <w:t>D</w:t>
      </w:r>
      <w:r w:rsidRPr="003E0B98">
        <w:rPr>
          <w:color w:val="000000"/>
          <w:szCs w:val="22"/>
          <w:lang w:val="es-ES_tradnl"/>
        </w:rPr>
        <w:t>olor de cabeza y dolor en las articulaciones.</w:t>
      </w:r>
    </w:p>
    <w:p w14:paraId="6C917857" w14:textId="77777777" w:rsidR="003F59DD" w:rsidRPr="003E0B98" w:rsidRDefault="003F59DD" w:rsidP="004361AC">
      <w:pPr>
        <w:numPr>
          <w:ilvl w:val="12"/>
          <w:numId w:val="0"/>
        </w:numPr>
        <w:tabs>
          <w:tab w:val="clear" w:pos="567"/>
        </w:tabs>
        <w:spacing w:line="240" w:lineRule="auto"/>
        <w:ind w:right="-2"/>
        <w:rPr>
          <w:color w:val="000000"/>
          <w:szCs w:val="22"/>
          <w:lang w:val="es-ES"/>
        </w:rPr>
      </w:pPr>
    </w:p>
    <w:p w14:paraId="23C29A2B" w14:textId="77777777" w:rsidR="003F59DD" w:rsidRPr="003E0B98" w:rsidRDefault="003F59DD" w:rsidP="004361AC">
      <w:pPr>
        <w:keepNext/>
        <w:numPr>
          <w:ilvl w:val="12"/>
          <w:numId w:val="0"/>
        </w:numPr>
        <w:tabs>
          <w:tab w:val="clear" w:pos="567"/>
        </w:tabs>
        <w:spacing w:line="240" w:lineRule="auto"/>
        <w:rPr>
          <w:color w:val="000000"/>
          <w:szCs w:val="22"/>
          <w:lang w:val="es-ES"/>
        </w:rPr>
      </w:pPr>
      <w:r w:rsidRPr="003E0B98">
        <w:rPr>
          <w:color w:val="000000"/>
          <w:szCs w:val="22"/>
          <w:lang w:val="es-ES"/>
        </w:rPr>
        <w:t>Efectos adversos frecuentes</w:t>
      </w:r>
    </w:p>
    <w:p w14:paraId="7BA12122" w14:textId="77777777" w:rsidR="003F59DD" w:rsidRPr="003E0B98" w:rsidRDefault="003F59DD" w:rsidP="004361AC">
      <w:pPr>
        <w:numPr>
          <w:ilvl w:val="12"/>
          <w:numId w:val="0"/>
        </w:numPr>
        <w:tabs>
          <w:tab w:val="clear" w:pos="567"/>
        </w:tabs>
        <w:spacing w:line="240" w:lineRule="auto"/>
        <w:ind w:right="-2"/>
        <w:rPr>
          <w:color w:val="000000"/>
          <w:szCs w:val="22"/>
          <w:lang w:val="es-ES"/>
        </w:rPr>
      </w:pPr>
      <w:r w:rsidRPr="003E0B98">
        <w:rPr>
          <w:color w:val="000000"/>
          <w:szCs w:val="22"/>
          <w:lang w:val="es-ES"/>
        </w:rPr>
        <w:t xml:space="preserve">Los </w:t>
      </w:r>
      <w:r w:rsidRPr="003E0B98">
        <w:rPr>
          <w:color w:val="000000"/>
          <w:szCs w:val="22"/>
          <w:lang w:val="es-ES_tradnl"/>
        </w:rPr>
        <w:t xml:space="preserve">efectos adversos oculares incluyen: Disminución de la nitidez de la visión, hinchazón de una sección del ojo (úvea, córnea), inflamación de la córnea (parte delantera del ojo), </w:t>
      </w:r>
      <w:r w:rsidRPr="003E0B98">
        <w:rPr>
          <w:color w:val="000000"/>
          <w:szCs w:val="22"/>
          <w:lang w:val="es-ES"/>
        </w:rPr>
        <w:t xml:space="preserve">pequeñas marcas en la superficie del ojo, visión borrosa, </w:t>
      </w:r>
      <w:r w:rsidRPr="003E0B98">
        <w:rPr>
          <w:color w:val="000000"/>
          <w:szCs w:val="22"/>
          <w:lang w:val="es-ES_tradnl"/>
        </w:rPr>
        <w:t>secreción del ojo con picor, enrojecimiento e hinchazón (conjuntivitis), sensibilidad a la luz, molestias en el ojo, hinchazón del párpado, dolor en el párpado.</w:t>
      </w:r>
    </w:p>
    <w:p w14:paraId="6F811A6C" w14:textId="77777777" w:rsidR="003F59DD" w:rsidRPr="003E0B98" w:rsidRDefault="003F59DD" w:rsidP="004361AC">
      <w:pPr>
        <w:numPr>
          <w:ilvl w:val="12"/>
          <w:numId w:val="0"/>
        </w:numPr>
        <w:tabs>
          <w:tab w:val="clear" w:pos="567"/>
        </w:tabs>
        <w:spacing w:line="240" w:lineRule="auto"/>
        <w:ind w:right="-2"/>
        <w:rPr>
          <w:color w:val="000000"/>
          <w:szCs w:val="22"/>
          <w:lang w:val="es-ES"/>
        </w:rPr>
      </w:pPr>
      <w:r w:rsidRPr="003E0B98">
        <w:rPr>
          <w:color w:val="000000"/>
          <w:szCs w:val="22"/>
          <w:lang w:val="es-ES"/>
        </w:rPr>
        <w:t xml:space="preserve">Los </w:t>
      </w:r>
      <w:r w:rsidRPr="003E0B98">
        <w:rPr>
          <w:color w:val="000000"/>
          <w:szCs w:val="22"/>
          <w:lang w:val="es-ES_tradnl"/>
        </w:rPr>
        <w:t xml:space="preserve">efectos adversos no oculares incluyen: </w:t>
      </w:r>
      <w:r w:rsidR="00AA232E" w:rsidRPr="003E0B98">
        <w:rPr>
          <w:color w:val="000000"/>
          <w:szCs w:val="22"/>
          <w:lang w:val="es-ES_tradnl"/>
        </w:rPr>
        <w:t>A</w:t>
      </w:r>
      <w:r w:rsidRPr="003E0B98">
        <w:rPr>
          <w:color w:val="000000"/>
          <w:szCs w:val="22"/>
          <w:lang w:val="es-ES_tradnl"/>
        </w:rPr>
        <w:t xml:space="preserve">nsiedad, </w:t>
      </w:r>
      <w:r w:rsidRPr="003E0B98">
        <w:rPr>
          <w:color w:val="000000"/>
          <w:szCs w:val="22"/>
          <w:lang w:val="es-ES"/>
        </w:rPr>
        <w:t>náuseas</w:t>
      </w:r>
      <w:r w:rsidRPr="003E0B98">
        <w:rPr>
          <w:color w:val="000000"/>
          <w:szCs w:val="22"/>
          <w:lang w:val="es-ES_tradnl"/>
        </w:rPr>
        <w:t>.</w:t>
      </w:r>
    </w:p>
    <w:p w14:paraId="46DF91DA" w14:textId="77777777" w:rsidR="003F59DD" w:rsidRPr="003E0B98" w:rsidRDefault="003F59DD" w:rsidP="004361AC">
      <w:pPr>
        <w:numPr>
          <w:ilvl w:val="12"/>
          <w:numId w:val="0"/>
        </w:numPr>
        <w:tabs>
          <w:tab w:val="clear" w:pos="567"/>
        </w:tabs>
        <w:spacing w:line="240" w:lineRule="auto"/>
        <w:ind w:right="-2"/>
        <w:rPr>
          <w:color w:val="000000"/>
          <w:szCs w:val="22"/>
          <w:lang w:val="es-ES_tradnl"/>
        </w:rPr>
      </w:pPr>
    </w:p>
    <w:p w14:paraId="09EB3256" w14:textId="77777777" w:rsidR="003F59DD" w:rsidRPr="003E0B98" w:rsidRDefault="003F59DD" w:rsidP="004361AC">
      <w:pPr>
        <w:keepNext/>
        <w:numPr>
          <w:ilvl w:val="12"/>
          <w:numId w:val="0"/>
        </w:numPr>
        <w:tabs>
          <w:tab w:val="clear" w:pos="567"/>
        </w:tabs>
        <w:spacing w:line="240" w:lineRule="auto"/>
        <w:rPr>
          <w:color w:val="000000"/>
          <w:szCs w:val="22"/>
          <w:lang w:val="es-ES"/>
        </w:rPr>
      </w:pPr>
      <w:r w:rsidRPr="003E0B98">
        <w:rPr>
          <w:color w:val="000000"/>
          <w:szCs w:val="22"/>
          <w:lang w:val="es-ES"/>
        </w:rPr>
        <w:t>Efectos adversos poco frecuentes</w:t>
      </w:r>
    </w:p>
    <w:p w14:paraId="1EF6D46D" w14:textId="77777777" w:rsidR="003F59DD" w:rsidRPr="003E0B98" w:rsidRDefault="003F59DD" w:rsidP="004361AC">
      <w:pPr>
        <w:numPr>
          <w:ilvl w:val="12"/>
          <w:numId w:val="0"/>
        </w:numPr>
        <w:tabs>
          <w:tab w:val="clear" w:pos="567"/>
        </w:tabs>
        <w:spacing w:line="240" w:lineRule="auto"/>
        <w:ind w:right="-2"/>
        <w:rPr>
          <w:color w:val="000000"/>
          <w:szCs w:val="22"/>
          <w:lang w:val="es-ES"/>
        </w:rPr>
      </w:pPr>
      <w:r w:rsidRPr="003E0B98">
        <w:rPr>
          <w:color w:val="000000"/>
          <w:szCs w:val="22"/>
          <w:lang w:val="es-ES"/>
        </w:rPr>
        <w:t xml:space="preserve">Los </w:t>
      </w:r>
      <w:r w:rsidRPr="003E0B98">
        <w:rPr>
          <w:color w:val="000000"/>
          <w:szCs w:val="22"/>
          <w:lang w:val="es-ES_tradnl"/>
        </w:rPr>
        <w:t>efectos adversos oculares incluyen: Inflamación y sangrado en la parte anterior del ojo, acúmulo de pus en el ojo, cambios en la parte central de la superficie ocular, dolor o irritación en el lugar de inyección, sensación anormal en el ojo, irritación del párpado.</w:t>
      </w:r>
    </w:p>
    <w:p w14:paraId="7E402280" w14:textId="77777777" w:rsidR="003F59DD" w:rsidRPr="003E0B98" w:rsidRDefault="003F59DD" w:rsidP="004361AC">
      <w:pPr>
        <w:numPr>
          <w:ilvl w:val="12"/>
          <w:numId w:val="0"/>
        </w:numPr>
        <w:tabs>
          <w:tab w:val="clear" w:pos="567"/>
        </w:tabs>
        <w:spacing w:line="240" w:lineRule="auto"/>
        <w:ind w:right="-2"/>
        <w:rPr>
          <w:color w:val="000000"/>
          <w:szCs w:val="22"/>
          <w:lang w:val="es-ES_tradnl"/>
        </w:rPr>
      </w:pPr>
    </w:p>
    <w:p w14:paraId="7D787E95" w14:textId="77777777" w:rsidR="00B605C5" w:rsidRPr="003E0B98" w:rsidRDefault="00B605C5" w:rsidP="004361AC">
      <w:pPr>
        <w:numPr>
          <w:ilvl w:val="12"/>
          <w:numId w:val="0"/>
        </w:numPr>
        <w:tabs>
          <w:tab w:val="clear" w:pos="567"/>
        </w:tabs>
        <w:spacing w:line="240" w:lineRule="auto"/>
        <w:ind w:right="-2"/>
        <w:rPr>
          <w:color w:val="000000"/>
          <w:szCs w:val="22"/>
          <w:lang w:val="es-ES_tradnl"/>
        </w:rPr>
      </w:pPr>
      <w:r w:rsidRPr="003E0B98">
        <w:rPr>
          <w:color w:val="000000"/>
          <w:szCs w:val="22"/>
          <w:lang w:val="es-ES_tradnl"/>
        </w:rPr>
        <w:t>Si tiene alguna duda sobre los efectos adversos, pregunte al médico de su bebé.</w:t>
      </w:r>
    </w:p>
    <w:p w14:paraId="129D2486" w14:textId="77777777" w:rsidR="00B605C5" w:rsidRPr="003E0B98" w:rsidRDefault="00B605C5" w:rsidP="004361AC">
      <w:pPr>
        <w:numPr>
          <w:ilvl w:val="12"/>
          <w:numId w:val="0"/>
        </w:numPr>
        <w:tabs>
          <w:tab w:val="clear" w:pos="567"/>
        </w:tabs>
        <w:spacing w:line="240" w:lineRule="auto"/>
        <w:ind w:right="-2"/>
        <w:rPr>
          <w:color w:val="000000"/>
          <w:szCs w:val="22"/>
          <w:lang w:val="es-ES_tradnl"/>
        </w:rPr>
      </w:pPr>
    </w:p>
    <w:p w14:paraId="318EEF0A" w14:textId="77777777" w:rsidR="003F59DD" w:rsidRPr="003E0B98" w:rsidRDefault="003F59DD" w:rsidP="004361AC">
      <w:pPr>
        <w:keepNext/>
        <w:numPr>
          <w:ilvl w:val="12"/>
          <w:numId w:val="0"/>
        </w:numPr>
        <w:tabs>
          <w:tab w:val="clear" w:pos="567"/>
        </w:tabs>
        <w:spacing w:line="240" w:lineRule="auto"/>
        <w:rPr>
          <w:szCs w:val="24"/>
          <w:lang w:val="es-ES_tradnl"/>
        </w:rPr>
      </w:pPr>
      <w:r w:rsidRPr="003E0B98">
        <w:rPr>
          <w:b/>
          <w:szCs w:val="24"/>
          <w:lang w:val="es-ES_tradnl"/>
        </w:rPr>
        <w:t>Comunicación de efectos adversos</w:t>
      </w:r>
    </w:p>
    <w:p w14:paraId="53751B9D" w14:textId="77777777" w:rsidR="003F59DD" w:rsidRPr="003E0B98" w:rsidRDefault="003F59DD" w:rsidP="004361AC">
      <w:pPr>
        <w:numPr>
          <w:ilvl w:val="12"/>
          <w:numId w:val="0"/>
        </w:numPr>
        <w:tabs>
          <w:tab w:val="clear" w:pos="567"/>
        </w:tabs>
        <w:spacing w:line="240" w:lineRule="auto"/>
        <w:ind w:right="-2"/>
        <w:rPr>
          <w:color w:val="000000"/>
          <w:szCs w:val="22"/>
          <w:lang w:val="es-ES"/>
        </w:rPr>
      </w:pPr>
      <w:r w:rsidRPr="003E0B98">
        <w:rPr>
          <w:szCs w:val="24"/>
          <w:lang w:val="es-ES_tradnl"/>
        </w:rPr>
        <w:t xml:space="preserve">Si </w:t>
      </w:r>
      <w:r w:rsidR="00B605C5" w:rsidRPr="003E0B98">
        <w:rPr>
          <w:szCs w:val="24"/>
          <w:lang w:val="es-ES_tradnl"/>
        </w:rPr>
        <w:t xml:space="preserve">su bebé </w:t>
      </w:r>
      <w:r w:rsidRPr="003E0B98">
        <w:rPr>
          <w:szCs w:val="24"/>
          <w:lang w:val="es-ES_tradnl"/>
        </w:rPr>
        <w:t>experimenta cualquier tipo de efecto adverso, consulte</w:t>
      </w:r>
      <w:r w:rsidRPr="003E0B98">
        <w:rPr>
          <w:lang w:val="es-ES_tradnl"/>
        </w:rPr>
        <w:t xml:space="preserve"> a</w:t>
      </w:r>
      <w:r w:rsidR="00B605C5" w:rsidRPr="003E0B98">
        <w:rPr>
          <w:lang w:val="es-ES_tradnl"/>
        </w:rPr>
        <w:t>l médico de</w:t>
      </w:r>
      <w:r w:rsidRPr="003E0B98">
        <w:rPr>
          <w:lang w:val="es-ES_tradnl"/>
        </w:rPr>
        <w:t xml:space="preserve"> su </w:t>
      </w:r>
      <w:r w:rsidR="00B605C5" w:rsidRPr="003E0B98">
        <w:rPr>
          <w:lang w:val="es-ES_tradnl"/>
        </w:rPr>
        <w:t>bebé,</w:t>
      </w:r>
      <w:r w:rsidRPr="003E0B98">
        <w:rPr>
          <w:color w:val="FF0000"/>
          <w:szCs w:val="24"/>
          <w:lang w:val="es-ES_tradnl"/>
        </w:rPr>
        <w:t xml:space="preserve"> </w:t>
      </w:r>
      <w:r w:rsidRPr="003E0B98">
        <w:rPr>
          <w:szCs w:val="24"/>
          <w:lang w:val="es-ES_tradnl"/>
        </w:rPr>
        <w:t>incluso si se trata de posibles efectos adversos que no aparecen en este prospecto</w:t>
      </w:r>
      <w:r w:rsidRPr="003E0B98">
        <w:rPr>
          <w:lang w:val="es-ES_tradnl"/>
        </w:rPr>
        <w:t xml:space="preserve">. </w:t>
      </w:r>
      <w:r w:rsidRPr="003E0B98">
        <w:rPr>
          <w:noProof/>
          <w:szCs w:val="24"/>
          <w:lang w:val="es-ES_tradnl"/>
        </w:rPr>
        <w:t xml:space="preserve">También puede comunicarlos directamente a través del </w:t>
      </w:r>
      <w:r w:rsidRPr="003E0B98">
        <w:rPr>
          <w:noProof/>
          <w:szCs w:val="24"/>
          <w:shd w:val="pct15" w:color="auto" w:fill="auto"/>
          <w:lang w:val="es-ES_tradnl"/>
        </w:rPr>
        <w:t xml:space="preserve">sistema nacional de notificación incluido en el </w:t>
      </w:r>
      <w:hyperlink r:id="rId32" w:history="1">
        <w:r w:rsidRPr="003E0B98">
          <w:rPr>
            <w:rStyle w:val="Hyperlink"/>
            <w:szCs w:val="22"/>
            <w:shd w:val="pct15" w:color="auto" w:fill="auto"/>
            <w:lang w:val="es-ES"/>
          </w:rPr>
          <w:t>Apéndice V</w:t>
        </w:r>
      </w:hyperlink>
      <w:r w:rsidRPr="003E0B98">
        <w:rPr>
          <w:noProof/>
          <w:szCs w:val="24"/>
          <w:lang w:val="es-ES_tradnl"/>
        </w:rPr>
        <w:t xml:space="preserve">. Mediante la comunicación de efectos adversos usted puede contribuir a </w:t>
      </w:r>
      <w:r w:rsidR="007950ED" w:rsidRPr="003E0B98">
        <w:rPr>
          <w:noProof/>
          <w:szCs w:val="24"/>
          <w:lang w:val="es-ES_tradnl"/>
        </w:rPr>
        <w:t>prop</w:t>
      </w:r>
      <w:r w:rsidRPr="003E0B98">
        <w:rPr>
          <w:noProof/>
          <w:szCs w:val="24"/>
          <w:lang w:val="es-ES_tradnl"/>
        </w:rPr>
        <w:t>orcionar más información sobre la seguridad de este medicamento.</w:t>
      </w:r>
    </w:p>
    <w:p w14:paraId="4EB12CBA" w14:textId="77777777" w:rsidR="003F59DD" w:rsidRPr="003E0B98" w:rsidRDefault="003F59DD" w:rsidP="004361AC">
      <w:pPr>
        <w:numPr>
          <w:ilvl w:val="12"/>
          <w:numId w:val="0"/>
        </w:numPr>
        <w:tabs>
          <w:tab w:val="clear" w:pos="567"/>
        </w:tabs>
        <w:spacing w:line="240" w:lineRule="auto"/>
        <w:ind w:right="-2"/>
        <w:rPr>
          <w:color w:val="000000"/>
          <w:szCs w:val="22"/>
          <w:lang w:val="es-ES_tradnl"/>
        </w:rPr>
      </w:pPr>
    </w:p>
    <w:p w14:paraId="7E0DBB7A" w14:textId="77777777" w:rsidR="003F59DD" w:rsidRPr="003E0B98" w:rsidRDefault="003F59DD" w:rsidP="004361AC">
      <w:pPr>
        <w:numPr>
          <w:ilvl w:val="12"/>
          <w:numId w:val="0"/>
        </w:numPr>
        <w:tabs>
          <w:tab w:val="clear" w:pos="567"/>
        </w:tabs>
        <w:spacing w:line="240" w:lineRule="auto"/>
        <w:ind w:right="-2"/>
        <w:rPr>
          <w:color w:val="000000"/>
          <w:szCs w:val="22"/>
          <w:lang w:val="es-ES_tradnl"/>
        </w:rPr>
      </w:pPr>
    </w:p>
    <w:p w14:paraId="6FDE2457" w14:textId="77777777" w:rsidR="003F59DD" w:rsidRPr="003E0B98" w:rsidRDefault="003F59DD" w:rsidP="004361AC">
      <w:pPr>
        <w:keepNext/>
        <w:numPr>
          <w:ilvl w:val="12"/>
          <w:numId w:val="0"/>
        </w:numPr>
        <w:tabs>
          <w:tab w:val="clear" w:pos="567"/>
        </w:tabs>
        <w:spacing w:line="240" w:lineRule="auto"/>
        <w:rPr>
          <w:color w:val="000000"/>
          <w:szCs w:val="22"/>
          <w:lang w:val="es-ES_tradnl"/>
        </w:rPr>
      </w:pPr>
      <w:r w:rsidRPr="003E0B98">
        <w:rPr>
          <w:b/>
          <w:color w:val="000000"/>
          <w:szCs w:val="22"/>
          <w:lang w:val="es-ES_tradnl"/>
        </w:rPr>
        <w:t>5.</w:t>
      </w:r>
      <w:r w:rsidRPr="003E0B98">
        <w:rPr>
          <w:b/>
          <w:color w:val="000000"/>
          <w:szCs w:val="22"/>
          <w:lang w:val="es-ES_tradnl"/>
        </w:rPr>
        <w:tab/>
        <w:t xml:space="preserve">Conservación de </w:t>
      </w:r>
      <w:proofErr w:type="spellStart"/>
      <w:r w:rsidRPr="003E0B98">
        <w:rPr>
          <w:b/>
          <w:color w:val="000000"/>
          <w:szCs w:val="22"/>
          <w:lang w:val="es-ES_tradnl"/>
        </w:rPr>
        <w:t>Lucentis</w:t>
      </w:r>
      <w:proofErr w:type="spellEnd"/>
    </w:p>
    <w:p w14:paraId="38250289" w14:textId="77777777" w:rsidR="003F59DD" w:rsidRPr="003E0B98" w:rsidRDefault="003F59DD" w:rsidP="004361AC">
      <w:pPr>
        <w:keepNext/>
        <w:numPr>
          <w:ilvl w:val="12"/>
          <w:numId w:val="0"/>
        </w:numPr>
        <w:tabs>
          <w:tab w:val="clear" w:pos="567"/>
        </w:tabs>
        <w:spacing w:line="240" w:lineRule="auto"/>
        <w:rPr>
          <w:color w:val="000000"/>
          <w:szCs w:val="22"/>
          <w:lang w:val="es-ES_tradnl"/>
        </w:rPr>
      </w:pPr>
    </w:p>
    <w:p w14:paraId="7EDF0F04" w14:textId="77777777" w:rsidR="003F59DD" w:rsidRPr="003E0B98" w:rsidRDefault="003F59DD" w:rsidP="004361AC">
      <w:pPr>
        <w:numPr>
          <w:ilvl w:val="12"/>
          <w:numId w:val="0"/>
        </w:numPr>
        <w:tabs>
          <w:tab w:val="clear" w:pos="567"/>
        </w:tabs>
        <w:spacing w:line="240" w:lineRule="auto"/>
        <w:ind w:right="-2"/>
        <w:rPr>
          <w:color w:val="000000"/>
          <w:szCs w:val="22"/>
          <w:lang w:val="es-ES_tradnl"/>
        </w:rPr>
      </w:pPr>
      <w:r w:rsidRPr="003E0B98">
        <w:rPr>
          <w:color w:val="000000"/>
          <w:szCs w:val="22"/>
          <w:lang w:val="es-ES_tradnl"/>
        </w:rPr>
        <w:t>-</w:t>
      </w:r>
      <w:r w:rsidRPr="003E0B98">
        <w:rPr>
          <w:color w:val="000000"/>
          <w:szCs w:val="22"/>
          <w:lang w:val="es-ES_tradnl"/>
        </w:rPr>
        <w:tab/>
      </w:r>
      <w:r w:rsidRPr="003E0B98">
        <w:rPr>
          <w:noProof/>
          <w:color w:val="000000"/>
          <w:lang w:val="es-ES_tradnl"/>
        </w:rPr>
        <w:t>Mantener este medicamento fuera de la vista y del alcance de los niños.</w:t>
      </w:r>
    </w:p>
    <w:p w14:paraId="4E501712" w14:textId="77777777" w:rsidR="003F59DD" w:rsidRPr="003E0B98" w:rsidRDefault="003F59DD" w:rsidP="004361AC">
      <w:pPr>
        <w:numPr>
          <w:ilvl w:val="0"/>
          <w:numId w:val="2"/>
        </w:numPr>
        <w:tabs>
          <w:tab w:val="clear" w:pos="567"/>
          <w:tab w:val="clear" w:pos="1494"/>
        </w:tabs>
        <w:spacing w:line="240" w:lineRule="auto"/>
        <w:ind w:left="567" w:right="-2" w:hanging="567"/>
        <w:rPr>
          <w:color w:val="000000"/>
          <w:szCs w:val="22"/>
          <w:lang w:val="es-ES_tradnl"/>
        </w:rPr>
      </w:pPr>
      <w:r w:rsidRPr="003E0B98">
        <w:rPr>
          <w:noProof/>
          <w:color w:val="000000"/>
          <w:lang w:val="es-ES_tradnl"/>
        </w:rPr>
        <w:t>No utilice este medicamento después de la fecha de caducidad que aparece en la caja después de CAD y en la etiqueta del vial después de EXP. La fecha de caducidad es el último día del mes que se indica.</w:t>
      </w:r>
    </w:p>
    <w:p w14:paraId="7191E8E0" w14:textId="77777777" w:rsidR="003F59DD" w:rsidRPr="003E0B98" w:rsidRDefault="003F59DD" w:rsidP="004361AC">
      <w:pPr>
        <w:numPr>
          <w:ilvl w:val="12"/>
          <w:numId w:val="0"/>
        </w:numPr>
        <w:tabs>
          <w:tab w:val="clear" w:pos="567"/>
        </w:tabs>
        <w:spacing w:line="240" w:lineRule="auto"/>
        <w:ind w:right="-2"/>
        <w:rPr>
          <w:color w:val="000000"/>
          <w:szCs w:val="22"/>
          <w:lang w:val="es-ES_tradnl"/>
        </w:rPr>
      </w:pPr>
      <w:r w:rsidRPr="003E0B98">
        <w:rPr>
          <w:color w:val="000000"/>
          <w:szCs w:val="22"/>
          <w:lang w:val="es-ES_tradnl"/>
        </w:rPr>
        <w:t>-</w:t>
      </w:r>
      <w:r w:rsidRPr="003E0B98">
        <w:rPr>
          <w:color w:val="000000"/>
          <w:szCs w:val="22"/>
          <w:lang w:val="es-ES_tradnl"/>
        </w:rPr>
        <w:tab/>
        <w:t>Conservar en nevera (entre 2°C y 8°C). No congelar.</w:t>
      </w:r>
    </w:p>
    <w:p w14:paraId="059FC354" w14:textId="77777777" w:rsidR="003F59DD" w:rsidRPr="003E0B98" w:rsidRDefault="003F59DD" w:rsidP="004361AC">
      <w:pPr>
        <w:numPr>
          <w:ilvl w:val="12"/>
          <w:numId w:val="0"/>
        </w:numPr>
        <w:tabs>
          <w:tab w:val="clear" w:pos="567"/>
        </w:tabs>
        <w:spacing w:line="240" w:lineRule="auto"/>
        <w:ind w:left="567" w:right="-2" w:hanging="567"/>
        <w:rPr>
          <w:color w:val="000000"/>
          <w:szCs w:val="22"/>
          <w:lang w:val="es-ES_tradnl"/>
        </w:rPr>
      </w:pPr>
      <w:r w:rsidRPr="003E0B98">
        <w:rPr>
          <w:color w:val="000000"/>
          <w:szCs w:val="22"/>
          <w:lang w:val="es-ES_tradnl"/>
        </w:rPr>
        <w:t>-</w:t>
      </w:r>
      <w:r w:rsidRPr="003E0B98">
        <w:rPr>
          <w:color w:val="000000"/>
          <w:szCs w:val="22"/>
          <w:lang w:val="es-ES_tradnl"/>
        </w:rPr>
        <w:tab/>
        <w:t>Antes de usar, el vial sin abrir se puede conservar a temperatura ambiente (</w:t>
      </w:r>
      <w:r w:rsidRPr="003E0B98">
        <w:rPr>
          <w:color w:val="000000"/>
          <w:szCs w:val="22"/>
          <w:lang w:val="es-ES"/>
        </w:rPr>
        <w:t>25°C) durante un máximo de 24 horas.</w:t>
      </w:r>
    </w:p>
    <w:p w14:paraId="5D151AFF" w14:textId="77777777" w:rsidR="003F59DD" w:rsidRPr="003E0B98" w:rsidRDefault="003F59DD" w:rsidP="004361AC">
      <w:pPr>
        <w:numPr>
          <w:ilvl w:val="12"/>
          <w:numId w:val="0"/>
        </w:numPr>
        <w:tabs>
          <w:tab w:val="clear" w:pos="567"/>
        </w:tabs>
        <w:spacing w:line="240" w:lineRule="auto"/>
        <w:ind w:right="-2"/>
        <w:rPr>
          <w:color w:val="000000"/>
          <w:szCs w:val="22"/>
          <w:lang w:val="es-ES_tradnl"/>
        </w:rPr>
      </w:pPr>
      <w:r w:rsidRPr="003E0B98">
        <w:rPr>
          <w:color w:val="000000"/>
          <w:szCs w:val="22"/>
          <w:lang w:val="es-ES_tradnl"/>
        </w:rPr>
        <w:t>-</w:t>
      </w:r>
      <w:r w:rsidRPr="003E0B98">
        <w:rPr>
          <w:color w:val="000000"/>
          <w:szCs w:val="22"/>
          <w:lang w:val="es-ES_tradnl"/>
        </w:rPr>
        <w:tab/>
        <w:t>Conservar el vial en el embalaje exterior para protegerlo de la luz.</w:t>
      </w:r>
    </w:p>
    <w:p w14:paraId="0DB98C4B" w14:textId="77777777" w:rsidR="003F59DD" w:rsidRPr="003E0B98" w:rsidRDefault="003F59DD" w:rsidP="004361AC">
      <w:pPr>
        <w:numPr>
          <w:ilvl w:val="12"/>
          <w:numId w:val="0"/>
        </w:numPr>
        <w:tabs>
          <w:tab w:val="clear" w:pos="567"/>
        </w:tabs>
        <w:spacing w:line="240" w:lineRule="auto"/>
        <w:ind w:right="-2"/>
        <w:rPr>
          <w:color w:val="000000"/>
          <w:szCs w:val="22"/>
          <w:lang w:val="es-ES_tradnl"/>
        </w:rPr>
      </w:pPr>
      <w:r w:rsidRPr="003E0B98">
        <w:rPr>
          <w:color w:val="000000"/>
          <w:szCs w:val="22"/>
          <w:lang w:val="es-ES_tradnl"/>
        </w:rPr>
        <w:t>-</w:t>
      </w:r>
      <w:r w:rsidRPr="003E0B98">
        <w:rPr>
          <w:color w:val="000000"/>
          <w:szCs w:val="22"/>
          <w:lang w:val="es-ES_tradnl"/>
        </w:rPr>
        <w:tab/>
        <w:t>No utilice ningún envase que esté dañado.</w:t>
      </w:r>
    </w:p>
    <w:p w14:paraId="2247E30D" w14:textId="77777777" w:rsidR="003F59DD" w:rsidRPr="003E0B98" w:rsidRDefault="003F59DD" w:rsidP="004361AC">
      <w:pPr>
        <w:numPr>
          <w:ilvl w:val="12"/>
          <w:numId w:val="0"/>
        </w:numPr>
        <w:tabs>
          <w:tab w:val="clear" w:pos="567"/>
        </w:tabs>
        <w:spacing w:line="240" w:lineRule="auto"/>
        <w:ind w:right="-2"/>
        <w:rPr>
          <w:color w:val="000000"/>
          <w:szCs w:val="22"/>
          <w:lang w:val="es-ES_tradnl"/>
        </w:rPr>
      </w:pPr>
    </w:p>
    <w:p w14:paraId="3ADE4057" w14:textId="77777777" w:rsidR="003F59DD" w:rsidRPr="003E0B98" w:rsidRDefault="003F59DD" w:rsidP="004361AC">
      <w:pPr>
        <w:numPr>
          <w:ilvl w:val="12"/>
          <w:numId w:val="0"/>
        </w:numPr>
        <w:tabs>
          <w:tab w:val="clear" w:pos="567"/>
        </w:tabs>
        <w:spacing w:line="240" w:lineRule="auto"/>
        <w:ind w:right="-2"/>
        <w:rPr>
          <w:color w:val="000000"/>
          <w:szCs w:val="22"/>
          <w:lang w:val="es-ES_tradnl"/>
        </w:rPr>
      </w:pPr>
    </w:p>
    <w:p w14:paraId="7B57228B" w14:textId="77777777" w:rsidR="003F59DD" w:rsidRPr="003E0B98" w:rsidRDefault="003F59DD" w:rsidP="004361AC">
      <w:pPr>
        <w:keepNext/>
        <w:numPr>
          <w:ilvl w:val="12"/>
          <w:numId w:val="0"/>
        </w:numPr>
        <w:tabs>
          <w:tab w:val="clear" w:pos="567"/>
        </w:tabs>
        <w:spacing w:line="240" w:lineRule="auto"/>
        <w:rPr>
          <w:b/>
          <w:color w:val="000000"/>
          <w:lang w:val="es-ES_tradnl"/>
        </w:rPr>
      </w:pPr>
      <w:r w:rsidRPr="003E0B98">
        <w:rPr>
          <w:b/>
          <w:color w:val="000000"/>
          <w:szCs w:val="22"/>
          <w:lang w:val="es-ES_tradnl"/>
        </w:rPr>
        <w:t>6.</w:t>
      </w:r>
      <w:r w:rsidRPr="003E0B98">
        <w:rPr>
          <w:b/>
          <w:color w:val="000000"/>
          <w:szCs w:val="22"/>
          <w:lang w:val="es-ES_tradnl"/>
        </w:rPr>
        <w:tab/>
        <w:t>Contenido del envase e información adicional</w:t>
      </w:r>
    </w:p>
    <w:p w14:paraId="58D51FA3" w14:textId="77777777" w:rsidR="003F59DD" w:rsidRPr="003E0B98" w:rsidRDefault="003F59DD" w:rsidP="004361AC">
      <w:pPr>
        <w:keepNext/>
        <w:numPr>
          <w:ilvl w:val="12"/>
          <w:numId w:val="0"/>
        </w:numPr>
        <w:tabs>
          <w:tab w:val="clear" w:pos="567"/>
        </w:tabs>
        <w:spacing w:line="240" w:lineRule="auto"/>
        <w:rPr>
          <w:color w:val="000000"/>
          <w:szCs w:val="22"/>
          <w:lang w:val="es-ES_tradnl"/>
        </w:rPr>
      </w:pPr>
    </w:p>
    <w:p w14:paraId="032B94D9" w14:textId="77777777" w:rsidR="003F59DD" w:rsidRPr="003E0B98" w:rsidRDefault="003F59DD" w:rsidP="004361AC">
      <w:pPr>
        <w:keepNext/>
        <w:numPr>
          <w:ilvl w:val="12"/>
          <w:numId w:val="0"/>
        </w:numPr>
        <w:tabs>
          <w:tab w:val="clear" w:pos="567"/>
        </w:tabs>
        <w:spacing w:line="240" w:lineRule="auto"/>
        <w:rPr>
          <w:b/>
          <w:color w:val="000000"/>
          <w:szCs w:val="22"/>
          <w:lang w:val="es-ES_tradnl"/>
        </w:rPr>
      </w:pPr>
      <w:r w:rsidRPr="003E0B98">
        <w:rPr>
          <w:b/>
          <w:color w:val="000000"/>
          <w:szCs w:val="22"/>
          <w:lang w:val="es-ES_tradnl"/>
        </w:rPr>
        <w:t xml:space="preserve">Composición de </w:t>
      </w:r>
      <w:proofErr w:type="spellStart"/>
      <w:r w:rsidRPr="003E0B98">
        <w:rPr>
          <w:b/>
          <w:color w:val="000000"/>
          <w:szCs w:val="22"/>
          <w:lang w:val="es-ES_tradnl"/>
        </w:rPr>
        <w:t>Lucentis</w:t>
      </w:r>
      <w:proofErr w:type="spellEnd"/>
    </w:p>
    <w:p w14:paraId="39F9FA23" w14:textId="77777777" w:rsidR="003F59DD" w:rsidRPr="003E0B98" w:rsidRDefault="003F59DD" w:rsidP="004361AC">
      <w:pPr>
        <w:numPr>
          <w:ilvl w:val="12"/>
          <w:numId w:val="0"/>
        </w:numPr>
        <w:tabs>
          <w:tab w:val="clear" w:pos="567"/>
        </w:tabs>
        <w:spacing w:line="240" w:lineRule="auto"/>
        <w:ind w:left="567" w:right="-2" w:hanging="567"/>
        <w:rPr>
          <w:color w:val="000000"/>
          <w:szCs w:val="22"/>
          <w:lang w:val="es-ES_tradnl"/>
        </w:rPr>
      </w:pPr>
      <w:r w:rsidRPr="003E0B98">
        <w:rPr>
          <w:color w:val="000000"/>
          <w:szCs w:val="22"/>
          <w:lang w:val="es-ES_tradnl"/>
        </w:rPr>
        <w:t>-</w:t>
      </w:r>
      <w:r w:rsidRPr="003E0B98">
        <w:rPr>
          <w:color w:val="000000"/>
          <w:szCs w:val="22"/>
          <w:lang w:val="es-ES_tradnl"/>
        </w:rPr>
        <w:tab/>
        <w:t xml:space="preserve">El principio activo es </w:t>
      </w:r>
      <w:proofErr w:type="spellStart"/>
      <w:r w:rsidRPr="003E0B98">
        <w:rPr>
          <w:color w:val="000000"/>
          <w:szCs w:val="22"/>
          <w:lang w:val="es-ES_tradnl"/>
        </w:rPr>
        <w:t>ranibizumab</w:t>
      </w:r>
      <w:proofErr w:type="spellEnd"/>
      <w:r w:rsidRPr="003E0B98">
        <w:rPr>
          <w:color w:val="000000"/>
          <w:szCs w:val="22"/>
          <w:lang w:val="es-ES_tradnl"/>
        </w:rPr>
        <w:t xml:space="preserve">. Cada ml contiene 10 mg de </w:t>
      </w:r>
      <w:proofErr w:type="spellStart"/>
      <w:r w:rsidRPr="003E0B98">
        <w:rPr>
          <w:color w:val="000000"/>
          <w:szCs w:val="22"/>
          <w:lang w:val="es-ES_tradnl"/>
        </w:rPr>
        <w:t>ranibizumab</w:t>
      </w:r>
      <w:proofErr w:type="spellEnd"/>
      <w:r w:rsidRPr="003E0B98">
        <w:rPr>
          <w:color w:val="000000"/>
          <w:szCs w:val="22"/>
          <w:lang w:val="es-ES_tradnl"/>
        </w:rPr>
        <w:t xml:space="preserve">. </w:t>
      </w:r>
      <w:r w:rsidRPr="003E0B98">
        <w:rPr>
          <w:color w:val="000000"/>
          <w:szCs w:val="22"/>
          <w:lang w:val="es-ES"/>
        </w:rPr>
        <w:t xml:space="preserve">Cada vial contiene 2,3 mg de </w:t>
      </w:r>
      <w:proofErr w:type="spellStart"/>
      <w:r w:rsidRPr="003E0B98">
        <w:rPr>
          <w:color w:val="000000"/>
          <w:szCs w:val="22"/>
          <w:lang w:val="es-ES"/>
        </w:rPr>
        <w:t>ranibizumab</w:t>
      </w:r>
      <w:proofErr w:type="spellEnd"/>
      <w:r w:rsidRPr="003E0B98">
        <w:rPr>
          <w:color w:val="000000"/>
          <w:szCs w:val="22"/>
          <w:lang w:val="es-ES"/>
        </w:rPr>
        <w:t xml:space="preserve"> en 0,23 ml de solución. Esto aporta una cantidad adecuada para </w:t>
      </w:r>
      <w:r w:rsidR="007950ED" w:rsidRPr="003E0B98">
        <w:rPr>
          <w:color w:val="000000"/>
          <w:szCs w:val="22"/>
          <w:lang w:val="es-ES"/>
        </w:rPr>
        <w:t>prop</w:t>
      </w:r>
      <w:r w:rsidRPr="003E0B98">
        <w:rPr>
          <w:color w:val="000000"/>
          <w:szCs w:val="22"/>
          <w:lang w:val="es-ES"/>
        </w:rPr>
        <w:t>orcionar una dosis única de 0,0</w:t>
      </w:r>
      <w:r w:rsidR="00B605C5" w:rsidRPr="003E0B98">
        <w:rPr>
          <w:color w:val="000000"/>
          <w:szCs w:val="22"/>
          <w:lang w:val="es-ES"/>
        </w:rPr>
        <w:t>2</w:t>
      </w:r>
      <w:r w:rsidRPr="003E0B98">
        <w:rPr>
          <w:color w:val="000000"/>
          <w:szCs w:val="22"/>
          <w:lang w:val="es-ES"/>
        </w:rPr>
        <w:t> ml, que contiene 0,</w:t>
      </w:r>
      <w:r w:rsidR="00B605C5" w:rsidRPr="003E0B98">
        <w:rPr>
          <w:color w:val="000000"/>
          <w:szCs w:val="22"/>
          <w:lang w:val="es-ES"/>
        </w:rPr>
        <w:t>2</w:t>
      </w:r>
      <w:r w:rsidRPr="003E0B98">
        <w:rPr>
          <w:color w:val="000000"/>
          <w:szCs w:val="22"/>
          <w:lang w:val="es-ES"/>
        </w:rPr>
        <w:t xml:space="preserve"> mg de </w:t>
      </w:r>
      <w:proofErr w:type="spellStart"/>
      <w:r w:rsidRPr="003E0B98">
        <w:rPr>
          <w:color w:val="000000"/>
          <w:szCs w:val="22"/>
          <w:lang w:val="es-ES"/>
        </w:rPr>
        <w:t>ranibizumab</w:t>
      </w:r>
      <w:proofErr w:type="spellEnd"/>
      <w:r w:rsidRPr="003E0B98">
        <w:rPr>
          <w:color w:val="000000"/>
          <w:szCs w:val="22"/>
          <w:lang w:val="es-ES"/>
        </w:rPr>
        <w:t>.</w:t>
      </w:r>
    </w:p>
    <w:p w14:paraId="45FDD820" w14:textId="77777777" w:rsidR="003F59DD" w:rsidRPr="003E0B98" w:rsidRDefault="003F59DD" w:rsidP="004361AC">
      <w:pPr>
        <w:tabs>
          <w:tab w:val="clear" w:pos="567"/>
        </w:tabs>
        <w:spacing w:line="240" w:lineRule="auto"/>
        <w:ind w:left="567" w:hanging="567"/>
        <w:rPr>
          <w:color w:val="000000"/>
          <w:szCs w:val="22"/>
          <w:lang w:val="es-ES_tradnl"/>
        </w:rPr>
      </w:pPr>
      <w:r w:rsidRPr="003E0B98">
        <w:rPr>
          <w:color w:val="000000"/>
          <w:szCs w:val="22"/>
          <w:lang w:val="es-ES_tradnl"/>
        </w:rPr>
        <w:t>-</w:t>
      </w:r>
      <w:r w:rsidRPr="003E0B98">
        <w:rPr>
          <w:color w:val="000000"/>
          <w:szCs w:val="22"/>
          <w:lang w:val="es-ES_tradnl"/>
        </w:rPr>
        <w:tab/>
        <w:t>Los demás componentes son</w:t>
      </w:r>
      <w:r w:rsidRPr="003E0B98">
        <w:rPr>
          <w:iCs/>
          <w:color w:val="000000"/>
          <w:szCs w:val="22"/>
          <w:lang w:val="es-ES_tradnl"/>
        </w:rPr>
        <w:t xml:space="preserve"> </w:t>
      </w:r>
      <w:proofErr w:type="gramStart"/>
      <w:r w:rsidRPr="003E0B98">
        <w:rPr>
          <w:iCs/>
          <w:color w:val="000000"/>
          <w:szCs w:val="22"/>
        </w:rPr>
        <w:t>α</w:t>
      </w:r>
      <w:r w:rsidRPr="003E0B98">
        <w:rPr>
          <w:iCs/>
          <w:color w:val="000000"/>
          <w:szCs w:val="22"/>
          <w:lang w:val="es-ES_tradnl"/>
        </w:rPr>
        <w:t>,</w:t>
      </w:r>
      <w:r w:rsidRPr="003E0B98">
        <w:rPr>
          <w:iCs/>
          <w:color w:val="000000"/>
          <w:szCs w:val="22"/>
        </w:rPr>
        <w:t>α</w:t>
      </w:r>
      <w:proofErr w:type="gramEnd"/>
      <w:r w:rsidRPr="003E0B98">
        <w:rPr>
          <w:iCs/>
          <w:color w:val="000000"/>
          <w:szCs w:val="22"/>
          <w:lang w:val="es-ES_tradnl"/>
        </w:rPr>
        <w:t>-</w:t>
      </w:r>
      <w:proofErr w:type="spellStart"/>
      <w:r w:rsidRPr="003E0B98">
        <w:rPr>
          <w:iCs/>
          <w:color w:val="000000"/>
          <w:szCs w:val="22"/>
          <w:lang w:val="es-ES_tradnl"/>
        </w:rPr>
        <w:t>trehalosa</w:t>
      </w:r>
      <w:proofErr w:type="spellEnd"/>
      <w:r w:rsidRPr="003E0B98">
        <w:rPr>
          <w:iCs/>
          <w:color w:val="000000"/>
          <w:szCs w:val="22"/>
          <w:lang w:val="es-ES_tradnl"/>
        </w:rPr>
        <w:t xml:space="preserve"> </w:t>
      </w:r>
      <w:proofErr w:type="spellStart"/>
      <w:r w:rsidRPr="003E0B98">
        <w:rPr>
          <w:iCs/>
          <w:color w:val="000000"/>
          <w:szCs w:val="22"/>
          <w:lang w:val="es-ES_tradnl"/>
        </w:rPr>
        <w:t>dihidrato</w:t>
      </w:r>
      <w:proofErr w:type="spellEnd"/>
      <w:r w:rsidRPr="003E0B98">
        <w:rPr>
          <w:iCs/>
          <w:color w:val="000000"/>
          <w:szCs w:val="22"/>
          <w:lang w:val="es-ES_tradnl"/>
        </w:rPr>
        <w:t xml:space="preserve">; hidrocloruro de histidina </w:t>
      </w:r>
      <w:proofErr w:type="spellStart"/>
      <w:r w:rsidRPr="003E0B98">
        <w:rPr>
          <w:iCs/>
          <w:color w:val="000000"/>
          <w:szCs w:val="22"/>
          <w:lang w:val="es-ES_tradnl"/>
        </w:rPr>
        <w:t>monohidrato</w:t>
      </w:r>
      <w:proofErr w:type="spellEnd"/>
      <w:r w:rsidRPr="003E0B98">
        <w:rPr>
          <w:iCs/>
          <w:color w:val="000000"/>
          <w:szCs w:val="22"/>
          <w:lang w:val="es-ES_tradnl"/>
        </w:rPr>
        <w:t>; histidina; polisorbato 20; agua para inyectables</w:t>
      </w:r>
      <w:r w:rsidRPr="003E0B98">
        <w:rPr>
          <w:color w:val="000000"/>
          <w:szCs w:val="22"/>
          <w:lang w:val="es-ES_tradnl"/>
        </w:rPr>
        <w:t>.</w:t>
      </w:r>
    </w:p>
    <w:p w14:paraId="36591213" w14:textId="77777777" w:rsidR="003F59DD" w:rsidRPr="003E0B98" w:rsidRDefault="003F59DD" w:rsidP="004361AC">
      <w:pPr>
        <w:numPr>
          <w:ilvl w:val="12"/>
          <w:numId w:val="0"/>
        </w:numPr>
        <w:tabs>
          <w:tab w:val="clear" w:pos="567"/>
        </w:tabs>
        <w:spacing w:line="240" w:lineRule="auto"/>
        <w:ind w:right="-2"/>
        <w:rPr>
          <w:color w:val="000000"/>
          <w:szCs w:val="22"/>
          <w:lang w:val="es-ES_tradnl"/>
        </w:rPr>
      </w:pPr>
    </w:p>
    <w:p w14:paraId="12174390" w14:textId="77777777" w:rsidR="003F59DD" w:rsidRPr="003E0B98" w:rsidRDefault="003F59DD" w:rsidP="004361AC">
      <w:pPr>
        <w:keepNext/>
        <w:numPr>
          <w:ilvl w:val="12"/>
          <w:numId w:val="0"/>
        </w:numPr>
        <w:tabs>
          <w:tab w:val="clear" w:pos="567"/>
        </w:tabs>
        <w:spacing w:line="240" w:lineRule="auto"/>
        <w:rPr>
          <w:b/>
          <w:color w:val="000000"/>
          <w:szCs w:val="22"/>
          <w:lang w:val="es-ES_tradnl"/>
        </w:rPr>
      </w:pPr>
      <w:r w:rsidRPr="003E0B98">
        <w:rPr>
          <w:b/>
          <w:color w:val="000000"/>
          <w:lang w:val="es-ES_tradnl"/>
        </w:rPr>
        <w:t>Aspecto del producto y contenido del envase</w:t>
      </w:r>
    </w:p>
    <w:p w14:paraId="2187AAEE" w14:textId="109CC7B1" w:rsidR="003F59DD" w:rsidRPr="003E0B98" w:rsidRDefault="003F59DD" w:rsidP="004361AC">
      <w:pPr>
        <w:numPr>
          <w:ilvl w:val="12"/>
          <w:numId w:val="0"/>
        </w:numPr>
        <w:tabs>
          <w:tab w:val="clear" w:pos="567"/>
        </w:tabs>
        <w:spacing w:line="240" w:lineRule="auto"/>
        <w:ind w:right="-2"/>
        <w:rPr>
          <w:color w:val="000000"/>
          <w:szCs w:val="22"/>
          <w:lang w:val="es-ES_tradnl"/>
        </w:rPr>
      </w:pPr>
      <w:proofErr w:type="spellStart"/>
      <w:r w:rsidRPr="003E0B98">
        <w:rPr>
          <w:color w:val="000000"/>
          <w:szCs w:val="22"/>
          <w:lang w:val="es-ES_tradnl"/>
        </w:rPr>
        <w:t>Lucentis</w:t>
      </w:r>
      <w:proofErr w:type="spellEnd"/>
      <w:r w:rsidRPr="003E0B98">
        <w:rPr>
          <w:color w:val="000000"/>
          <w:szCs w:val="22"/>
          <w:lang w:val="es-ES_tradnl"/>
        </w:rPr>
        <w:t xml:space="preserve"> es una solución inyectable contenida en un vial </w:t>
      </w:r>
      <w:r w:rsidRPr="003E0B98">
        <w:rPr>
          <w:color w:val="000000"/>
          <w:lang w:val="es-ES_tradnl"/>
        </w:rPr>
        <w:t xml:space="preserve">(0,23 ml). La solución es transparente, </w:t>
      </w:r>
      <w:r w:rsidRPr="003E0B98">
        <w:rPr>
          <w:color w:val="000000"/>
          <w:szCs w:val="22"/>
          <w:lang w:val="es-ES_tradnl"/>
        </w:rPr>
        <w:t xml:space="preserve">de incolora a amarillo </w:t>
      </w:r>
      <w:r w:rsidR="00490F86">
        <w:rPr>
          <w:color w:val="000000"/>
          <w:szCs w:val="22"/>
          <w:lang w:val="es-ES_tradnl"/>
        </w:rPr>
        <w:t xml:space="preserve">pardusco </w:t>
      </w:r>
      <w:r w:rsidRPr="003E0B98">
        <w:rPr>
          <w:color w:val="000000"/>
          <w:szCs w:val="22"/>
          <w:lang w:val="es-ES_tradnl"/>
        </w:rPr>
        <w:t>pálido y acuosa.</w:t>
      </w:r>
    </w:p>
    <w:p w14:paraId="6CB5281A" w14:textId="77777777" w:rsidR="003F59DD" w:rsidRPr="003E0B98" w:rsidRDefault="003F59DD" w:rsidP="004361AC">
      <w:pPr>
        <w:numPr>
          <w:ilvl w:val="12"/>
          <w:numId w:val="0"/>
        </w:numPr>
        <w:tabs>
          <w:tab w:val="clear" w:pos="567"/>
        </w:tabs>
        <w:spacing w:line="240" w:lineRule="auto"/>
        <w:ind w:right="-2"/>
        <w:rPr>
          <w:color w:val="000000"/>
          <w:szCs w:val="22"/>
          <w:lang w:val="es-ES_tradnl"/>
        </w:rPr>
      </w:pPr>
    </w:p>
    <w:p w14:paraId="7CD05DC2" w14:textId="21E26B1A" w:rsidR="003F59DD" w:rsidRPr="003E0B98" w:rsidRDefault="003F59DD" w:rsidP="004361AC">
      <w:pPr>
        <w:keepNext/>
        <w:numPr>
          <w:ilvl w:val="12"/>
          <w:numId w:val="0"/>
        </w:numPr>
        <w:tabs>
          <w:tab w:val="clear" w:pos="567"/>
        </w:tabs>
        <w:spacing w:line="240" w:lineRule="auto"/>
        <w:rPr>
          <w:color w:val="000000"/>
          <w:szCs w:val="22"/>
          <w:lang w:val="es-ES_tradnl"/>
        </w:rPr>
      </w:pPr>
      <w:r w:rsidRPr="003E0B98">
        <w:rPr>
          <w:color w:val="000000"/>
          <w:szCs w:val="22"/>
          <w:lang w:val="es-ES_tradnl"/>
        </w:rPr>
        <w:t xml:space="preserve">Se dispone de </w:t>
      </w:r>
      <w:r w:rsidR="00BF42DF" w:rsidRPr="003E0B98">
        <w:rPr>
          <w:color w:val="000000"/>
          <w:szCs w:val="22"/>
          <w:lang w:val="es-ES_tradnl"/>
        </w:rPr>
        <w:t xml:space="preserve">dos </w:t>
      </w:r>
      <w:r w:rsidRPr="003E0B98">
        <w:rPr>
          <w:color w:val="000000"/>
          <w:szCs w:val="22"/>
          <w:lang w:val="es-ES_tradnl"/>
        </w:rPr>
        <w:t>tipos de envase diferentes:</w:t>
      </w:r>
    </w:p>
    <w:p w14:paraId="60A9E678" w14:textId="77777777" w:rsidR="00B605C5" w:rsidRPr="003E0B98" w:rsidRDefault="00B605C5" w:rsidP="004361AC">
      <w:pPr>
        <w:keepNext/>
        <w:numPr>
          <w:ilvl w:val="12"/>
          <w:numId w:val="0"/>
        </w:numPr>
        <w:tabs>
          <w:tab w:val="clear" w:pos="567"/>
        </w:tabs>
        <w:spacing w:line="240" w:lineRule="auto"/>
        <w:rPr>
          <w:color w:val="000000"/>
          <w:szCs w:val="22"/>
          <w:lang w:val="es-ES_tradnl"/>
        </w:rPr>
      </w:pPr>
    </w:p>
    <w:p w14:paraId="70FB6155" w14:textId="77777777" w:rsidR="00B605C5" w:rsidRPr="003E0B98" w:rsidRDefault="00B605C5" w:rsidP="004361AC">
      <w:pPr>
        <w:keepNext/>
        <w:tabs>
          <w:tab w:val="clear" w:pos="567"/>
        </w:tabs>
        <w:spacing w:line="240" w:lineRule="auto"/>
        <w:rPr>
          <w:color w:val="000000"/>
          <w:szCs w:val="22"/>
          <w:u w:val="single"/>
          <w:lang w:val="es-ES_tradnl"/>
        </w:rPr>
      </w:pPr>
      <w:r w:rsidRPr="003E0B98">
        <w:rPr>
          <w:color w:val="000000"/>
          <w:szCs w:val="22"/>
          <w:u w:val="single"/>
          <w:lang w:val="es-ES_tradnl"/>
        </w:rPr>
        <w:t>Envase solo con vial</w:t>
      </w:r>
    </w:p>
    <w:p w14:paraId="76D1EE9D" w14:textId="77777777" w:rsidR="00B605C5" w:rsidRPr="003E0B98" w:rsidRDefault="00B605C5" w:rsidP="004361AC">
      <w:pPr>
        <w:numPr>
          <w:ilvl w:val="12"/>
          <w:numId w:val="0"/>
        </w:numPr>
        <w:tabs>
          <w:tab w:val="clear" w:pos="567"/>
        </w:tabs>
        <w:spacing w:line="240" w:lineRule="auto"/>
        <w:ind w:right="-2"/>
        <w:rPr>
          <w:color w:val="000000"/>
          <w:szCs w:val="22"/>
          <w:lang w:val="es-ES_tradnl"/>
        </w:rPr>
      </w:pPr>
      <w:r w:rsidRPr="003E0B98">
        <w:rPr>
          <w:color w:val="000000"/>
          <w:szCs w:val="22"/>
          <w:lang w:val="es-ES_tradnl"/>
        </w:rPr>
        <w:t xml:space="preserve">Envase que contiene un vial de vidrio con </w:t>
      </w:r>
      <w:proofErr w:type="spellStart"/>
      <w:r w:rsidRPr="003E0B98">
        <w:rPr>
          <w:color w:val="000000"/>
          <w:szCs w:val="22"/>
          <w:lang w:val="es-ES_tradnl"/>
        </w:rPr>
        <w:t>ranibizumab</w:t>
      </w:r>
      <w:proofErr w:type="spellEnd"/>
      <w:r w:rsidRPr="003E0B98">
        <w:rPr>
          <w:color w:val="000000"/>
          <w:szCs w:val="22"/>
          <w:lang w:val="es-ES_tradnl"/>
        </w:rPr>
        <w:t xml:space="preserve">, con tapón de goma de </w:t>
      </w:r>
      <w:proofErr w:type="spellStart"/>
      <w:r w:rsidRPr="003E0B98">
        <w:rPr>
          <w:color w:val="000000"/>
          <w:szCs w:val="22"/>
          <w:lang w:val="es-ES_tradnl"/>
        </w:rPr>
        <w:t>clorobutilo</w:t>
      </w:r>
      <w:proofErr w:type="spellEnd"/>
      <w:r w:rsidRPr="003E0B98">
        <w:rPr>
          <w:color w:val="000000"/>
          <w:szCs w:val="22"/>
          <w:lang w:val="es-ES_tradnl"/>
        </w:rPr>
        <w:t>. El vial es para un solo uso.</w:t>
      </w:r>
    </w:p>
    <w:p w14:paraId="6EBBFD3C" w14:textId="77777777" w:rsidR="00B605C5" w:rsidRPr="003E0B98" w:rsidRDefault="00B605C5" w:rsidP="004361AC">
      <w:pPr>
        <w:numPr>
          <w:ilvl w:val="12"/>
          <w:numId w:val="0"/>
        </w:numPr>
        <w:tabs>
          <w:tab w:val="clear" w:pos="567"/>
        </w:tabs>
        <w:spacing w:line="240" w:lineRule="auto"/>
        <w:ind w:right="-2"/>
        <w:rPr>
          <w:color w:val="000000"/>
          <w:szCs w:val="22"/>
          <w:lang w:val="es-ES_tradnl"/>
        </w:rPr>
      </w:pPr>
    </w:p>
    <w:p w14:paraId="3CEEDEE8" w14:textId="77777777" w:rsidR="00B605C5" w:rsidRPr="003E0B98" w:rsidRDefault="00B605C5" w:rsidP="004361AC">
      <w:pPr>
        <w:keepNext/>
        <w:tabs>
          <w:tab w:val="clear" w:pos="567"/>
        </w:tabs>
        <w:spacing w:line="240" w:lineRule="auto"/>
        <w:rPr>
          <w:color w:val="000000"/>
          <w:szCs w:val="22"/>
          <w:u w:val="single"/>
          <w:lang w:val="es-ES_tradnl"/>
        </w:rPr>
      </w:pPr>
      <w:r w:rsidRPr="003E0B98">
        <w:rPr>
          <w:color w:val="000000"/>
          <w:szCs w:val="22"/>
          <w:u w:val="single"/>
          <w:lang w:val="es-ES_tradnl"/>
        </w:rPr>
        <w:t>Envase de vial + aguja con filtro</w:t>
      </w:r>
    </w:p>
    <w:p w14:paraId="32EA4AB7" w14:textId="77777777" w:rsidR="00B605C5" w:rsidRPr="003E0B98" w:rsidRDefault="00B605C5" w:rsidP="004361AC">
      <w:pPr>
        <w:numPr>
          <w:ilvl w:val="12"/>
          <w:numId w:val="0"/>
        </w:numPr>
        <w:tabs>
          <w:tab w:val="clear" w:pos="567"/>
        </w:tabs>
        <w:spacing w:line="240" w:lineRule="auto"/>
        <w:ind w:right="-2"/>
        <w:rPr>
          <w:color w:val="000000"/>
          <w:szCs w:val="22"/>
          <w:lang w:val="es-ES_tradnl"/>
        </w:rPr>
      </w:pPr>
      <w:r w:rsidRPr="003E0B98">
        <w:rPr>
          <w:color w:val="000000"/>
          <w:szCs w:val="22"/>
          <w:lang w:val="es-ES_tradnl"/>
        </w:rPr>
        <w:t xml:space="preserve">Envase que contiene un vial de vidrio con </w:t>
      </w:r>
      <w:proofErr w:type="spellStart"/>
      <w:r w:rsidRPr="003E0B98">
        <w:rPr>
          <w:color w:val="000000"/>
          <w:szCs w:val="22"/>
          <w:lang w:val="es-ES_tradnl"/>
        </w:rPr>
        <w:t>ranibizumab</w:t>
      </w:r>
      <w:proofErr w:type="spellEnd"/>
      <w:r w:rsidRPr="003E0B98">
        <w:rPr>
          <w:color w:val="000000"/>
          <w:szCs w:val="22"/>
          <w:lang w:val="es-ES_tradnl"/>
        </w:rPr>
        <w:t xml:space="preserve">, con tapón de goma de </w:t>
      </w:r>
      <w:proofErr w:type="spellStart"/>
      <w:r w:rsidRPr="003E0B98">
        <w:rPr>
          <w:color w:val="000000"/>
          <w:szCs w:val="22"/>
          <w:lang w:val="es-ES_tradnl"/>
        </w:rPr>
        <w:t>clorobutilo</w:t>
      </w:r>
      <w:proofErr w:type="spellEnd"/>
      <w:r w:rsidRPr="003E0B98">
        <w:rPr>
          <w:color w:val="000000"/>
          <w:szCs w:val="22"/>
          <w:lang w:val="es-ES_tradnl"/>
        </w:rPr>
        <w:t xml:space="preserve"> y una aguja roma con filtro </w:t>
      </w:r>
      <w:r w:rsidRPr="003E0B98">
        <w:rPr>
          <w:color w:val="000000"/>
          <w:lang w:val="es-ES_tradnl"/>
        </w:rPr>
        <w:t xml:space="preserve">(18G x 1½″, 1,2 mm x 40 mm, 5 micrómetros) </w:t>
      </w:r>
      <w:r w:rsidRPr="003E0B98">
        <w:rPr>
          <w:color w:val="000000"/>
          <w:szCs w:val="22"/>
          <w:lang w:val="es-ES_tradnl"/>
        </w:rPr>
        <w:t>para extraer el contenido del vial. Todos los componentes son para un solo uso.</w:t>
      </w:r>
    </w:p>
    <w:p w14:paraId="35A86D7B" w14:textId="77777777" w:rsidR="003F59DD" w:rsidRPr="003E0B98" w:rsidRDefault="003F59DD" w:rsidP="004361AC">
      <w:pPr>
        <w:numPr>
          <w:ilvl w:val="12"/>
          <w:numId w:val="0"/>
        </w:numPr>
        <w:tabs>
          <w:tab w:val="clear" w:pos="567"/>
        </w:tabs>
        <w:spacing w:line="240" w:lineRule="auto"/>
        <w:ind w:right="-2"/>
        <w:rPr>
          <w:color w:val="000000"/>
          <w:szCs w:val="22"/>
          <w:lang w:val="es-ES_tradnl"/>
        </w:rPr>
      </w:pPr>
    </w:p>
    <w:p w14:paraId="197CC979" w14:textId="77777777" w:rsidR="003F59DD" w:rsidRPr="003E0B98" w:rsidRDefault="003F59DD" w:rsidP="004361AC">
      <w:pPr>
        <w:keepNext/>
        <w:numPr>
          <w:ilvl w:val="12"/>
          <w:numId w:val="0"/>
        </w:numPr>
        <w:tabs>
          <w:tab w:val="clear" w:pos="567"/>
        </w:tabs>
        <w:spacing w:line="240" w:lineRule="auto"/>
        <w:rPr>
          <w:b/>
          <w:color w:val="000000"/>
          <w:szCs w:val="22"/>
          <w:lang w:val="es-ES_tradnl"/>
        </w:rPr>
      </w:pPr>
      <w:r w:rsidRPr="003E0B98">
        <w:rPr>
          <w:b/>
          <w:color w:val="000000"/>
          <w:szCs w:val="22"/>
          <w:lang w:val="es-ES_tradnl"/>
        </w:rPr>
        <w:t>Titular de la autorización de comercialización</w:t>
      </w:r>
    </w:p>
    <w:p w14:paraId="6349ECDD" w14:textId="77777777" w:rsidR="003F59DD" w:rsidRPr="003E0B98" w:rsidRDefault="003F59DD" w:rsidP="004361AC">
      <w:pPr>
        <w:keepNext/>
        <w:numPr>
          <w:ilvl w:val="12"/>
          <w:numId w:val="0"/>
        </w:numPr>
        <w:tabs>
          <w:tab w:val="clear" w:pos="567"/>
        </w:tabs>
        <w:spacing w:line="240" w:lineRule="auto"/>
        <w:rPr>
          <w:color w:val="000000"/>
          <w:szCs w:val="22"/>
          <w:lang w:val="en-US"/>
        </w:rPr>
      </w:pPr>
      <w:r w:rsidRPr="003E0B98">
        <w:rPr>
          <w:color w:val="000000"/>
          <w:szCs w:val="22"/>
          <w:lang w:val="en-US"/>
        </w:rPr>
        <w:t xml:space="preserve">Novartis </w:t>
      </w:r>
      <w:proofErr w:type="spellStart"/>
      <w:r w:rsidRPr="003E0B98">
        <w:rPr>
          <w:color w:val="000000"/>
          <w:szCs w:val="22"/>
          <w:lang w:val="en-US"/>
        </w:rPr>
        <w:t>Eu</w:t>
      </w:r>
      <w:r w:rsidR="00AE3466" w:rsidRPr="003E0B98">
        <w:rPr>
          <w:color w:val="000000"/>
          <w:szCs w:val="22"/>
          <w:lang w:val="en-US"/>
        </w:rPr>
        <w:t>rop</w:t>
      </w:r>
      <w:r w:rsidRPr="003E0B98">
        <w:rPr>
          <w:color w:val="000000"/>
          <w:szCs w:val="22"/>
          <w:lang w:val="en-US"/>
        </w:rPr>
        <w:t>harm</w:t>
      </w:r>
      <w:proofErr w:type="spellEnd"/>
      <w:r w:rsidRPr="003E0B98">
        <w:rPr>
          <w:color w:val="000000"/>
          <w:szCs w:val="22"/>
          <w:lang w:val="en-US"/>
        </w:rPr>
        <w:t xml:space="preserve"> Limited</w:t>
      </w:r>
    </w:p>
    <w:p w14:paraId="2610C62F" w14:textId="77777777" w:rsidR="003F59DD" w:rsidRPr="003E0B98" w:rsidRDefault="003F59DD" w:rsidP="004361AC">
      <w:pPr>
        <w:keepNext/>
        <w:spacing w:line="240" w:lineRule="auto"/>
        <w:rPr>
          <w:color w:val="000000"/>
          <w:lang w:val="en-US"/>
        </w:rPr>
      </w:pPr>
      <w:r w:rsidRPr="003E0B98">
        <w:rPr>
          <w:color w:val="000000"/>
          <w:lang w:val="en-US"/>
        </w:rPr>
        <w:t>Vista Building</w:t>
      </w:r>
    </w:p>
    <w:p w14:paraId="6C8FC220" w14:textId="77777777" w:rsidR="003F59DD" w:rsidRPr="003E0B98" w:rsidRDefault="003F59DD" w:rsidP="004361AC">
      <w:pPr>
        <w:keepNext/>
        <w:spacing w:line="240" w:lineRule="auto"/>
        <w:rPr>
          <w:color w:val="000000"/>
          <w:lang w:val="en-US"/>
        </w:rPr>
      </w:pPr>
      <w:r w:rsidRPr="003E0B98">
        <w:rPr>
          <w:color w:val="000000"/>
          <w:lang w:val="en-US"/>
        </w:rPr>
        <w:t>Elm Park, Merrion Road</w:t>
      </w:r>
    </w:p>
    <w:p w14:paraId="621749A6" w14:textId="77777777" w:rsidR="003F59DD" w:rsidRPr="003E0B98" w:rsidRDefault="003F59DD" w:rsidP="004361AC">
      <w:pPr>
        <w:keepNext/>
        <w:spacing w:line="240" w:lineRule="auto"/>
        <w:rPr>
          <w:color w:val="000000"/>
          <w:lang w:val="es-ES"/>
        </w:rPr>
      </w:pPr>
      <w:proofErr w:type="spellStart"/>
      <w:r w:rsidRPr="003E0B98">
        <w:rPr>
          <w:color w:val="000000"/>
          <w:lang w:val="es-ES"/>
        </w:rPr>
        <w:t>Dublin</w:t>
      </w:r>
      <w:proofErr w:type="spellEnd"/>
      <w:r w:rsidRPr="003E0B98">
        <w:rPr>
          <w:color w:val="000000"/>
          <w:lang w:val="es-ES"/>
        </w:rPr>
        <w:t xml:space="preserve"> 4</w:t>
      </w:r>
    </w:p>
    <w:p w14:paraId="3271413E" w14:textId="77777777" w:rsidR="003F59DD" w:rsidRPr="003E0B98" w:rsidRDefault="003F59DD" w:rsidP="004361AC">
      <w:pPr>
        <w:numPr>
          <w:ilvl w:val="12"/>
          <w:numId w:val="0"/>
        </w:numPr>
        <w:tabs>
          <w:tab w:val="clear" w:pos="567"/>
        </w:tabs>
        <w:spacing w:line="240" w:lineRule="auto"/>
        <w:ind w:right="-2"/>
        <w:rPr>
          <w:color w:val="000000"/>
          <w:szCs w:val="22"/>
          <w:lang w:val="es-ES_tradnl"/>
        </w:rPr>
      </w:pPr>
      <w:r w:rsidRPr="003E0B98">
        <w:rPr>
          <w:color w:val="000000"/>
          <w:lang w:val="es-ES"/>
        </w:rPr>
        <w:t>Irlanda</w:t>
      </w:r>
    </w:p>
    <w:p w14:paraId="3DE0BC7E" w14:textId="77777777" w:rsidR="003F59DD" w:rsidRPr="003E0B98" w:rsidRDefault="003F59DD" w:rsidP="004361AC">
      <w:pPr>
        <w:numPr>
          <w:ilvl w:val="12"/>
          <w:numId w:val="0"/>
        </w:numPr>
        <w:tabs>
          <w:tab w:val="clear" w:pos="567"/>
        </w:tabs>
        <w:spacing w:line="240" w:lineRule="auto"/>
        <w:ind w:right="-2"/>
        <w:rPr>
          <w:color w:val="000000"/>
          <w:szCs w:val="22"/>
          <w:lang w:val="es-ES_tradnl"/>
        </w:rPr>
      </w:pPr>
    </w:p>
    <w:p w14:paraId="71AC06DC" w14:textId="77777777" w:rsidR="003F59DD" w:rsidRPr="003E0B98" w:rsidRDefault="003F59DD" w:rsidP="004361AC">
      <w:pPr>
        <w:keepNext/>
        <w:numPr>
          <w:ilvl w:val="12"/>
          <w:numId w:val="0"/>
        </w:numPr>
        <w:tabs>
          <w:tab w:val="clear" w:pos="567"/>
        </w:tabs>
        <w:spacing w:line="240" w:lineRule="auto"/>
        <w:rPr>
          <w:b/>
          <w:color w:val="000000"/>
          <w:szCs w:val="22"/>
          <w:lang w:val="es-ES_tradnl"/>
        </w:rPr>
      </w:pPr>
      <w:r w:rsidRPr="003E0B98">
        <w:rPr>
          <w:b/>
          <w:noProof/>
          <w:color w:val="000000"/>
          <w:lang w:val="es-ES_tradnl"/>
        </w:rPr>
        <w:t>Responsable de la fabricación</w:t>
      </w:r>
    </w:p>
    <w:p w14:paraId="3C5480C7" w14:textId="77777777" w:rsidR="003C169A" w:rsidRDefault="003C169A" w:rsidP="004361AC">
      <w:pPr>
        <w:keepNext/>
        <w:tabs>
          <w:tab w:val="left" w:pos="1650"/>
        </w:tabs>
        <w:spacing w:line="240" w:lineRule="auto"/>
        <w:rPr>
          <w:lang w:val="fr-FR"/>
        </w:rPr>
      </w:pPr>
      <w:r w:rsidRPr="009902DA">
        <w:rPr>
          <w:lang w:val="fr-FR"/>
        </w:rPr>
        <w:t xml:space="preserve">Novartis </w:t>
      </w:r>
      <w:proofErr w:type="spellStart"/>
      <w:r w:rsidRPr="009902DA">
        <w:rPr>
          <w:lang w:val="fr-FR"/>
        </w:rPr>
        <w:t>Farmacéutica</w:t>
      </w:r>
      <w:proofErr w:type="spellEnd"/>
      <w:r w:rsidRPr="009902DA">
        <w:rPr>
          <w:lang w:val="fr-FR"/>
        </w:rPr>
        <w:t>, S.A.</w:t>
      </w:r>
    </w:p>
    <w:p w14:paraId="10DD143C" w14:textId="77777777" w:rsidR="003C169A" w:rsidRDefault="003C169A" w:rsidP="004361AC">
      <w:pPr>
        <w:keepNext/>
        <w:tabs>
          <w:tab w:val="left" w:pos="1650"/>
        </w:tabs>
        <w:spacing w:line="240" w:lineRule="auto"/>
        <w:rPr>
          <w:lang w:val="fr-FR"/>
        </w:rPr>
      </w:pPr>
      <w:r w:rsidRPr="009902DA">
        <w:rPr>
          <w:lang w:val="fr-FR"/>
        </w:rPr>
        <w:t xml:space="preserve">Gran Via de les </w:t>
      </w:r>
      <w:proofErr w:type="spellStart"/>
      <w:r w:rsidRPr="009902DA">
        <w:rPr>
          <w:lang w:val="fr-FR"/>
        </w:rPr>
        <w:t>Corts</w:t>
      </w:r>
      <w:proofErr w:type="spellEnd"/>
      <w:r w:rsidRPr="009902DA">
        <w:rPr>
          <w:lang w:val="fr-FR"/>
        </w:rPr>
        <w:t xml:space="preserve"> Catalanes, 764</w:t>
      </w:r>
    </w:p>
    <w:p w14:paraId="0C5DEF48" w14:textId="77777777" w:rsidR="003C169A" w:rsidRDefault="003C169A" w:rsidP="004361AC">
      <w:pPr>
        <w:keepNext/>
        <w:tabs>
          <w:tab w:val="left" w:pos="1650"/>
        </w:tabs>
        <w:spacing w:line="240" w:lineRule="auto"/>
        <w:rPr>
          <w:lang w:val="fr-FR"/>
        </w:rPr>
      </w:pPr>
      <w:r w:rsidRPr="009902DA">
        <w:rPr>
          <w:lang w:val="fr-FR"/>
        </w:rPr>
        <w:t>08013 Barcelona</w:t>
      </w:r>
    </w:p>
    <w:p w14:paraId="0AB15A74" w14:textId="77777777" w:rsidR="003C169A" w:rsidRDefault="003C169A" w:rsidP="004361AC">
      <w:pPr>
        <w:numPr>
          <w:ilvl w:val="12"/>
          <w:numId w:val="0"/>
        </w:numPr>
        <w:ind w:right="-2"/>
        <w:rPr>
          <w:noProof/>
          <w:color w:val="000000"/>
          <w:szCs w:val="22"/>
          <w:lang w:val="es-ES"/>
        </w:rPr>
      </w:pPr>
      <w:r>
        <w:rPr>
          <w:noProof/>
          <w:color w:val="000000"/>
          <w:szCs w:val="22"/>
          <w:lang w:val="es-ES"/>
        </w:rPr>
        <w:t>España</w:t>
      </w:r>
    </w:p>
    <w:p w14:paraId="50E7B795" w14:textId="77777777" w:rsidR="003C169A" w:rsidRPr="009902DA" w:rsidRDefault="003C169A" w:rsidP="004361AC">
      <w:pPr>
        <w:tabs>
          <w:tab w:val="left" w:pos="1650"/>
        </w:tabs>
        <w:spacing w:line="240" w:lineRule="auto"/>
        <w:rPr>
          <w:iCs/>
          <w:color w:val="000000"/>
          <w:szCs w:val="22"/>
          <w:lang w:val="fr-FR"/>
        </w:rPr>
      </w:pPr>
    </w:p>
    <w:p w14:paraId="647AA5BE" w14:textId="77777777" w:rsidR="003C169A" w:rsidRPr="00E4152A" w:rsidRDefault="003C169A" w:rsidP="004361AC">
      <w:pPr>
        <w:keepNext/>
        <w:tabs>
          <w:tab w:val="left" w:pos="1650"/>
        </w:tabs>
        <w:spacing w:line="240" w:lineRule="auto"/>
        <w:rPr>
          <w:shd w:val="pct15" w:color="auto" w:fill="auto"/>
          <w:lang w:val="fr-FR"/>
        </w:rPr>
      </w:pPr>
      <w:r w:rsidRPr="00E4152A">
        <w:rPr>
          <w:shd w:val="pct15" w:color="auto" w:fill="auto"/>
          <w:lang w:val="fr-FR"/>
        </w:rPr>
        <w:t xml:space="preserve">Lek Pharmaceuticals </w:t>
      </w:r>
      <w:proofErr w:type="spellStart"/>
      <w:r w:rsidRPr="00E4152A">
        <w:rPr>
          <w:shd w:val="pct15" w:color="auto" w:fill="auto"/>
          <w:lang w:val="fr-FR"/>
        </w:rPr>
        <w:t>d.d.</w:t>
      </w:r>
      <w:proofErr w:type="spellEnd"/>
    </w:p>
    <w:p w14:paraId="50356953" w14:textId="77777777" w:rsidR="003C169A" w:rsidRPr="00E4152A" w:rsidRDefault="003C169A" w:rsidP="004361AC">
      <w:pPr>
        <w:keepNext/>
        <w:tabs>
          <w:tab w:val="left" w:pos="1650"/>
        </w:tabs>
        <w:spacing w:line="240" w:lineRule="auto"/>
        <w:rPr>
          <w:shd w:val="pct15" w:color="auto" w:fill="auto"/>
          <w:lang w:val="fr-FR"/>
        </w:rPr>
      </w:pPr>
      <w:proofErr w:type="spellStart"/>
      <w:r w:rsidRPr="00E4152A">
        <w:rPr>
          <w:shd w:val="pct15" w:color="auto" w:fill="auto"/>
          <w:lang w:val="fr-FR"/>
        </w:rPr>
        <w:t>Verovškova</w:t>
      </w:r>
      <w:proofErr w:type="spellEnd"/>
      <w:r w:rsidRPr="00E4152A">
        <w:rPr>
          <w:shd w:val="pct15" w:color="auto" w:fill="auto"/>
          <w:lang w:val="fr-FR"/>
        </w:rPr>
        <w:t xml:space="preserve"> </w:t>
      </w:r>
      <w:proofErr w:type="spellStart"/>
      <w:r w:rsidRPr="00E4152A">
        <w:rPr>
          <w:shd w:val="pct15" w:color="auto" w:fill="auto"/>
          <w:lang w:val="fr-FR"/>
        </w:rPr>
        <w:t>ulica</w:t>
      </w:r>
      <w:proofErr w:type="spellEnd"/>
      <w:r w:rsidRPr="00E4152A">
        <w:rPr>
          <w:shd w:val="pct15" w:color="auto" w:fill="auto"/>
          <w:lang w:val="fr-FR"/>
        </w:rPr>
        <w:t xml:space="preserve"> 57</w:t>
      </w:r>
    </w:p>
    <w:p w14:paraId="2C16864C" w14:textId="77777777" w:rsidR="003C169A" w:rsidRPr="00E4152A" w:rsidRDefault="003C169A" w:rsidP="004361AC">
      <w:pPr>
        <w:keepNext/>
        <w:tabs>
          <w:tab w:val="left" w:pos="1650"/>
        </w:tabs>
        <w:spacing w:line="240" w:lineRule="auto"/>
        <w:rPr>
          <w:shd w:val="pct15" w:color="auto" w:fill="auto"/>
          <w:lang w:val="fr-FR"/>
        </w:rPr>
      </w:pPr>
      <w:r w:rsidRPr="00E4152A">
        <w:rPr>
          <w:shd w:val="pct15" w:color="auto" w:fill="auto"/>
          <w:lang w:val="fr-FR"/>
        </w:rPr>
        <w:t>Ljubljana, 1526</w:t>
      </w:r>
    </w:p>
    <w:p w14:paraId="772ACFB9" w14:textId="77777777" w:rsidR="003C169A" w:rsidRPr="00E4152A" w:rsidRDefault="003C169A" w:rsidP="004361AC">
      <w:pPr>
        <w:spacing w:line="240" w:lineRule="auto"/>
        <w:rPr>
          <w:shd w:val="pct15" w:color="auto" w:fill="auto"/>
          <w:lang w:val="es-ES"/>
        </w:rPr>
      </w:pPr>
      <w:r w:rsidRPr="00E4152A">
        <w:rPr>
          <w:shd w:val="pct15" w:color="auto" w:fill="auto"/>
          <w:lang w:val="es-ES"/>
        </w:rPr>
        <w:t>Eslovenia</w:t>
      </w:r>
    </w:p>
    <w:p w14:paraId="406FDC4D" w14:textId="77777777" w:rsidR="003C169A" w:rsidRPr="00E4152A" w:rsidRDefault="003C169A" w:rsidP="004361AC">
      <w:pPr>
        <w:tabs>
          <w:tab w:val="left" w:pos="1650"/>
        </w:tabs>
        <w:spacing w:line="240" w:lineRule="auto"/>
        <w:rPr>
          <w:iCs/>
          <w:color w:val="000000"/>
          <w:szCs w:val="22"/>
          <w:shd w:val="pct15" w:color="auto" w:fill="auto"/>
          <w:lang w:val="fr-FR"/>
        </w:rPr>
      </w:pPr>
    </w:p>
    <w:p w14:paraId="6F9024FF" w14:textId="7A79DB13" w:rsidR="003F59DD" w:rsidRPr="00724E97" w:rsidDel="00C42161" w:rsidRDefault="003F59DD" w:rsidP="004361AC">
      <w:pPr>
        <w:keepNext/>
        <w:numPr>
          <w:ilvl w:val="12"/>
          <w:numId w:val="0"/>
        </w:numPr>
        <w:rPr>
          <w:del w:id="50" w:author="Author"/>
          <w:szCs w:val="22"/>
          <w:shd w:val="pct15" w:color="auto" w:fill="auto"/>
          <w:lang w:val="fr-CH"/>
        </w:rPr>
      </w:pPr>
      <w:del w:id="51" w:author="Author">
        <w:r w:rsidRPr="00724E97" w:rsidDel="00C42161">
          <w:rPr>
            <w:szCs w:val="22"/>
            <w:shd w:val="pct15" w:color="auto" w:fill="auto"/>
            <w:lang w:val="fr-CH"/>
          </w:rPr>
          <w:delText>Novartis Pharma GmbH</w:delText>
        </w:r>
      </w:del>
    </w:p>
    <w:p w14:paraId="07E84D3E" w14:textId="4C316A7D" w:rsidR="003F59DD" w:rsidRPr="00724E97" w:rsidDel="00C42161" w:rsidRDefault="003F59DD" w:rsidP="004361AC">
      <w:pPr>
        <w:keepNext/>
        <w:numPr>
          <w:ilvl w:val="12"/>
          <w:numId w:val="0"/>
        </w:numPr>
        <w:rPr>
          <w:del w:id="52" w:author="Author"/>
          <w:szCs w:val="22"/>
          <w:shd w:val="pct15" w:color="auto" w:fill="auto"/>
          <w:lang w:val="fr-CH"/>
        </w:rPr>
      </w:pPr>
      <w:del w:id="53" w:author="Author">
        <w:r w:rsidRPr="00724E97" w:rsidDel="00C42161">
          <w:rPr>
            <w:szCs w:val="22"/>
            <w:shd w:val="pct15" w:color="auto" w:fill="auto"/>
            <w:lang w:val="fr-CH"/>
          </w:rPr>
          <w:delText>Roonstrasse 25</w:delText>
        </w:r>
      </w:del>
    </w:p>
    <w:p w14:paraId="75E7E7B6" w14:textId="098AE620" w:rsidR="003F59DD" w:rsidRPr="00724E97" w:rsidDel="00C42161" w:rsidRDefault="003F59DD" w:rsidP="004361AC">
      <w:pPr>
        <w:keepNext/>
        <w:numPr>
          <w:ilvl w:val="12"/>
          <w:numId w:val="0"/>
        </w:numPr>
        <w:rPr>
          <w:del w:id="54" w:author="Author"/>
          <w:szCs w:val="22"/>
          <w:shd w:val="pct15" w:color="auto" w:fill="auto"/>
          <w:lang w:val="fr-CH"/>
        </w:rPr>
      </w:pPr>
      <w:del w:id="55" w:author="Author">
        <w:r w:rsidRPr="00724E97" w:rsidDel="00C42161">
          <w:rPr>
            <w:szCs w:val="22"/>
            <w:shd w:val="pct15" w:color="auto" w:fill="auto"/>
            <w:lang w:val="fr-CH"/>
          </w:rPr>
          <w:delText>90429 Nuremberg</w:delText>
        </w:r>
      </w:del>
    </w:p>
    <w:p w14:paraId="5CB1270E" w14:textId="2C115C68" w:rsidR="003F59DD" w:rsidRPr="00724E97" w:rsidDel="00C42161" w:rsidRDefault="003F59DD" w:rsidP="004361AC">
      <w:pPr>
        <w:numPr>
          <w:ilvl w:val="12"/>
          <w:numId w:val="0"/>
        </w:numPr>
        <w:tabs>
          <w:tab w:val="clear" w:pos="567"/>
        </w:tabs>
        <w:spacing w:line="240" w:lineRule="auto"/>
        <w:ind w:right="-2"/>
        <w:rPr>
          <w:del w:id="56" w:author="Author"/>
          <w:color w:val="000000"/>
          <w:szCs w:val="22"/>
          <w:shd w:val="pct15" w:color="auto" w:fill="auto"/>
          <w:lang w:val="fr-CH"/>
        </w:rPr>
      </w:pPr>
      <w:del w:id="57" w:author="Author">
        <w:r w:rsidRPr="00724E97" w:rsidDel="00C42161">
          <w:rPr>
            <w:szCs w:val="22"/>
            <w:shd w:val="pct15" w:color="auto" w:fill="auto"/>
            <w:lang w:val="fr-CH"/>
          </w:rPr>
          <w:delText>Alemania</w:delText>
        </w:r>
      </w:del>
    </w:p>
    <w:p w14:paraId="13341A55" w14:textId="3112BCAD" w:rsidR="003F59DD" w:rsidDel="00C42161" w:rsidRDefault="003F59DD" w:rsidP="004361AC">
      <w:pPr>
        <w:numPr>
          <w:ilvl w:val="12"/>
          <w:numId w:val="0"/>
        </w:numPr>
        <w:tabs>
          <w:tab w:val="clear" w:pos="567"/>
        </w:tabs>
        <w:spacing w:line="240" w:lineRule="auto"/>
        <w:ind w:right="-2"/>
        <w:rPr>
          <w:del w:id="58" w:author="Author"/>
          <w:color w:val="000000"/>
          <w:szCs w:val="22"/>
          <w:lang w:val="fr-CH"/>
        </w:rPr>
      </w:pPr>
    </w:p>
    <w:p w14:paraId="487DFC23" w14:textId="77777777" w:rsidR="004361AC" w:rsidRPr="004361AC" w:rsidRDefault="004361AC" w:rsidP="004361AC">
      <w:pPr>
        <w:keepNext/>
        <w:tabs>
          <w:tab w:val="clear" w:pos="567"/>
        </w:tabs>
        <w:spacing w:line="240" w:lineRule="auto"/>
        <w:rPr>
          <w:rFonts w:eastAsia="Aptos"/>
          <w:szCs w:val="22"/>
          <w:shd w:val="pct15" w:color="auto" w:fill="auto"/>
          <w:lang w:val="en-US" w:eastAsia="de-CH"/>
        </w:rPr>
      </w:pPr>
      <w:bookmarkStart w:id="59" w:name="_Hlk175843454"/>
      <w:r w:rsidRPr="004361AC">
        <w:rPr>
          <w:rFonts w:eastAsia="Aptos"/>
          <w:szCs w:val="22"/>
          <w:shd w:val="pct15" w:color="auto" w:fill="auto"/>
          <w:lang w:val="en-US" w:eastAsia="de-CH"/>
        </w:rPr>
        <w:t>Novartis Pharma GmbH</w:t>
      </w:r>
    </w:p>
    <w:p w14:paraId="243EB3EB" w14:textId="77777777" w:rsidR="004361AC" w:rsidRPr="004361AC" w:rsidRDefault="004361AC" w:rsidP="004361AC">
      <w:pPr>
        <w:keepNext/>
        <w:tabs>
          <w:tab w:val="clear" w:pos="567"/>
        </w:tabs>
        <w:spacing w:line="240" w:lineRule="auto"/>
        <w:rPr>
          <w:rFonts w:eastAsia="Aptos"/>
          <w:szCs w:val="22"/>
          <w:shd w:val="pct15" w:color="auto" w:fill="auto"/>
          <w:lang w:val="en-US" w:eastAsia="de-CH"/>
        </w:rPr>
      </w:pPr>
      <w:r w:rsidRPr="004361AC">
        <w:rPr>
          <w:rFonts w:eastAsia="Aptos"/>
          <w:szCs w:val="22"/>
          <w:shd w:val="pct15" w:color="auto" w:fill="auto"/>
          <w:lang w:val="en-US" w:eastAsia="de-CH"/>
        </w:rPr>
        <w:t>Sophie-Germain-Strasse 10</w:t>
      </w:r>
    </w:p>
    <w:p w14:paraId="1488F2C0" w14:textId="77777777" w:rsidR="004361AC" w:rsidRPr="004361AC" w:rsidRDefault="004361AC" w:rsidP="004361AC">
      <w:pPr>
        <w:keepNext/>
        <w:tabs>
          <w:tab w:val="clear" w:pos="567"/>
        </w:tabs>
        <w:spacing w:line="240" w:lineRule="auto"/>
        <w:rPr>
          <w:rFonts w:eastAsia="Aptos"/>
          <w:szCs w:val="22"/>
          <w:shd w:val="pct15" w:color="auto" w:fill="auto"/>
          <w:lang w:val="en-US" w:eastAsia="de-CH"/>
        </w:rPr>
      </w:pPr>
      <w:r w:rsidRPr="004361AC">
        <w:rPr>
          <w:rFonts w:eastAsia="Aptos"/>
          <w:szCs w:val="22"/>
          <w:shd w:val="pct15" w:color="auto" w:fill="auto"/>
          <w:lang w:val="en-US" w:eastAsia="de-CH"/>
        </w:rPr>
        <w:t>90443 Nürnberg</w:t>
      </w:r>
    </w:p>
    <w:p w14:paraId="4BE3BECB" w14:textId="64D561F3" w:rsidR="004361AC" w:rsidRDefault="004361AC" w:rsidP="004361AC">
      <w:pPr>
        <w:numPr>
          <w:ilvl w:val="12"/>
          <w:numId w:val="0"/>
        </w:numPr>
        <w:tabs>
          <w:tab w:val="clear" w:pos="567"/>
        </w:tabs>
        <w:spacing w:line="240" w:lineRule="auto"/>
        <w:ind w:right="-2"/>
        <w:rPr>
          <w:color w:val="000000"/>
          <w:szCs w:val="22"/>
          <w:lang w:val="fr-CH"/>
        </w:rPr>
      </w:pPr>
      <w:r w:rsidRPr="004361AC">
        <w:rPr>
          <w:rFonts w:eastAsia="Aptos"/>
          <w:kern w:val="2"/>
          <w:szCs w:val="22"/>
          <w:shd w:val="pct15" w:color="auto" w:fill="auto"/>
          <w:lang w:val="de-CH"/>
          <w14:ligatures w14:val="standardContextual"/>
        </w:rPr>
        <w:t>Alemania</w:t>
      </w:r>
      <w:bookmarkEnd w:id="59"/>
    </w:p>
    <w:p w14:paraId="7E1C9D87" w14:textId="77777777" w:rsidR="004361AC" w:rsidRPr="003E0B98" w:rsidRDefault="004361AC" w:rsidP="004361AC">
      <w:pPr>
        <w:numPr>
          <w:ilvl w:val="12"/>
          <w:numId w:val="0"/>
        </w:numPr>
        <w:tabs>
          <w:tab w:val="clear" w:pos="567"/>
        </w:tabs>
        <w:spacing w:line="240" w:lineRule="auto"/>
        <w:ind w:right="-2"/>
        <w:rPr>
          <w:color w:val="000000"/>
          <w:szCs w:val="22"/>
          <w:lang w:val="fr-CH"/>
        </w:rPr>
      </w:pPr>
    </w:p>
    <w:p w14:paraId="50E2E4FA" w14:textId="77777777" w:rsidR="003F59DD" w:rsidRPr="003E0B98" w:rsidRDefault="003F59DD" w:rsidP="004361AC">
      <w:pPr>
        <w:keepNext/>
        <w:numPr>
          <w:ilvl w:val="12"/>
          <w:numId w:val="0"/>
        </w:numPr>
        <w:tabs>
          <w:tab w:val="clear" w:pos="567"/>
        </w:tabs>
        <w:spacing w:line="240" w:lineRule="auto"/>
        <w:rPr>
          <w:color w:val="000000"/>
          <w:szCs w:val="22"/>
          <w:lang w:val="es-ES_tradnl"/>
        </w:rPr>
      </w:pPr>
      <w:r w:rsidRPr="003E0B98">
        <w:rPr>
          <w:color w:val="000000"/>
          <w:szCs w:val="22"/>
          <w:lang w:val="es-ES"/>
        </w:rPr>
        <w:t>Pueden solicitar más información respecto a este medicamento dirigiéndose al representante local del titular de la autorización de comercialización:</w:t>
      </w:r>
    </w:p>
    <w:p w14:paraId="2B772A35" w14:textId="77777777" w:rsidR="003F59DD" w:rsidRPr="003E0B98" w:rsidRDefault="003F59DD" w:rsidP="004361AC">
      <w:pPr>
        <w:keepNext/>
        <w:numPr>
          <w:ilvl w:val="12"/>
          <w:numId w:val="0"/>
        </w:numPr>
        <w:tabs>
          <w:tab w:val="clear" w:pos="567"/>
        </w:tabs>
        <w:spacing w:line="240" w:lineRule="auto"/>
        <w:rPr>
          <w:color w:val="000000"/>
          <w:szCs w:val="22"/>
          <w:lang w:val="es-ES"/>
        </w:rPr>
      </w:pPr>
    </w:p>
    <w:tbl>
      <w:tblPr>
        <w:tblW w:w="9181" w:type="dxa"/>
        <w:tblLayout w:type="fixed"/>
        <w:tblLook w:val="0000" w:firstRow="0" w:lastRow="0" w:firstColumn="0" w:lastColumn="0" w:noHBand="0" w:noVBand="0"/>
      </w:tblPr>
      <w:tblGrid>
        <w:gridCol w:w="4503"/>
        <w:gridCol w:w="4678"/>
      </w:tblGrid>
      <w:tr w:rsidR="003F59DD" w:rsidRPr="003E0B98" w14:paraId="46683430" w14:textId="77777777" w:rsidTr="00053135">
        <w:trPr>
          <w:cantSplit/>
        </w:trPr>
        <w:tc>
          <w:tcPr>
            <w:tcW w:w="4503" w:type="dxa"/>
          </w:tcPr>
          <w:p w14:paraId="159AEF80" w14:textId="77777777" w:rsidR="003F59DD" w:rsidRPr="003E0B98" w:rsidRDefault="003F59DD" w:rsidP="004361AC">
            <w:pPr>
              <w:rPr>
                <w:color w:val="000000"/>
                <w:szCs w:val="22"/>
                <w:lang w:val="fr-FR"/>
              </w:rPr>
            </w:pPr>
            <w:proofErr w:type="spellStart"/>
            <w:r w:rsidRPr="003E0B98">
              <w:rPr>
                <w:b/>
                <w:color w:val="000000"/>
                <w:szCs w:val="22"/>
                <w:lang w:val="fr-FR"/>
              </w:rPr>
              <w:t>België</w:t>
            </w:r>
            <w:proofErr w:type="spellEnd"/>
            <w:r w:rsidRPr="003E0B98">
              <w:rPr>
                <w:b/>
                <w:color w:val="000000"/>
                <w:szCs w:val="22"/>
                <w:lang w:val="fr-FR"/>
              </w:rPr>
              <w:t>/Belgique/</w:t>
            </w:r>
            <w:proofErr w:type="spellStart"/>
            <w:r w:rsidRPr="003E0B98">
              <w:rPr>
                <w:b/>
                <w:color w:val="000000"/>
                <w:szCs w:val="22"/>
                <w:lang w:val="fr-FR"/>
              </w:rPr>
              <w:t>Belgien</w:t>
            </w:r>
            <w:proofErr w:type="spellEnd"/>
          </w:p>
          <w:p w14:paraId="73E2B679" w14:textId="77777777" w:rsidR="003F59DD" w:rsidRPr="003E0B98" w:rsidRDefault="003F59DD" w:rsidP="004361AC">
            <w:pPr>
              <w:rPr>
                <w:color w:val="000000"/>
                <w:szCs w:val="22"/>
                <w:lang w:val="fr-FR"/>
              </w:rPr>
            </w:pPr>
            <w:r w:rsidRPr="003E0B98">
              <w:rPr>
                <w:color w:val="000000"/>
                <w:szCs w:val="22"/>
                <w:lang w:val="fr-FR"/>
              </w:rPr>
              <w:t>Novartis Pharma N.V.</w:t>
            </w:r>
          </w:p>
          <w:p w14:paraId="5B7F29E8" w14:textId="77777777" w:rsidR="003F59DD" w:rsidRPr="003E0B98" w:rsidRDefault="003F59DD" w:rsidP="004361AC">
            <w:pPr>
              <w:rPr>
                <w:color w:val="000000"/>
                <w:szCs w:val="22"/>
              </w:rPr>
            </w:pPr>
            <w:proofErr w:type="spellStart"/>
            <w:r w:rsidRPr="003E0B98">
              <w:rPr>
                <w:color w:val="000000"/>
                <w:szCs w:val="22"/>
              </w:rPr>
              <w:t>Tél</w:t>
            </w:r>
            <w:proofErr w:type="spellEnd"/>
            <w:r w:rsidRPr="003E0B98">
              <w:rPr>
                <w:color w:val="000000"/>
                <w:szCs w:val="22"/>
              </w:rPr>
              <w:t>/Tel: +32 2 246 16 11</w:t>
            </w:r>
          </w:p>
          <w:p w14:paraId="38777D20" w14:textId="77777777" w:rsidR="003F59DD" w:rsidRPr="003E0B98" w:rsidRDefault="003F59DD" w:rsidP="004361AC">
            <w:pPr>
              <w:ind w:right="34"/>
              <w:rPr>
                <w:color w:val="000000"/>
                <w:szCs w:val="22"/>
              </w:rPr>
            </w:pPr>
          </w:p>
        </w:tc>
        <w:tc>
          <w:tcPr>
            <w:tcW w:w="4678" w:type="dxa"/>
          </w:tcPr>
          <w:p w14:paraId="5B081847" w14:textId="77777777" w:rsidR="003F59DD" w:rsidRPr="003E0B98" w:rsidRDefault="003F59DD" w:rsidP="004361AC">
            <w:pPr>
              <w:rPr>
                <w:color w:val="000000"/>
                <w:szCs w:val="22"/>
                <w:lang w:val="es-ES"/>
              </w:rPr>
            </w:pPr>
            <w:proofErr w:type="spellStart"/>
            <w:r w:rsidRPr="003E0B98">
              <w:rPr>
                <w:b/>
                <w:color w:val="000000"/>
                <w:szCs w:val="22"/>
                <w:lang w:val="es-ES"/>
              </w:rPr>
              <w:t>Lietuva</w:t>
            </w:r>
            <w:proofErr w:type="spellEnd"/>
          </w:p>
          <w:p w14:paraId="60984BF5" w14:textId="3BF68B54" w:rsidR="003F59DD" w:rsidRPr="003E0B98" w:rsidRDefault="00C83321" w:rsidP="004361AC">
            <w:pPr>
              <w:ind w:right="-449"/>
              <w:rPr>
                <w:color w:val="000000"/>
                <w:szCs w:val="22"/>
                <w:lang w:val="es-ES"/>
              </w:rPr>
            </w:pPr>
            <w:r w:rsidRPr="003E0B98">
              <w:rPr>
                <w:szCs w:val="22"/>
                <w:lang w:val="lt-LT"/>
              </w:rPr>
              <w:t>SIA Novartis Baltics Lietuvos filialas</w:t>
            </w:r>
          </w:p>
          <w:p w14:paraId="4DA6F2FC" w14:textId="77777777" w:rsidR="003F59DD" w:rsidRPr="003E0B98" w:rsidRDefault="003F59DD" w:rsidP="004361AC">
            <w:pPr>
              <w:ind w:right="-449"/>
              <w:rPr>
                <w:color w:val="000000"/>
                <w:szCs w:val="22"/>
                <w:lang w:val="fr-FR"/>
              </w:rPr>
            </w:pPr>
            <w:proofErr w:type="gramStart"/>
            <w:r w:rsidRPr="003E0B98">
              <w:rPr>
                <w:color w:val="000000"/>
                <w:szCs w:val="22"/>
                <w:lang w:val="fr-FR"/>
              </w:rPr>
              <w:t>Tel:</w:t>
            </w:r>
            <w:proofErr w:type="gramEnd"/>
            <w:r w:rsidRPr="003E0B98">
              <w:rPr>
                <w:color w:val="000000"/>
                <w:szCs w:val="22"/>
                <w:lang w:val="fr-FR"/>
              </w:rPr>
              <w:t xml:space="preserve"> +370 5 269 16 50</w:t>
            </w:r>
          </w:p>
          <w:p w14:paraId="18C4867D" w14:textId="77777777" w:rsidR="003F59DD" w:rsidRPr="003E0B98" w:rsidRDefault="003F59DD" w:rsidP="004361AC">
            <w:pPr>
              <w:suppressAutoHyphens/>
              <w:rPr>
                <w:color w:val="000000"/>
                <w:szCs w:val="22"/>
                <w:lang w:val="fr-FR"/>
              </w:rPr>
            </w:pPr>
          </w:p>
        </w:tc>
      </w:tr>
      <w:tr w:rsidR="003F59DD" w:rsidRPr="00174177" w14:paraId="2426B12C" w14:textId="77777777" w:rsidTr="00053135">
        <w:trPr>
          <w:cantSplit/>
        </w:trPr>
        <w:tc>
          <w:tcPr>
            <w:tcW w:w="4503" w:type="dxa"/>
          </w:tcPr>
          <w:p w14:paraId="26A6F9EB" w14:textId="77777777" w:rsidR="003F59DD" w:rsidRPr="003E0B98" w:rsidRDefault="003F59DD" w:rsidP="004361AC">
            <w:pPr>
              <w:rPr>
                <w:b/>
                <w:color w:val="000000"/>
                <w:szCs w:val="22"/>
                <w:lang w:val="es-ES"/>
              </w:rPr>
            </w:pPr>
            <w:proofErr w:type="spellStart"/>
            <w:r w:rsidRPr="003E0B98">
              <w:rPr>
                <w:b/>
                <w:color w:val="000000"/>
                <w:szCs w:val="22"/>
              </w:rPr>
              <w:t>България</w:t>
            </w:r>
            <w:proofErr w:type="spellEnd"/>
          </w:p>
          <w:p w14:paraId="6ECE7619" w14:textId="0B4D346C" w:rsidR="003F59DD" w:rsidRPr="003E0B98" w:rsidRDefault="00C83321" w:rsidP="004361AC">
            <w:pPr>
              <w:rPr>
                <w:color w:val="000000"/>
                <w:szCs w:val="22"/>
                <w:lang w:val="es-ES"/>
              </w:rPr>
            </w:pPr>
            <w:r w:rsidRPr="003E0B98">
              <w:rPr>
                <w:szCs w:val="22"/>
                <w:lang w:val="es-ES"/>
              </w:rPr>
              <w:t>Novartis Bulgaria EOOD</w:t>
            </w:r>
          </w:p>
          <w:p w14:paraId="01959319" w14:textId="77777777" w:rsidR="003F59DD" w:rsidRPr="003E0B98" w:rsidRDefault="003F59DD" w:rsidP="004361AC">
            <w:pPr>
              <w:rPr>
                <w:color w:val="000000"/>
                <w:szCs w:val="22"/>
                <w:lang w:val="es-ES"/>
              </w:rPr>
            </w:pPr>
            <w:r w:rsidRPr="003E0B98">
              <w:rPr>
                <w:color w:val="000000"/>
                <w:szCs w:val="22"/>
              </w:rPr>
              <w:t>Тел</w:t>
            </w:r>
            <w:r w:rsidRPr="003E0B98">
              <w:rPr>
                <w:color w:val="000000"/>
                <w:szCs w:val="22"/>
                <w:lang w:val="es-ES"/>
              </w:rPr>
              <w:t>.: +359 2 489 98 28</w:t>
            </w:r>
          </w:p>
          <w:p w14:paraId="6238DCDA" w14:textId="77777777" w:rsidR="003F59DD" w:rsidRPr="003E0B98" w:rsidRDefault="003F59DD" w:rsidP="004361AC">
            <w:pPr>
              <w:tabs>
                <w:tab w:val="left" w:pos="-720"/>
              </w:tabs>
              <w:suppressAutoHyphens/>
              <w:rPr>
                <w:b/>
                <w:color w:val="000000"/>
                <w:szCs w:val="22"/>
                <w:lang w:val="es-ES"/>
              </w:rPr>
            </w:pPr>
          </w:p>
        </w:tc>
        <w:tc>
          <w:tcPr>
            <w:tcW w:w="4678" w:type="dxa"/>
          </w:tcPr>
          <w:p w14:paraId="3A7D8EEF" w14:textId="77777777" w:rsidR="003F59DD" w:rsidRPr="003E0B98" w:rsidRDefault="003F59DD" w:rsidP="004361AC">
            <w:pPr>
              <w:rPr>
                <w:color w:val="000000"/>
                <w:szCs w:val="22"/>
                <w:lang w:val="de-CH"/>
              </w:rPr>
            </w:pPr>
            <w:r w:rsidRPr="003E0B98">
              <w:rPr>
                <w:b/>
                <w:color w:val="000000"/>
                <w:szCs w:val="22"/>
                <w:lang w:val="de-CH"/>
              </w:rPr>
              <w:t>Luxembourg/Luxemburg</w:t>
            </w:r>
          </w:p>
          <w:p w14:paraId="7DE12FCD" w14:textId="77777777" w:rsidR="003F59DD" w:rsidRPr="003E0B98" w:rsidRDefault="003F59DD" w:rsidP="004361AC">
            <w:pPr>
              <w:rPr>
                <w:color w:val="000000"/>
                <w:szCs w:val="22"/>
                <w:lang w:val="de-CH"/>
              </w:rPr>
            </w:pPr>
            <w:r w:rsidRPr="003E0B98">
              <w:rPr>
                <w:color w:val="000000"/>
                <w:szCs w:val="22"/>
                <w:lang w:val="de-CH"/>
              </w:rPr>
              <w:t>Novartis Pharma N.V.</w:t>
            </w:r>
          </w:p>
          <w:p w14:paraId="42F3C887" w14:textId="77777777" w:rsidR="003F59DD" w:rsidRPr="003E0B98" w:rsidRDefault="003F59DD" w:rsidP="004361AC">
            <w:pPr>
              <w:rPr>
                <w:color w:val="000000"/>
                <w:szCs w:val="22"/>
                <w:lang w:val="es-ES"/>
              </w:rPr>
            </w:pPr>
            <w:proofErr w:type="spellStart"/>
            <w:r w:rsidRPr="003E0B98">
              <w:rPr>
                <w:color w:val="000000"/>
                <w:szCs w:val="22"/>
                <w:lang w:val="es-ES"/>
              </w:rPr>
              <w:t>Tél</w:t>
            </w:r>
            <w:proofErr w:type="spellEnd"/>
            <w:r w:rsidRPr="003E0B98">
              <w:rPr>
                <w:color w:val="000000"/>
                <w:szCs w:val="22"/>
                <w:lang w:val="es-ES"/>
              </w:rPr>
              <w:t>/Tel: +32 2 246 16 11</w:t>
            </w:r>
          </w:p>
          <w:p w14:paraId="1D60C307" w14:textId="77777777" w:rsidR="003F59DD" w:rsidRPr="003E0B98" w:rsidRDefault="003F59DD" w:rsidP="004361AC">
            <w:pPr>
              <w:suppressAutoHyphens/>
              <w:rPr>
                <w:color w:val="000000"/>
                <w:szCs w:val="22"/>
                <w:lang w:val="es-ES"/>
              </w:rPr>
            </w:pPr>
          </w:p>
        </w:tc>
      </w:tr>
      <w:tr w:rsidR="003F59DD" w:rsidRPr="003E0B98" w14:paraId="1CEAC3D4" w14:textId="77777777" w:rsidTr="00053135">
        <w:trPr>
          <w:cantSplit/>
        </w:trPr>
        <w:tc>
          <w:tcPr>
            <w:tcW w:w="4503" w:type="dxa"/>
          </w:tcPr>
          <w:p w14:paraId="7B679F5A" w14:textId="77777777" w:rsidR="003F59DD" w:rsidRPr="003E0B98" w:rsidRDefault="003F59DD" w:rsidP="004361AC">
            <w:pPr>
              <w:tabs>
                <w:tab w:val="left" w:pos="-720"/>
              </w:tabs>
              <w:suppressAutoHyphens/>
              <w:rPr>
                <w:color w:val="000000"/>
                <w:szCs w:val="22"/>
                <w:lang w:val="sv-SE"/>
              </w:rPr>
            </w:pPr>
            <w:r w:rsidRPr="003E0B98">
              <w:rPr>
                <w:b/>
                <w:color w:val="000000"/>
                <w:szCs w:val="22"/>
                <w:lang w:val="sv-SE"/>
              </w:rPr>
              <w:t>Česká republika</w:t>
            </w:r>
          </w:p>
          <w:p w14:paraId="51592CA4" w14:textId="77777777" w:rsidR="003F59DD" w:rsidRPr="003E0B98" w:rsidRDefault="003F59DD" w:rsidP="004361AC">
            <w:pPr>
              <w:tabs>
                <w:tab w:val="left" w:pos="-720"/>
              </w:tabs>
              <w:suppressAutoHyphens/>
              <w:rPr>
                <w:color w:val="000000"/>
                <w:szCs w:val="22"/>
                <w:lang w:val="sv-SE"/>
              </w:rPr>
            </w:pPr>
            <w:r w:rsidRPr="003E0B98">
              <w:rPr>
                <w:color w:val="000000"/>
                <w:szCs w:val="22"/>
                <w:lang w:val="sv-SE"/>
              </w:rPr>
              <w:t>Novartis s.r.o.</w:t>
            </w:r>
          </w:p>
          <w:p w14:paraId="65126D9C" w14:textId="77777777" w:rsidR="003F59DD" w:rsidRPr="003E0B98" w:rsidRDefault="003F59DD" w:rsidP="004361AC">
            <w:pPr>
              <w:rPr>
                <w:color w:val="000000"/>
                <w:szCs w:val="22"/>
              </w:rPr>
            </w:pPr>
            <w:r w:rsidRPr="003E0B98">
              <w:rPr>
                <w:color w:val="000000"/>
                <w:szCs w:val="22"/>
              </w:rPr>
              <w:t>Tel: +420 225 775 111</w:t>
            </w:r>
          </w:p>
          <w:p w14:paraId="0F03F84E" w14:textId="77777777" w:rsidR="003F59DD" w:rsidRPr="003E0B98" w:rsidRDefault="003F59DD" w:rsidP="004361AC">
            <w:pPr>
              <w:tabs>
                <w:tab w:val="left" w:pos="-720"/>
              </w:tabs>
              <w:suppressAutoHyphens/>
              <w:rPr>
                <w:color w:val="000000"/>
                <w:szCs w:val="22"/>
              </w:rPr>
            </w:pPr>
          </w:p>
        </w:tc>
        <w:tc>
          <w:tcPr>
            <w:tcW w:w="4678" w:type="dxa"/>
          </w:tcPr>
          <w:p w14:paraId="26597AC4" w14:textId="77777777" w:rsidR="003F59DD" w:rsidRPr="003E0B98" w:rsidRDefault="003F59DD" w:rsidP="004361AC">
            <w:pPr>
              <w:spacing w:line="260" w:lineRule="atLeast"/>
              <w:rPr>
                <w:b/>
                <w:color w:val="000000"/>
                <w:szCs w:val="22"/>
              </w:rPr>
            </w:pPr>
            <w:proofErr w:type="spellStart"/>
            <w:r w:rsidRPr="003E0B98">
              <w:rPr>
                <w:b/>
                <w:color w:val="000000"/>
                <w:szCs w:val="22"/>
              </w:rPr>
              <w:t>Magyarország</w:t>
            </w:r>
            <w:proofErr w:type="spellEnd"/>
          </w:p>
          <w:p w14:paraId="51C76E0B" w14:textId="2BE0CAFC" w:rsidR="003F59DD" w:rsidRPr="003E0B98" w:rsidRDefault="003F59DD" w:rsidP="004361AC">
            <w:pPr>
              <w:spacing w:line="260" w:lineRule="atLeast"/>
              <w:rPr>
                <w:color w:val="000000"/>
                <w:szCs w:val="22"/>
              </w:rPr>
            </w:pPr>
            <w:r w:rsidRPr="003E0B98">
              <w:rPr>
                <w:color w:val="000000"/>
                <w:szCs w:val="22"/>
              </w:rPr>
              <w:t xml:space="preserve">Novartis </w:t>
            </w:r>
            <w:proofErr w:type="spellStart"/>
            <w:r w:rsidRPr="003E0B98">
              <w:rPr>
                <w:color w:val="000000"/>
                <w:szCs w:val="22"/>
              </w:rPr>
              <w:t>Hungária</w:t>
            </w:r>
            <w:proofErr w:type="spellEnd"/>
            <w:r w:rsidRPr="003E0B98">
              <w:rPr>
                <w:color w:val="000000"/>
                <w:szCs w:val="22"/>
              </w:rPr>
              <w:t xml:space="preserve"> Kft.</w:t>
            </w:r>
          </w:p>
          <w:p w14:paraId="6AD588B7" w14:textId="77777777" w:rsidR="003F59DD" w:rsidRPr="003E0B98" w:rsidRDefault="003F59DD" w:rsidP="004361AC">
            <w:pPr>
              <w:tabs>
                <w:tab w:val="left" w:pos="-720"/>
              </w:tabs>
              <w:suppressAutoHyphens/>
              <w:rPr>
                <w:color w:val="000000"/>
                <w:szCs w:val="22"/>
              </w:rPr>
            </w:pPr>
            <w:r w:rsidRPr="003E0B98">
              <w:rPr>
                <w:color w:val="000000"/>
                <w:szCs w:val="22"/>
              </w:rPr>
              <w:t>Tel.: +36 1 457 65 00</w:t>
            </w:r>
          </w:p>
        </w:tc>
      </w:tr>
      <w:tr w:rsidR="003F59DD" w:rsidRPr="003E0B98" w14:paraId="204B15A2" w14:textId="77777777" w:rsidTr="00053135">
        <w:trPr>
          <w:cantSplit/>
        </w:trPr>
        <w:tc>
          <w:tcPr>
            <w:tcW w:w="4503" w:type="dxa"/>
          </w:tcPr>
          <w:p w14:paraId="75674C7E" w14:textId="77777777" w:rsidR="003F59DD" w:rsidRPr="003E0B98" w:rsidRDefault="003F59DD" w:rsidP="004361AC">
            <w:pPr>
              <w:rPr>
                <w:color w:val="000000"/>
                <w:szCs w:val="22"/>
              </w:rPr>
            </w:pPr>
            <w:r w:rsidRPr="003E0B98">
              <w:rPr>
                <w:b/>
                <w:color w:val="000000"/>
                <w:szCs w:val="22"/>
              </w:rPr>
              <w:t>Danmark</w:t>
            </w:r>
          </w:p>
          <w:p w14:paraId="16EE6B9F" w14:textId="77777777" w:rsidR="003F59DD" w:rsidRPr="003E0B98" w:rsidRDefault="003F59DD" w:rsidP="004361AC">
            <w:pPr>
              <w:rPr>
                <w:color w:val="000000"/>
                <w:szCs w:val="22"/>
              </w:rPr>
            </w:pPr>
            <w:r w:rsidRPr="003E0B98">
              <w:rPr>
                <w:color w:val="000000"/>
                <w:szCs w:val="22"/>
              </w:rPr>
              <w:t>Novartis Healthcare A/S</w:t>
            </w:r>
          </w:p>
          <w:p w14:paraId="53A37153" w14:textId="77777777" w:rsidR="003F59DD" w:rsidRPr="003E0B98" w:rsidRDefault="003F59DD" w:rsidP="004361AC">
            <w:pPr>
              <w:rPr>
                <w:color w:val="000000"/>
                <w:szCs w:val="22"/>
              </w:rPr>
            </w:pPr>
            <w:proofErr w:type="spellStart"/>
            <w:r w:rsidRPr="003E0B98">
              <w:rPr>
                <w:color w:val="000000"/>
                <w:szCs w:val="22"/>
              </w:rPr>
              <w:t>Tlf</w:t>
            </w:r>
            <w:proofErr w:type="spellEnd"/>
            <w:r w:rsidRPr="003E0B98">
              <w:rPr>
                <w:color w:val="000000"/>
                <w:szCs w:val="22"/>
              </w:rPr>
              <w:t>: +45 39 16 84 00</w:t>
            </w:r>
          </w:p>
          <w:p w14:paraId="403F70B1" w14:textId="77777777" w:rsidR="003F59DD" w:rsidRPr="003E0B98" w:rsidRDefault="003F59DD" w:rsidP="004361AC">
            <w:pPr>
              <w:tabs>
                <w:tab w:val="left" w:pos="-720"/>
              </w:tabs>
              <w:suppressAutoHyphens/>
              <w:rPr>
                <w:color w:val="000000"/>
                <w:szCs w:val="22"/>
              </w:rPr>
            </w:pPr>
          </w:p>
        </w:tc>
        <w:tc>
          <w:tcPr>
            <w:tcW w:w="4678" w:type="dxa"/>
          </w:tcPr>
          <w:p w14:paraId="5CD31396" w14:textId="77777777" w:rsidR="003F59DD" w:rsidRPr="003E0B98" w:rsidRDefault="003F59DD" w:rsidP="004361AC">
            <w:pPr>
              <w:tabs>
                <w:tab w:val="left" w:pos="-720"/>
                <w:tab w:val="left" w:pos="4536"/>
              </w:tabs>
              <w:suppressAutoHyphens/>
              <w:rPr>
                <w:b/>
                <w:color w:val="000000"/>
                <w:szCs w:val="22"/>
                <w:lang w:val="es-ES"/>
              </w:rPr>
            </w:pPr>
            <w:r w:rsidRPr="003E0B98">
              <w:rPr>
                <w:b/>
                <w:color w:val="000000"/>
                <w:szCs w:val="22"/>
                <w:lang w:val="es-ES"/>
              </w:rPr>
              <w:t>Malta</w:t>
            </w:r>
          </w:p>
          <w:p w14:paraId="28A340CD" w14:textId="77777777" w:rsidR="003F59DD" w:rsidRPr="003E0B98" w:rsidRDefault="003F59DD" w:rsidP="004361AC">
            <w:pPr>
              <w:rPr>
                <w:color w:val="000000"/>
                <w:szCs w:val="22"/>
                <w:lang w:val="fr-FR"/>
              </w:rPr>
            </w:pPr>
            <w:r w:rsidRPr="003E0B98">
              <w:rPr>
                <w:color w:val="000000"/>
                <w:szCs w:val="22"/>
                <w:lang w:val="fr-FR"/>
              </w:rPr>
              <w:t>Novartis Pharma Services Inc.</w:t>
            </w:r>
          </w:p>
          <w:p w14:paraId="19F9D41D" w14:textId="77777777" w:rsidR="003F59DD" w:rsidRPr="003E0B98" w:rsidRDefault="003F59DD" w:rsidP="004361AC">
            <w:pPr>
              <w:tabs>
                <w:tab w:val="left" w:pos="-720"/>
              </w:tabs>
              <w:suppressAutoHyphens/>
              <w:rPr>
                <w:color w:val="000000"/>
                <w:szCs w:val="22"/>
                <w:lang w:val="fr-FR"/>
              </w:rPr>
            </w:pPr>
            <w:proofErr w:type="gramStart"/>
            <w:r w:rsidRPr="003E0B98">
              <w:rPr>
                <w:color w:val="000000"/>
                <w:szCs w:val="22"/>
                <w:lang w:val="fr-FR"/>
              </w:rPr>
              <w:t>Tel:</w:t>
            </w:r>
            <w:proofErr w:type="gramEnd"/>
            <w:r w:rsidRPr="003E0B98">
              <w:rPr>
                <w:color w:val="000000"/>
                <w:szCs w:val="22"/>
                <w:lang w:val="fr-FR"/>
              </w:rPr>
              <w:t xml:space="preserve"> +356 2122 2872</w:t>
            </w:r>
          </w:p>
        </w:tc>
      </w:tr>
      <w:tr w:rsidR="003F59DD" w:rsidRPr="003C169A" w14:paraId="07325C4E" w14:textId="77777777" w:rsidTr="00053135">
        <w:trPr>
          <w:cantSplit/>
        </w:trPr>
        <w:tc>
          <w:tcPr>
            <w:tcW w:w="4503" w:type="dxa"/>
          </w:tcPr>
          <w:p w14:paraId="7B89AB0F" w14:textId="77777777" w:rsidR="003F59DD" w:rsidRPr="003E0B98" w:rsidRDefault="003F59DD" w:rsidP="004361AC">
            <w:pPr>
              <w:rPr>
                <w:color w:val="000000"/>
                <w:szCs w:val="22"/>
                <w:lang w:val="de-CH"/>
              </w:rPr>
            </w:pPr>
            <w:r w:rsidRPr="003E0B98">
              <w:rPr>
                <w:b/>
                <w:color w:val="000000"/>
                <w:szCs w:val="22"/>
                <w:lang w:val="de-CH"/>
              </w:rPr>
              <w:t>Deutschland</w:t>
            </w:r>
          </w:p>
          <w:p w14:paraId="6B745C07" w14:textId="77777777" w:rsidR="003F59DD" w:rsidRPr="003E0B98" w:rsidRDefault="003F59DD" w:rsidP="004361AC">
            <w:pPr>
              <w:rPr>
                <w:i/>
                <w:color w:val="000000"/>
                <w:szCs w:val="22"/>
                <w:lang w:val="de-CH"/>
              </w:rPr>
            </w:pPr>
            <w:r w:rsidRPr="003E0B98">
              <w:rPr>
                <w:color w:val="000000"/>
                <w:szCs w:val="22"/>
                <w:lang w:val="de-CH"/>
              </w:rPr>
              <w:t>Novartis Pharma GmbH</w:t>
            </w:r>
          </w:p>
          <w:p w14:paraId="69FB62DD" w14:textId="77777777" w:rsidR="003F59DD" w:rsidRPr="003E0B98" w:rsidRDefault="003F59DD" w:rsidP="004361AC">
            <w:pPr>
              <w:rPr>
                <w:color w:val="000000"/>
                <w:szCs w:val="22"/>
                <w:lang w:val="de-CH"/>
              </w:rPr>
            </w:pPr>
            <w:r w:rsidRPr="003E0B98">
              <w:rPr>
                <w:color w:val="000000"/>
                <w:szCs w:val="22"/>
                <w:lang w:val="de-CH"/>
              </w:rPr>
              <w:t>Tel: +49 911 273 0</w:t>
            </w:r>
          </w:p>
          <w:p w14:paraId="6C0CAEE5" w14:textId="77777777" w:rsidR="003F59DD" w:rsidRPr="003E0B98" w:rsidRDefault="003F59DD" w:rsidP="004361AC">
            <w:pPr>
              <w:tabs>
                <w:tab w:val="left" w:pos="-720"/>
              </w:tabs>
              <w:suppressAutoHyphens/>
              <w:rPr>
                <w:color w:val="000000"/>
                <w:szCs w:val="22"/>
                <w:lang w:val="de-CH"/>
              </w:rPr>
            </w:pPr>
          </w:p>
        </w:tc>
        <w:tc>
          <w:tcPr>
            <w:tcW w:w="4678" w:type="dxa"/>
          </w:tcPr>
          <w:p w14:paraId="3D9E75A3" w14:textId="77777777" w:rsidR="003F59DD" w:rsidRPr="003E0B98" w:rsidRDefault="003F59DD" w:rsidP="004361AC">
            <w:pPr>
              <w:suppressAutoHyphens/>
              <w:rPr>
                <w:color w:val="000000"/>
                <w:szCs w:val="22"/>
                <w:lang w:val="sv-SE"/>
              </w:rPr>
            </w:pPr>
            <w:r w:rsidRPr="003E0B98">
              <w:rPr>
                <w:b/>
                <w:color w:val="000000"/>
                <w:szCs w:val="22"/>
                <w:lang w:val="sv-SE"/>
              </w:rPr>
              <w:t>Nederland</w:t>
            </w:r>
          </w:p>
          <w:p w14:paraId="0313BE2B" w14:textId="77777777" w:rsidR="003F59DD" w:rsidRPr="003E0B98" w:rsidRDefault="003F59DD" w:rsidP="004361AC">
            <w:pPr>
              <w:rPr>
                <w:iCs/>
                <w:color w:val="000000"/>
                <w:szCs w:val="22"/>
                <w:lang w:val="sv-SE"/>
              </w:rPr>
            </w:pPr>
            <w:r w:rsidRPr="003E0B98">
              <w:rPr>
                <w:iCs/>
                <w:color w:val="000000"/>
                <w:szCs w:val="22"/>
                <w:lang w:val="sv-SE"/>
              </w:rPr>
              <w:t>Novartis Pharma B.V.</w:t>
            </w:r>
          </w:p>
          <w:p w14:paraId="277323D5" w14:textId="69D7DE6A" w:rsidR="003F59DD" w:rsidRPr="000267EA" w:rsidRDefault="003F59DD" w:rsidP="004361AC">
            <w:pPr>
              <w:rPr>
                <w:color w:val="000000"/>
                <w:szCs w:val="22"/>
                <w:lang w:val="de-CH"/>
              </w:rPr>
            </w:pPr>
            <w:r w:rsidRPr="000267EA">
              <w:rPr>
                <w:color w:val="000000"/>
                <w:szCs w:val="22"/>
                <w:lang w:val="de-CH"/>
              </w:rPr>
              <w:t xml:space="preserve">Tel: +31 </w:t>
            </w:r>
            <w:r w:rsidR="000B137F" w:rsidRPr="000267EA">
              <w:rPr>
                <w:color w:val="000000"/>
                <w:szCs w:val="22"/>
                <w:lang w:val="de-CH"/>
              </w:rPr>
              <w:t xml:space="preserve">88 04 52 </w:t>
            </w:r>
            <w:r w:rsidRPr="000267EA">
              <w:rPr>
                <w:color w:val="000000"/>
                <w:szCs w:val="22"/>
                <w:lang w:val="de-CH"/>
              </w:rPr>
              <w:t>111</w:t>
            </w:r>
          </w:p>
        </w:tc>
      </w:tr>
      <w:tr w:rsidR="003F59DD" w:rsidRPr="003E0B98" w14:paraId="7E481D28" w14:textId="77777777" w:rsidTr="00053135">
        <w:trPr>
          <w:cantSplit/>
        </w:trPr>
        <w:tc>
          <w:tcPr>
            <w:tcW w:w="4503" w:type="dxa"/>
          </w:tcPr>
          <w:p w14:paraId="320BD01D" w14:textId="77777777" w:rsidR="003F59DD" w:rsidRPr="003E0B98" w:rsidRDefault="003F59DD" w:rsidP="004361AC">
            <w:pPr>
              <w:tabs>
                <w:tab w:val="left" w:pos="-720"/>
              </w:tabs>
              <w:suppressAutoHyphens/>
              <w:rPr>
                <w:b/>
                <w:bCs/>
                <w:color w:val="000000"/>
                <w:szCs w:val="22"/>
                <w:lang w:val="fr-FR"/>
              </w:rPr>
            </w:pPr>
            <w:proofErr w:type="spellStart"/>
            <w:r w:rsidRPr="003E0B98">
              <w:rPr>
                <w:b/>
                <w:bCs/>
                <w:color w:val="000000"/>
                <w:szCs w:val="22"/>
                <w:lang w:val="fr-FR"/>
              </w:rPr>
              <w:t>Eesti</w:t>
            </w:r>
            <w:proofErr w:type="spellEnd"/>
          </w:p>
          <w:p w14:paraId="0A3BAFB8" w14:textId="197C838B" w:rsidR="003F59DD" w:rsidRPr="003E0B98" w:rsidRDefault="000B137F" w:rsidP="004361AC">
            <w:pPr>
              <w:tabs>
                <w:tab w:val="left" w:pos="-720"/>
              </w:tabs>
              <w:suppressAutoHyphens/>
              <w:rPr>
                <w:color w:val="000000"/>
                <w:szCs w:val="22"/>
                <w:lang w:val="fr-FR"/>
              </w:rPr>
            </w:pPr>
            <w:r w:rsidRPr="003E0B98">
              <w:rPr>
                <w:szCs w:val="22"/>
                <w:lang w:val="et-EE"/>
              </w:rPr>
              <w:t>SIA Novartis Baltics Eesti filiaal</w:t>
            </w:r>
          </w:p>
          <w:p w14:paraId="2ED0EEC0" w14:textId="77777777" w:rsidR="003F59DD" w:rsidRPr="003E0B98" w:rsidRDefault="003F59DD" w:rsidP="004361AC">
            <w:pPr>
              <w:tabs>
                <w:tab w:val="left" w:pos="-720"/>
              </w:tabs>
              <w:suppressAutoHyphens/>
              <w:rPr>
                <w:color w:val="000000"/>
                <w:szCs w:val="22"/>
                <w:lang w:val="fr-FR"/>
              </w:rPr>
            </w:pPr>
            <w:proofErr w:type="gramStart"/>
            <w:r w:rsidRPr="003E0B98">
              <w:rPr>
                <w:color w:val="000000"/>
                <w:szCs w:val="22"/>
                <w:lang w:val="fr-FR"/>
              </w:rPr>
              <w:t>Tel:</w:t>
            </w:r>
            <w:proofErr w:type="gramEnd"/>
            <w:r w:rsidRPr="003E0B98">
              <w:rPr>
                <w:color w:val="000000"/>
                <w:szCs w:val="22"/>
                <w:lang w:val="fr-FR"/>
              </w:rPr>
              <w:t xml:space="preserve"> +372 66 30 810</w:t>
            </w:r>
          </w:p>
          <w:p w14:paraId="20640B7A" w14:textId="77777777" w:rsidR="003F59DD" w:rsidRPr="003E0B98" w:rsidRDefault="003F59DD" w:rsidP="004361AC">
            <w:pPr>
              <w:tabs>
                <w:tab w:val="left" w:pos="-720"/>
              </w:tabs>
              <w:suppressAutoHyphens/>
              <w:rPr>
                <w:color w:val="000000"/>
                <w:szCs w:val="22"/>
                <w:lang w:val="fr-FR"/>
              </w:rPr>
            </w:pPr>
          </w:p>
        </w:tc>
        <w:tc>
          <w:tcPr>
            <w:tcW w:w="4678" w:type="dxa"/>
          </w:tcPr>
          <w:p w14:paraId="391904FD" w14:textId="77777777" w:rsidR="003F59DD" w:rsidRPr="003E0B98" w:rsidRDefault="003F59DD" w:rsidP="004361AC">
            <w:pPr>
              <w:rPr>
                <w:color w:val="000000"/>
                <w:szCs w:val="22"/>
                <w:lang w:val="sv-SE"/>
              </w:rPr>
            </w:pPr>
            <w:r w:rsidRPr="003E0B98">
              <w:rPr>
                <w:b/>
                <w:color w:val="000000"/>
                <w:szCs w:val="22"/>
                <w:lang w:val="sv-SE"/>
              </w:rPr>
              <w:t>Norge</w:t>
            </w:r>
          </w:p>
          <w:p w14:paraId="0FE12432" w14:textId="77777777" w:rsidR="003F59DD" w:rsidRPr="003E0B98" w:rsidRDefault="003F59DD" w:rsidP="004361AC">
            <w:pPr>
              <w:rPr>
                <w:color w:val="000000"/>
                <w:szCs w:val="22"/>
                <w:lang w:val="sv-SE"/>
              </w:rPr>
            </w:pPr>
            <w:r w:rsidRPr="003E0B98">
              <w:rPr>
                <w:color w:val="000000"/>
                <w:szCs w:val="22"/>
                <w:lang w:val="sv-SE"/>
              </w:rPr>
              <w:t>Novartis Norge AS</w:t>
            </w:r>
          </w:p>
          <w:p w14:paraId="4B36542D" w14:textId="77777777" w:rsidR="003F59DD" w:rsidRPr="003E0B98" w:rsidRDefault="003F59DD" w:rsidP="004361AC">
            <w:pPr>
              <w:tabs>
                <w:tab w:val="left" w:pos="-720"/>
              </w:tabs>
              <w:suppressAutoHyphens/>
              <w:rPr>
                <w:color w:val="000000"/>
                <w:szCs w:val="22"/>
                <w:lang w:val="sv-SE"/>
              </w:rPr>
            </w:pPr>
            <w:r w:rsidRPr="003E0B98">
              <w:rPr>
                <w:color w:val="000000"/>
                <w:szCs w:val="22"/>
                <w:lang w:val="sv-SE"/>
              </w:rPr>
              <w:t>Tlf: +47 23 05 20 00</w:t>
            </w:r>
          </w:p>
        </w:tc>
      </w:tr>
      <w:tr w:rsidR="003F59DD" w:rsidRPr="003C169A" w14:paraId="05A96A24" w14:textId="77777777" w:rsidTr="00053135">
        <w:trPr>
          <w:cantSplit/>
        </w:trPr>
        <w:tc>
          <w:tcPr>
            <w:tcW w:w="4503" w:type="dxa"/>
          </w:tcPr>
          <w:p w14:paraId="2F938D6E" w14:textId="77777777" w:rsidR="003F59DD" w:rsidRPr="003E0B98" w:rsidRDefault="003F59DD" w:rsidP="004361AC">
            <w:pPr>
              <w:rPr>
                <w:color w:val="000000"/>
                <w:szCs w:val="22"/>
                <w:lang w:val="sv-SE"/>
              </w:rPr>
            </w:pPr>
            <w:proofErr w:type="spellStart"/>
            <w:r w:rsidRPr="003E0B98">
              <w:rPr>
                <w:b/>
                <w:color w:val="000000"/>
                <w:szCs w:val="22"/>
              </w:rPr>
              <w:t>Ελλάδ</w:t>
            </w:r>
            <w:proofErr w:type="spellEnd"/>
            <w:r w:rsidRPr="003E0B98">
              <w:rPr>
                <w:b/>
                <w:color w:val="000000"/>
                <w:szCs w:val="22"/>
              </w:rPr>
              <w:t>α</w:t>
            </w:r>
          </w:p>
          <w:p w14:paraId="4AA57F37" w14:textId="77777777" w:rsidR="003F59DD" w:rsidRPr="003E0B98" w:rsidRDefault="003F59DD" w:rsidP="004361AC">
            <w:pPr>
              <w:rPr>
                <w:color w:val="000000"/>
                <w:szCs w:val="22"/>
                <w:lang w:val="sv-SE"/>
              </w:rPr>
            </w:pPr>
            <w:r w:rsidRPr="003E0B98">
              <w:rPr>
                <w:color w:val="000000"/>
                <w:szCs w:val="22"/>
                <w:lang w:val="sv-SE"/>
              </w:rPr>
              <w:t>Novartis (Hellas) A.E.B.E.</w:t>
            </w:r>
          </w:p>
          <w:p w14:paraId="4A0E3B0B" w14:textId="77777777" w:rsidR="003F59DD" w:rsidRPr="003E0B98" w:rsidRDefault="003F59DD" w:rsidP="004361AC">
            <w:pPr>
              <w:rPr>
                <w:color w:val="000000"/>
                <w:szCs w:val="22"/>
              </w:rPr>
            </w:pPr>
            <w:proofErr w:type="spellStart"/>
            <w:r w:rsidRPr="003E0B98">
              <w:rPr>
                <w:color w:val="000000"/>
                <w:szCs w:val="22"/>
              </w:rPr>
              <w:t>Τηλ</w:t>
            </w:r>
            <w:proofErr w:type="spellEnd"/>
            <w:r w:rsidRPr="003E0B98">
              <w:rPr>
                <w:color w:val="000000"/>
                <w:szCs w:val="22"/>
              </w:rPr>
              <w:t>: +30 210 281 17 12</w:t>
            </w:r>
          </w:p>
          <w:p w14:paraId="1EFBFB93" w14:textId="77777777" w:rsidR="003F59DD" w:rsidRPr="003E0B98" w:rsidRDefault="003F59DD" w:rsidP="004361AC">
            <w:pPr>
              <w:tabs>
                <w:tab w:val="left" w:pos="-720"/>
              </w:tabs>
              <w:suppressAutoHyphens/>
              <w:rPr>
                <w:color w:val="000000"/>
                <w:szCs w:val="22"/>
              </w:rPr>
            </w:pPr>
          </w:p>
        </w:tc>
        <w:tc>
          <w:tcPr>
            <w:tcW w:w="4678" w:type="dxa"/>
          </w:tcPr>
          <w:p w14:paraId="43EF036E" w14:textId="77777777" w:rsidR="003F59DD" w:rsidRPr="003E0B98" w:rsidRDefault="003F59DD" w:rsidP="004361AC">
            <w:pPr>
              <w:rPr>
                <w:color w:val="000000"/>
                <w:szCs w:val="22"/>
                <w:lang w:val="de-CH"/>
              </w:rPr>
            </w:pPr>
            <w:r w:rsidRPr="003E0B98">
              <w:rPr>
                <w:b/>
                <w:color w:val="000000"/>
                <w:szCs w:val="22"/>
                <w:lang w:val="de-CH"/>
              </w:rPr>
              <w:t>Österreich</w:t>
            </w:r>
          </w:p>
          <w:p w14:paraId="4363624F" w14:textId="77777777" w:rsidR="003F59DD" w:rsidRPr="003E0B98" w:rsidRDefault="003F59DD" w:rsidP="004361AC">
            <w:pPr>
              <w:rPr>
                <w:i/>
                <w:color w:val="000000"/>
                <w:szCs w:val="22"/>
                <w:lang w:val="de-CH"/>
              </w:rPr>
            </w:pPr>
            <w:r w:rsidRPr="003E0B98">
              <w:rPr>
                <w:color w:val="000000"/>
                <w:szCs w:val="22"/>
                <w:lang w:val="de-CH"/>
              </w:rPr>
              <w:t>Novartis Pharma GmbH</w:t>
            </w:r>
          </w:p>
          <w:p w14:paraId="56BF5840" w14:textId="77777777" w:rsidR="003F59DD" w:rsidRPr="003E0B98" w:rsidRDefault="003F59DD" w:rsidP="004361AC">
            <w:pPr>
              <w:rPr>
                <w:color w:val="000000"/>
                <w:szCs w:val="22"/>
                <w:lang w:val="de-CH"/>
              </w:rPr>
            </w:pPr>
            <w:r w:rsidRPr="003E0B98">
              <w:rPr>
                <w:color w:val="000000"/>
                <w:szCs w:val="22"/>
                <w:lang w:val="de-CH"/>
              </w:rPr>
              <w:t>Tel: +43 1 86 6570</w:t>
            </w:r>
          </w:p>
        </w:tc>
      </w:tr>
      <w:tr w:rsidR="003F59DD" w:rsidRPr="003E0B98" w14:paraId="1554D510" w14:textId="77777777" w:rsidTr="00053135">
        <w:trPr>
          <w:cantSplit/>
        </w:trPr>
        <w:tc>
          <w:tcPr>
            <w:tcW w:w="4503" w:type="dxa"/>
          </w:tcPr>
          <w:p w14:paraId="4F59A737" w14:textId="77777777" w:rsidR="003F59DD" w:rsidRPr="003E0B98" w:rsidRDefault="003F59DD" w:rsidP="004361AC">
            <w:pPr>
              <w:tabs>
                <w:tab w:val="left" w:pos="-720"/>
                <w:tab w:val="left" w:pos="4536"/>
              </w:tabs>
              <w:suppressAutoHyphens/>
              <w:rPr>
                <w:b/>
                <w:color w:val="000000"/>
                <w:szCs w:val="22"/>
                <w:lang w:val="es-ES"/>
              </w:rPr>
            </w:pPr>
            <w:r w:rsidRPr="003E0B98">
              <w:rPr>
                <w:b/>
                <w:color w:val="000000"/>
                <w:szCs w:val="22"/>
                <w:lang w:val="es-ES"/>
              </w:rPr>
              <w:t>España</w:t>
            </w:r>
          </w:p>
          <w:p w14:paraId="3D70D567" w14:textId="77777777" w:rsidR="003F59DD" w:rsidRPr="003E0B98" w:rsidRDefault="003F59DD" w:rsidP="004361AC">
            <w:pPr>
              <w:rPr>
                <w:color w:val="000000"/>
                <w:szCs w:val="22"/>
                <w:lang w:val="es-ES"/>
              </w:rPr>
            </w:pPr>
            <w:r w:rsidRPr="003E0B98">
              <w:rPr>
                <w:color w:val="000000"/>
                <w:szCs w:val="22"/>
                <w:lang w:val="es-ES"/>
              </w:rPr>
              <w:t>Novartis Farmacéutica, S.A.</w:t>
            </w:r>
          </w:p>
          <w:p w14:paraId="2CB7A3E4" w14:textId="77777777" w:rsidR="003F59DD" w:rsidRPr="003E0B98" w:rsidRDefault="003F59DD" w:rsidP="004361AC">
            <w:pPr>
              <w:rPr>
                <w:color w:val="000000"/>
                <w:szCs w:val="22"/>
              </w:rPr>
            </w:pPr>
            <w:r w:rsidRPr="003E0B98">
              <w:rPr>
                <w:color w:val="000000"/>
                <w:szCs w:val="22"/>
              </w:rPr>
              <w:t>Tel: +34 93 306 42 00</w:t>
            </w:r>
          </w:p>
          <w:p w14:paraId="1C1722A5" w14:textId="77777777" w:rsidR="003F59DD" w:rsidRPr="003E0B98" w:rsidRDefault="003F59DD" w:rsidP="004361AC">
            <w:pPr>
              <w:tabs>
                <w:tab w:val="left" w:pos="-720"/>
              </w:tabs>
              <w:suppressAutoHyphens/>
              <w:rPr>
                <w:color w:val="000000"/>
                <w:szCs w:val="22"/>
              </w:rPr>
            </w:pPr>
          </w:p>
        </w:tc>
        <w:tc>
          <w:tcPr>
            <w:tcW w:w="4678" w:type="dxa"/>
          </w:tcPr>
          <w:p w14:paraId="3E98CBFD" w14:textId="77777777" w:rsidR="003F59DD" w:rsidRPr="003E0B98" w:rsidRDefault="003F59DD" w:rsidP="004361AC">
            <w:pPr>
              <w:rPr>
                <w:b/>
                <w:color w:val="000000"/>
                <w:szCs w:val="22"/>
                <w:lang w:val="sv-SE"/>
              </w:rPr>
            </w:pPr>
            <w:r w:rsidRPr="003E0B98">
              <w:rPr>
                <w:b/>
                <w:color w:val="000000"/>
                <w:szCs w:val="22"/>
                <w:lang w:val="sv-SE"/>
              </w:rPr>
              <w:t>Polska</w:t>
            </w:r>
          </w:p>
          <w:p w14:paraId="06D67DA8" w14:textId="77777777" w:rsidR="003F59DD" w:rsidRPr="003E0B98" w:rsidRDefault="003F59DD" w:rsidP="004361AC">
            <w:pPr>
              <w:rPr>
                <w:color w:val="000000"/>
                <w:szCs w:val="22"/>
                <w:lang w:val="sv-SE"/>
              </w:rPr>
            </w:pPr>
            <w:r w:rsidRPr="003E0B98">
              <w:rPr>
                <w:color w:val="000000"/>
                <w:szCs w:val="22"/>
                <w:lang w:val="sv-SE"/>
              </w:rPr>
              <w:t>Novartis Poland Sp. z o.o.</w:t>
            </w:r>
          </w:p>
          <w:p w14:paraId="6D9F5A37" w14:textId="77777777" w:rsidR="003F59DD" w:rsidRPr="003E0B98" w:rsidRDefault="003F59DD" w:rsidP="004361AC">
            <w:pPr>
              <w:rPr>
                <w:color w:val="000000"/>
                <w:szCs w:val="22"/>
                <w:lang w:val="fr-CH"/>
              </w:rPr>
            </w:pPr>
            <w:r w:rsidRPr="003E0B98">
              <w:rPr>
                <w:color w:val="000000"/>
                <w:szCs w:val="22"/>
                <w:lang w:val="fr-CH"/>
              </w:rPr>
              <w:t>Tel</w:t>
            </w:r>
            <w:proofErr w:type="gramStart"/>
            <w:r w:rsidRPr="003E0B98">
              <w:rPr>
                <w:color w:val="000000"/>
                <w:szCs w:val="22"/>
                <w:lang w:val="fr-CH"/>
              </w:rPr>
              <w:t>.:</w:t>
            </w:r>
            <w:proofErr w:type="gramEnd"/>
            <w:r w:rsidRPr="003E0B98">
              <w:rPr>
                <w:color w:val="000000"/>
                <w:szCs w:val="22"/>
                <w:lang w:val="fr-CH"/>
              </w:rPr>
              <w:t xml:space="preserve"> +48 22 </w:t>
            </w:r>
            <w:r w:rsidRPr="003E0B98">
              <w:rPr>
                <w:szCs w:val="22"/>
                <w:lang w:val="fr-CH"/>
              </w:rPr>
              <w:t>375 4888</w:t>
            </w:r>
          </w:p>
        </w:tc>
      </w:tr>
      <w:tr w:rsidR="003F59DD" w:rsidRPr="003E0B98" w14:paraId="12C80B77" w14:textId="77777777" w:rsidTr="00053135">
        <w:trPr>
          <w:cantSplit/>
        </w:trPr>
        <w:tc>
          <w:tcPr>
            <w:tcW w:w="4503" w:type="dxa"/>
          </w:tcPr>
          <w:p w14:paraId="727E7BA2" w14:textId="77777777" w:rsidR="003F59DD" w:rsidRPr="003E0B98" w:rsidRDefault="003F59DD" w:rsidP="004361AC">
            <w:pPr>
              <w:tabs>
                <w:tab w:val="left" w:pos="-720"/>
                <w:tab w:val="left" w:pos="4536"/>
              </w:tabs>
              <w:suppressAutoHyphens/>
              <w:rPr>
                <w:b/>
                <w:color w:val="000000"/>
                <w:szCs w:val="22"/>
                <w:lang w:val="fr-FR"/>
              </w:rPr>
            </w:pPr>
            <w:r w:rsidRPr="003E0B98">
              <w:rPr>
                <w:b/>
                <w:color w:val="000000"/>
                <w:szCs w:val="22"/>
                <w:lang w:val="fr-FR"/>
              </w:rPr>
              <w:t>France</w:t>
            </w:r>
          </w:p>
          <w:p w14:paraId="7959F839" w14:textId="77777777" w:rsidR="003F59DD" w:rsidRPr="003E0B98" w:rsidRDefault="003F59DD" w:rsidP="004361AC">
            <w:pPr>
              <w:rPr>
                <w:color w:val="000000"/>
                <w:szCs w:val="22"/>
                <w:lang w:val="fr-FR"/>
              </w:rPr>
            </w:pPr>
            <w:r w:rsidRPr="003E0B98">
              <w:rPr>
                <w:color w:val="000000"/>
                <w:szCs w:val="22"/>
                <w:lang w:val="fr-FR"/>
              </w:rPr>
              <w:t>Novartis Pharma S.A.S.</w:t>
            </w:r>
          </w:p>
          <w:p w14:paraId="0B94A503" w14:textId="77777777" w:rsidR="003F59DD" w:rsidRPr="003E0B98" w:rsidRDefault="003F59DD" w:rsidP="004361AC">
            <w:pPr>
              <w:rPr>
                <w:color w:val="000000"/>
                <w:szCs w:val="22"/>
                <w:lang w:val="fr-FR"/>
              </w:rPr>
            </w:pPr>
            <w:proofErr w:type="gramStart"/>
            <w:r w:rsidRPr="003E0B98">
              <w:rPr>
                <w:color w:val="000000"/>
                <w:szCs w:val="22"/>
                <w:lang w:val="fr-FR"/>
              </w:rPr>
              <w:t>Tél:</w:t>
            </w:r>
            <w:proofErr w:type="gramEnd"/>
            <w:r w:rsidRPr="003E0B98">
              <w:rPr>
                <w:color w:val="000000"/>
                <w:szCs w:val="22"/>
                <w:lang w:val="fr-FR"/>
              </w:rPr>
              <w:t xml:space="preserve"> +33 1 55 47 66 00</w:t>
            </w:r>
          </w:p>
          <w:p w14:paraId="608B12C5" w14:textId="77777777" w:rsidR="003F59DD" w:rsidRPr="003E0B98" w:rsidRDefault="003F59DD" w:rsidP="004361AC">
            <w:pPr>
              <w:rPr>
                <w:b/>
                <w:color w:val="000000"/>
                <w:szCs w:val="22"/>
                <w:lang w:val="fr-FR"/>
              </w:rPr>
            </w:pPr>
          </w:p>
        </w:tc>
        <w:tc>
          <w:tcPr>
            <w:tcW w:w="4678" w:type="dxa"/>
          </w:tcPr>
          <w:p w14:paraId="525BEFA0" w14:textId="77777777" w:rsidR="003F59DD" w:rsidRPr="003E0B98" w:rsidRDefault="003F59DD" w:rsidP="004361AC">
            <w:pPr>
              <w:rPr>
                <w:color w:val="000000"/>
                <w:szCs w:val="22"/>
                <w:lang w:val="es-ES"/>
              </w:rPr>
            </w:pPr>
            <w:r w:rsidRPr="003E0B98">
              <w:rPr>
                <w:b/>
                <w:color w:val="000000"/>
                <w:szCs w:val="22"/>
                <w:lang w:val="es-ES"/>
              </w:rPr>
              <w:t>Portugal</w:t>
            </w:r>
          </w:p>
          <w:p w14:paraId="2C04A1B8" w14:textId="77777777" w:rsidR="003F59DD" w:rsidRPr="003E0B98" w:rsidRDefault="003F59DD" w:rsidP="004361AC">
            <w:pPr>
              <w:pStyle w:val="Text"/>
              <w:spacing w:before="0"/>
              <w:rPr>
                <w:color w:val="000000"/>
                <w:sz w:val="22"/>
                <w:szCs w:val="22"/>
                <w:lang w:val="es-ES" w:eastAsia="en-US"/>
              </w:rPr>
            </w:pPr>
            <w:r w:rsidRPr="003E0B98">
              <w:rPr>
                <w:color w:val="000000"/>
                <w:sz w:val="22"/>
                <w:szCs w:val="22"/>
                <w:lang w:val="es-ES" w:eastAsia="en-US"/>
              </w:rPr>
              <w:t xml:space="preserve">Novartis </w:t>
            </w:r>
            <w:proofErr w:type="spellStart"/>
            <w:r w:rsidRPr="003E0B98">
              <w:rPr>
                <w:color w:val="000000"/>
                <w:sz w:val="22"/>
                <w:szCs w:val="22"/>
                <w:lang w:val="es-ES" w:eastAsia="en-US"/>
              </w:rPr>
              <w:t>Farma</w:t>
            </w:r>
            <w:proofErr w:type="spellEnd"/>
            <w:r w:rsidRPr="003E0B98">
              <w:rPr>
                <w:color w:val="000000"/>
                <w:sz w:val="22"/>
                <w:szCs w:val="22"/>
                <w:lang w:val="es-ES" w:eastAsia="en-US"/>
              </w:rPr>
              <w:t xml:space="preserve"> - </w:t>
            </w:r>
            <w:proofErr w:type="spellStart"/>
            <w:r w:rsidRPr="003E0B98">
              <w:rPr>
                <w:color w:val="000000"/>
                <w:sz w:val="22"/>
                <w:szCs w:val="22"/>
                <w:lang w:val="es-ES" w:eastAsia="en-US"/>
              </w:rPr>
              <w:t>Produtos</w:t>
            </w:r>
            <w:proofErr w:type="spellEnd"/>
            <w:r w:rsidRPr="003E0B98">
              <w:rPr>
                <w:color w:val="000000"/>
                <w:sz w:val="22"/>
                <w:szCs w:val="22"/>
                <w:lang w:val="es-ES" w:eastAsia="en-US"/>
              </w:rPr>
              <w:t xml:space="preserve"> </w:t>
            </w:r>
            <w:proofErr w:type="spellStart"/>
            <w:r w:rsidRPr="003E0B98">
              <w:rPr>
                <w:color w:val="000000"/>
                <w:sz w:val="22"/>
                <w:szCs w:val="22"/>
                <w:lang w:val="es-ES" w:eastAsia="en-US"/>
              </w:rPr>
              <w:t>Farmacêuticos</w:t>
            </w:r>
            <w:proofErr w:type="spellEnd"/>
            <w:r w:rsidRPr="003E0B98">
              <w:rPr>
                <w:color w:val="000000"/>
                <w:sz w:val="22"/>
                <w:szCs w:val="22"/>
                <w:lang w:val="es-ES" w:eastAsia="en-US"/>
              </w:rPr>
              <w:t>, S.A.</w:t>
            </w:r>
          </w:p>
          <w:p w14:paraId="48BCEC74" w14:textId="77777777" w:rsidR="003F59DD" w:rsidRPr="003E0B98" w:rsidRDefault="003F59DD" w:rsidP="004361AC">
            <w:pPr>
              <w:tabs>
                <w:tab w:val="left" w:pos="-720"/>
              </w:tabs>
              <w:suppressAutoHyphens/>
              <w:rPr>
                <w:color w:val="000000"/>
                <w:szCs w:val="22"/>
              </w:rPr>
            </w:pPr>
            <w:r w:rsidRPr="003E0B98">
              <w:rPr>
                <w:color w:val="000000"/>
                <w:szCs w:val="22"/>
              </w:rPr>
              <w:t>Tel: +351 21 000 8600</w:t>
            </w:r>
          </w:p>
        </w:tc>
      </w:tr>
      <w:tr w:rsidR="003F59DD" w:rsidRPr="003E0B98" w14:paraId="53F234EB" w14:textId="77777777" w:rsidTr="00053135">
        <w:trPr>
          <w:cantSplit/>
        </w:trPr>
        <w:tc>
          <w:tcPr>
            <w:tcW w:w="4503" w:type="dxa"/>
          </w:tcPr>
          <w:p w14:paraId="1F6C883C" w14:textId="77777777" w:rsidR="003F59DD" w:rsidRPr="003E0B98" w:rsidRDefault="003F59DD" w:rsidP="004361AC">
            <w:pPr>
              <w:rPr>
                <w:rFonts w:eastAsia="PMingLiU"/>
                <w:b/>
                <w:lang w:val="sv-SE"/>
              </w:rPr>
            </w:pPr>
            <w:r w:rsidRPr="003E0B98">
              <w:rPr>
                <w:rFonts w:eastAsia="PMingLiU"/>
                <w:b/>
                <w:lang w:val="sv-SE"/>
              </w:rPr>
              <w:t>Hrvatska</w:t>
            </w:r>
          </w:p>
          <w:p w14:paraId="21B31B86" w14:textId="77777777" w:rsidR="003F59DD" w:rsidRPr="003E0B98" w:rsidRDefault="003F59DD" w:rsidP="004361AC">
            <w:pPr>
              <w:rPr>
                <w:lang w:val="sv-SE"/>
              </w:rPr>
            </w:pPr>
            <w:r w:rsidRPr="003E0B98">
              <w:rPr>
                <w:lang w:val="sv-SE"/>
              </w:rPr>
              <w:t>Novartis Hrvatska d.o.o.</w:t>
            </w:r>
          </w:p>
          <w:p w14:paraId="6F33A038" w14:textId="77777777" w:rsidR="003F59DD" w:rsidRPr="003E0B98" w:rsidRDefault="003F59DD" w:rsidP="004361AC">
            <w:r w:rsidRPr="003E0B98">
              <w:t>Tel. +385 1 6274 220</w:t>
            </w:r>
          </w:p>
          <w:p w14:paraId="2A967B8E" w14:textId="77777777" w:rsidR="003F59DD" w:rsidRPr="003E0B98" w:rsidRDefault="003F59DD" w:rsidP="004361AC">
            <w:pPr>
              <w:rPr>
                <w:b/>
                <w:color w:val="000000"/>
                <w:szCs w:val="22"/>
              </w:rPr>
            </w:pPr>
          </w:p>
        </w:tc>
        <w:tc>
          <w:tcPr>
            <w:tcW w:w="4678" w:type="dxa"/>
          </w:tcPr>
          <w:p w14:paraId="6A0ED01F" w14:textId="77777777" w:rsidR="003F59DD" w:rsidRPr="003E0B98" w:rsidRDefault="003F59DD" w:rsidP="004361AC">
            <w:pPr>
              <w:autoSpaceDE w:val="0"/>
              <w:autoSpaceDN w:val="0"/>
              <w:adjustRightInd w:val="0"/>
              <w:spacing w:line="240" w:lineRule="atLeast"/>
              <w:rPr>
                <w:b/>
                <w:bCs/>
                <w:color w:val="000000"/>
                <w:szCs w:val="22"/>
                <w:lang w:val="fr-FR"/>
              </w:rPr>
            </w:pPr>
            <w:proofErr w:type="spellStart"/>
            <w:r w:rsidRPr="003E0B98">
              <w:rPr>
                <w:b/>
                <w:bCs/>
                <w:color w:val="000000"/>
                <w:szCs w:val="22"/>
                <w:lang w:val="fr-FR"/>
              </w:rPr>
              <w:t>România</w:t>
            </w:r>
            <w:proofErr w:type="spellEnd"/>
          </w:p>
          <w:p w14:paraId="555337C9" w14:textId="77777777" w:rsidR="003F59DD" w:rsidRPr="003E0B98" w:rsidRDefault="003F59DD" w:rsidP="004361AC">
            <w:pPr>
              <w:autoSpaceDE w:val="0"/>
              <w:autoSpaceDN w:val="0"/>
              <w:adjustRightInd w:val="0"/>
              <w:spacing w:line="240" w:lineRule="atLeast"/>
              <w:rPr>
                <w:color w:val="000000"/>
                <w:szCs w:val="22"/>
                <w:lang w:val="fr-FR"/>
              </w:rPr>
            </w:pPr>
            <w:r w:rsidRPr="003E0B98">
              <w:rPr>
                <w:color w:val="000000"/>
                <w:szCs w:val="22"/>
                <w:lang w:val="fr-FR"/>
              </w:rPr>
              <w:t xml:space="preserve">Novartis Pharma Services </w:t>
            </w:r>
            <w:r w:rsidRPr="003E0B98">
              <w:rPr>
                <w:color w:val="2F2F2F"/>
                <w:szCs w:val="22"/>
                <w:lang w:val="es-ES"/>
              </w:rPr>
              <w:t>Romania SRL</w:t>
            </w:r>
          </w:p>
          <w:p w14:paraId="749003E4" w14:textId="77777777" w:rsidR="003F59DD" w:rsidRPr="003E0B98" w:rsidRDefault="003F59DD" w:rsidP="004361AC">
            <w:pPr>
              <w:tabs>
                <w:tab w:val="left" w:pos="-720"/>
              </w:tabs>
              <w:suppressAutoHyphens/>
              <w:rPr>
                <w:color w:val="000000"/>
                <w:szCs w:val="22"/>
                <w:lang w:val="fr-FR"/>
              </w:rPr>
            </w:pPr>
            <w:proofErr w:type="gramStart"/>
            <w:r w:rsidRPr="003E0B98">
              <w:rPr>
                <w:color w:val="000000"/>
                <w:szCs w:val="22"/>
                <w:lang w:val="fr-FR"/>
              </w:rPr>
              <w:t>Tel:</w:t>
            </w:r>
            <w:proofErr w:type="gramEnd"/>
            <w:r w:rsidRPr="003E0B98">
              <w:rPr>
                <w:color w:val="000000"/>
                <w:szCs w:val="22"/>
                <w:lang w:val="fr-FR"/>
              </w:rPr>
              <w:t xml:space="preserve"> +40 21 31299 01</w:t>
            </w:r>
          </w:p>
        </w:tc>
      </w:tr>
      <w:tr w:rsidR="003F59DD" w:rsidRPr="003E0B98" w14:paraId="6663F4D5" w14:textId="77777777" w:rsidTr="00053135">
        <w:trPr>
          <w:cantSplit/>
        </w:trPr>
        <w:tc>
          <w:tcPr>
            <w:tcW w:w="4503" w:type="dxa"/>
          </w:tcPr>
          <w:p w14:paraId="0DE4F537" w14:textId="77777777" w:rsidR="003F59DD" w:rsidRPr="003E0B98" w:rsidRDefault="003F59DD" w:rsidP="004361AC">
            <w:pPr>
              <w:rPr>
                <w:color w:val="000000"/>
                <w:szCs w:val="22"/>
              </w:rPr>
            </w:pPr>
            <w:r w:rsidRPr="003E0B98">
              <w:rPr>
                <w:b/>
                <w:color w:val="000000"/>
                <w:szCs w:val="22"/>
              </w:rPr>
              <w:t>Ireland</w:t>
            </w:r>
          </w:p>
          <w:p w14:paraId="239FEA4B" w14:textId="77777777" w:rsidR="003F59DD" w:rsidRPr="003E0B98" w:rsidRDefault="003F59DD" w:rsidP="004361AC">
            <w:pPr>
              <w:rPr>
                <w:color w:val="000000"/>
                <w:szCs w:val="22"/>
              </w:rPr>
            </w:pPr>
            <w:r w:rsidRPr="003E0B98">
              <w:rPr>
                <w:color w:val="000000"/>
                <w:szCs w:val="22"/>
              </w:rPr>
              <w:t>Novartis Ireland Limited</w:t>
            </w:r>
          </w:p>
          <w:p w14:paraId="48EBF246" w14:textId="77777777" w:rsidR="003F59DD" w:rsidRPr="003E0B98" w:rsidRDefault="003F59DD" w:rsidP="004361AC">
            <w:pPr>
              <w:rPr>
                <w:color w:val="000000"/>
                <w:szCs w:val="22"/>
              </w:rPr>
            </w:pPr>
            <w:r w:rsidRPr="003E0B98">
              <w:rPr>
                <w:color w:val="000000"/>
                <w:szCs w:val="22"/>
              </w:rPr>
              <w:t>Tel: +353 1 260 12 55</w:t>
            </w:r>
          </w:p>
          <w:p w14:paraId="1EBA35A8" w14:textId="77777777" w:rsidR="003F59DD" w:rsidRPr="003E0B98" w:rsidRDefault="003F59DD" w:rsidP="004361AC">
            <w:pPr>
              <w:tabs>
                <w:tab w:val="left" w:pos="-720"/>
              </w:tabs>
              <w:suppressAutoHyphens/>
              <w:rPr>
                <w:color w:val="000000"/>
                <w:szCs w:val="22"/>
              </w:rPr>
            </w:pPr>
          </w:p>
        </w:tc>
        <w:tc>
          <w:tcPr>
            <w:tcW w:w="4678" w:type="dxa"/>
          </w:tcPr>
          <w:p w14:paraId="68A939C8" w14:textId="77777777" w:rsidR="003F59DD" w:rsidRPr="003E0B98" w:rsidRDefault="003F59DD" w:rsidP="004361AC">
            <w:pPr>
              <w:rPr>
                <w:color w:val="000000"/>
                <w:szCs w:val="22"/>
                <w:lang w:val="es-ES"/>
              </w:rPr>
            </w:pPr>
            <w:proofErr w:type="spellStart"/>
            <w:r w:rsidRPr="003E0B98">
              <w:rPr>
                <w:b/>
                <w:color w:val="000000"/>
                <w:szCs w:val="22"/>
                <w:lang w:val="es-ES"/>
              </w:rPr>
              <w:t>Slovenija</w:t>
            </w:r>
            <w:proofErr w:type="spellEnd"/>
          </w:p>
          <w:p w14:paraId="3F1A9FFF" w14:textId="77777777" w:rsidR="003F59DD" w:rsidRPr="003E0B98" w:rsidRDefault="003F59DD" w:rsidP="004361AC">
            <w:pPr>
              <w:rPr>
                <w:color w:val="000000"/>
                <w:szCs w:val="22"/>
                <w:lang w:val="es-ES"/>
              </w:rPr>
            </w:pPr>
            <w:r w:rsidRPr="003E0B98">
              <w:rPr>
                <w:color w:val="000000"/>
                <w:szCs w:val="22"/>
                <w:lang w:val="es-ES"/>
              </w:rPr>
              <w:t xml:space="preserve">Novartis </w:t>
            </w:r>
            <w:proofErr w:type="spellStart"/>
            <w:r w:rsidRPr="003E0B98">
              <w:rPr>
                <w:color w:val="000000"/>
                <w:szCs w:val="22"/>
                <w:lang w:val="es-ES"/>
              </w:rPr>
              <w:t>Pharma</w:t>
            </w:r>
            <w:proofErr w:type="spellEnd"/>
            <w:r w:rsidRPr="003E0B98">
              <w:rPr>
                <w:color w:val="000000"/>
                <w:szCs w:val="22"/>
                <w:lang w:val="es-ES"/>
              </w:rPr>
              <w:t xml:space="preserve"> </w:t>
            </w:r>
            <w:proofErr w:type="spellStart"/>
            <w:r w:rsidRPr="003E0B98">
              <w:rPr>
                <w:color w:val="000000"/>
                <w:szCs w:val="22"/>
                <w:lang w:val="es-ES"/>
              </w:rPr>
              <w:t>Services</w:t>
            </w:r>
            <w:proofErr w:type="spellEnd"/>
            <w:r w:rsidRPr="003E0B98">
              <w:rPr>
                <w:color w:val="000000"/>
                <w:szCs w:val="22"/>
                <w:lang w:val="es-ES"/>
              </w:rPr>
              <w:t xml:space="preserve"> Inc.</w:t>
            </w:r>
          </w:p>
          <w:p w14:paraId="7B78DA84" w14:textId="77777777" w:rsidR="003F59DD" w:rsidRPr="003E0B98" w:rsidRDefault="003F59DD" w:rsidP="004361AC">
            <w:pPr>
              <w:rPr>
                <w:color w:val="000000"/>
                <w:szCs w:val="22"/>
              </w:rPr>
            </w:pPr>
            <w:r w:rsidRPr="003E0B98">
              <w:rPr>
                <w:color w:val="000000"/>
                <w:szCs w:val="22"/>
              </w:rPr>
              <w:t>Tel: +386 1 300 75 50</w:t>
            </w:r>
          </w:p>
        </w:tc>
      </w:tr>
      <w:tr w:rsidR="003F59DD" w:rsidRPr="003E0B98" w14:paraId="5D398474" w14:textId="77777777" w:rsidTr="00053135">
        <w:trPr>
          <w:cantSplit/>
        </w:trPr>
        <w:tc>
          <w:tcPr>
            <w:tcW w:w="4503" w:type="dxa"/>
          </w:tcPr>
          <w:p w14:paraId="23B48B63" w14:textId="77777777" w:rsidR="003F59DD" w:rsidRPr="003E0B98" w:rsidRDefault="003F59DD" w:rsidP="004361AC">
            <w:pPr>
              <w:rPr>
                <w:b/>
                <w:color w:val="000000"/>
                <w:szCs w:val="22"/>
              </w:rPr>
            </w:pPr>
            <w:proofErr w:type="spellStart"/>
            <w:r w:rsidRPr="003E0B98">
              <w:rPr>
                <w:b/>
                <w:color w:val="000000"/>
                <w:szCs w:val="22"/>
              </w:rPr>
              <w:t>Ísland</w:t>
            </w:r>
            <w:proofErr w:type="spellEnd"/>
          </w:p>
          <w:p w14:paraId="6054200B" w14:textId="77777777" w:rsidR="003F59DD" w:rsidRPr="003E0B98" w:rsidRDefault="003F59DD" w:rsidP="004361AC">
            <w:pPr>
              <w:rPr>
                <w:color w:val="000000"/>
                <w:szCs w:val="22"/>
              </w:rPr>
            </w:pPr>
            <w:proofErr w:type="spellStart"/>
            <w:r w:rsidRPr="003E0B98">
              <w:rPr>
                <w:color w:val="000000"/>
                <w:szCs w:val="22"/>
              </w:rPr>
              <w:t>Vistor</w:t>
            </w:r>
            <w:proofErr w:type="spellEnd"/>
            <w:r w:rsidRPr="003E0B98">
              <w:rPr>
                <w:color w:val="000000"/>
                <w:szCs w:val="22"/>
              </w:rPr>
              <w:t xml:space="preserve"> hf.</w:t>
            </w:r>
          </w:p>
          <w:p w14:paraId="165E1FFD" w14:textId="77777777" w:rsidR="003F59DD" w:rsidRPr="003E0B98" w:rsidRDefault="003F59DD" w:rsidP="004361AC">
            <w:pPr>
              <w:tabs>
                <w:tab w:val="left" w:pos="-720"/>
              </w:tabs>
              <w:suppressAutoHyphens/>
              <w:rPr>
                <w:color w:val="000000"/>
                <w:szCs w:val="22"/>
              </w:rPr>
            </w:pPr>
            <w:proofErr w:type="spellStart"/>
            <w:r w:rsidRPr="003E0B98">
              <w:rPr>
                <w:color w:val="000000"/>
                <w:szCs w:val="22"/>
              </w:rPr>
              <w:t>Sími</w:t>
            </w:r>
            <w:proofErr w:type="spellEnd"/>
            <w:r w:rsidRPr="003E0B98">
              <w:rPr>
                <w:color w:val="000000"/>
                <w:szCs w:val="22"/>
              </w:rPr>
              <w:t>: +354 535 7000</w:t>
            </w:r>
          </w:p>
          <w:p w14:paraId="33FDE628" w14:textId="77777777" w:rsidR="003F59DD" w:rsidRPr="003E0B98" w:rsidRDefault="003F59DD" w:rsidP="004361AC">
            <w:pPr>
              <w:rPr>
                <w:b/>
                <w:color w:val="000000"/>
                <w:szCs w:val="22"/>
              </w:rPr>
            </w:pPr>
          </w:p>
        </w:tc>
        <w:tc>
          <w:tcPr>
            <w:tcW w:w="4678" w:type="dxa"/>
          </w:tcPr>
          <w:p w14:paraId="2E735DAE" w14:textId="77777777" w:rsidR="003F59DD" w:rsidRPr="003E0B98" w:rsidRDefault="003F59DD" w:rsidP="004361AC">
            <w:pPr>
              <w:tabs>
                <w:tab w:val="left" w:pos="-720"/>
              </w:tabs>
              <w:suppressAutoHyphens/>
              <w:rPr>
                <w:b/>
                <w:color w:val="000000"/>
                <w:szCs w:val="22"/>
                <w:lang w:val="da-DK"/>
              </w:rPr>
            </w:pPr>
            <w:r w:rsidRPr="003E0B98">
              <w:rPr>
                <w:b/>
                <w:color w:val="000000"/>
                <w:szCs w:val="22"/>
                <w:lang w:val="da-DK"/>
              </w:rPr>
              <w:t>Slovenská republika</w:t>
            </w:r>
          </w:p>
          <w:p w14:paraId="1ADDAB30" w14:textId="77777777" w:rsidR="003F59DD" w:rsidRPr="003E0B98" w:rsidRDefault="003F59DD" w:rsidP="004361AC">
            <w:pPr>
              <w:rPr>
                <w:i/>
                <w:color w:val="000000"/>
                <w:szCs w:val="22"/>
                <w:lang w:val="da-DK"/>
              </w:rPr>
            </w:pPr>
            <w:r w:rsidRPr="003E0B98">
              <w:rPr>
                <w:color w:val="000000"/>
                <w:szCs w:val="22"/>
                <w:lang w:val="da-DK"/>
              </w:rPr>
              <w:t>Novartis Slovakia s.r.o.</w:t>
            </w:r>
          </w:p>
          <w:p w14:paraId="44FD1526" w14:textId="77777777" w:rsidR="003F59DD" w:rsidRPr="003E0B98" w:rsidRDefault="003F59DD" w:rsidP="004361AC">
            <w:pPr>
              <w:rPr>
                <w:color w:val="000000"/>
                <w:szCs w:val="22"/>
                <w:lang w:val="da-DK"/>
              </w:rPr>
            </w:pPr>
            <w:r w:rsidRPr="003E0B98">
              <w:rPr>
                <w:color w:val="000000"/>
                <w:szCs w:val="22"/>
                <w:lang w:val="da-DK"/>
              </w:rPr>
              <w:t>Tel: +421 2 5542 5439</w:t>
            </w:r>
          </w:p>
          <w:p w14:paraId="3C211BEF" w14:textId="77777777" w:rsidR="003F59DD" w:rsidRPr="003E0B98" w:rsidRDefault="003F59DD" w:rsidP="004361AC">
            <w:pPr>
              <w:tabs>
                <w:tab w:val="left" w:pos="-720"/>
              </w:tabs>
              <w:suppressAutoHyphens/>
              <w:rPr>
                <w:b/>
                <w:color w:val="000000"/>
                <w:szCs w:val="22"/>
                <w:lang w:val="da-DK"/>
              </w:rPr>
            </w:pPr>
          </w:p>
        </w:tc>
      </w:tr>
      <w:tr w:rsidR="003F59DD" w:rsidRPr="003E0B98" w14:paraId="17154183" w14:textId="77777777" w:rsidTr="00053135">
        <w:trPr>
          <w:cantSplit/>
        </w:trPr>
        <w:tc>
          <w:tcPr>
            <w:tcW w:w="4503" w:type="dxa"/>
          </w:tcPr>
          <w:p w14:paraId="029B2DD0" w14:textId="77777777" w:rsidR="003F59DD" w:rsidRPr="003E0B98" w:rsidRDefault="003F59DD" w:rsidP="004361AC">
            <w:pPr>
              <w:rPr>
                <w:color w:val="000000"/>
                <w:szCs w:val="22"/>
                <w:lang w:val="it-IT"/>
              </w:rPr>
            </w:pPr>
            <w:r w:rsidRPr="003E0B98">
              <w:rPr>
                <w:b/>
                <w:color w:val="000000"/>
                <w:szCs w:val="22"/>
                <w:lang w:val="it-IT"/>
              </w:rPr>
              <w:t>Italia</w:t>
            </w:r>
          </w:p>
          <w:p w14:paraId="1639259C" w14:textId="77777777" w:rsidR="003F59DD" w:rsidRPr="003E0B98" w:rsidRDefault="003F59DD" w:rsidP="004361AC">
            <w:pPr>
              <w:rPr>
                <w:color w:val="000000"/>
                <w:szCs w:val="22"/>
                <w:lang w:val="it-IT"/>
              </w:rPr>
            </w:pPr>
            <w:r w:rsidRPr="003E0B98">
              <w:rPr>
                <w:color w:val="000000"/>
                <w:szCs w:val="22"/>
                <w:lang w:val="it-IT"/>
              </w:rPr>
              <w:t>Novartis Farma S.p.A.</w:t>
            </w:r>
          </w:p>
          <w:p w14:paraId="2964891F" w14:textId="77777777" w:rsidR="003F59DD" w:rsidRPr="003E0B98" w:rsidRDefault="003F59DD" w:rsidP="004361AC">
            <w:pPr>
              <w:rPr>
                <w:b/>
                <w:color w:val="000000"/>
                <w:szCs w:val="22"/>
              </w:rPr>
            </w:pPr>
            <w:r w:rsidRPr="003E0B98">
              <w:rPr>
                <w:color w:val="000000"/>
                <w:szCs w:val="22"/>
              </w:rPr>
              <w:t>Tel: +39 02 96 54 1</w:t>
            </w:r>
          </w:p>
        </w:tc>
        <w:tc>
          <w:tcPr>
            <w:tcW w:w="4678" w:type="dxa"/>
          </w:tcPr>
          <w:p w14:paraId="10ED44A1" w14:textId="77777777" w:rsidR="003F59DD" w:rsidRPr="003E0B98" w:rsidRDefault="003F59DD" w:rsidP="004361AC">
            <w:pPr>
              <w:tabs>
                <w:tab w:val="left" w:pos="-720"/>
                <w:tab w:val="left" w:pos="4536"/>
              </w:tabs>
              <w:suppressAutoHyphens/>
              <w:rPr>
                <w:color w:val="000000"/>
                <w:szCs w:val="22"/>
                <w:lang w:val="sv-SE"/>
              </w:rPr>
            </w:pPr>
            <w:r w:rsidRPr="003E0B98">
              <w:rPr>
                <w:b/>
                <w:color w:val="000000"/>
                <w:szCs w:val="22"/>
                <w:lang w:val="sv-SE"/>
              </w:rPr>
              <w:t>Suomi/Finland</w:t>
            </w:r>
          </w:p>
          <w:p w14:paraId="796E8A35" w14:textId="77777777" w:rsidR="003F59DD" w:rsidRPr="003E0B98" w:rsidRDefault="003F59DD" w:rsidP="004361AC">
            <w:pPr>
              <w:rPr>
                <w:color w:val="000000"/>
                <w:szCs w:val="22"/>
                <w:lang w:val="sv-SE"/>
              </w:rPr>
            </w:pPr>
            <w:r w:rsidRPr="003E0B98">
              <w:rPr>
                <w:color w:val="000000"/>
                <w:szCs w:val="22"/>
                <w:lang w:val="sv-SE"/>
              </w:rPr>
              <w:t>Novartis Finland Oy</w:t>
            </w:r>
          </w:p>
          <w:p w14:paraId="20B91C86" w14:textId="77777777" w:rsidR="003F59DD" w:rsidRPr="003E0B98" w:rsidRDefault="003F59DD" w:rsidP="004361AC">
            <w:pPr>
              <w:rPr>
                <w:color w:val="000000"/>
                <w:szCs w:val="22"/>
                <w:lang w:val="sv-SE"/>
              </w:rPr>
            </w:pPr>
            <w:r w:rsidRPr="003E0B98">
              <w:rPr>
                <w:color w:val="000000"/>
                <w:szCs w:val="22"/>
                <w:lang w:val="sv-SE"/>
              </w:rPr>
              <w:t xml:space="preserve">Puh/Tel: </w:t>
            </w:r>
            <w:r w:rsidRPr="003E0B98">
              <w:rPr>
                <w:color w:val="000000"/>
                <w:szCs w:val="22"/>
                <w:lang w:val="sv-SE" w:bidi="he-IL"/>
              </w:rPr>
              <w:t>+358 (0)10 6133 200</w:t>
            </w:r>
          </w:p>
          <w:p w14:paraId="78881186" w14:textId="77777777" w:rsidR="003F59DD" w:rsidRPr="003E0B98" w:rsidRDefault="003F59DD" w:rsidP="004361AC">
            <w:pPr>
              <w:tabs>
                <w:tab w:val="left" w:pos="-720"/>
              </w:tabs>
              <w:suppressAutoHyphens/>
              <w:rPr>
                <w:b/>
                <w:color w:val="000000"/>
                <w:szCs w:val="22"/>
                <w:lang w:val="sv-SE"/>
              </w:rPr>
            </w:pPr>
          </w:p>
        </w:tc>
      </w:tr>
      <w:tr w:rsidR="003F59DD" w:rsidRPr="003C169A" w14:paraId="20427D40" w14:textId="77777777" w:rsidTr="00053135">
        <w:trPr>
          <w:cantSplit/>
        </w:trPr>
        <w:tc>
          <w:tcPr>
            <w:tcW w:w="4503" w:type="dxa"/>
          </w:tcPr>
          <w:p w14:paraId="257EED92" w14:textId="77777777" w:rsidR="003F59DD" w:rsidRPr="003E0B98" w:rsidRDefault="003F59DD" w:rsidP="004361AC">
            <w:pPr>
              <w:rPr>
                <w:b/>
                <w:color w:val="000000"/>
                <w:szCs w:val="22"/>
                <w:lang w:val="fr-FR"/>
              </w:rPr>
            </w:pPr>
            <w:proofErr w:type="spellStart"/>
            <w:r w:rsidRPr="003E0B98">
              <w:rPr>
                <w:b/>
                <w:color w:val="000000"/>
                <w:szCs w:val="22"/>
              </w:rPr>
              <w:t>Κύ</w:t>
            </w:r>
            <w:proofErr w:type="spellEnd"/>
            <w:r w:rsidRPr="003E0B98">
              <w:rPr>
                <w:b/>
                <w:color w:val="000000"/>
                <w:szCs w:val="22"/>
              </w:rPr>
              <w:t>προς</w:t>
            </w:r>
          </w:p>
          <w:p w14:paraId="116CCF9C" w14:textId="77777777" w:rsidR="003F59DD" w:rsidRPr="003E0B98" w:rsidRDefault="003F59DD" w:rsidP="004361AC">
            <w:pPr>
              <w:rPr>
                <w:color w:val="000000"/>
                <w:szCs w:val="22"/>
                <w:lang w:val="fr-FR"/>
              </w:rPr>
            </w:pPr>
            <w:r w:rsidRPr="003E0B98">
              <w:rPr>
                <w:color w:val="000000"/>
                <w:szCs w:val="22"/>
                <w:lang w:val="fr-FR"/>
              </w:rPr>
              <w:t>Novartis Pharma Services Inc.</w:t>
            </w:r>
          </w:p>
          <w:p w14:paraId="166557C9" w14:textId="77777777" w:rsidR="003F59DD" w:rsidRPr="003E0B98" w:rsidRDefault="003F59DD" w:rsidP="004361AC">
            <w:pPr>
              <w:tabs>
                <w:tab w:val="left" w:pos="-720"/>
              </w:tabs>
              <w:suppressAutoHyphens/>
              <w:rPr>
                <w:color w:val="000000"/>
                <w:szCs w:val="22"/>
                <w:lang w:val="sv-SE"/>
              </w:rPr>
            </w:pPr>
            <w:proofErr w:type="spellStart"/>
            <w:r w:rsidRPr="003E0B98">
              <w:rPr>
                <w:color w:val="000000"/>
                <w:szCs w:val="22"/>
              </w:rPr>
              <w:t>Τηλ</w:t>
            </w:r>
            <w:proofErr w:type="spellEnd"/>
            <w:r w:rsidRPr="003E0B98">
              <w:rPr>
                <w:color w:val="000000"/>
                <w:szCs w:val="22"/>
                <w:lang w:val="sv-SE"/>
              </w:rPr>
              <w:t>: +357 22 690 690</w:t>
            </w:r>
          </w:p>
          <w:p w14:paraId="48E571C4" w14:textId="77777777" w:rsidR="003F59DD" w:rsidRPr="003E0B98" w:rsidRDefault="003F59DD" w:rsidP="004361AC">
            <w:pPr>
              <w:rPr>
                <w:b/>
                <w:color w:val="000000"/>
                <w:szCs w:val="22"/>
                <w:lang w:val="sv-SE"/>
              </w:rPr>
            </w:pPr>
          </w:p>
        </w:tc>
        <w:tc>
          <w:tcPr>
            <w:tcW w:w="4678" w:type="dxa"/>
          </w:tcPr>
          <w:p w14:paraId="254A4B70" w14:textId="77777777" w:rsidR="003F59DD" w:rsidRPr="003E0B98" w:rsidRDefault="003F59DD" w:rsidP="004361AC">
            <w:pPr>
              <w:tabs>
                <w:tab w:val="left" w:pos="-720"/>
                <w:tab w:val="left" w:pos="4536"/>
              </w:tabs>
              <w:suppressAutoHyphens/>
              <w:rPr>
                <w:b/>
                <w:color w:val="000000"/>
                <w:szCs w:val="22"/>
                <w:lang w:val="sv-SE"/>
              </w:rPr>
            </w:pPr>
            <w:r w:rsidRPr="003E0B98">
              <w:rPr>
                <w:b/>
                <w:color w:val="000000"/>
                <w:szCs w:val="22"/>
                <w:lang w:val="sv-SE"/>
              </w:rPr>
              <w:t>Sverige</w:t>
            </w:r>
          </w:p>
          <w:p w14:paraId="2E3CDC5C" w14:textId="77777777" w:rsidR="003F59DD" w:rsidRPr="003E0B98" w:rsidRDefault="003F59DD" w:rsidP="004361AC">
            <w:pPr>
              <w:rPr>
                <w:color w:val="000000"/>
                <w:szCs w:val="22"/>
                <w:lang w:val="sv-SE"/>
              </w:rPr>
            </w:pPr>
            <w:r w:rsidRPr="003E0B98">
              <w:rPr>
                <w:color w:val="000000"/>
                <w:szCs w:val="22"/>
                <w:lang w:val="sv-SE"/>
              </w:rPr>
              <w:t>Novartis Sverige AB</w:t>
            </w:r>
          </w:p>
          <w:p w14:paraId="6FDE72A3" w14:textId="77777777" w:rsidR="003F59DD" w:rsidRPr="003E0B98" w:rsidRDefault="003F59DD" w:rsidP="004361AC">
            <w:pPr>
              <w:rPr>
                <w:color w:val="000000"/>
                <w:szCs w:val="22"/>
                <w:lang w:val="sv-SE"/>
              </w:rPr>
            </w:pPr>
            <w:r w:rsidRPr="003E0B98">
              <w:rPr>
                <w:color w:val="000000"/>
                <w:szCs w:val="22"/>
                <w:lang w:val="sv-SE"/>
              </w:rPr>
              <w:t>Tel: +46 8 732 32 00</w:t>
            </w:r>
          </w:p>
          <w:p w14:paraId="43E0C06A" w14:textId="77777777" w:rsidR="003F59DD" w:rsidRPr="003E0B98" w:rsidRDefault="003F59DD" w:rsidP="004361AC">
            <w:pPr>
              <w:tabs>
                <w:tab w:val="left" w:pos="-720"/>
                <w:tab w:val="left" w:pos="4536"/>
              </w:tabs>
              <w:suppressAutoHyphens/>
              <w:rPr>
                <w:b/>
                <w:color w:val="000000"/>
                <w:szCs w:val="22"/>
                <w:lang w:val="sv-SE"/>
              </w:rPr>
            </w:pPr>
          </w:p>
        </w:tc>
      </w:tr>
      <w:tr w:rsidR="003F59DD" w:rsidRPr="003E0B98" w14:paraId="024A79EB" w14:textId="77777777" w:rsidTr="00D51DDA">
        <w:trPr>
          <w:cantSplit/>
          <w:trHeight w:val="1418"/>
        </w:trPr>
        <w:tc>
          <w:tcPr>
            <w:tcW w:w="4503" w:type="dxa"/>
          </w:tcPr>
          <w:p w14:paraId="31CBB274" w14:textId="77777777" w:rsidR="003F59DD" w:rsidRPr="003E0B98" w:rsidRDefault="003F59DD" w:rsidP="004361AC">
            <w:pPr>
              <w:rPr>
                <w:b/>
                <w:color w:val="000000"/>
                <w:szCs w:val="22"/>
                <w:lang w:val="es-ES"/>
              </w:rPr>
            </w:pPr>
            <w:proofErr w:type="spellStart"/>
            <w:r w:rsidRPr="003E0B98">
              <w:rPr>
                <w:b/>
                <w:color w:val="000000"/>
                <w:szCs w:val="22"/>
                <w:lang w:val="es-ES"/>
              </w:rPr>
              <w:t>Latvija</w:t>
            </w:r>
            <w:proofErr w:type="spellEnd"/>
          </w:p>
          <w:p w14:paraId="6E89DA70" w14:textId="089A62B1" w:rsidR="003F59DD" w:rsidRPr="003E0B98" w:rsidRDefault="00C83321" w:rsidP="004361AC">
            <w:pPr>
              <w:rPr>
                <w:color w:val="000000"/>
                <w:szCs w:val="22"/>
                <w:lang w:val="es-ES"/>
              </w:rPr>
            </w:pPr>
            <w:r w:rsidRPr="003E0B98">
              <w:rPr>
                <w:szCs w:val="22"/>
                <w:lang w:val="it-IT"/>
              </w:rPr>
              <w:t>SIA Novartis Baltics</w:t>
            </w:r>
          </w:p>
          <w:p w14:paraId="398DF3C6" w14:textId="77777777" w:rsidR="003F59DD" w:rsidRPr="003E0B98" w:rsidRDefault="003F59DD" w:rsidP="004361AC">
            <w:pPr>
              <w:tabs>
                <w:tab w:val="left" w:pos="-720"/>
              </w:tabs>
              <w:suppressAutoHyphens/>
              <w:rPr>
                <w:color w:val="000000"/>
                <w:szCs w:val="22"/>
                <w:lang w:val="es-ES"/>
              </w:rPr>
            </w:pPr>
            <w:r w:rsidRPr="003E0B98">
              <w:rPr>
                <w:color w:val="000000"/>
                <w:szCs w:val="22"/>
                <w:lang w:val="es-ES"/>
              </w:rPr>
              <w:t>Tel: +371 67 887 070</w:t>
            </w:r>
          </w:p>
          <w:p w14:paraId="15CDBACA" w14:textId="77777777" w:rsidR="003F59DD" w:rsidRPr="003E0B98" w:rsidRDefault="003F59DD" w:rsidP="004361AC">
            <w:pPr>
              <w:tabs>
                <w:tab w:val="left" w:pos="-720"/>
              </w:tabs>
              <w:suppressAutoHyphens/>
              <w:rPr>
                <w:color w:val="000000"/>
                <w:szCs w:val="22"/>
                <w:lang w:val="es-ES"/>
              </w:rPr>
            </w:pPr>
          </w:p>
        </w:tc>
        <w:tc>
          <w:tcPr>
            <w:tcW w:w="4678" w:type="dxa"/>
          </w:tcPr>
          <w:p w14:paraId="7711D5F8" w14:textId="77777777" w:rsidR="003F59DD" w:rsidRPr="003E0B98" w:rsidRDefault="003F59DD" w:rsidP="001D72A8">
            <w:pPr>
              <w:rPr>
                <w:color w:val="000000"/>
                <w:szCs w:val="22"/>
              </w:rPr>
            </w:pPr>
          </w:p>
        </w:tc>
      </w:tr>
    </w:tbl>
    <w:p w14:paraId="7E33D25B" w14:textId="77777777" w:rsidR="003F59DD" w:rsidRPr="003E0B98" w:rsidRDefault="003F59DD" w:rsidP="004361AC">
      <w:pPr>
        <w:numPr>
          <w:ilvl w:val="12"/>
          <w:numId w:val="0"/>
        </w:numPr>
        <w:tabs>
          <w:tab w:val="clear" w:pos="567"/>
        </w:tabs>
        <w:spacing w:line="240" w:lineRule="auto"/>
        <w:ind w:right="-2"/>
        <w:rPr>
          <w:color w:val="000000"/>
          <w:szCs w:val="22"/>
        </w:rPr>
      </w:pPr>
    </w:p>
    <w:p w14:paraId="2519F0C9" w14:textId="77777777" w:rsidR="003F59DD" w:rsidRPr="003E0B98" w:rsidRDefault="003F59DD" w:rsidP="004361AC">
      <w:pPr>
        <w:numPr>
          <w:ilvl w:val="12"/>
          <w:numId w:val="0"/>
        </w:numPr>
        <w:tabs>
          <w:tab w:val="clear" w:pos="567"/>
        </w:tabs>
        <w:spacing w:line="240" w:lineRule="auto"/>
        <w:ind w:right="-2"/>
        <w:rPr>
          <w:color w:val="000000"/>
          <w:szCs w:val="22"/>
          <w:lang w:val="es-ES_tradnl"/>
        </w:rPr>
      </w:pPr>
      <w:r w:rsidRPr="003E0B98">
        <w:rPr>
          <w:b/>
          <w:noProof/>
          <w:color w:val="000000"/>
          <w:lang w:val="es-ES_tradnl"/>
        </w:rPr>
        <w:t>Fecha de la última revisión de este prospecto:</w:t>
      </w:r>
    </w:p>
    <w:p w14:paraId="6F372602" w14:textId="77777777" w:rsidR="003F59DD" w:rsidRPr="003E0B98" w:rsidRDefault="003F59DD" w:rsidP="004361AC">
      <w:pPr>
        <w:numPr>
          <w:ilvl w:val="12"/>
          <w:numId w:val="0"/>
        </w:numPr>
        <w:tabs>
          <w:tab w:val="clear" w:pos="567"/>
        </w:tabs>
        <w:spacing w:line="240" w:lineRule="auto"/>
        <w:ind w:right="-2"/>
        <w:rPr>
          <w:color w:val="000000"/>
          <w:szCs w:val="22"/>
          <w:lang w:val="es-ES_tradnl"/>
        </w:rPr>
      </w:pPr>
    </w:p>
    <w:p w14:paraId="31BA1682" w14:textId="77777777" w:rsidR="003F59DD" w:rsidRPr="003E0B98" w:rsidRDefault="003F59DD" w:rsidP="004361AC">
      <w:pPr>
        <w:keepNext/>
        <w:numPr>
          <w:ilvl w:val="12"/>
          <w:numId w:val="0"/>
        </w:numPr>
        <w:tabs>
          <w:tab w:val="clear" w:pos="567"/>
        </w:tabs>
        <w:spacing w:line="240" w:lineRule="auto"/>
        <w:rPr>
          <w:b/>
          <w:noProof/>
          <w:szCs w:val="22"/>
          <w:lang w:val="es-ES_tradnl"/>
        </w:rPr>
      </w:pPr>
      <w:r w:rsidRPr="003E0B98">
        <w:rPr>
          <w:b/>
          <w:noProof/>
          <w:szCs w:val="22"/>
          <w:lang w:val="es-ES_tradnl"/>
        </w:rPr>
        <w:t>Otras fuentes de información</w:t>
      </w:r>
    </w:p>
    <w:p w14:paraId="1C51D303" w14:textId="6DC3A69B" w:rsidR="00872B1B" w:rsidRPr="003E0B98" w:rsidRDefault="003F59DD" w:rsidP="004361AC">
      <w:pPr>
        <w:numPr>
          <w:ilvl w:val="12"/>
          <w:numId w:val="0"/>
        </w:numPr>
        <w:tabs>
          <w:tab w:val="clear" w:pos="567"/>
        </w:tabs>
        <w:spacing w:line="240" w:lineRule="auto"/>
        <w:ind w:right="-2"/>
        <w:rPr>
          <w:color w:val="000000"/>
          <w:szCs w:val="22"/>
          <w:lang w:val="es-ES_tradnl"/>
        </w:rPr>
      </w:pPr>
      <w:r w:rsidRPr="003E0B98">
        <w:rPr>
          <w:noProof/>
          <w:szCs w:val="22"/>
          <w:lang w:val="es-ES_tradnl"/>
        </w:rPr>
        <w:t>La información detallada de este medicamento está disponible en la página web de la Agencia Eu</w:t>
      </w:r>
      <w:r w:rsidR="00AE3466" w:rsidRPr="003E0B98">
        <w:rPr>
          <w:noProof/>
          <w:szCs w:val="22"/>
          <w:lang w:val="es-ES_tradnl"/>
        </w:rPr>
        <w:t>rop</w:t>
      </w:r>
      <w:r w:rsidRPr="003E0B98">
        <w:rPr>
          <w:noProof/>
          <w:szCs w:val="22"/>
          <w:lang w:val="es-ES_tradnl"/>
        </w:rPr>
        <w:t>ea</w:t>
      </w:r>
      <w:r w:rsidRPr="003E0B98">
        <w:rPr>
          <w:color w:val="000000"/>
          <w:szCs w:val="22"/>
          <w:lang w:val="es-ES"/>
        </w:rPr>
        <w:t xml:space="preserve"> de Medicamentos: </w:t>
      </w:r>
      <w:hyperlink r:id="rId33" w:history="1">
        <w:r w:rsidR="00872B1B" w:rsidRPr="003E0B98">
          <w:rPr>
            <w:rStyle w:val="Hyperlink"/>
            <w:szCs w:val="22"/>
            <w:lang w:val="es-ES_tradnl"/>
          </w:rPr>
          <w:t>http://www.ema.europa.eu</w:t>
        </w:r>
      </w:hyperlink>
    </w:p>
    <w:p w14:paraId="1A2D0032" w14:textId="234C1828" w:rsidR="003F59DD" w:rsidRPr="003E0B98" w:rsidRDefault="003F59DD" w:rsidP="004361AC">
      <w:pPr>
        <w:numPr>
          <w:ilvl w:val="12"/>
          <w:numId w:val="0"/>
        </w:numPr>
        <w:tabs>
          <w:tab w:val="clear" w:pos="567"/>
        </w:tabs>
        <w:spacing w:line="240" w:lineRule="auto"/>
        <w:ind w:right="-2"/>
        <w:rPr>
          <w:color w:val="000000"/>
          <w:szCs w:val="22"/>
          <w:lang w:val="es-ES"/>
        </w:rPr>
      </w:pPr>
      <w:r w:rsidRPr="003E0B98">
        <w:rPr>
          <w:color w:val="000000"/>
          <w:szCs w:val="22"/>
          <w:lang w:val="es-ES"/>
        </w:rPr>
        <w:br w:type="page"/>
      </w:r>
      <w:r w:rsidRPr="003E0B98">
        <w:rPr>
          <w:b/>
          <w:caps/>
          <w:noProof/>
          <w:lang w:val="es-ES_tradnl"/>
        </w:rPr>
        <w:t>Esta información está destinada únicamente a profesionales sanitario</w:t>
      </w:r>
      <w:r w:rsidR="00862A32" w:rsidRPr="003E0B98">
        <w:rPr>
          <w:b/>
          <w:caps/>
          <w:noProof/>
          <w:lang w:val="es-ES_tradnl"/>
        </w:rPr>
        <w:t>s</w:t>
      </w:r>
      <w:r w:rsidRPr="003E0B98">
        <w:rPr>
          <w:b/>
          <w:caps/>
          <w:noProof/>
          <w:lang w:val="es-ES_tradnl"/>
        </w:rPr>
        <w:t>:</w:t>
      </w:r>
    </w:p>
    <w:p w14:paraId="4B6D3649" w14:textId="77777777" w:rsidR="003F59DD" w:rsidRPr="003E0B98" w:rsidRDefault="003F59DD" w:rsidP="004361AC">
      <w:pPr>
        <w:numPr>
          <w:ilvl w:val="12"/>
          <w:numId w:val="0"/>
        </w:numPr>
        <w:tabs>
          <w:tab w:val="clear" w:pos="567"/>
        </w:tabs>
        <w:spacing w:line="240" w:lineRule="auto"/>
        <w:ind w:right="-2"/>
        <w:rPr>
          <w:color w:val="000000"/>
          <w:szCs w:val="22"/>
          <w:lang w:val="es-ES"/>
        </w:rPr>
      </w:pPr>
    </w:p>
    <w:p w14:paraId="37C86A3C" w14:textId="77777777" w:rsidR="003F59DD" w:rsidRPr="003E0B98" w:rsidRDefault="003F59DD" w:rsidP="004361AC">
      <w:pPr>
        <w:numPr>
          <w:ilvl w:val="12"/>
          <w:numId w:val="0"/>
        </w:numPr>
        <w:tabs>
          <w:tab w:val="clear" w:pos="567"/>
        </w:tabs>
        <w:spacing w:line="240" w:lineRule="auto"/>
        <w:ind w:right="-2"/>
        <w:rPr>
          <w:color w:val="000000"/>
          <w:szCs w:val="22"/>
          <w:lang w:val="es-ES"/>
        </w:rPr>
      </w:pPr>
      <w:r w:rsidRPr="003E0B98">
        <w:rPr>
          <w:color w:val="000000"/>
          <w:szCs w:val="22"/>
          <w:lang w:val="es-ES"/>
        </w:rPr>
        <w:t xml:space="preserve">Ver también la sección 3 “Cómo se administra </w:t>
      </w:r>
      <w:proofErr w:type="spellStart"/>
      <w:r w:rsidRPr="003E0B98">
        <w:rPr>
          <w:color w:val="000000"/>
          <w:szCs w:val="22"/>
          <w:lang w:val="es-ES"/>
        </w:rPr>
        <w:t>Lucentis</w:t>
      </w:r>
      <w:proofErr w:type="spellEnd"/>
      <w:r w:rsidRPr="003E0B98">
        <w:rPr>
          <w:color w:val="000000"/>
          <w:szCs w:val="22"/>
          <w:lang w:val="es-ES"/>
        </w:rPr>
        <w:t>”.</w:t>
      </w:r>
    </w:p>
    <w:p w14:paraId="1EA03FDD" w14:textId="77777777" w:rsidR="003F59DD" w:rsidRPr="003E0B98" w:rsidRDefault="003F59DD" w:rsidP="004361AC">
      <w:pPr>
        <w:numPr>
          <w:ilvl w:val="12"/>
          <w:numId w:val="0"/>
        </w:numPr>
        <w:tabs>
          <w:tab w:val="clear" w:pos="567"/>
        </w:tabs>
        <w:spacing w:line="240" w:lineRule="auto"/>
        <w:ind w:right="-2"/>
        <w:rPr>
          <w:color w:val="000000"/>
          <w:szCs w:val="22"/>
          <w:lang w:val="es-ES"/>
        </w:rPr>
      </w:pPr>
    </w:p>
    <w:p w14:paraId="04BEC061" w14:textId="77777777" w:rsidR="003F59DD" w:rsidRPr="003E0B98" w:rsidRDefault="003F59DD" w:rsidP="004361AC">
      <w:pPr>
        <w:numPr>
          <w:ilvl w:val="12"/>
          <w:numId w:val="0"/>
        </w:numPr>
        <w:tabs>
          <w:tab w:val="clear" w:pos="567"/>
          <w:tab w:val="left" w:pos="720"/>
        </w:tabs>
        <w:spacing w:line="240" w:lineRule="auto"/>
        <w:ind w:right="-2"/>
        <w:rPr>
          <w:b/>
          <w:color w:val="FFFFFF"/>
          <w:szCs w:val="22"/>
          <w:shd w:val="solid" w:color="auto" w:fill="auto"/>
          <w:lang w:val="es-ES"/>
        </w:rPr>
      </w:pPr>
      <w:r w:rsidRPr="003E0B98">
        <w:rPr>
          <w:b/>
          <w:color w:val="FFFFFF"/>
          <w:szCs w:val="22"/>
          <w:shd w:val="solid" w:color="auto" w:fill="auto"/>
          <w:lang w:val="es-ES"/>
        </w:rPr>
        <w:t xml:space="preserve">Cómo preparar y administrar </w:t>
      </w:r>
      <w:proofErr w:type="spellStart"/>
      <w:r w:rsidRPr="003E0B98">
        <w:rPr>
          <w:b/>
          <w:color w:val="FFFFFF"/>
          <w:szCs w:val="22"/>
          <w:shd w:val="solid" w:color="auto" w:fill="auto"/>
          <w:lang w:val="es-ES"/>
        </w:rPr>
        <w:t>Lucentis</w:t>
      </w:r>
      <w:proofErr w:type="spellEnd"/>
      <w:r w:rsidRPr="003E0B98">
        <w:rPr>
          <w:b/>
          <w:color w:val="FFFFFF"/>
          <w:szCs w:val="22"/>
          <w:shd w:val="solid" w:color="auto" w:fill="auto"/>
          <w:lang w:val="es-ES"/>
        </w:rPr>
        <w:t xml:space="preserve"> en </w:t>
      </w:r>
      <w:r w:rsidR="00B605C5" w:rsidRPr="003E0B98">
        <w:rPr>
          <w:b/>
          <w:color w:val="FFFFFF"/>
          <w:szCs w:val="22"/>
          <w:shd w:val="solid" w:color="auto" w:fill="auto"/>
          <w:lang w:val="es-ES"/>
        </w:rPr>
        <w:t xml:space="preserve">recién nacidos </w:t>
      </w:r>
      <w:r w:rsidR="003400BD" w:rsidRPr="003E0B98">
        <w:rPr>
          <w:b/>
          <w:color w:val="FFFFFF"/>
          <w:szCs w:val="22"/>
          <w:shd w:val="solid" w:color="auto" w:fill="auto"/>
          <w:lang w:val="es-ES"/>
        </w:rPr>
        <w:t>pretérmino</w:t>
      </w:r>
    </w:p>
    <w:p w14:paraId="24E6FA78" w14:textId="77777777" w:rsidR="003F59DD" w:rsidRPr="003E0B98" w:rsidRDefault="003F59DD" w:rsidP="004361AC">
      <w:pPr>
        <w:numPr>
          <w:ilvl w:val="12"/>
          <w:numId w:val="0"/>
        </w:numPr>
        <w:tabs>
          <w:tab w:val="clear" w:pos="567"/>
        </w:tabs>
        <w:spacing w:line="240" w:lineRule="auto"/>
        <w:ind w:right="-2"/>
        <w:rPr>
          <w:color w:val="000000"/>
          <w:szCs w:val="22"/>
          <w:lang w:val="es-ES"/>
        </w:rPr>
      </w:pPr>
    </w:p>
    <w:p w14:paraId="4C238E08" w14:textId="77777777" w:rsidR="003F59DD" w:rsidRPr="003E0B98" w:rsidRDefault="003F59DD" w:rsidP="004361AC">
      <w:pPr>
        <w:numPr>
          <w:ilvl w:val="12"/>
          <w:numId w:val="0"/>
        </w:numPr>
        <w:tabs>
          <w:tab w:val="clear" w:pos="567"/>
        </w:tabs>
        <w:spacing w:line="240" w:lineRule="auto"/>
        <w:ind w:right="-2"/>
        <w:rPr>
          <w:color w:val="000000"/>
          <w:szCs w:val="22"/>
          <w:lang w:val="es-ES"/>
        </w:rPr>
      </w:pPr>
      <w:r w:rsidRPr="003E0B98">
        <w:rPr>
          <w:color w:val="000000"/>
          <w:szCs w:val="22"/>
          <w:lang w:val="es-ES"/>
        </w:rPr>
        <w:t>Vial para un solo uso. Únicamente para vía intravítrea.</w:t>
      </w:r>
    </w:p>
    <w:p w14:paraId="0B0CAAD7" w14:textId="77777777" w:rsidR="003F59DD" w:rsidRPr="003E0B98" w:rsidRDefault="003F59DD" w:rsidP="004361AC">
      <w:pPr>
        <w:numPr>
          <w:ilvl w:val="12"/>
          <w:numId w:val="0"/>
        </w:numPr>
        <w:tabs>
          <w:tab w:val="clear" w:pos="567"/>
        </w:tabs>
        <w:spacing w:line="240" w:lineRule="auto"/>
        <w:ind w:right="-2"/>
        <w:rPr>
          <w:color w:val="000000"/>
          <w:szCs w:val="22"/>
          <w:lang w:val="es-ES"/>
        </w:rPr>
      </w:pPr>
    </w:p>
    <w:p w14:paraId="0002BD18" w14:textId="77777777" w:rsidR="003F59DD" w:rsidRPr="003E0B98" w:rsidRDefault="003F59DD" w:rsidP="004361AC">
      <w:pPr>
        <w:numPr>
          <w:ilvl w:val="12"/>
          <w:numId w:val="0"/>
        </w:numPr>
        <w:tabs>
          <w:tab w:val="clear" w:pos="567"/>
        </w:tabs>
        <w:spacing w:line="240" w:lineRule="auto"/>
        <w:ind w:right="-2"/>
        <w:rPr>
          <w:color w:val="000000"/>
          <w:szCs w:val="22"/>
          <w:lang w:val="es-ES_tradnl"/>
        </w:rPr>
      </w:pPr>
      <w:proofErr w:type="spellStart"/>
      <w:r w:rsidRPr="003E0B98">
        <w:rPr>
          <w:color w:val="000000"/>
          <w:szCs w:val="22"/>
          <w:lang w:val="es-ES"/>
        </w:rPr>
        <w:t>Lucentis</w:t>
      </w:r>
      <w:proofErr w:type="spellEnd"/>
      <w:r w:rsidRPr="003E0B98">
        <w:rPr>
          <w:color w:val="000000"/>
          <w:szCs w:val="22"/>
          <w:lang w:val="es-ES"/>
        </w:rPr>
        <w:t xml:space="preserve"> debe ser administrado por un oftalmólogo que tenga experiencia en la administración de inyecciones intravítreas</w:t>
      </w:r>
      <w:r w:rsidR="00277979" w:rsidRPr="003E0B98">
        <w:rPr>
          <w:color w:val="000000"/>
          <w:szCs w:val="22"/>
          <w:lang w:val="es-ES"/>
        </w:rPr>
        <w:t xml:space="preserve"> en recién nacidos </w:t>
      </w:r>
      <w:r w:rsidR="003400BD" w:rsidRPr="003E0B98">
        <w:rPr>
          <w:color w:val="000000"/>
          <w:szCs w:val="22"/>
          <w:lang w:val="es-ES"/>
        </w:rPr>
        <w:t>pretérmino</w:t>
      </w:r>
      <w:r w:rsidRPr="003E0B98">
        <w:rPr>
          <w:color w:val="000000"/>
          <w:szCs w:val="22"/>
          <w:lang w:val="es-ES"/>
        </w:rPr>
        <w:t>.</w:t>
      </w:r>
    </w:p>
    <w:p w14:paraId="041D0409" w14:textId="77777777" w:rsidR="003F59DD" w:rsidRPr="003E0B98" w:rsidRDefault="003F59DD" w:rsidP="004361AC">
      <w:pPr>
        <w:numPr>
          <w:ilvl w:val="12"/>
          <w:numId w:val="0"/>
        </w:numPr>
        <w:tabs>
          <w:tab w:val="clear" w:pos="567"/>
        </w:tabs>
        <w:spacing w:line="240" w:lineRule="auto"/>
        <w:ind w:right="-2"/>
        <w:rPr>
          <w:color w:val="000000"/>
          <w:szCs w:val="22"/>
          <w:lang w:val="es-ES_tradnl"/>
        </w:rPr>
      </w:pPr>
    </w:p>
    <w:p w14:paraId="6830773B" w14:textId="77777777" w:rsidR="00277979" w:rsidRPr="003E0B98" w:rsidRDefault="00277979" w:rsidP="004361AC">
      <w:pPr>
        <w:numPr>
          <w:ilvl w:val="12"/>
          <w:numId w:val="0"/>
        </w:numPr>
        <w:tabs>
          <w:tab w:val="clear" w:pos="567"/>
        </w:tabs>
        <w:spacing w:line="240" w:lineRule="auto"/>
        <w:ind w:right="-2"/>
        <w:rPr>
          <w:b/>
          <w:color w:val="000000"/>
          <w:szCs w:val="22"/>
          <w:lang w:val="es-ES"/>
        </w:rPr>
      </w:pPr>
      <w:r w:rsidRPr="003E0B98">
        <w:rPr>
          <w:b/>
          <w:color w:val="000000"/>
          <w:szCs w:val="22"/>
          <w:lang w:val="es-ES"/>
        </w:rPr>
        <w:t xml:space="preserve">Para el tratamiento de recién nacidos </w:t>
      </w:r>
      <w:r w:rsidR="003400BD" w:rsidRPr="003E0B98">
        <w:rPr>
          <w:b/>
          <w:color w:val="000000"/>
          <w:szCs w:val="22"/>
          <w:lang w:val="es-ES"/>
        </w:rPr>
        <w:t>pretérmino</w:t>
      </w:r>
      <w:r w:rsidRPr="003E0B98">
        <w:rPr>
          <w:b/>
          <w:color w:val="000000"/>
          <w:szCs w:val="22"/>
          <w:lang w:val="es-ES"/>
        </w:rPr>
        <w:t xml:space="preserve">, use la </w:t>
      </w:r>
      <w:r w:rsidR="003400BD" w:rsidRPr="003E0B98">
        <w:rPr>
          <w:b/>
          <w:color w:val="000000"/>
          <w:szCs w:val="22"/>
          <w:lang w:val="es-ES"/>
        </w:rPr>
        <w:t>jeringa de bajo volumen y alta precisión</w:t>
      </w:r>
      <w:r w:rsidRPr="003E0B98">
        <w:rPr>
          <w:b/>
          <w:color w:val="000000"/>
          <w:szCs w:val="22"/>
          <w:lang w:val="es-ES"/>
        </w:rPr>
        <w:t xml:space="preserve"> que se </w:t>
      </w:r>
      <w:r w:rsidR="007950ED" w:rsidRPr="003E0B98">
        <w:rPr>
          <w:b/>
          <w:color w:val="000000"/>
          <w:szCs w:val="22"/>
          <w:lang w:val="es-ES"/>
        </w:rPr>
        <w:t>prop</w:t>
      </w:r>
      <w:r w:rsidRPr="003E0B98">
        <w:rPr>
          <w:b/>
          <w:color w:val="000000"/>
          <w:szCs w:val="22"/>
          <w:lang w:val="es-ES"/>
        </w:rPr>
        <w:t xml:space="preserve">orciona con una aguja </w:t>
      </w:r>
      <w:r w:rsidR="004519EB" w:rsidRPr="003E0B98">
        <w:rPr>
          <w:b/>
          <w:color w:val="000000"/>
          <w:szCs w:val="22"/>
          <w:lang w:val="es-ES"/>
        </w:rPr>
        <w:t>para</w:t>
      </w:r>
      <w:r w:rsidRPr="003E0B98">
        <w:rPr>
          <w:b/>
          <w:color w:val="000000"/>
          <w:szCs w:val="22"/>
          <w:lang w:val="es-ES"/>
        </w:rPr>
        <w:t xml:space="preserve"> inyección (30G x ½″) en el kit VISISURE.</w:t>
      </w:r>
    </w:p>
    <w:p w14:paraId="265AEF52" w14:textId="77777777" w:rsidR="00277979" w:rsidRPr="003E0B98" w:rsidRDefault="00277979" w:rsidP="004361AC">
      <w:pPr>
        <w:numPr>
          <w:ilvl w:val="12"/>
          <w:numId w:val="0"/>
        </w:numPr>
        <w:tabs>
          <w:tab w:val="clear" w:pos="567"/>
        </w:tabs>
        <w:spacing w:line="240" w:lineRule="auto"/>
        <w:ind w:right="-2"/>
        <w:rPr>
          <w:color w:val="000000"/>
          <w:szCs w:val="22"/>
          <w:lang w:val="es-ES"/>
        </w:rPr>
      </w:pPr>
    </w:p>
    <w:p w14:paraId="099BD1D8" w14:textId="4F122B0E" w:rsidR="003F59DD" w:rsidRPr="003E0B98" w:rsidRDefault="00277979" w:rsidP="004361AC">
      <w:pPr>
        <w:numPr>
          <w:ilvl w:val="12"/>
          <w:numId w:val="0"/>
        </w:numPr>
        <w:tabs>
          <w:tab w:val="clear" w:pos="567"/>
        </w:tabs>
        <w:spacing w:line="240" w:lineRule="auto"/>
        <w:ind w:right="-2"/>
        <w:rPr>
          <w:color w:val="000000"/>
          <w:szCs w:val="22"/>
          <w:lang w:val="es-ES_tradnl"/>
        </w:rPr>
      </w:pPr>
      <w:r w:rsidRPr="003E0B98">
        <w:rPr>
          <w:b/>
          <w:color w:val="000000"/>
          <w:szCs w:val="22"/>
          <w:lang w:val="es-ES"/>
        </w:rPr>
        <w:t xml:space="preserve">Para los recién nacidos </w:t>
      </w:r>
      <w:r w:rsidR="003400BD" w:rsidRPr="003E0B98">
        <w:rPr>
          <w:b/>
          <w:color w:val="000000"/>
          <w:szCs w:val="22"/>
          <w:lang w:val="es-ES"/>
        </w:rPr>
        <w:t>pretérmino</w:t>
      </w:r>
      <w:r w:rsidRPr="003E0B98">
        <w:rPr>
          <w:b/>
          <w:color w:val="000000"/>
          <w:szCs w:val="22"/>
          <w:lang w:val="es-ES"/>
        </w:rPr>
        <w:t xml:space="preserve">, la dosis recomendada </w:t>
      </w:r>
      <w:r w:rsidR="00CC2BDC" w:rsidRPr="003E0B98">
        <w:rPr>
          <w:b/>
          <w:color w:val="000000"/>
          <w:szCs w:val="22"/>
          <w:lang w:val="es-ES"/>
        </w:rPr>
        <w:t>de</w:t>
      </w:r>
      <w:r w:rsidRPr="003E0B98">
        <w:rPr>
          <w:b/>
          <w:color w:val="000000"/>
          <w:szCs w:val="22"/>
          <w:lang w:val="es-ES"/>
        </w:rPr>
        <w:t xml:space="preserve"> </w:t>
      </w:r>
      <w:proofErr w:type="spellStart"/>
      <w:r w:rsidRPr="003E0B98">
        <w:rPr>
          <w:b/>
          <w:color w:val="000000"/>
          <w:szCs w:val="22"/>
          <w:lang w:val="es-ES"/>
        </w:rPr>
        <w:t>Lucentis</w:t>
      </w:r>
      <w:proofErr w:type="spellEnd"/>
      <w:r w:rsidRPr="003E0B98">
        <w:rPr>
          <w:b/>
          <w:color w:val="000000"/>
          <w:szCs w:val="22"/>
          <w:lang w:val="es-ES"/>
        </w:rPr>
        <w:t xml:space="preserve"> es 0,2</w:t>
      </w:r>
      <w:r w:rsidR="00CC2BDC" w:rsidRPr="003E0B98">
        <w:rPr>
          <w:b/>
          <w:color w:val="000000"/>
          <w:szCs w:val="22"/>
          <w:lang w:val="es-ES"/>
        </w:rPr>
        <w:t> </w:t>
      </w:r>
      <w:r w:rsidRPr="003E0B98">
        <w:rPr>
          <w:b/>
          <w:color w:val="000000"/>
          <w:szCs w:val="22"/>
          <w:lang w:val="es-ES"/>
        </w:rPr>
        <w:t>mg administrad</w:t>
      </w:r>
      <w:r w:rsidR="00CC2BDC" w:rsidRPr="003E0B98">
        <w:rPr>
          <w:b/>
          <w:color w:val="000000"/>
          <w:szCs w:val="22"/>
          <w:lang w:val="es-ES"/>
        </w:rPr>
        <w:t>a</w:t>
      </w:r>
      <w:r w:rsidRPr="003E0B98">
        <w:rPr>
          <w:b/>
          <w:color w:val="000000"/>
          <w:szCs w:val="22"/>
          <w:lang w:val="es-ES"/>
        </w:rPr>
        <w:t xml:space="preserve"> </w:t>
      </w:r>
      <w:r w:rsidR="00CC2BDC" w:rsidRPr="003E0B98">
        <w:rPr>
          <w:b/>
          <w:color w:val="000000"/>
          <w:szCs w:val="22"/>
          <w:lang w:val="es-ES"/>
        </w:rPr>
        <w:t>en forma de inyección intravítrea única</w:t>
      </w:r>
      <w:r w:rsidRPr="003E0B98">
        <w:rPr>
          <w:b/>
          <w:color w:val="000000"/>
          <w:szCs w:val="22"/>
          <w:lang w:val="es-ES"/>
        </w:rPr>
        <w:t>.</w:t>
      </w:r>
      <w:r w:rsidRPr="003E0B98">
        <w:rPr>
          <w:color w:val="000000"/>
          <w:szCs w:val="22"/>
          <w:lang w:val="es-ES"/>
        </w:rPr>
        <w:t xml:space="preserve"> Esto corresponde a un volumen de inyección de 0,02</w:t>
      </w:r>
      <w:r w:rsidR="00CC2BDC" w:rsidRPr="003E0B98">
        <w:rPr>
          <w:color w:val="000000"/>
          <w:szCs w:val="22"/>
          <w:lang w:val="es-ES"/>
        </w:rPr>
        <w:t> </w:t>
      </w:r>
      <w:r w:rsidRPr="003E0B98">
        <w:rPr>
          <w:color w:val="000000"/>
          <w:szCs w:val="22"/>
          <w:lang w:val="es-ES"/>
        </w:rPr>
        <w:t xml:space="preserve">ml. En los </w:t>
      </w:r>
      <w:r w:rsidR="00CC2BDC" w:rsidRPr="003E0B98">
        <w:rPr>
          <w:color w:val="000000"/>
          <w:szCs w:val="22"/>
          <w:lang w:val="es-ES"/>
        </w:rPr>
        <w:t>recién nacidos</w:t>
      </w:r>
      <w:r w:rsidRPr="003E0B98">
        <w:rPr>
          <w:color w:val="000000"/>
          <w:szCs w:val="22"/>
          <w:lang w:val="es-ES"/>
        </w:rPr>
        <w:t xml:space="preserve"> </w:t>
      </w:r>
      <w:r w:rsidR="003400BD" w:rsidRPr="003E0B98">
        <w:rPr>
          <w:color w:val="000000"/>
          <w:szCs w:val="22"/>
          <w:lang w:val="es-ES"/>
        </w:rPr>
        <w:t>pretérmino</w:t>
      </w:r>
      <w:r w:rsidRPr="003E0B98">
        <w:rPr>
          <w:color w:val="000000"/>
          <w:szCs w:val="22"/>
          <w:lang w:val="es-ES"/>
        </w:rPr>
        <w:t>, el tratamiento de la retinopatía del prematuro (</w:t>
      </w:r>
      <w:r w:rsidR="00153893" w:rsidRPr="003E0B98">
        <w:rPr>
          <w:color w:val="000000"/>
          <w:szCs w:val="22"/>
          <w:lang w:val="es-ES"/>
        </w:rPr>
        <w:t>R</w:t>
      </w:r>
      <w:r w:rsidR="00440BE3" w:rsidRPr="003E0B98">
        <w:rPr>
          <w:color w:val="000000"/>
          <w:szCs w:val="22"/>
          <w:lang w:val="es-ES"/>
        </w:rPr>
        <w:t>O</w:t>
      </w:r>
      <w:r w:rsidR="00153893" w:rsidRPr="003E0B98">
        <w:rPr>
          <w:color w:val="000000"/>
          <w:szCs w:val="22"/>
          <w:lang w:val="es-ES"/>
        </w:rPr>
        <w:t>P</w:t>
      </w:r>
      <w:r w:rsidRPr="003E0B98">
        <w:rPr>
          <w:color w:val="000000"/>
          <w:szCs w:val="22"/>
          <w:lang w:val="es-ES"/>
        </w:rPr>
        <w:t xml:space="preserve">) se inicia con una única inyección por ojo y se puede administrar bilateralmente el mismo día. En total, se pueden administrar hasta tres inyecciones </w:t>
      </w:r>
      <w:r w:rsidR="00CC2BDC" w:rsidRPr="003E0B98">
        <w:rPr>
          <w:color w:val="000000"/>
          <w:szCs w:val="22"/>
          <w:lang w:val="es-ES"/>
        </w:rPr>
        <w:t>en cada</w:t>
      </w:r>
      <w:r w:rsidRPr="003E0B98">
        <w:rPr>
          <w:color w:val="000000"/>
          <w:szCs w:val="22"/>
          <w:lang w:val="es-ES"/>
        </w:rPr>
        <w:t xml:space="preserve"> ojo dentro de los seis meses posteriores al inicio del tratamiento si </w:t>
      </w:r>
      <w:r w:rsidR="007950ED" w:rsidRPr="003E0B98">
        <w:rPr>
          <w:color w:val="000000"/>
          <w:szCs w:val="22"/>
          <w:lang w:val="es-ES"/>
        </w:rPr>
        <w:t>se presentan</w:t>
      </w:r>
      <w:r w:rsidRPr="003E0B98">
        <w:rPr>
          <w:color w:val="000000"/>
          <w:szCs w:val="22"/>
          <w:lang w:val="es-ES"/>
        </w:rPr>
        <w:t xml:space="preserve"> signos de actividad de la enfermedad. </w:t>
      </w:r>
      <w:r w:rsidR="00CC2BDC" w:rsidRPr="003E0B98">
        <w:rPr>
          <w:color w:val="000000"/>
          <w:szCs w:val="22"/>
          <w:lang w:val="es-ES"/>
        </w:rPr>
        <w:t xml:space="preserve">En el ensayo clínico </w:t>
      </w:r>
      <w:r w:rsidR="00490F86">
        <w:rPr>
          <w:color w:val="000000"/>
          <w:szCs w:val="22"/>
          <w:lang w:val="es-ES"/>
        </w:rPr>
        <w:t>RAINBOW de 24</w:t>
      </w:r>
      <w:r w:rsidR="00824F0B">
        <w:rPr>
          <w:color w:val="000000"/>
          <w:szCs w:val="22"/>
          <w:lang w:val="es-ES"/>
        </w:rPr>
        <w:t> </w:t>
      </w:r>
      <w:r w:rsidR="00490F86">
        <w:rPr>
          <w:color w:val="000000"/>
          <w:szCs w:val="22"/>
          <w:lang w:val="es-ES"/>
        </w:rPr>
        <w:t>semanas de duración</w:t>
      </w:r>
      <w:r w:rsidR="00CC2BDC" w:rsidRPr="003E0B98">
        <w:rPr>
          <w:color w:val="000000"/>
          <w:szCs w:val="22"/>
          <w:lang w:val="es-ES"/>
        </w:rPr>
        <w:t xml:space="preserve"> l</w:t>
      </w:r>
      <w:r w:rsidRPr="003E0B98">
        <w:rPr>
          <w:color w:val="000000"/>
          <w:szCs w:val="22"/>
          <w:lang w:val="es-ES"/>
        </w:rPr>
        <w:t xml:space="preserve">a mayoría de los pacientes (78%) recibieron una inyección por ojo. </w:t>
      </w:r>
      <w:r w:rsidR="00490F86" w:rsidRPr="00490F86">
        <w:rPr>
          <w:color w:val="000000"/>
          <w:szCs w:val="22"/>
          <w:lang w:val="es-ES"/>
        </w:rPr>
        <w:t>Los pacientes que fueron tratados con 0,2</w:t>
      </w:r>
      <w:r w:rsidR="00490F86">
        <w:rPr>
          <w:color w:val="000000"/>
          <w:szCs w:val="22"/>
          <w:lang w:val="es-ES"/>
        </w:rPr>
        <w:t> </w:t>
      </w:r>
      <w:r w:rsidR="00490F86" w:rsidRPr="00490F86">
        <w:rPr>
          <w:color w:val="000000"/>
          <w:szCs w:val="22"/>
          <w:lang w:val="es-ES"/>
        </w:rPr>
        <w:t xml:space="preserve">mg en este </w:t>
      </w:r>
      <w:r w:rsidR="00490F86">
        <w:rPr>
          <w:color w:val="000000"/>
          <w:szCs w:val="22"/>
          <w:lang w:val="es-ES"/>
        </w:rPr>
        <w:t>ensayo</w:t>
      </w:r>
      <w:r w:rsidR="00490F86" w:rsidRPr="00490F86">
        <w:rPr>
          <w:color w:val="000000"/>
          <w:szCs w:val="22"/>
          <w:lang w:val="es-ES"/>
        </w:rPr>
        <w:t xml:space="preserve"> clínico no requirieron tratamiento adicional en el posterior estudio de extensión a largo plazo que siguió a los pacientes hasta los cinco </w:t>
      </w:r>
      <w:proofErr w:type="gramStart"/>
      <w:r w:rsidR="00490F86" w:rsidRPr="00490F86">
        <w:rPr>
          <w:color w:val="000000"/>
          <w:szCs w:val="22"/>
          <w:lang w:val="es-ES"/>
        </w:rPr>
        <w:t>años de edad</w:t>
      </w:r>
      <w:proofErr w:type="gramEnd"/>
      <w:r w:rsidR="00490F86" w:rsidRPr="00490F86">
        <w:rPr>
          <w:color w:val="000000"/>
          <w:szCs w:val="22"/>
          <w:lang w:val="es-ES"/>
        </w:rPr>
        <w:t>.</w:t>
      </w:r>
      <w:r w:rsidR="00490F86">
        <w:rPr>
          <w:color w:val="000000"/>
          <w:szCs w:val="22"/>
          <w:lang w:val="es-ES"/>
        </w:rPr>
        <w:t xml:space="preserve"> </w:t>
      </w:r>
      <w:r w:rsidRPr="003E0B98">
        <w:rPr>
          <w:color w:val="000000"/>
          <w:szCs w:val="22"/>
          <w:lang w:val="es-ES"/>
        </w:rPr>
        <w:t>No se ha estudiado la administración de más de tres inyecciones por ojo.</w:t>
      </w:r>
      <w:r w:rsidR="003F59DD" w:rsidRPr="003E0B98">
        <w:rPr>
          <w:color w:val="000000"/>
          <w:szCs w:val="22"/>
          <w:lang w:val="es-ES"/>
        </w:rPr>
        <w:t xml:space="preserve"> El intervalo entre dos dosis inyectadas en el mismo ojo debe ser como mínimo de cuatro semanas.</w:t>
      </w:r>
    </w:p>
    <w:p w14:paraId="39CDEFA9" w14:textId="77777777" w:rsidR="003F59DD" w:rsidRPr="003E0B98" w:rsidRDefault="003F59DD" w:rsidP="004361AC">
      <w:pPr>
        <w:numPr>
          <w:ilvl w:val="12"/>
          <w:numId w:val="0"/>
        </w:numPr>
        <w:tabs>
          <w:tab w:val="clear" w:pos="567"/>
        </w:tabs>
        <w:spacing w:line="240" w:lineRule="auto"/>
        <w:ind w:right="-2"/>
        <w:rPr>
          <w:color w:val="000000"/>
          <w:szCs w:val="22"/>
          <w:lang w:val="es-ES_tradnl"/>
        </w:rPr>
      </w:pPr>
    </w:p>
    <w:p w14:paraId="2C6FF5F8" w14:textId="77777777" w:rsidR="003F59DD" w:rsidRPr="003E0B98" w:rsidRDefault="003F59DD" w:rsidP="004361AC">
      <w:pPr>
        <w:numPr>
          <w:ilvl w:val="12"/>
          <w:numId w:val="0"/>
        </w:numPr>
        <w:tabs>
          <w:tab w:val="clear" w:pos="567"/>
        </w:tabs>
        <w:spacing w:line="240" w:lineRule="auto"/>
        <w:ind w:right="-2"/>
        <w:rPr>
          <w:color w:val="000000"/>
          <w:szCs w:val="22"/>
          <w:lang w:val="es-ES_tradnl"/>
        </w:rPr>
      </w:pPr>
      <w:r w:rsidRPr="003E0B98">
        <w:rPr>
          <w:color w:val="000000"/>
          <w:szCs w:val="22"/>
          <w:lang w:val="es-ES"/>
        </w:rPr>
        <w:t xml:space="preserve">Antes de la administración de </w:t>
      </w:r>
      <w:proofErr w:type="spellStart"/>
      <w:r w:rsidRPr="003E0B98">
        <w:rPr>
          <w:color w:val="000000"/>
          <w:szCs w:val="22"/>
          <w:lang w:val="es-ES"/>
        </w:rPr>
        <w:t>Lucentis</w:t>
      </w:r>
      <w:proofErr w:type="spellEnd"/>
      <w:r w:rsidRPr="003E0B98">
        <w:rPr>
          <w:color w:val="000000"/>
          <w:szCs w:val="22"/>
          <w:lang w:val="es-ES"/>
        </w:rPr>
        <w:t xml:space="preserve"> se debe comprobar visualmente la ausencia de partículas y decoloración.</w:t>
      </w:r>
    </w:p>
    <w:p w14:paraId="5E3C012F" w14:textId="77777777" w:rsidR="003F59DD" w:rsidRPr="003E0B98" w:rsidRDefault="003F59DD" w:rsidP="004361AC">
      <w:pPr>
        <w:numPr>
          <w:ilvl w:val="12"/>
          <w:numId w:val="0"/>
        </w:numPr>
        <w:tabs>
          <w:tab w:val="clear" w:pos="567"/>
        </w:tabs>
        <w:spacing w:line="240" w:lineRule="auto"/>
        <w:ind w:right="-2"/>
        <w:rPr>
          <w:color w:val="000000"/>
          <w:szCs w:val="22"/>
          <w:lang w:val="es-ES_tradnl"/>
        </w:rPr>
      </w:pPr>
    </w:p>
    <w:p w14:paraId="3F065CF6" w14:textId="77777777" w:rsidR="003F59DD" w:rsidRPr="003E0B98" w:rsidRDefault="003F59DD" w:rsidP="004361AC">
      <w:pPr>
        <w:numPr>
          <w:ilvl w:val="12"/>
          <w:numId w:val="0"/>
        </w:numPr>
        <w:tabs>
          <w:tab w:val="clear" w:pos="567"/>
        </w:tabs>
        <w:spacing w:line="240" w:lineRule="auto"/>
        <w:ind w:right="-2"/>
        <w:rPr>
          <w:color w:val="000000"/>
          <w:szCs w:val="22"/>
          <w:lang w:val="es-ES"/>
        </w:rPr>
      </w:pPr>
      <w:r w:rsidRPr="003E0B98">
        <w:rPr>
          <w:color w:val="000000"/>
          <w:szCs w:val="22"/>
          <w:lang w:val="es-ES"/>
        </w:rPr>
        <w:t xml:space="preserve">El procedimiento de inyección deberá llevarse a cabo bajo condiciones asépticas, que incluyen el lavado quirúrgico de las manos, el uso de guantes estériles, un campo estéril, un </w:t>
      </w:r>
      <w:proofErr w:type="spellStart"/>
      <w:r w:rsidRPr="003E0B98">
        <w:rPr>
          <w:color w:val="000000"/>
          <w:szCs w:val="22"/>
          <w:lang w:val="es-ES"/>
        </w:rPr>
        <w:t>blefarostato</w:t>
      </w:r>
      <w:proofErr w:type="spellEnd"/>
      <w:r w:rsidRPr="003E0B98">
        <w:rPr>
          <w:color w:val="000000"/>
          <w:szCs w:val="22"/>
          <w:lang w:val="es-ES"/>
        </w:rPr>
        <w:t xml:space="preserve"> estéril para los párpados (o equivalente) y la disponibilidad de una paracentesis estéril (en caso necesario). Antes de realizar el procedimiento de inyección intravítrea, se deberá evaluar detalladamente la historia clínica del paciente en cuanto a reacciones de hipersensibilidad. Antes de la inyección se debe administrar una anestesia adecuada y un microbicida tópico de amplio espectro para desinfectar la piel de la zona periocular, párpado y superficie ocular, de acuerdo con la práctica local.</w:t>
      </w:r>
    </w:p>
    <w:p w14:paraId="722930FE" w14:textId="77777777" w:rsidR="0060621D" w:rsidRPr="003E0B98" w:rsidRDefault="0060621D" w:rsidP="004361AC">
      <w:pPr>
        <w:numPr>
          <w:ilvl w:val="12"/>
          <w:numId w:val="0"/>
        </w:numPr>
        <w:tabs>
          <w:tab w:val="clear" w:pos="567"/>
        </w:tabs>
        <w:spacing w:line="240" w:lineRule="auto"/>
        <w:ind w:right="-2"/>
        <w:rPr>
          <w:color w:val="000000"/>
          <w:szCs w:val="22"/>
          <w:lang w:val="es-ES"/>
        </w:rPr>
      </w:pPr>
    </w:p>
    <w:p w14:paraId="31496222" w14:textId="77777777" w:rsidR="0060621D" w:rsidRPr="003E0B98" w:rsidRDefault="0060621D" w:rsidP="004361AC">
      <w:pPr>
        <w:keepNext/>
        <w:tabs>
          <w:tab w:val="clear" w:pos="567"/>
        </w:tabs>
        <w:spacing w:line="240" w:lineRule="auto"/>
        <w:rPr>
          <w:color w:val="000000"/>
          <w:szCs w:val="22"/>
          <w:lang w:val="es-ES_tradnl"/>
        </w:rPr>
      </w:pPr>
      <w:r w:rsidRPr="003E0B98">
        <w:rPr>
          <w:color w:val="000000"/>
          <w:szCs w:val="22"/>
          <w:u w:val="single"/>
          <w:lang w:val="es-ES_tradnl"/>
        </w:rPr>
        <w:t>Envase solo con vial</w:t>
      </w:r>
    </w:p>
    <w:p w14:paraId="67466E84" w14:textId="77777777" w:rsidR="0060621D" w:rsidRPr="003E0B98" w:rsidRDefault="0060621D" w:rsidP="004361AC">
      <w:pPr>
        <w:tabs>
          <w:tab w:val="clear" w:pos="567"/>
        </w:tabs>
        <w:spacing w:line="240" w:lineRule="auto"/>
        <w:rPr>
          <w:color w:val="000000"/>
          <w:szCs w:val="22"/>
          <w:lang w:val="es-ES_tradnl"/>
        </w:rPr>
      </w:pPr>
      <w:r w:rsidRPr="003E0B98">
        <w:rPr>
          <w:color w:val="000000"/>
          <w:szCs w:val="22"/>
          <w:lang w:val="es-ES_tradnl"/>
        </w:rPr>
        <w:t>El vial es para un solo uso. Tras la inyección se debe desechar cualquier sobrante de producto no utilizado. No se debe utilizar ningún vial que muestre signos de deterioro o manipulación. La esterilidad sólo se puede garantizar si el sellado del envase se mantiene intacto.</w:t>
      </w:r>
    </w:p>
    <w:p w14:paraId="140AB8B0" w14:textId="77777777" w:rsidR="0060621D" w:rsidRPr="003E0B98" w:rsidRDefault="0060621D" w:rsidP="004361AC">
      <w:pPr>
        <w:tabs>
          <w:tab w:val="clear" w:pos="567"/>
        </w:tabs>
        <w:spacing w:line="240" w:lineRule="auto"/>
        <w:rPr>
          <w:color w:val="000000"/>
          <w:szCs w:val="22"/>
          <w:lang w:val="es-ES_tradnl"/>
        </w:rPr>
      </w:pPr>
    </w:p>
    <w:p w14:paraId="7A5BFFA4" w14:textId="77777777" w:rsidR="0060621D" w:rsidRPr="003E0B98" w:rsidRDefault="0060621D" w:rsidP="004361AC">
      <w:pPr>
        <w:keepNext/>
        <w:tabs>
          <w:tab w:val="clear" w:pos="567"/>
        </w:tabs>
        <w:spacing w:line="240" w:lineRule="auto"/>
        <w:rPr>
          <w:color w:val="000000"/>
          <w:szCs w:val="22"/>
          <w:lang w:val="es-ES"/>
        </w:rPr>
      </w:pPr>
      <w:r w:rsidRPr="003E0B98">
        <w:rPr>
          <w:color w:val="000000"/>
          <w:szCs w:val="22"/>
          <w:lang w:val="es-ES"/>
        </w:rPr>
        <w:t>Para la preparación y la inyección intravítrea se necesitan los siguientes productos sanitarios (para un solo uso):</w:t>
      </w:r>
    </w:p>
    <w:p w14:paraId="366B3043" w14:textId="77777777" w:rsidR="0060621D" w:rsidRPr="003E0B98" w:rsidRDefault="0060621D" w:rsidP="004361AC">
      <w:pPr>
        <w:tabs>
          <w:tab w:val="clear" w:pos="567"/>
        </w:tabs>
        <w:spacing w:line="240" w:lineRule="auto"/>
        <w:ind w:left="567" w:hanging="567"/>
        <w:rPr>
          <w:color w:val="000000"/>
          <w:szCs w:val="22"/>
          <w:lang w:val="es-ES"/>
        </w:rPr>
      </w:pPr>
      <w:r w:rsidRPr="003E0B98">
        <w:rPr>
          <w:color w:val="000000"/>
          <w:szCs w:val="22"/>
          <w:lang w:val="es-ES"/>
        </w:rPr>
        <w:t>-</w:t>
      </w:r>
      <w:r w:rsidRPr="003E0B98">
        <w:rPr>
          <w:color w:val="000000"/>
          <w:szCs w:val="22"/>
          <w:lang w:val="es-ES"/>
        </w:rPr>
        <w:tab/>
        <w:t xml:space="preserve">una aguja con filtro de 5 µm (18G); no se incluye en el envase de </w:t>
      </w:r>
      <w:proofErr w:type="spellStart"/>
      <w:r w:rsidRPr="003E0B98">
        <w:rPr>
          <w:color w:val="000000"/>
          <w:szCs w:val="22"/>
          <w:lang w:val="es-ES"/>
        </w:rPr>
        <w:t>Lucentis</w:t>
      </w:r>
      <w:proofErr w:type="spellEnd"/>
    </w:p>
    <w:p w14:paraId="49275394" w14:textId="77777777" w:rsidR="0060621D" w:rsidRPr="003E0B98" w:rsidRDefault="0060621D" w:rsidP="004361AC">
      <w:pPr>
        <w:tabs>
          <w:tab w:val="clear" w:pos="567"/>
        </w:tabs>
        <w:spacing w:line="240" w:lineRule="auto"/>
        <w:ind w:left="567" w:hanging="567"/>
        <w:rPr>
          <w:color w:val="000000"/>
          <w:szCs w:val="22"/>
          <w:lang w:val="es-ES"/>
        </w:rPr>
      </w:pPr>
      <w:r w:rsidRPr="003E0B98">
        <w:rPr>
          <w:color w:val="000000"/>
          <w:szCs w:val="22"/>
          <w:lang w:val="es-ES"/>
        </w:rPr>
        <w:t>-</w:t>
      </w:r>
      <w:r w:rsidRPr="003E0B98">
        <w:rPr>
          <w:color w:val="000000"/>
          <w:szCs w:val="22"/>
          <w:lang w:val="es-ES"/>
        </w:rPr>
        <w:tab/>
        <w:t>una jeringa estéril de alta precisión y bajo volumen (</w:t>
      </w:r>
      <w:r w:rsidR="00AE3466" w:rsidRPr="003E0B98">
        <w:rPr>
          <w:color w:val="000000"/>
          <w:szCs w:val="22"/>
          <w:lang w:val="es-ES"/>
        </w:rPr>
        <w:t>se proporciona</w:t>
      </w:r>
      <w:r w:rsidRPr="003E0B98">
        <w:rPr>
          <w:color w:val="000000"/>
          <w:szCs w:val="22"/>
          <w:lang w:val="es-ES"/>
        </w:rPr>
        <w:t xml:space="preserve"> por separado dentro del kit VISISURE)</w:t>
      </w:r>
    </w:p>
    <w:p w14:paraId="04BE3B6C" w14:textId="77777777" w:rsidR="0060621D" w:rsidRPr="003E0B98" w:rsidRDefault="0060621D" w:rsidP="004361AC">
      <w:pPr>
        <w:tabs>
          <w:tab w:val="clear" w:pos="567"/>
        </w:tabs>
        <w:spacing w:line="240" w:lineRule="auto"/>
        <w:ind w:left="567" w:hanging="567"/>
        <w:rPr>
          <w:color w:val="000000"/>
          <w:szCs w:val="22"/>
          <w:lang w:val="es-ES"/>
        </w:rPr>
      </w:pPr>
      <w:r w:rsidRPr="003E0B98">
        <w:rPr>
          <w:color w:val="000000"/>
          <w:szCs w:val="22"/>
          <w:lang w:val="es-ES"/>
        </w:rPr>
        <w:t>-</w:t>
      </w:r>
      <w:r w:rsidRPr="003E0B98">
        <w:rPr>
          <w:color w:val="000000"/>
          <w:szCs w:val="22"/>
          <w:lang w:val="es-ES"/>
        </w:rPr>
        <w:tab/>
        <w:t xml:space="preserve">una </w:t>
      </w:r>
      <w:r w:rsidRPr="003E0B98">
        <w:rPr>
          <w:color w:val="000000"/>
          <w:lang w:val="es-ES_tradnl"/>
        </w:rPr>
        <w:t>aguja para inyección</w:t>
      </w:r>
      <w:r w:rsidRPr="003E0B98">
        <w:rPr>
          <w:color w:val="000000"/>
          <w:szCs w:val="22"/>
          <w:lang w:val="es-ES"/>
        </w:rPr>
        <w:t xml:space="preserve"> (30G x </w:t>
      </w:r>
      <w:r w:rsidRPr="003E0B98">
        <w:rPr>
          <w:color w:val="000000"/>
          <w:lang w:val="es-ES"/>
        </w:rPr>
        <w:t>½</w:t>
      </w:r>
      <w:r w:rsidRPr="003E0B98">
        <w:rPr>
          <w:color w:val="000000"/>
          <w:lang w:val="es-ES_tradnl"/>
        </w:rPr>
        <w:t>″</w:t>
      </w:r>
      <w:r w:rsidRPr="003E0B98">
        <w:rPr>
          <w:color w:val="000000"/>
          <w:szCs w:val="22"/>
          <w:lang w:val="es-ES"/>
        </w:rPr>
        <w:t>); (</w:t>
      </w:r>
      <w:r w:rsidR="00AE3466" w:rsidRPr="003E0B98">
        <w:rPr>
          <w:color w:val="000000"/>
          <w:szCs w:val="22"/>
          <w:lang w:val="es-ES"/>
        </w:rPr>
        <w:t>se proporciona</w:t>
      </w:r>
      <w:r w:rsidRPr="003E0B98">
        <w:rPr>
          <w:color w:val="000000"/>
          <w:szCs w:val="22"/>
          <w:lang w:val="es-ES"/>
        </w:rPr>
        <w:t xml:space="preserve"> por separado dentro del kit VISISURE)</w:t>
      </w:r>
      <w:r w:rsidR="00CC76C6" w:rsidRPr="003E0B98">
        <w:rPr>
          <w:color w:val="000000"/>
          <w:szCs w:val="22"/>
          <w:lang w:val="es-ES"/>
        </w:rPr>
        <w:t>.</w:t>
      </w:r>
    </w:p>
    <w:p w14:paraId="10FA4BDE" w14:textId="77777777" w:rsidR="003F59DD" w:rsidRPr="003E0B98" w:rsidRDefault="003F59DD" w:rsidP="004361AC">
      <w:pPr>
        <w:tabs>
          <w:tab w:val="clear" w:pos="567"/>
        </w:tabs>
        <w:spacing w:line="240" w:lineRule="auto"/>
        <w:rPr>
          <w:color w:val="000000"/>
          <w:szCs w:val="22"/>
          <w:lang w:val="es-ES"/>
        </w:rPr>
      </w:pPr>
    </w:p>
    <w:p w14:paraId="6D3D4EE0" w14:textId="77777777" w:rsidR="003F59DD" w:rsidRPr="003E0B98" w:rsidRDefault="003F59DD" w:rsidP="004361AC">
      <w:pPr>
        <w:keepNext/>
        <w:tabs>
          <w:tab w:val="clear" w:pos="567"/>
        </w:tabs>
        <w:spacing w:line="240" w:lineRule="auto"/>
        <w:rPr>
          <w:color w:val="000000"/>
          <w:szCs w:val="22"/>
          <w:lang w:val="es-ES_tradnl"/>
        </w:rPr>
      </w:pPr>
      <w:r w:rsidRPr="003E0B98">
        <w:rPr>
          <w:color w:val="000000"/>
          <w:szCs w:val="22"/>
          <w:u w:val="single"/>
          <w:lang w:val="es-ES_tradnl"/>
        </w:rPr>
        <w:t>Envase de vial + aguja con filtro</w:t>
      </w:r>
    </w:p>
    <w:p w14:paraId="6407CF4C" w14:textId="77777777" w:rsidR="003F59DD" w:rsidRPr="003E0B98" w:rsidRDefault="003F59DD" w:rsidP="004361AC">
      <w:pPr>
        <w:tabs>
          <w:tab w:val="clear" w:pos="567"/>
        </w:tabs>
        <w:spacing w:line="240" w:lineRule="auto"/>
        <w:rPr>
          <w:color w:val="000000"/>
          <w:szCs w:val="22"/>
          <w:lang w:val="es-ES_tradnl"/>
        </w:rPr>
      </w:pPr>
      <w:r w:rsidRPr="003E0B98">
        <w:rPr>
          <w:color w:val="000000"/>
          <w:szCs w:val="22"/>
          <w:lang w:val="es-ES_tradnl"/>
        </w:rPr>
        <w:t>Todos los componentes son estériles y para un solo uso. No se debe utilizar ningún componente cuyo envase muestre signos de deterioro o manipulación. La esterilidad sólo se puede garantizar si el sellado del envase de los componentes se mantiene intacto. La reutilización puede dar lugar a una infección u otra enfermedad/lesión.</w:t>
      </w:r>
    </w:p>
    <w:p w14:paraId="1AA8946B" w14:textId="77777777" w:rsidR="003F59DD" w:rsidRPr="003E0B98" w:rsidRDefault="003F59DD" w:rsidP="004361AC">
      <w:pPr>
        <w:tabs>
          <w:tab w:val="clear" w:pos="567"/>
        </w:tabs>
        <w:spacing w:line="240" w:lineRule="auto"/>
        <w:rPr>
          <w:color w:val="000000"/>
          <w:szCs w:val="22"/>
          <w:lang w:val="es-ES_tradnl"/>
        </w:rPr>
      </w:pPr>
    </w:p>
    <w:p w14:paraId="50527F5F" w14:textId="77777777" w:rsidR="003F59DD" w:rsidRPr="003E0B98" w:rsidRDefault="003F59DD" w:rsidP="004361AC">
      <w:pPr>
        <w:keepNext/>
        <w:tabs>
          <w:tab w:val="clear" w:pos="567"/>
        </w:tabs>
        <w:spacing w:line="240" w:lineRule="auto"/>
        <w:rPr>
          <w:color w:val="000000"/>
          <w:szCs w:val="22"/>
          <w:lang w:val="es-ES"/>
        </w:rPr>
      </w:pPr>
      <w:r w:rsidRPr="003E0B98">
        <w:rPr>
          <w:color w:val="000000"/>
          <w:szCs w:val="22"/>
          <w:lang w:val="es-ES"/>
        </w:rPr>
        <w:t>Para la preparación y la inyección intravítrea se necesitan los siguientes productos sanitarios (para un solo uso):</w:t>
      </w:r>
    </w:p>
    <w:p w14:paraId="07ED49B0" w14:textId="77777777" w:rsidR="003F59DD" w:rsidRPr="003E0B98" w:rsidRDefault="003F59DD" w:rsidP="004361AC">
      <w:pPr>
        <w:keepNext/>
        <w:tabs>
          <w:tab w:val="clear" w:pos="567"/>
        </w:tabs>
        <w:spacing w:line="240" w:lineRule="auto"/>
        <w:ind w:left="567" w:hanging="567"/>
        <w:rPr>
          <w:color w:val="000000"/>
          <w:szCs w:val="22"/>
          <w:lang w:val="es-ES"/>
        </w:rPr>
      </w:pPr>
      <w:r w:rsidRPr="003E0B98">
        <w:rPr>
          <w:color w:val="000000"/>
          <w:szCs w:val="22"/>
          <w:lang w:val="es-ES"/>
        </w:rPr>
        <w:t>-</w:t>
      </w:r>
      <w:r w:rsidRPr="003E0B98">
        <w:rPr>
          <w:color w:val="000000"/>
          <w:szCs w:val="22"/>
          <w:lang w:val="es-ES"/>
        </w:rPr>
        <w:tab/>
        <w:t>una aguja con filtro de 5 µm (18G x 1½″, 1,2 mm x 40 mm, suministrada)</w:t>
      </w:r>
    </w:p>
    <w:p w14:paraId="3530A72D" w14:textId="77777777" w:rsidR="0060621D" w:rsidRPr="003E0B98" w:rsidRDefault="003F59DD" w:rsidP="004361AC">
      <w:pPr>
        <w:tabs>
          <w:tab w:val="clear" w:pos="567"/>
        </w:tabs>
        <w:spacing w:line="240" w:lineRule="auto"/>
        <w:ind w:left="567" w:hanging="567"/>
        <w:rPr>
          <w:color w:val="000000"/>
          <w:szCs w:val="22"/>
          <w:lang w:val="es-ES"/>
        </w:rPr>
      </w:pPr>
      <w:r w:rsidRPr="003E0B98">
        <w:rPr>
          <w:color w:val="000000"/>
          <w:szCs w:val="22"/>
          <w:lang w:val="es-ES"/>
        </w:rPr>
        <w:t>-</w:t>
      </w:r>
      <w:r w:rsidRPr="003E0B98">
        <w:rPr>
          <w:color w:val="000000"/>
          <w:szCs w:val="22"/>
          <w:lang w:val="es-ES"/>
        </w:rPr>
        <w:tab/>
      </w:r>
      <w:r w:rsidR="0060621D" w:rsidRPr="003E0B98">
        <w:rPr>
          <w:color w:val="000000"/>
          <w:szCs w:val="22"/>
          <w:lang w:val="es-ES"/>
        </w:rPr>
        <w:t>una jeringa estéril de alta precisión y bajo volumen (</w:t>
      </w:r>
      <w:r w:rsidR="00925B14" w:rsidRPr="003E0B98">
        <w:rPr>
          <w:color w:val="000000"/>
          <w:szCs w:val="22"/>
          <w:lang w:val="es-ES"/>
        </w:rPr>
        <w:t>se proporciona</w:t>
      </w:r>
      <w:r w:rsidR="0060621D" w:rsidRPr="003E0B98">
        <w:rPr>
          <w:color w:val="000000"/>
          <w:szCs w:val="22"/>
          <w:lang w:val="es-ES"/>
        </w:rPr>
        <w:t xml:space="preserve"> por separado dentro del kit VISISURE)</w:t>
      </w:r>
    </w:p>
    <w:p w14:paraId="268A32B4" w14:textId="77777777" w:rsidR="0060621D" w:rsidRPr="003E0B98" w:rsidRDefault="0060621D" w:rsidP="004361AC">
      <w:pPr>
        <w:tabs>
          <w:tab w:val="clear" w:pos="567"/>
        </w:tabs>
        <w:spacing w:line="240" w:lineRule="auto"/>
        <w:ind w:left="567" w:hanging="567"/>
        <w:rPr>
          <w:color w:val="000000"/>
          <w:szCs w:val="22"/>
          <w:lang w:val="es-ES"/>
        </w:rPr>
      </w:pPr>
      <w:r w:rsidRPr="003E0B98">
        <w:rPr>
          <w:color w:val="000000"/>
          <w:szCs w:val="22"/>
          <w:lang w:val="es-ES"/>
        </w:rPr>
        <w:t>-</w:t>
      </w:r>
      <w:r w:rsidRPr="003E0B98">
        <w:rPr>
          <w:color w:val="000000"/>
          <w:szCs w:val="22"/>
          <w:lang w:val="es-ES"/>
        </w:rPr>
        <w:tab/>
        <w:t xml:space="preserve">una </w:t>
      </w:r>
      <w:r w:rsidRPr="003E0B98">
        <w:rPr>
          <w:color w:val="000000"/>
          <w:lang w:val="es-ES_tradnl"/>
        </w:rPr>
        <w:t>aguja para inyección</w:t>
      </w:r>
      <w:r w:rsidRPr="003E0B98">
        <w:rPr>
          <w:color w:val="000000"/>
          <w:szCs w:val="22"/>
          <w:lang w:val="es-ES"/>
        </w:rPr>
        <w:t xml:space="preserve"> (30G x </w:t>
      </w:r>
      <w:r w:rsidRPr="003E0B98">
        <w:rPr>
          <w:color w:val="000000"/>
          <w:lang w:val="es-ES"/>
        </w:rPr>
        <w:t>½</w:t>
      </w:r>
      <w:r w:rsidRPr="003E0B98">
        <w:rPr>
          <w:color w:val="000000"/>
          <w:lang w:val="es-ES_tradnl"/>
        </w:rPr>
        <w:t>″</w:t>
      </w:r>
      <w:r w:rsidRPr="003E0B98">
        <w:rPr>
          <w:color w:val="000000"/>
          <w:szCs w:val="22"/>
          <w:lang w:val="es-ES"/>
        </w:rPr>
        <w:t>); (</w:t>
      </w:r>
      <w:r w:rsidR="00925B14" w:rsidRPr="003E0B98">
        <w:rPr>
          <w:color w:val="000000"/>
          <w:szCs w:val="22"/>
          <w:lang w:val="es-ES"/>
        </w:rPr>
        <w:t>se proporciona</w:t>
      </w:r>
      <w:r w:rsidRPr="003E0B98">
        <w:rPr>
          <w:color w:val="000000"/>
          <w:szCs w:val="22"/>
          <w:lang w:val="es-ES"/>
        </w:rPr>
        <w:t xml:space="preserve"> por separado dentro del kit VISISURE)</w:t>
      </w:r>
    </w:p>
    <w:p w14:paraId="280575F4" w14:textId="77777777" w:rsidR="0060621D" w:rsidRPr="003E0B98" w:rsidRDefault="0060621D" w:rsidP="004361AC">
      <w:pPr>
        <w:numPr>
          <w:ilvl w:val="12"/>
          <w:numId w:val="0"/>
        </w:numPr>
        <w:tabs>
          <w:tab w:val="clear" w:pos="567"/>
        </w:tabs>
        <w:spacing w:line="240" w:lineRule="auto"/>
        <w:rPr>
          <w:color w:val="000000"/>
          <w:szCs w:val="22"/>
          <w:lang w:val="es-ES_tradnl"/>
        </w:rPr>
      </w:pPr>
    </w:p>
    <w:p w14:paraId="748AE542" w14:textId="77777777" w:rsidR="0060621D" w:rsidRPr="003E0B98" w:rsidRDefault="0060621D" w:rsidP="004361AC">
      <w:pPr>
        <w:numPr>
          <w:ilvl w:val="12"/>
          <w:numId w:val="0"/>
        </w:numPr>
        <w:tabs>
          <w:tab w:val="clear" w:pos="567"/>
        </w:tabs>
        <w:spacing w:line="240" w:lineRule="auto"/>
        <w:rPr>
          <w:color w:val="000000"/>
          <w:szCs w:val="22"/>
          <w:lang w:val="es-ES_tradnl"/>
        </w:rPr>
      </w:pPr>
      <w:r w:rsidRPr="003E0B98">
        <w:rPr>
          <w:color w:val="000000"/>
          <w:szCs w:val="22"/>
          <w:lang w:val="es-ES_tradnl"/>
        </w:rPr>
        <w:t xml:space="preserve">Para preparar </w:t>
      </w:r>
      <w:proofErr w:type="spellStart"/>
      <w:r w:rsidRPr="003E0B98">
        <w:rPr>
          <w:color w:val="000000"/>
          <w:szCs w:val="22"/>
          <w:lang w:val="es-ES_tradnl"/>
        </w:rPr>
        <w:t>Lucentis</w:t>
      </w:r>
      <w:proofErr w:type="spellEnd"/>
      <w:r w:rsidRPr="003E0B98">
        <w:rPr>
          <w:color w:val="000000"/>
          <w:szCs w:val="22"/>
          <w:lang w:val="es-ES_tradnl"/>
        </w:rPr>
        <w:t xml:space="preserve"> para </w:t>
      </w:r>
      <w:r w:rsidR="001E561D" w:rsidRPr="003E0B98">
        <w:rPr>
          <w:color w:val="000000"/>
          <w:szCs w:val="22"/>
          <w:lang w:val="es-ES_tradnl"/>
        </w:rPr>
        <w:t xml:space="preserve">la </w:t>
      </w:r>
      <w:r w:rsidRPr="003E0B98">
        <w:rPr>
          <w:color w:val="000000"/>
          <w:szCs w:val="22"/>
          <w:lang w:val="es-ES_tradnl"/>
        </w:rPr>
        <w:t xml:space="preserve">administración intravítrea a </w:t>
      </w:r>
      <w:r w:rsidR="001E561D" w:rsidRPr="003E0B98">
        <w:rPr>
          <w:color w:val="000000"/>
          <w:szCs w:val="22"/>
          <w:lang w:val="es-ES_tradnl"/>
        </w:rPr>
        <w:t>recién nacidos</w:t>
      </w:r>
      <w:r w:rsidRPr="003E0B98">
        <w:rPr>
          <w:color w:val="000000"/>
          <w:szCs w:val="22"/>
          <w:lang w:val="es-ES_tradnl"/>
        </w:rPr>
        <w:t xml:space="preserve"> </w:t>
      </w:r>
      <w:r w:rsidR="003400BD" w:rsidRPr="003E0B98">
        <w:rPr>
          <w:color w:val="000000"/>
          <w:szCs w:val="22"/>
          <w:lang w:val="es-ES_tradnl"/>
        </w:rPr>
        <w:t>pretérmino</w:t>
      </w:r>
      <w:r w:rsidRPr="003E0B98">
        <w:rPr>
          <w:color w:val="000000"/>
          <w:szCs w:val="22"/>
          <w:lang w:val="es-ES_tradnl"/>
        </w:rPr>
        <w:t>, siga las instrucciones de uso de</w:t>
      </w:r>
      <w:r w:rsidR="00101F59" w:rsidRPr="003E0B98">
        <w:rPr>
          <w:color w:val="000000"/>
          <w:szCs w:val="22"/>
          <w:lang w:val="es-ES_tradnl"/>
        </w:rPr>
        <w:t>l</w:t>
      </w:r>
      <w:r w:rsidRPr="003E0B98">
        <w:rPr>
          <w:color w:val="000000"/>
          <w:szCs w:val="22"/>
          <w:lang w:val="es-ES_tradnl"/>
        </w:rPr>
        <w:t xml:space="preserve"> kit VISISURE.</w:t>
      </w:r>
    </w:p>
    <w:p w14:paraId="0F8A0A18" w14:textId="77777777" w:rsidR="0060621D" w:rsidRPr="003E0B98" w:rsidRDefault="0060621D" w:rsidP="004361AC">
      <w:pPr>
        <w:numPr>
          <w:ilvl w:val="12"/>
          <w:numId w:val="0"/>
        </w:numPr>
        <w:tabs>
          <w:tab w:val="clear" w:pos="567"/>
        </w:tabs>
        <w:spacing w:line="240" w:lineRule="auto"/>
        <w:rPr>
          <w:color w:val="000000"/>
          <w:szCs w:val="22"/>
          <w:lang w:val="es-ES_tradnl"/>
        </w:rPr>
      </w:pPr>
    </w:p>
    <w:p w14:paraId="3DB1EA99" w14:textId="77777777" w:rsidR="0060621D" w:rsidRPr="00CF64C1" w:rsidRDefault="004519EB" w:rsidP="004361AC">
      <w:pPr>
        <w:numPr>
          <w:ilvl w:val="12"/>
          <w:numId w:val="0"/>
        </w:numPr>
        <w:tabs>
          <w:tab w:val="clear" w:pos="567"/>
        </w:tabs>
        <w:spacing w:line="240" w:lineRule="auto"/>
        <w:rPr>
          <w:color w:val="000000"/>
          <w:szCs w:val="22"/>
          <w:lang w:val="es-ES_tradnl"/>
        </w:rPr>
      </w:pPr>
      <w:r w:rsidRPr="003E0B98">
        <w:rPr>
          <w:color w:val="000000"/>
          <w:szCs w:val="22"/>
          <w:lang w:val="es-ES_tradnl"/>
        </w:rPr>
        <w:t>La aguja para</w:t>
      </w:r>
      <w:r w:rsidR="0060621D" w:rsidRPr="003E0B98">
        <w:rPr>
          <w:color w:val="000000"/>
          <w:szCs w:val="22"/>
          <w:lang w:val="es-ES_tradnl"/>
        </w:rPr>
        <w:t xml:space="preserve"> inyección </w:t>
      </w:r>
      <w:r w:rsidRPr="003E0B98">
        <w:rPr>
          <w:color w:val="000000"/>
          <w:szCs w:val="22"/>
          <w:lang w:val="es-ES_tradnl"/>
        </w:rPr>
        <w:t>se debe introducir</w:t>
      </w:r>
      <w:r w:rsidR="001E561D" w:rsidRPr="003E0B98">
        <w:rPr>
          <w:color w:val="000000"/>
          <w:szCs w:val="22"/>
          <w:lang w:val="es-ES_tradnl"/>
        </w:rPr>
        <w:t xml:space="preserve"> 1,0 a 2,0 </w:t>
      </w:r>
      <w:r w:rsidR="0060621D" w:rsidRPr="003E0B98">
        <w:rPr>
          <w:color w:val="000000"/>
          <w:szCs w:val="22"/>
          <w:lang w:val="es-ES_tradnl"/>
        </w:rPr>
        <w:t>mm po</w:t>
      </w:r>
      <w:r w:rsidRPr="003E0B98">
        <w:rPr>
          <w:color w:val="000000"/>
          <w:szCs w:val="22"/>
          <w:lang w:val="es-ES_tradnl"/>
        </w:rPr>
        <w:t>r detrás de</w:t>
      </w:r>
      <w:r w:rsidR="0060621D" w:rsidRPr="003E0B98">
        <w:rPr>
          <w:color w:val="000000"/>
          <w:szCs w:val="22"/>
          <w:lang w:val="es-ES_tradnl"/>
        </w:rPr>
        <w:t>l limbo</w:t>
      </w:r>
      <w:r w:rsidRPr="003E0B98">
        <w:rPr>
          <w:color w:val="000000"/>
          <w:szCs w:val="22"/>
          <w:lang w:val="es-ES_tradnl"/>
        </w:rPr>
        <w:t xml:space="preserve"> en la cavidad vítrea</w:t>
      </w:r>
      <w:r w:rsidR="0060621D" w:rsidRPr="003E0B98">
        <w:rPr>
          <w:color w:val="000000"/>
          <w:szCs w:val="22"/>
          <w:lang w:val="es-ES_tradnl"/>
        </w:rPr>
        <w:t xml:space="preserve">, con la aguja </w:t>
      </w:r>
      <w:r w:rsidRPr="003E0B98">
        <w:rPr>
          <w:color w:val="000000"/>
          <w:szCs w:val="22"/>
          <w:lang w:val="es-ES_tradnl"/>
        </w:rPr>
        <w:t>en dirección</w:t>
      </w:r>
      <w:r w:rsidR="0060621D" w:rsidRPr="003E0B98">
        <w:rPr>
          <w:color w:val="000000"/>
          <w:szCs w:val="22"/>
          <w:lang w:val="es-ES_tradnl"/>
        </w:rPr>
        <w:t xml:space="preserve"> hacia el nervio óptico. </w:t>
      </w:r>
      <w:r w:rsidR="00502AC8" w:rsidRPr="003E0B98">
        <w:rPr>
          <w:color w:val="000000"/>
          <w:szCs w:val="22"/>
          <w:lang w:val="es-ES"/>
        </w:rPr>
        <w:t>Seguidamente debe liberarse el volumen de inyección de 0.02 ml.</w:t>
      </w:r>
    </w:p>
    <w:p w14:paraId="6D81CC0B" w14:textId="77777777" w:rsidR="00353512" w:rsidRDefault="00353512" w:rsidP="004361AC">
      <w:pPr>
        <w:tabs>
          <w:tab w:val="clear" w:pos="567"/>
        </w:tabs>
        <w:spacing w:line="240" w:lineRule="auto"/>
        <w:rPr>
          <w:color w:val="000000"/>
          <w:szCs w:val="22"/>
          <w:lang w:val="es-ES"/>
        </w:rPr>
      </w:pPr>
    </w:p>
    <w:sectPr w:rsidR="00353512" w:rsidSect="00E33458">
      <w:footerReference w:type="default" r:id="rId34"/>
      <w:footerReference w:type="first" r:id="rId35"/>
      <w:endnotePr>
        <w:numFmt w:val="decimal"/>
      </w:endnotePr>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E6324" w14:textId="77777777" w:rsidR="00160989" w:rsidRDefault="00160989">
      <w:r>
        <w:separator/>
      </w:r>
    </w:p>
  </w:endnote>
  <w:endnote w:type="continuationSeparator" w:id="0">
    <w:p w14:paraId="66976F7A" w14:textId="77777777" w:rsidR="00160989" w:rsidRDefault="00160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S PGothic">
    <w:panose1 w:val="020B0600070205080204"/>
    <w:charset w:val="80"/>
    <w:family w:val="swiss"/>
    <w:pitch w:val="variable"/>
    <w:sig w:usb0="E00002FF" w:usb1="6AC7FDFB" w:usb2="08000012" w:usb3="00000000" w:csb0="0002009F" w:csb1="00000000"/>
  </w:font>
  <w:font w:name="NewsGothicBdBT-Reg">
    <w:altName w:val="Arial"/>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3D4DA" w14:textId="4DE007D8" w:rsidR="00160989" w:rsidRPr="00AA4C09" w:rsidRDefault="00160989">
    <w:pPr>
      <w:pStyle w:val="Footer"/>
      <w:tabs>
        <w:tab w:val="clear" w:pos="8930"/>
        <w:tab w:val="right" w:pos="8931"/>
      </w:tabs>
      <w:ind w:right="96"/>
      <w:jc w:val="center"/>
      <w:rPr>
        <w:rFonts w:ascii="Arial" w:hAnsi="Arial" w:cs="Arial"/>
      </w:rPr>
    </w:pPr>
    <w:r>
      <w:fldChar w:fldCharType="begin"/>
    </w:r>
    <w:r>
      <w:instrText xml:space="preserve"> EQ </w:instrText>
    </w:r>
    <w:r>
      <w:fldChar w:fldCharType="end"/>
    </w:r>
    <w:r w:rsidRPr="00AA4C09">
      <w:rPr>
        <w:rStyle w:val="PageNumber"/>
        <w:rFonts w:ascii="Arial" w:hAnsi="Arial" w:cs="Arial"/>
      </w:rPr>
      <w:fldChar w:fldCharType="begin"/>
    </w:r>
    <w:r w:rsidRPr="00AA4C09">
      <w:rPr>
        <w:rStyle w:val="PageNumber"/>
        <w:rFonts w:ascii="Arial" w:hAnsi="Arial" w:cs="Arial"/>
      </w:rPr>
      <w:instrText xml:space="preserve">PAGE  </w:instrText>
    </w:r>
    <w:r w:rsidRPr="00AA4C09">
      <w:rPr>
        <w:rStyle w:val="PageNumber"/>
        <w:rFonts w:ascii="Arial" w:hAnsi="Arial" w:cs="Arial"/>
      </w:rPr>
      <w:fldChar w:fldCharType="separate"/>
    </w:r>
    <w:r w:rsidR="00207AF2">
      <w:rPr>
        <w:rStyle w:val="PageNumber"/>
        <w:rFonts w:ascii="Arial" w:hAnsi="Arial" w:cs="Arial"/>
        <w:noProof/>
      </w:rPr>
      <w:t>6</w:t>
    </w:r>
    <w:r w:rsidRPr="00AA4C09">
      <w:rPr>
        <w:rStyle w:val="PageNumbe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121A9" w14:textId="77777777" w:rsidR="00160989" w:rsidRDefault="00160989" w:rsidP="0049447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A051EEC" w14:textId="77777777" w:rsidR="00160989" w:rsidRDefault="00160989" w:rsidP="00E33458">
    <w:pPr>
      <w:pStyle w:val="Footer"/>
      <w:tabs>
        <w:tab w:val="clear" w:pos="8930"/>
        <w:tab w:val="right" w:pos="8931"/>
      </w:tabs>
      <w:ind w:right="360"/>
      <w:jc w:val="center"/>
    </w:pPr>
    <w:r>
      <w:fldChar w:fldCharType="begin"/>
    </w:r>
    <w:r>
      <w:instrText xml:space="preserve"> EQ </w:instrTex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EB321" w14:textId="77777777" w:rsidR="00160989" w:rsidRDefault="00160989">
      <w:r>
        <w:separator/>
      </w:r>
    </w:p>
  </w:footnote>
  <w:footnote w:type="continuationSeparator" w:id="0">
    <w:p w14:paraId="2B0771E0" w14:textId="77777777" w:rsidR="00160989" w:rsidRDefault="001609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5E4CFD"/>
    <w:multiLevelType w:val="hybridMultilevel"/>
    <w:tmpl w:val="D752050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0A7567DE"/>
    <w:multiLevelType w:val="hybridMultilevel"/>
    <w:tmpl w:val="FA6213A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65664F"/>
    <w:multiLevelType w:val="hybridMultilevel"/>
    <w:tmpl w:val="496C1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CA0DFE"/>
    <w:multiLevelType w:val="hybridMultilevel"/>
    <w:tmpl w:val="F38CD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6" w15:restartNumberingAfterBreak="0">
    <w:nsid w:val="2FA34C92"/>
    <w:multiLevelType w:val="hybridMultilevel"/>
    <w:tmpl w:val="EDFEB744"/>
    <w:lvl w:ilvl="0" w:tplc="5082DDBC">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1AE269B"/>
    <w:multiLevelType w:val="hybridMultilevel"/>
    <w:tmpl w:val="8B64EEB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32AE7802"/>
    <w:multiLevelType w:val="hybridMultilevel"/>
    <w:tmpl w:val="4C58396A"/>
    <w:lvl w:ilvl="0" w:tplc="1E1A4402">
      <w:start w:val="2"/>
      <w:numFmt w:val="bullet"/>
      <w:lvlText w:val="-"/>
      <w:lvlJc w:val="left"/>
      <w:pPr>
        <w:tabs>
          <w:tab w:val="num" w:pos="1494"/>
        </w:tabs>
        <w:ind w:left="1494" w:hanging="360"/>
      </w:pPr>
      <w:rPr>
        <w:rFonts w:hint="default"/>
        <w:u w:val="none" w:color="000000"/>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9" w15:restartNumberingAfterBreak="0">
    <w:nsid w:val="3A4412BE"/>
    <w:multiLevelType w:val="singleLevel"/>
    <w:tmpl w:val="A4D2795A"/>
    <w:lvl w:ilvl="0">
      <w:start w:val="1"/>
      <w:numFmt w:val="bullet"/>
      <w:lvlText w:val=""/>
      <w:lvlJc w:val="left"/>
      <w:pPr>
        <w:tabs>
          <w:tab w:val="num" w:pos="357"/>
        </w:tabs>
        <w:ind w:left="357" w:hanging="357"/>
      </w:pPr>
      <w:rPr>
        <w:rFonts w:ascii="Symbol" w:hAnsi="Symbol" w:hint="default"/>
      </w:rPr>
    </w:lvl>
  </w:abstractNum>
  <w:abstractNum w:abstractNumId="10" w15:restartNumberingAfterBreak="0">
    <w:nsid w:val="3BD514A7"/>
    <w:multiLevelType w:val="hybridMultilevel"/>
    <w:tmpl w:val="78ACDCC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A313A5"/>
    <w:multiLevelType w:val="hybridMultilevel"/>
    <w:tmpl w:val="85E63CE4"/>
    <w:lvl w:ilvl="0" w:tplc="F1B44788">
      <w:start w:val="1"/>
      <w:numFmt w:val="bullet"/>
      <w:lvlText w:val=""/>
      <w:lvlJc w:val="left"/>
      <w:pPr>
        <w:tabs>
          <w:tab w:val="num" w:pos="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2B854C2"/>
    <w:multiLevelType w:val="hybridMultilevel"/>
    <w:tmpl w:val="994C6E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0781BD9"/>
    <w:multiLevelType w:val="hybridMultilevel"/>
    <w:tmpl w:val="9AAC24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56A616A"/>
    <w:multiLevelType w:val="hybridMultilevel"/>
    <w:tmpl w:val="BF861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4B8133E"/>
    <w:multiLevelType w:val="hybridMultilevel"/>
    <w:tmpl w:val="E3C6B9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E69633B"/>
    <w:multiLevelType w:val="hybridMultilevel"/>
    <w:tmpl w:val="3000F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44810692">
    <w:abstractNumId w:val="5"/>
  </w:num>
  <w:num w:numId="2" w16cid:durableId="484008670">
    <w:abstractNumId w:val="8"/>
  </w:num>
  <w:num w:numId="3" w16cid:durableId="2012877046">
    <w:abstractNumId w:val="2"/>
  </w:num>
  <w:num w:numId="4" w16cid:durableId="528837048">
    <w:abstractNumId w:val="0"/>
    <w:lvlOverride w:ilvl="0">
      <w:lvl w:ilvl="0">
        <w:numFmt w:val="bullet"/>
        <w:lvlText w:val=""/>
        <w:legacy w:legacy="1" w:legacySpace="0" w:legacyIndent="0"/>
        <w:lvlJc w:val="left"/>
        <w:rPr>
          <w:rFonts w:ascii="Symbol" w:hAnsi="Symbol" w:hint="default"/>
        </w:rPr>
      </w:lvl>
    </w:lvlOverride>
  </w:num>
  <w:num w:numId="5" w16cid:durableId="1267806203">
    <w:abstractNumId w:val="11"/>
  </w:num>
  <w:num w:numId="6" w16cid:durableId="264269194">
    <w:abstractNumId w:val="12"/>
  </w:num>
  <w:num w:numId="7" w16cid:durableId="150634404">
    <w:abstractNumId w:val="13"/>
  </w:num>
  <w:num w:numId="8" w16cid:durableId="888565668">
    <w:abstractNumId w:val="3"/>
  </w:num>
  <w:num w:numId="9" w16cid:durableId="464083865">
    <w:abstractNumId w:val="16"/>
  </w:num>
  <w:num w:numId="10" w16cid:durableId="967508653">
    <w:abstractNumId w:val="9"/>
  </w:num>
  <w:num w:numId="11" w16cid:durableId="960305659">
    <w:abstractNumId w:val="1"/>
  </w:num>
  <w:num w:numId="12" w16cid:durableId="187372473">
    <w:abstractNumId w:val="7"/>
  </w:num>
  <w:num w:numId="13" w16cid:durableId="106386890">
    <w:abstractNumId w:val="4"/>
  </w:num>
  <w:num w:numId="14" w16cid:durableId="1988052487">
    <w:abstractNumId w:val="10"/>
  </w:num>
  <w:num w:numId="15" w16cid:durableId="1632706321">
    <w:abstractNumId w:val="6"/>
  </w:num>
  <w:num w:numId="16" w16cid:durableId="799108649">
    <w:abstractNumId w:val="14"/>
  </w:num>
  <w:num w:numId="17" w16cid:durableId="338891875">
    <w:abstractNumId w:val="15"/>
  </w:num>
  <w:num w:numId="18" w16cid:durableId="1198542012">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hideSpellingErrors/>
  <w:activeWritingStyle w:appName="MSWord" w:lang="da-DK" w:vendorID="64" w:dllVersion="6" w:nlCheck="1" w:checkStyle="0"/>
  <w:activeWritingStyle w:appName="MSWord" w:lang="it-IT" w:vendorID="64" w:dllVersion="6" w:nlCheck="1" w:checkStyle="0"/>
  <w:activeWritingStyle w:appName="MSWord" w:lang="en-GB" w:vendorID="64" w:dllVersion="6" w:nlCheck="1" w:checkStyle="1"/>
  <w:activeWritingStyle w:appName="MSWord" w:lang="fr-FR" w:vendorID="64" w:dllVersion="6" w:nlCheck="1" w:checkStyle="0"/>
  <w:activeWritingStyle w:appName="MSWord" w:lang="es-ES_tradnl" w:vendorID="64" w:dllVersion="6" w:nlCheck="1" w:checkStyle="0"/>
  <w:activeWritingStyle w:appName="MSWord" w:lang="es-ES" w:vendorID="64" w:dllVersion="6" w:nlCheck="1" w:checkStyle="0"/>
  <w:activeWritingStyle w:appName="MSWord" w:lang="de-CH" w:vendorID="64" w:dllVersion="6" w:nlCheck="1" w:checkStyle="0"/>
  <w:activeWritingStyle w:appName="MSWord" w:lang="en-US" w:vendorID="64" w:dllVersion="6" w:nlCheck="1" w:checkStyle="1"/>
  <w:activeWritingStyle w:appName="MSWord" w:lang="de-DE" w:vendorID="64" w:dllVersion="6" w:nlCheck="1" w:checkStyle="0"/>
  <w:activeWritingStyle w:appName="MSWord" w:lang="nb-NO" w:vendorID="64" w:dllVersion="6" w:nlCheck="1" w:checkStyle="0"/>
  <w:activeWritingStyle w:appName="MSWord" w:lang="fr-CH" w:vendorID="64" w:dllVersion="6" w:nlCheck="1" w:checkStyle="0"/>
  <w:activeWritingStyle w:appName="MSWord" w:lang="pt-PT" w:vendorID="64" w:dllVersion="6" w:nlCheck="1" w:checkStyle="0"/>
  <w:activeWritingStyle w:appName="MSWord" w:lang="es-ES_tradnl" w:vendorID="64" w:dllVersion="0" w:nlCheck="1" w:checkStyle="0"/>
  <w:activeWritingStyle w:appName="MSWord" w:lang="en-US" w:vendorID="64" w:dllVersion="0" w:nlCheck="1" w:checkStyle="0"/>
  <w:activeWritingStyle w:appName="MSWord" w:lang="fr-CH" w:vendorID="64" w:dllVersion="0" w:nlCheck="1" w:checkStyle="0"/>
  <w:activeWritingStyle w:appName="MSWord" w:lang="es-ES" w:vendorID="64" w:dllVersion="0" w:nlCheck="1" w:checkStyle="0"/>
  <w:activeWritingStyle w:appName="MSWord" w:lang="en-GB" w:vendorID="64" w:dllVersion="0" w:nlCheck="1" w:checkStyle="0"/>
  <w:activeWritingStyle w:appName="MSWord" w:lang="pt-PT" w:vendorID="64" w:dllVersion="0" w:nlCheck="1" w:checkStyle="0"/>
  <w:activeWritingStyle w:appName="MSWord" w:lang="sv-SE" w:vendorID="64" w:dllVersion="0" w:nlCheck="1" w:checkStyle="0"/>
  <w:activeWritingStyle w:appName="MSWord" w:lang="de-DE" w:vendorID="64" w:dllVersion="0" w:nlCheck="1" w:checkStyle="0"/>
  <w:activeWritingStyle w:appName="MSWord" w:lang="de-CH" w:vendorID="64" w:dllVersion="0" w:nlCheck="1" w:checkStyle="0"/>
  <w:activeWritingStyle w:appName="MSWord" w:lang="fr-FR" w:vendorID="64" w:dllVersion="0" w:nlCheck="1" w:checkStyle="0"/>
  <w:activeWritingStyle w:appName="MSWord" w:lang="da-DK" w:vendorID="64" w:dllVersion="0" w:nlCheck="1" w:checkStyle="0"/>
  <w:activeWritingStyle w:appName="MSWord" w:lang="it-IT" w:vendorID="64" w:dllVersion="0" w:nlCheck="1" w:checkStyle="0"/>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fr-FR" w:vendorID="9" w:dllVersion="512" w:checkStyle="1"/>
  <w:activeWritingStyle w:appName="MSWord" w:lang="de-DE"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nl-NL" w:vendorID="9" w:dllVersion="512" w:checkStyle="1"/>
  <w:activeWritingStyle w:appName="MSWord" w:lang="de-CH" w:vendorID="9" w:dllVersion="512" w:checkStyle="1"/>
  <w:activeWritingStyle w:appName="MSWord" w:lang="pt-PT" w:vendorID="13" w:dllVersion="513" w:checkStyle="1"/>
  <w:activeWritingStyle w:appName="MSWord" w:lang="sv-SE" w:vendorID="22" w:dllVersion="513" w:checkStyle="1"/>
  <w:activeWritingStyle w:appName="MSWord" w:lang="nb-NO" w:vendorID="22" w:dllVersion="513" w:checkStyle="1"/>
  <w:activeWritingStyle w:appName="MSWord" w:lang="da-DK" w:vendorID="22" w:dllVersion="513" w:checkStyle="1"/>
  <w:activeWritingStyle w:appName="MSWord" w:lang="pt-PT" w:vendorID="75"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135169"/>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2C043E"/>
    <w:rsid w:val="000000B7"/>
    <w:rsid w:val="0000095C"/>
    <w:rsid w:val="00001156"/>
    <w:rsid w:val="0000164E"/>
    <w:rsid w:val="00002D5F"/>
    <w:rsid w:val="00003CFE"/>
    <w:rsid w:val="00003F81"/>
    <w:rsid w:val="00004165"/>
    <w:rsid w:val="00004742"/>
    <w:rsid w:val="00005A6E"/>
    <w:rsid w:val="00007CEC"/>
    <w:rsid w:val="00010537"/>
    <w:rsid w:val="0001071A"/>
    <w:rsid w:val="000112A1"/>
    <w:rsid w:val="00011DE9"/>
    <w:rsid w:val="0001262B"/>
    <w:rsid w:val="0001279E"/>
    <w:rsid w:val="00013B91"/>
    <w:rsid w:val="00013DA2"/>
    <w:rsid w:val="000147B8"/>
    <w:rsid w:val="000148B6"/>
    <w:rsid w:val="00016A5E"/>
    <w:rsid w:val="00016A95"/>
    <w:rsid w:val="000177CA"/>
    <w:rsid w:val="000203FC"/>
    <w:rsid w:val="00021293"/>
    <w:rsid w:val="0002179A"/>
    <w:rsid w:val="00021826"/>
    <w:rsid w:val="000219C6"/>
    <w:rsid w:val="00022D56"/>
    <w:rsid w:val="00023B56"/>
    <w:rsid w:val="000242CA"/>
    <w:rsid w:val="000259B7"/>
    <w:rsid w:val="00025C9B"/>
    <w:rsid w:val="000267EA"/>
    <w:rsid w:val="00027905"/>
    <w:rsid w:val="00027A3A"/>
    <w:rsid w:val="00030151"/>
    <w:rsid w:val="00030BE8"/>
    <w:rsid w:val="000312F0"/>
    <w:rsid w:val="00031C3E"/>
    <w:rsid w:val="00031D0B"/>
    <w:rsid w:val="0003208D"/>
    <w:rsid w:val="0003395A"/>
    <w:rsid w:val="000353CD"/>
    <w:rsid w:val="000359D3"/>
    <w:rsid w:val="00035F46"/>
    <w:rsid w:val="00036034"/>
    <w:rsid w:val="000377AD"/>
    <w:rsid w:val="000406E0"/>
    <w:rsid w:val="00041219"/>
    <w:rsid w:val="00041ED7"/>
    <w:rsid w:val="00041EF5"/>
    <w:rsid w:val="0004377D"/>
    <w:rsid w:val="00043871"/>
    <w:rsid w:val="00044882"/>
    <w:rsid w:val="00044E98"/>
    <w:rsid w:val="000451A4"/>
    <w:rsid w:val="000452DB"/>
    <w:rsid w:val="0004680A"/>
    <w:rsid w:val="00047B91"/>
    <w:rsid w:val="00050087"/>
    <w:rsid w:val="00053135"/>
    <w:rsid w:val="00053302"/>
    <w:rsid w:val="000550D1"/>
    <w:rsid w:val="00055201"/>
    <w:rsid w:val="0005555B"/>
    <w:rsid w:val="00057A1E"/>
    <w:rsid w:val="00060A7A"/>
    <w:rsid w:val="00062B98"/>
    <w:rsid w:val="00063D13"/>
    <w:rsid w:val="00064432"/>
    <w:rsid w:val="000646F4"/>
    <w:rsid w:val="00065444"/>
    <w:rsid w:val="000670F1"/>
    <w:rsid w:val="00067B0A"/>
    <w:rsid w:val="00067D1B"/>
    <w:rsid w:val="000707A3"/>
    <w:rsid w:val="00070A73"/>
    <w:rsid w:val="00070EF1"/>
    <w:rsid w:val="00071855"/>
    <w:rsid w:val="000731CA"/>
    <w:rsid w:val="00073A83"/>
    <w:rsid w:val="000745B3"/>
    <w:rsid w:val="00074E3B"/>
    <w:rsid w:val="00075450"/>
    <w:rsid w:val="000757C9"/>
    <w:rsid w:val="000763A1"/>
    <w:rsid w:val="000763C1"/>
    <w:rsid w:val="000773D8"/>
    <w:rsid w:val="000813E3"/>
    <w:rsid w:val="0008323D"/>
    <w:rsid w:val="00083EAA"/>
    <w:rsid w:val="00084812"/>
    <w:rsid w:val="00085326"/>
    <w:rsid w:val="000856D8"/>
    <w:rsid w:val="00085A41"/>
    <w:rsid w:val="00086528"/>
    <w:rsid w:val="00087B33"/>
    <w:rsid w:val="00087D5F"/>
    <w:rsid w:val="00091726"/>
    <w:rsid w:val="0009359C"/>
    <w:rsid w:val="00094317"/>
    <w:rsid w:val="00094C69"/>
    <w:rsid w:val="00096DC9"/>
    <w:rsid w:val="000A1283"/>
    <w:rsid w:val="000A1BB8"/>
    <w:rsid w:val="000A1C30"/>
    <w:rsid w:val="000A1CBA"/>
    <w:rsid w:val="000A1CFF"/>
    <w:rsid w:val="000A35EA"/>
    <w:rsid w:val="000A3792"/>
    <w:rsid w:val="000A5F80"/>
    <w:rsid w:val="000B0E4F"/>
    <w:rsid w:val="000B137F"/>
    <w:rsid w:val="000B1635"/>
    <w:rsid w:val="000B2049"/>
    <w:rsid w:val="000B294E"/>
    <w:rsid w:val="000B316C"/>
    <w:rsid w:val="000B452F"/>
    <w:rsid w:val="000B6422"/>
    <w:rsid w:val="000B6B11"/>
    <w:rsid w:val="000B7337"/>
    <w:rsid w:val="000B73F8"/>
    <w:rsid w:val="000B755B"/>
    <w:rsid w:val="000C0B88"/>
    <w:rsid w:val="000C2936"/>
    <w:rsid w:val="000C414F"/>
    <w:rsid w:val="000C5A0B"/>
    <w:rsid w:val="000C695A"/>
    <w:rsid w:val="000C7914"/>
    <w:rsid w:val="000D0D66"/>
    <w:rsid w:val="000D34A7"/>
    <w:rsid w:val="000D45AB"/>
    <w:rsid w:val="000D501A"/>
    <w:rsid w:val="000D54C6"/>
    <w:rsid w:val="000D5BF4"/>
    <w:rsid w:val="000D5DFD"/>
    <w:rsid w:val="000D64D0"/>
    <w:rsid w:val="000D74DF"/>
    <w:rsid w:val="000E0DCB"/>
    <w:rsid w:val="000E0F00"/>
    <w:rsid w:val="000E203E"/>
    <w:rsid w:val="000E28D1"/>
    <w:rsid w:val="000E2F60"/>
    <w:rsid w:val="000E64DF"/>
    <w:rsid w:val="000E6AA0"/>
    <w:rsid w:val="000E6AA9"/>
    <w:rsid w:val="000E6E56"/>
    <w:rsid w:val="000E7795"/>
    <w:rsid w:val="000F0C43"/>
    <w:rsid w:val="000F4439"/>
    <w:rsid w:val="000F448C"/>
    <w:rsid w:val="000F513E"/>
    <w:rsid w:val="000F656D"/>
    <w:rsid w:val="000F6A80"/>
    <w:rsid w:val="000F7F02"/>
    <w:rsid w:val="00100207"/>
    <w:rsid w:val="00100378"/>
    <w:rsid w:val="00101695"/>
    <w:rsid w:val="00101987"/>
    <w:rsid w:val="00101F59"/>
    <w:rsid w:val="00101F8D"/>
    <w:rsid w:val="00102663"/>
    <w:rsid w:val="0010298E"/>
    <w:rsid w:val="00103CF6"/>
    <w:rsid w:val="00105024"/>
    <w:rsid w:val="0010530E"/>
    <w:rsid w:val="0010689B"/>
    <w:rsid w:val="001118FF"/>
    <w:rsid w:val="00111AF4"/>
    <w:rsid w:val="00112DF8"/>
    <w:rsid w:val="00113045"/>
    <w:rsid w:val="00113300"/>
    <w:rsid w:val="00113C7A"/>
    <w:rsid w:val="00113D12"/>
    <w:rsid w:val="001146DB"/>
    <w:rsid w:val="00114D2C"/>
    <w:rsid w:val="00116638"/>
    <w:rsid w:val="00116E68"/>
    <w:rsid w:val="00117BF2"/>
    <w:rsid w:val="00117D8A"/>
    <w:rsid w:val="00120781"/>
    <w:rsid w:val="001211AD"/>
    <w:rsid w:val="00121AD5"/>
    <w:rsid w:val="00122E91"/>
    <w:rsid w:val="00123303"/>
    <w:rsid w:val="00123667"/>
    <w:rsid w:val="00123CF5"/>
    <w:rsid w:val="001245D7"/>
    <w:rsid w:val="00124830"/>
    <w:rsid w:val="001248C5"/>
    <w:rsid w:val="00124C84"/>
    <w:rsid w:val="001250B2"/>
    <w:rsid w:val="0012527E"/>
    <w:rsid w:val="00126F9C"/>
    <w:rsid w:val="0013046E"/>
    <w:rsid w:val="00132656"/>
    <w:rsid w:val="00132B72"/>
    <w:rsid w:val="001331D9"/>
    <w:rsid w:val="00134261"/>
    <w:rsid w:val="00134E24"/>
    <w:rsid w:val="001353CF"/>
    <w:rsid w:val="00135D8D"/>
    <w:rsid w:val="00136F92"/>
    <w:rsid w:val="001404F0"/>
    <w:rsid w:val="0014078F"/>
    <w:rsid w:val="001408AA"/>
    <w:rsid w:val="00141F38"/>
    <w:rsid w:val="00143F7A"/>
    <w:rsid w:val="001444B4"/>
    <w:rsid w:val="00144CA6"/>
    <w:rsid w:val="00145008"/>
    <w:rsid w:val="0014515E"/>
    <w:rsid w:val="001458F2"/>
    <w:rsid w:val="00147A05"/>
    <w:rsid w:val="00147A11"/>
    <w:rsid w:val="00147CF4"/>
    <w:rsid w:val="001501E8"/>
    <w:rsid w:val="001509E1"/>
    <w:rsid w:val="00151386"/>
    <w:rsid w:val="0015274E"/>
    <w:rsid w:val="001532A1"/>
    <w:rsid w:val="00153893"/>
    <w:rsid w:val="00156796"/>
    <w:rsid w:val="001570D4"/>
    <w:rsid w:val="00160022"/>
    <w:rsid w:val="001602B6"/>
    <w:rsid w:val="00160989"/>
    <w:rsid w:val="001631AD"/>
    <w:rsid w:val="00163BBE"/>
    <w:rsid w:val="00163BEE"/>
    <w:rsid w:val="00163FE7"/>
    <w:rsid w:val="0016663F"/>
    <w:rsid w:val="00166E98"/>
    <w:rsid w:val="00166F7E"/>
    <w:rsid w:val="001670D4"/>
    <w:rsid w:val="001674FE"/>
    <w:rsid w:val="00170C3B"/>
    <w:rsid w:val="001717C0"/>
    <w:rsid w:val="001721BC"/>
    <w:rsid w:val="00172BCC"/>
    <w:rsid w:val="00174177"/>
    <w:rsid w:val="00175C5C"/>
    <w:rsid w:val="00175E08"/>
    <w:rsid w:val="00176A8D"/>
    <w:rsid w:val="00180A4D"/>
    <w:rsid w:val="00181539"/>
    <w:rsid w:val="00181741"/>
    <w:rsid w:val="001829CE"/>
    <w:rsid w:val="00182BFC"/>
    <w:rsid w:val="00183541"/>
    <w:rsid w:val="00183953"/>
    <w:rsid w:val="0018430D"/>
    <w:rsid w:val="001854A7"/>
    <w:rsid w:val="00190117"/>
    <w:rsid w:val="00191D05"/>
    <w:rsid w:val="00192343"/>
    <w:rsid w:val="001938AE"/>
    <w:rsid w:val="0019457A"/>
    <w:rsid w:val="00194C80"/>
    <w:rsid w:val="0019555D"/>
    <w:rsid w:val="001958B5"/>
    <w:rsid w:val="00195DAE"/>
    <w:rsid w:val="00196E4D"/>
    <w:rsid w:val="0019706D"/>
    <w:rsid w:val="00197ACF"/>
    <w:rsid w:val="001A0F3D"/>
    <w:rsid w:val="001A0F60"/>
    <w:rsid w:val="001A11DD"/>
    <w:rsid w:val="001A1B76"/>
    <w:rsid w:val="001A246D"/>
    <w:rsid w:val="001A3074"/>
    <w:rsid w:val="001A3AAE"/>
    <w:rsid w:val="001A3ECD"/>
    <w:rsid w:val="001A46D3"/>
    <w:rsid w:val="001A4EF7"/>
    <w:rsid w:val="001A5EBE"/>
    <w:rsid w:val="001A66B9"/>
    <w:rsid w:val="001A6CD9"/>
    <w:rsid w:val="001A76F3"/>
    <w:rsid w:val="001B03D3"/>
    <w:rsid w:val="001B104B"/>
    <w:rsid w:val="001B1977"/>
    <w:rsid w:val="001B1B2A"/>
    <w:rsid w:val="001B201A"/>
    <w:rsid w:val="001B3C32"/>
    <w:rsid w:val="001B3CE9"/>
    <w:rsid w:val="001B42D6"/>
    <w:rsid w:val="001B4FEA"/>
    <w:rsid w:val="001B5726"/>
    <w:rsid w:val="001B5CF1"/>
    <w:rsid w:val="001B6EE6"/>
    <w:rsid w:val="001C0181"/>
    <w:rsid w:val="001C1D1B"/>
    <w:rsid w:val="001C1F91"/>
    <w:rsid w:val="001C2236"/>
    <w:rsid w:val="001C26CC"/>
    <w:rsid w:val="001C437C"/>
    <w:rsid w:val="001C47D9"/>
    <w:rsid w:val="001C6762"/>
    <w:rsid w:val="001C6EE7"/>
    <w:rsid w:val="001C7C26"/>
    <w:rsid w:val="001D00CF"/>
    <w:rsid w:val="001D0323"/>
    <w:rsid w:val="001D04D1"/>
    <w:rsid w:val="001D1A17"/>
    <w:rsid w:val="001D2429"/>
    <w:rsid w:val="001D4234"/>
    <w:rsid w:val="001D45CB"/>
    <w:rsid w:val="001D4BBC"/>
    <w:rsid w:val="001D540A"/>
    <w:rsid w:val="001D5906"/>
    <w:rsid w:val="001D5960"/>
    <w:rsid w:val="001D72A8"/>
    <w:rsid w:val="001D7F72"/>
    <w:rsid w:val="001E07AB"/>
    <w:rsid w:val="001E22E4"/>
    <w:rsid w:val="001E2785"/>
    <w:rsid w:val="001E3EBD"/>
    <w:rsid w:val="001E4A07"/>
    <w:rsid w:val="001E561D"/>
    <w:rsid w:val="001E5C43"/>
    <w:rsid w:val="001E607F"/>
    <w:rsid w:val="001E6525"/>
    <w:rsid w:val="001E6C88"/>
    <w:rsid w:val="001E78F5"/>
    <w:rsid w:val="001F10F3"/>
    <w:rsid w:val="001F1A80"/>
    <w:rsid w:val="001F1B39"/>
    <w:rsid w:val="001F1B73"/>
    <w:rsid w:val="001F3643"/>
    <w:rsid w:val="001F37F0"/>
    <w:rsid w:val="001F4967"/>
    <w:rsid w:val="001F6365"/>
    <w:rsid w:val="001F71EB"/>
    <w:rsid w:val="002016A4"/>
    <w:rsid w:val="00201E45"/>
    <w:rsid w:val="00203896"/>
    <w:rsid w:val="00203B41"/>
    <w:rsid w:val="00203EFA"/>
    <w:rsid w:val="002069D1"/>
    <w:rsid w:val="00206D3E"/>
    <w:rsid w:val="00206D48"/>
    <w:rsid w:val="00207486"/>
    <w:rsid w:val="00207661"/>
    <w:rsid w:val="00207A2B"/>
    <w:rsid w:val="00207AF2"/>
    <w:rsid w:val="00207E71"/>
    <w:rsid w:val="002106CB"/>
    <w:rsid w:val="00210FDF"/>
    <w:rsid w:val="00211212"/>
    <w:rsid w:val="002136BE"/>
    <w:rsid w:val="00213BA3"/>
    <w:rsid w:val="00214619"/>
    <w:rsid w:val="002159CA"/>
    <w:rsid w:val="00216258"/>
    <w:rsid w:val="002171C2"/>
    <w:rsid w:val="00217279"/>
    <w:rsid w:val="002176B0"/>
    <w:rsid w:val="0022021E"/>
    <w:rsid w:val="00220D7F"/>
    <w:rsid w:val="00221950"/>
    <w:rsid w:val="002237B6"/>
    <w:rsid w:val="00226A83"/>
    <w:rsid w:val="00226F25"/>
    <w:rsid w:val="00227605"/>
    <w:rsid w:val="00227973"/>
    <w:rsid w:val="002300E1"/>
    <w:rsid w:val="002308DD"/>
    <w:rsid w:val="002310EE"/>
    <w:rsid w:val="00231BBA"/>
    <w:rsid w:val="00231DC9"/>
    <w:rsid w:val="00233621"/>
    <w:rsid w:val="00234950"/>
    <w:rsid w:val="00234DE0"/>
    <w:rsid w:val="00235998"/>
    <w:rsid w:val="00236234"/>
    <w:rsid w:val="00237C74"/>
    <w:rsid w:val="0024041A"/>
    <w:rsid w:val="002404B6"/>
    <w:rsid w:val="00240545"/>
    <w:rsid w:val="00241A28"/>
    <w:rsid w:val="0024279D"/>
    <w:rsid w:val="0024491B"/>
    <w:rsid w:val="002463CE"/>
    <w:rsid w:val="0024767F"/>
    <w:rsid w:val="002509B9"/>
    <w:rsid w:val="002509CD"/>
    <w:rsid w:val="002518C9"/>
    <w:rsid w:val="00251EA6"/>
    <w:rsid w:val="002542F2"/>
    <w:rsid w:val="002549EC"/>
    <w:rsid w:val="002551CA"/>
    <w:rsid w:val="002558BB"/>
    <w:rsid w:val="0025627C"/>
    <w:rsid w:val="00256BF3"/>
    <w:rsid w:val="00256F98"/>
    <w:rsid w:val="0025703A"/>
    <w:rsid w:val="00257CAC"/>
    <w:rsid w:val="0026006C"/>
    <w:rsid w:val="0026059C"/>
    <w:rsid w:val="002629AA"/>
    <w:rsid w:val="00262D9B"/>
    <w:rsid w:val="00263BC6"/>
    <w:rsid w:val="00264E7C"/>
    <w:rsid w:val="002654B5"/>
    <w:rsid w:val="0026560F"/>
    <w:rsid w:val="00265A6A"/>
    <w:rsid w:val="00266808"/>
    <w:rsid w:val="00270106"/>
    <w:rsid w:val="002702D8"/>
    <w:rsid w:val="00270D41"/>
    <w:rsid w:val="00272274"/>
    <w:rsid w:val="00273F39"/>
    <w:rsid w:val="00274D91"/>
    <w:rsid w:val="002766C5"/>
    <w:rsid w:val="00276DDA"/>
    <w:rsid w:val="00277979"/>
    <w:rsid w:val="002809CF"/>
    <w:rsid w:val="002819EF"/>
    <w:rsid w:val="0028253C"/>
    <w:rsid w:val="00282848"/>
    <w:rsid w:val="00283788"/>
    <w:rsid w:val="002838B3"/>
    <w:rsid w:val="00283BCB"/>
    <w:rsid w:val="00283D55"/>
    <w:rsid w:val="00284022"/>
    <w:rsid w:val="00284893"/>
    <w:rsid w:val="00284DE3"/>
    <w:rsid w:val="00285684"/>
    <w:rsid w:val="00287438"/>
    <w:rsid w:val="00287A49"/>
    <w:rsid w:val="00287C50"/>
    <w:rsid w:val="0029237E"/>
    <w:rsid w:val="00292AC8"/>
    <w:rsid w:val="002933F6"/>
    <w:rsid w:val="0029473B"/>
    <w:rsid w:val="00295705"/>
    <w:rsid w:val="00295A78"/>
    <w:rsid w:val="002963BB"/>
    <w:rsid w:val="00297601"/>
    <w:rsid w:val="002A16CD"/>
    <w:rsid w:val="002A1BB5"/>
    <w:rsid w:val="002A1FFF"/>
    <w:rsid w:val="002A2B67"/>
    <w:rsid w:val="002A3D80"/>
    <w:rsid w:val="002A4DDA"/>
    <w:rsid w:val="002A5F78"/>
    <w:rsid w:val="002A68C1"/>
    <w:rsid w:val="002A69A8"/>
    <w:rsid w:val="002B0D4D"/>
    <w:rsid w:val="002B0E6D"/>
    <w:rsid w:val="002B1041"/>
    <w:rsid w:val="002B10B1"/>
    <w:rsid w:val="002B1A13"/>
    <w:rsid w:val="002B258A"/>
    <w:rsid w:val="002B2FD3"/>
    <w:rsid w:val="002B3A93"/>
    <w:rsid w:val="002B3CAE"/>
    <w:rsid w:val="002B51E2"/>
    <w:rsid w:val="002B62A9"/>
    <w:rsid w:val="002B639D"/>
    <w:rsid w:val="002B7983"/>
    <w:rsid w:val="002B7CEE"/>
    <w:rsid w:val="002C043E"/>
    <w:rsid w:val="002C06AE"/>
    <w:rsid w:val="002C0DA6"/>
    <w:rsid w:val="002C1109"/>
    <w:rsid w:val="002C17B5"/>
    <w:rsid w:val="002C23F1"/>
    <w:rsid w:val="002C486C"/>
    <w:rsid w:val="002C496F"/>
    <w:rsid w:val="002C5BFA"/>
    <w:rsid w:val="002C775D"/>
    <w:rsid w:val="002C7867"/>
    <w:rsid w:val="002C7E48"/>
    <w:rsid w:val="002D0005"/>
    <w:rsid w:val="002D0C94"/>
    <w:rsid w:val="002D1587"/>
    <w:rsid w:val="002D2A10"/>
    <w:rsid w:val="002D2EF7"/>
    <w:rsid w:val="002D3082"/>
    <w:rsid w:val="002D49EA"/>
    <w:rsid w:val="002D4A89"/>
    <w:rsid w:val="002D51A6"/>
    <w:rsid w:val="002D5701"/>
    <w:rsid w:val="002D5CAA"/>
    <w:rsid w:val="002D68C8"/>
    <w:rsid w:val="002D7097"/>
    <w:rsid w:val="002E059A"/>
    <w:rsid w:val="002E1225"/>
    <w:rsid w:val="002E1EBC"/>
    <w:rsid w:val="002E2027"/>
    <w:rsid w:val="002E29E4"/>
    <w:rsid w:val="002E3234"/>
    <w:rsid w:val="002E3AAF"/>
    <w:rsid w:val="002E436B"/>
    <w:rsid w:val="002E5034"/>
    <w:rsid w:val="002E5671"/>
    <w:rsid w:val="002E57E3"/>
    <w:rsid w:val="002E6273"/>
    <w:rsid w:val="002E6B02"/>
    <w:rsid w:val="002F08F3"/>
    <w:rsid w:val="002F1AD5"/>
    <w:rsid w:val="002F2E84"/>
    <w:rsid w:val="002F36B3"/>
    <w:rsid w:val="002F3D35"/>
    <w:rsid w:val="002F4AF3"/>
    <w:rsid w:val="002F58CE"/>
    <w:rsid w:val="002F5DE9"/>
    <w:rsid w:val="002F6538"/>
    <w:rsid w:val="002F6577"/>
    <w:rsid w:val="002F690D"/>
    <w:rsid w:val="002F7799"/>
    <w:rsid w:val="002F7C0A"/>
    <w:rsid w:val="003010CC"/>
    <w:rsid w:val="00301221"/>
    <w:rsid w:val="0030188E"/>
    <w:rsid w:val="0030202A"/>
    <w:rsid w:val="00302967"/>
    <w:rsid w:val="0030432C"/>
    <w:rsid w:val="003046ED"/>
    <w:rsid w:val="00306E58"/>
    <w:rsid w:val="00307A1C"/>
    <w:rsid w:val="003106EA"/>
    <w:rsid w:val="00310E68"/>
    <w:rsid w:val="0031181A"/>
    <w:rsid w:val="00311970"/>
    <w:rsid w:val="0031271D"/>
    <w:rsid w:val="00312816"/>
    <w:rsid w:val="00312EE0"/>
    <w:rsid w:val="00313650"/>
    <w:rsid w:val="00313AB1"/>
    <w:rsid w:val="00313DAC"/>
    <w:rsid w:val="003145B8"/>
    <w:rsid w:val="00315C90"/>
    <w:rsid w:val="00315F02"/>
    <w:rsid w:val="00316573"/>
    <w:rsid w:val="00317283"/>
    <w:rsid w:val="00320417"/>
    <w:rsid w:val="00320D23"/>
    <w:rsid w:val="00320E58"/>
    <w:rsid w:val="00321B65"/>
    <w:rsid w:val="0032268B"/>
    <w:rsid w:val="00322E99"/>
    <w:rsid w:val="003236FA"/>
    <w:rsid w:val="003239FA"/>
    <w:rsid w:val="00326279"/>
    <w:rsid w:val="00326F9C"/>
    <w:rsid w:val="00327165"/>
    <w:rsid w:val="003304EB"/>
    <w:rsid w:val="00330DDE"/>
    <w:rsid w:val="00330F66"/>
    <w:rsid w:val="00331180"/>
    <w:rsid w:val="0033178E"/>
    <w:rsid w:val="00332333"/>
    <w:rsid w:val="00332E04"/>
    <w:rsid w:val="003339AA"/>
    <w:rsid w:val="00333C85"/>
    <w:rsid w:val="00333EF9"/>
    <w:rsid w:val="00333F56"/>
    <w:rsid w:val="00333F66"/>
    <w:rsid w:val="0033492C"/>
    <w:rsid w:val="0033510C"/>
    <w:rsid w:val="00336F91"/>
    <w:rsid w:val="003400BD"/>
    <w:rsid w:val="003403BE"/>
    <w:rsid w:val="0034101F"/>
    <w:rsid w:val="003427F8"/>
    <w:rsid w:val="0034329C"/>
    <w:rsid w:val="00343F22"/>
    <w:rsid w:val="003443E1"/>
    <w:rsid w:val="00344485"/>
    <w:rsid w:val="003445BE"/>
    <w:rsid w:val="00344F4C"/>
    <w:rsid w:val="0034546D"/>
    <w:rsid w:val="003458AF"/>
    <w:rsid w:val="00345CD2"/>
    <w:rsid w:val="0034731B"/>
    <w:rsid w:val="00347391"/>
    <w:rsid w:val="00350E34"/>
    <w:rsid w:val="0035140D"/>
    <w:rsid w:val="00351589"/>
    <w:rsid w:val="00351DA2"/>
    <w:rsid w:val="0035242B"/>
    <w:rsid w:val="00353087"/>
    <w:rsid w:val="00353512"/>
    <w:rsid w:val="003538D7"/>
    <w:rsid w:val="0035427B"/>
    <w:rsid w:val="00355474"/>
    <w:rsid w:val="003558ED"/>
    <w:rsid w:val="00355D62"/>
    <w:rsid w:val="00356450"/>
    <w:rsid w:val="00356DCA"/>
    <w:rsid w:val="003570AF"/>
    <w:rsid w:val="00357DAA"/>
    <w:rsid w:val="00361196"/>
    <w:rsid w:val="0036131F"/>
    <w:rsid w:val="003633BE"/>
    <w:rsid w:val="00363466"/>
    <w:rsid w:val="00364528"/>
    <w:rsid w:val="00366002"/>
    <w:rsid w:val="00366549"/>
    <w:rsid w:val="00366938"/>
    <w:rsid w:val="00366BF0"/>
    <w:rsid w:val="00366DBE"/>
    <w:rsid w:val="0037201D"/>
    <w:rsid w:val="003732D8"/>
    <w:rsid w:val="00373EBA"/>
    <w:rsid w:val="00373FC2"/>
    <w:rsid w:val="0037515B"/>
    <w:rsid w:val="00376726"/>
    <w:rsid w:val="00377D64"/>
    <w:rsid w:val="00380112"/>
    <w:rsid w:val="0038177B"/>
    <w:rsid w:val="00382279"/>
    <w:rsid w:val="00384266"/>
    <w:rsid w:val="003846DD"/>
    <w:rsid w:val="00384D84"/>
    <w:rsid w:val="00385A57"/>
    <w:rsid w:val="00386ABD"/>
    <w:rsid w:val="00386FB6"/>
    <w:rsid w:val="0038745E"/>
    <w:rsid w:val="00390F65"/>
    <w:rsid w:val="00391094"/>
    <w:rsid w:val="00393494"/>
    <w:rsid w:val="00393ECE"/>
    <w:rsid w:val="0039432D"/>
    <w:rsid w:val="00394A11"/>
    <w:rsid w:val="0039565E"/>
    <w:rsid w:val="003959C5"/>
    <w:rsid w:val="0039666C"/>
    <w:rsid w:val="0039669F"/>
    <w:rsid w:val="00396ECC"/>
    <w:rsid w:val="00397120"/>
    <w:rsid w:val="0039750B"/>
    <w:rsid w:val="003A150D"/>
    <w:rsid w:val="003A24AF"/>
    <w:rsid w:val="003A255F"/>
    <w:rsid w:val="003A34AB"/>
    <w:rsid w:val="003A5F39"/>
    <w:rsid w:val="003A6A10"/>
    <w:rsid w:val="003A7252"/>
    <w:rsid w:val="003B00BB"/>
    <w:rsid w:val="003B0496"/>
    <w:rsid w:val="003B0C01"/>
    <w:rsid w:val="003B0DEC"/>
    <w:rsid w:val="003B3DC6"/>
    <w:rsid w:val="003B41E0"/>
    <w:rsid w:val="003B66FD"/>
    <w:rsid w:val="003B72B7"/>
    <w:rsid w:val="003B7678"/>
    <w:rsid w:val="003C01E2"/>
    <w:rsid w:val="003C0A12"/>
    <w:rsid w:val="003C169A"/>
    <w:rsid w:val="003C1DBC"/>
    <w:rsid w:val="003C2501"/>
    <w:rsid w:val="003C3425"/>
    <w:rsid w:val="003C3C78"/>
    <w:rsid w:val="003C41A5"/>
    <w:rsid w:val="003C43A1"/>
    <w:rsid w:val="003C50BC"/>
    <w:rsid w:val="003C5D78"/>
    <w:rsid w:val="003C616B"/>
    <w:rsid w:val="003C6A6A"/>
    <w:rsid w:val="003C719B"/>
    <w:rsid w:val="003C728B"/>
    <w:rsid w:val="003C74D7"/>
    <w:rsid w:val="003C79DE"/>
    <w:rsid w:val="003C7E90"/>
    <w:rsid w:val="003D1281"/>
    <w:rsid w:val="003D144F"/>
    <w:rsid w:val="003D1C8B"/>
    <w:rsid w:val="003D37C3"/>
    <w:rsid w:val="003D3B68"/>
    <w:rsid w:val="003D4267"/>
    <w:rsid w:val="003D4450"/>
    <w:rsid w:val="003D4AEA"/>
    <w:rsid w:val="003D7A21"/>
    <w:rsid w:val="003E04A9"/>
    <w:rsid w:val="003E0570"/>
    <w:rsid w:val="003E07CD"/>
    <w:rsid w:val="003E0B98"/>
    <w:rsid w:val="003E265D"/>
    <w:rsid w:val="003E3666"/>
    <w:rsid w:val="003E487D"/>
    <w:rsid w:val="003E517B"/>
    <w:rsid w:val="003E5C9D"/>
    <w:rsid w:val="003E60A5"/>
    <w:rsid w:val="003E71D3"/>
    <w:rsid w:val="003E775B"/>
    <w:rsid w:val="003F0F97"/>
    <w:rsid w:val="003F130C"/>
    <w:rsid w:val="003F153D"/>
    <w:rsid w:val="003F2552"/>
    <w:rsid w:val="003F3B96"/>
    <w:rsid w:val="003F430A"/>
    <w:rsid w:val="003F44F0"/>
    <w:rsid w:val="003F4D55"/>
    <w:rsid w:val="003F59DD"/>
    <w:rsid w:val="003F5AB1"/>
    <w:rsid w:val="003F5EAC"/>
    <w:rsid w:val="003F6236"/>
    <w:rsid w:val="003F6494"/>
    <w:rsid w:val="003F702F"/>
    <w:rsid w:val="00400E59"/>
    <w:rsid w:val="00400F05"/>
    <w:rsid w:val="0040109B"/>
    <w:rsid w:val="00401224"/>
    <w:rsid w:val="00401606"/>
    <w:rsid w:val="0040179D"/>
    <w:rsid w:val="00404BCF"/>
    <w:rsid w:val="0040530A"/>
    <w:rsid w:val="00405C96"/>
    <w:rsid w:val="00406015"/>
    <w:rsid w:val="00407115"/>
    <w:rsid w:val="004100F7"/>
    <w:rsid w:val="004109CA"/>
    <w:rsid w:val="0041189B"/>
    <w:rsid w:val="004134E9"/>
    <w:rsid w:val="00413A48"/>
    <w:rsid w:val="0041487A"/>
    <w:rsid w:val="0041588E"/>
    <w:rsid w:val="00415B65"/>
    <w:rsid w:val="00416DD1"/>
    <w:rsid w:val="00417657"/>
    <w:rsid w:val="00420E0A"/>
    <w:rsid w:val="0042293A"/>
    <w:rsid w:val="00423944"/>
    <w:rsid w:val="0042617C"/>
    <w:rsid w:val="00426305"/>
    <w:rsid w:val="00426506"/>
    <w:rsid w:val="004305B3"/>
    <w:rsid w:val="0043158F"/>
    <w:rsid w:val="004326EF"/>
    <w:rsid w:val="00433246"/>
    <w:rsid w:val="00433AF0"/>
    <w:rsid w:val="004346BD"/>
    <w:rsid w:val="004354D2"/>
    <w:rsid w:val="004361AC"/>
    <w:rsid w:val="00436738"/>
    <w:rsid w:val="00440BE3"/>
    <w:rsid w:val="00441554"/>
    <w:rsid w:val="00441BDE"/>
    <w:rsid w:val="004420AC"/>
    <w:rsid w:val="004420B7"/>
    <w:rsid w:val="00442EE6"/>
    <w:rsid w:val="004433AF"/>
    <w:rsid w:val="00444D05"/>
    <w:rsid w:val="00447636"/>
    <w:rsid w:val="0044774E"/>
    <w:rsid w:val="00447CF5"/>
    <w:rsid w:val="00450713"/>
    <w:rsid w:val="00450AD7"/>
    <w:rsid w:val="00450BD6"/>
    <w:rsid w:val="004519EB"/>
    <w:rsid w:val="00451B99"/>
    <w:rsid w:val="004530BA"/>
    <w:rsid w:val="00453107"/>
    <w:rsid w:val="00453D88"/>
    <w:rsid w:val="004544EE"/>
    <w:rsid w:val="00454E6A"/>
    <w:rsid w:val="004552E0"/>
    <w:rsid w:val="004561A3"/>
    <w:rsid w:val="00457504"/>
    <w:rsid w:val="0046089E"/>
    <w:rsid w:val="00460C31"/>
    <w:rsid w:val="004620C9"/>
    <w:rsid w:val="00463366"/>
    <w:rsid w:val="0046785E"/>
    <w:rsid w:val="00467AC5"/>
    <w:rsid w:val="00467CF7"/>
    <w:rsid w:val="00467F6D"/>
    <w:rsid w:val="00470446"/>
    <w:rsid w:val="004717D4"/>
    <w:rsid w:val="0047272C"/>
    <w:rsid w:val="00473826"/>
    <w:rsid w:val="00473B37"/>
    <w:rsid w:val="00473B71"/>
    <w:rsid w:val="00473E73"/>
    <w:rsid w:val="004745F8"/>
    <w:rsid w:val="00474E54"/>
    <w:rsid w:val="004757DE"/>
    <w:rsid w:val="00475BE8"/>
    <w:rsid w:val="00476850"/>
    <w:rsid w:val="004777CF"/>
    <w:rsid w:val="00477A04"/>
    <w:rsid w:val="00480D92"/>
    <w:rsid w:val="00481891"/>
    <w:rsid w:val="00481F45"/>
    <w:rsid w:val="0048239A"/>
    <w:rsid w:val="00482B5E"/>
    <w:rsid w:val="00483975"/>
    <w:rsid w:val="00483DF7"/>
    <w:rsid w:val="00485051"/>
    <w:rsid w:val="0048517A"/>
    <w:rsid w:val="00485C37"/>
    <w:rsid w:val="00485C52"/>
    <w:rsid w:val="004904FF"/>
    <w:rsid w:val="00490F86"/>
    <w:rsid w:val="0049139F"/>
    <w:rsid w:val="0049175E"/>
    <w:rsid w:val="004930B3"/>
    <w:rsid w:val="004931EF"/>
    <w:rsid w:val="00493E2B"/>
    <w:rsid w:val="0049447A"/>
    <w:rsid w:val="004968A8"/>
    <w:rsid w:val="00497532"/>
    <w:rsid w:val="004A05A6"/>
    <w:rsid w:val="004A0808"/>
    <w:rsid w:val="004A1602"/>
    <w:rsid w:val="004A2A25"/>
    <w:rsid w:val="004A3517"/>
    <w:rsid w:val="004A5829"/>
    <w:rsid w:val="004A6173"/>
    <w:rsid w:val="004A6E1F"/>
    <w:rsid w:val="004A707E"/>
    <w:rsid w:val="004A7344"/>
    <w:rsid w:val="004A7EE1"/>
    <w:rsid w:val="004B13EC"/>
    <w:rsid w:val="004B2194"/>
    <w:rsid w:val="004B2420"/>
    <w:rsid w:val="004B282E"/>
    <w:rsid w:val="004B2A9C"/>
    <w:rsid w:val="004B2E46"/>
    <w:rsid w:val="004B3C67"/>
    <w:rsid w:val="004B3D53"/>
    <w:rsid w:val="004B5AAE"/>
    <w:rsid w:val="004B6039"/>
    <w:rsid w:val="004B6B2E"/>
    <w:rsid w:val="004B7474"/>
    <w:rsid w:val="004C06DE"/>
    <w:rsid w:val="004C1BAB"/>
    <w:rsid w:val="004C1E9C"/>
    <w:rsid w:val="004C4591"/>
    <w:rsid w:val="004C4702"/>
    <w:rsid w:val="004C4CD4"/>
    <w:rsid w:val="004C52DB"/>
    <w:rsid w:val="004C5BFF"/>
    <w:rsid w:val="004C66EB"/>
    <w:rsid w:val="004D03BA"/>
    <w:rsid w:val="004D1259"/>
    <w:rsid w:val="004D1CB5"/>
    <w:rsid w:val="004D2036"/>
    <w:rsid w:val="004D2FA0"/>
    <w:rsid w:val="004D3A10"/>
    <w:rsid w:val="004D4933"/>
    <w:rsid w:val="004D4BAD"/>
    <w:rsid w:val="004D4C58"/>
    <w:rsid w:val="004D5015"/>
    <w:rsid w:val="004D5848"/>
    <w:rsid w:val="004D6075"/>
    <w:rsid w:val="004D6684"/>
    <w:rsid w:val="004D6A1A"/>
    <w:rsid w:val="004D765F"/>
    <w:rsid w:val="004E0452"/>
    <w:rsid w:val="004E2DC2"/>
    <w:rsid w:val="004E33BB"/>
    <w:rsid w:val="004E390E"/>
    <w:rsid w:val="004E45EB"/>
    <w:rsid w:val="004E4C74"/>
    <w:rsid w:val="004E4F93"/>
    <w:rsid w:val="004E6422"/>
    <w:rsid w:val="004E6679"/>
    <w:rsid w:val="004E6BC6"/>
    <w:rsid w:val="004F02E0"/>
    <w:rsid w:val="004F10C9"/>
    <w:rsid w:val="004F10CB"/>
    <w:rsid w:val="004F22C7"/>
    <w:rsid w:val="004F43F8"/>
    <w:rsid w:val="004F4801"/>
    <w:rsid w:val="004F5869"/>
    <w:rsid w:val="004F746D"/>
    <w:rsid w:val="004F74AA"/>
    <w:rsid w:val="004F7598"/>
    <w:rsid w:val="004F7761"/>
    <w:rsid w:val="004F7BD7"/>
    <w:rsid w:val="005001AE"/>
    <w:rsid w:val="00501A2A"/>
    <w:rsid w:val="00502AC8"/>
    <w:rsid w:val="00503029"/>
    <w:rsid w:val="0050343F"/>
    <w:rsid w:val="00503EE3"/>
    <w:rsid w:val="00504746"/>
    <w:rsid w:val="005049A8"/>
    <w:rsid w:val="005051C0"/>
    <w:rsid w:val="00505628"/>
    <w:rsid w:val="0050600E"/>
    <w:rsid w:val="00507CC0"/>
    <w:rsid w:val="005102EA"/>
    <w:rsid w:val="005102F6"/>
    <w:rsid w:val="00510687"/>
    <w:rsid w:val="00510B8A"/>
    <w:rsid w:val="00510BB1"/>
    <w:rsid w:val="0051136A"/>
    <w:rsid w:val="005135B8"/>
    <w:rsid w:val="005138C0"/>
    <w:rsid w:val="005139F6"/>
    <w:rsid w:val="00514130"/>
    <w:rsid w:val="00515382"/>
    <w:rsid w:val="0051561A"/>
    <w:rsid w:val="005157F4"/>
    <w:rsid w:val="00516088"/>
    <w:rsid w:val="00516545"/>
    <w:rsid w:val="0051689A"/>
    <w:rsid w:val="00516B9E"/>
    <w:rsid w:val="0051761E"/>
    <w:rsid w:val="005177B6"/>
    <w:rsid w:val="005177CE"/>
    <w:rsid w:val="00517AA6"/>
    <w:rsid w:val="0052040C"/>
    <w:rsid w:val="00520EA8"/>
    <w:rsid w:val="005210D5"/>
    <w:rsid w:val="005224F7"/>
    <w:rsid w:val="005232F9"/>
    <w:rsid w:val="00523333"/>
    <w:rsid w:val="00524E52"/>
    <w:rsid w:val="005251B2"/>
    <w:rsid w:val="0052586F"/>
    <w:rsid w:val="005268B9"/>
    <w:rsid w:val="00526C70"/>
    <w:rsid w:val="0053115E"/>
    <w:rsid w:val="00532727"/>
    <w:rsid w:val="0053393F"/>
    <w:rsid w:val="00533D70"/>
    <w:rsid w:val="00534D09"/>
    <w:rsid w:val="00534F99"/>
    <w:rsid w:val="00535074"/>
    <w:rsid w:val="00536C2F"/>
    <w:rsid w:val="00537083"/>
    <w:rsid w:val="00537D95"/>
    <w:rsid w:val="00540080"/>
    <w:rsid w:val="0054143E"/>
    <w:rsid w:val="0054260E"/>
    <w:rsid w:val="00542E03"/>
    <w:rsid w:val="0054505E"/>
    <w:rsid w:val="005458C5"/>
    <w:rsid w:val="00545BD7"/>
    <w:rsid w:val="00546995"/>
    <w:rsid w:val="00547958"/>
    <w:rsid w:val="005502CF"/>
    <w:rsid w:val="0055157F"/>
    <w:rsid w:val="005539BA"/>
    <w:rsid w:val="005548F6"/>
    <w:rsid w:val="00555B81"/>
    <w:rsid w:val="005569FA"/>
    <w:rsid w:val="00556FDF"/>
    <w:rsid w:val="00557BA3"/>
    <w:rsid w:val="00562568"/>
    <w:rsid w:val="00562DB6"/>
    <w:rsid w:val="00562E12"/>
    <w:rsid w:val="00562FA3"/>
    <w:rsid w:val="00563095"/>
    <w:rsid w:val="005634F5"/>
    <w:rsid w:val="00563651"/>
    <w:rsid w:val="00563C7C"/>
    <w:rsid w:val="00564C42"/>
    <w:rsid w:val="00565CCE"/>
    <w:rsid w:val="00565FF0"/>
    <w:rsid w:val="00566436"/>
    <w:rsid w:val="005674FB"/>
    <w:rsid w:val="005675E4"/>
    <w:rsid w:val="00567F61"/>
    <w:rsid w:val="00570E4B"/>
    <w:rsid w:val="00572940"/>
    <w:rsid w:val="0057316B"/>
    <w:rsid w:val="00573457"/>
    <w:rsid w:val="0057360A"/>
    <w:rsid w:val="0057372F"/>
    <w:rsid w:val="00574A91"/>
    <w:rsid w:val="00576109"/>
    <w:rsid w:val="00576DD7"/>
    <w:rsid w:val="00577268"/>
    <w:rsid w:val="0057764B"/>
    <w:rsid w:val="00577CA9"/>
    <w:rsid w:val="00577CAE"/>
    <w:rsid w:val="00582A55"/>
    <w:rsid w:val="00583539"/>
    <w:rsid w:val="00583D1B"/>
    <w:rsid w:val="005847B8"/>
    <w:rsid w:val="00585073"/>
    <w:rsid w:val="0058658C"/>
    <w:rsid w:val="00586A99"/>
    <w:rsid w:val="00587135"/>
    <w:rsid w:val="00587222"/>
    <w:rsid w:val="005875A2"/>
    <w:rsid w:val="00587821"/>
    <w:rsid w:val="0059027B"/>
    <w:rsid w:val="0059057F"/>
    <w:rsid w:val="0059186E"/>
    <w:rsid w:val="00591F28"/>
    <w:rsid w:val="005921CA"/>
    <w:rsid w:val="0059573A"/>
    <w:rsid w:val="00595F1B"/>
    <w:rsid w:val="0059722B"/>
    <w:rsid w:val="005974CB"/>
    <w:rsid w:val="005A0187"/>
    <w:rsid w:val="005A0F3F"/>
    <w:rsid w:val="005A3855"/>
    <w:rsid w:val="005A40FF"/>
    <w:rsid w:val="005A4142"/>
    <w:rsid w:val="005A4144"/>
    <w:rsid w:val="005A42F0"/>
    <w:rsid w:val="005A660F"/>
    <w:rsid w:val="005A7D67"/>
    <w:rsid w:val="005B05AA"/>
    <w:rsid w:val="005B0B95"/>
    <w:rsid w:val="005B3195"/>
    <w:rsid w:val="005B38A2"/>
    <w:rsid w:val="005B4AD3"/>
    <w:rsid w:val="005B5068"/>
    <w:rsid w:val="005B5679"/>
    <w:rsid w:val="005B58B0"/>
    <w:rsid w:val="005B598E"/>
    <w:rsid w:val="005B63B0"/>
    <w:rsid w:val="005B6764"/>
    <w:rsid w:val="005B6826"/>
    <w:rsid w:val="005B70BB"/>
    <w:rsid w:val="005C0562"/>
    <w:rsid w:val="005C05BB"/>
    <w:rsid w:val="005C0701"/>
    <w:rsid w:val="005C1101"/>
    <w:rsid w:val="005C1EC2"/>
    <w:rsid w:val="005C1ECF"/>
    <w:rsid w:val="005C22CC"/>
    <w:rsid w:val="005C4219"/>
    <w:rsid w:val="005C43DB"/>
    <w:rsid w:val="005C4582"/>
    <w:rsid w:val="005C6CED"/>
    <w:rsid w:val="005D015E"/>
    <w:rsid w:val="005D089F"/>
    <w:rsid w:val="005D09A5"/>
    <w:rsid w:val="005D2C22"/>
    <w:rsid w:val="005D4704"/>
    <w:rsid w:val="005D59D7"/>
    <w:rsid w:val="005D6DF9"/>
    <w:rsid w:val="005D7079"/>
    <w:rsid w:val="005E1121"/>
    <w:rsid w:val="005E33EA"/>
    <w:rsid w:val="005E3B77"/>
    <w:rsid w:val="005E3C7A"/>
    <w:rsid w:val="005E47B4"/>
    <w:rsid w:val="005E4C0E"/>
    <w:rsid w:val="005E5193"/>
    <w:rsid w:val="005E5405"/>
    <w:rsid w:val="005E65AB"/>
    <w:rsid w:val="005E6AC0"/>
    <w:rsid w:val="005F0308"/>
    <w:rsid w:val="005F0C62"/>
    <w:rsid w:val="005F2C92"/>
    <w:rsid w:val="005F334A"/>
    <w:rsid w:val="005F3E71"/>
    <w:rsid w:val="005F4062"/>
    <w:rsid w:val="005F44B6"/>
    <w:rsid w:val="005F4CBC"/>
    <w:rsid w:val="005F4D3B"/>
    <w:rsid w:val="005F4DCB"/>
    <w:rsid w:val="005F6012"/>
    <w:rsid w:val="005F6965"/>
    <w:rsid w:val="005F6F21"/>
    <w:rsid w:val="005F7C30"/>
    <w:rsid w:val="005F7CA7"/>
    <w:rsid w:val="006006F4"/>
    <w:rsid w:val="00600F29"/>
    <w:rsid w:val="00601B27"/>
    <w:rsid w:val="00602359"/>
    <w:rsid w:val="0060237F"/>
    <w:rsid w:val="00602D06"/>
    <w:rsid w:val="0060575C"/>
    <w:rsid w:val="00605844"/>
    <w:rsid w:val="00605E15"/>
    <w:rsid w:val="0060621D"/>
    <w:rsid w:val="00606F06"/>
    <w:rsid w:val="00607541"/>
    <w:rsid w:val="00610303"/>
    <w:rsid w:val="0061074D"/>
    <w:rsid w:val="00610886"/>
    <w:rsid w:val="00611229"/>
    <w:rsid w:val="006122EE"/>
    <w:rsid w:val="006130D4"/>
    <w:rsid w:val="0061468D"/>
    <w:rsid w:val="00615D2A"/>
    <w:rsid w:val="00615D85"/>
    <w:rsid w:val="00616039"/>
    <w:rsid w:val="00616C07"/>
    <w:rsid w:val="00616C55"/>
    <w:rsid w:val="006172A1"/>
    <w:rsid w:val="00620537"/>
    <w:rsid w:val="0062116C"/>
    <w:rsid w:val="00622242"/>
    <w:rsid w:val="0062305F"/>
    <w:rsid w:val="0062331D"/>
    <w:rsid w:val="006237AC"/>
    <w:rsid w:val="00624ABF"/>
    <w:rsid w:val="006259D0"/>
    <w:rsid w:val="00632930"/>
    <w:rsid w:val="00632AAF"/>
    <w:rsid w:val="006337E8"/>
    <w:rsid w:val="00633A44"/>
    <w:rsid w:val="006350DB"/>
    <w:rsid w:val="006350F2"/>
    <w:rsid w:val="0063565E"/>
    <w:rsid w:val="00636B2E"/>
    <w:rsid w:val="006372E2"/>
    <w:rsid w:val="00642627"/>
    <w:rsid w:val="00642E49"/>
    <w:rsid w:val="00643311"/>
    <w:rsid w:val="00643517"/>
    <w:rsid w:val="00644BAC"/>
    <w:rsid w:val="00646368"/>
    <w:rsid w:val="00650D41"/>
    <w:rsid w:val="006516BE"/>
    <w:rsid w:val="00651B89"/>
    <w:rsid w:val="00652F00"/>
    <w:rsid w:val="00653994"/>
    <w:rsid w:val="006542F8"/>
    <w:rsid w:val="006546CB"/>
    <w:rsid w:val="00654966"/>
    <w:rsid w:val="0065673E"/>
    <w:rsid w:val="0065797C"/>
    <w:rsid w:val="0066055A"/>
    <w:rsid w:val="00660A07"/>
    <w:rsid w:val="00660F89"/>
    <w:rsid w:val="006616E6"/>
    <w:rsid w:val="0066385A"/>
    <w:rsid w:val="006650F5"/>
    <w:rsid w:val="006651B6"/>
    <w:rsid w:val="006654C5"/>
    <w:rsid w:val="00666A70"/>
    <w:rsid w:val="006671D2"/>
    <w:rsid w:val="00667720"/>
    <w:rsid w:val="00670186"/>
    <w:rsid w:val="00672A7B"/>
    <w:rsid w:val="00672B81"/>
    <w:rsid w:val="00673BB2"/>
    <w:rsid w:val="00674A9D"/>
    <w:rsid w:val="0067519A"/>
    <w:rsid w:val="006752DE"/>
    <w:rsid w:val="006760E8"/>
    <w:rsid w:val="00680388"/>
    <w:rsid w:val="00680BEB"/>
    <w:rsid w:val="0068180C"/>
    <w:rsid w:val="006818C2"/>
    <w:rsid w:val="00681FB0"/>
    <w:rsid w:val="0068238C"/>
    <w:rsid w:val="00682E1F"/>
    <w:rsid w:val="00683E42"/>
    <w:rsid w:val="00683E99"/>
    <w:rsid w:val="00686FB7"/>
    <w:rsid w:val="0068754C"/>
    <w:rsid w:val="00687946"/>
    <w:rsid w:val="00691044"/>
    <w:rsid w:val="00691D7B"/>
    <w:rsid w:val="006925F2"/>
    <w:rsid w:val="00693C02"/>
    <w:rsid w:val="00693FA9"/>
    <w:rsid w:val="006940AF"/>
    <w:rsid w:val="006941F0"/>
    <w:rsid w:val="0069433D"/>
    <w:rsid w:val="006946B0"/>
    <w:rsid w:val="00694ED4"/>
    <w:rsid w:val="006955CA"/>
    <w:rsid w:val="00697330"/>
    <w:rsid w:val="00697D16"/>
    <w:rsid w:val="006A0A91"/>
    <w:rsid w:val="006A1D92"/>
    <w:rsid w:val="006A1DC8"/>
    <w:rsid w:val="006A1F49"/>
    <w:rsid w:val="006A418D"/>
    <w:rsid w:val="006A4D23"/>
    <w:rsid w:val="006A58E6"/>
    <w:rsid w:val="006B2D20"/>
    <w:rsid w:val="006B3359"/>
    <w:rsid w:val="006B39E5"/>
    <w:rsid w:val="006B4B09"/>
    <w:rsid w:val="006B5766"/>
    <w:rsid w:val="006B59C5"/>
    <w:rsid w:val="006B5F80"/>
    <w:rsid w:val="006B60F8"/>
    <w:rsid w:val="006B63A3"/>
    <w:rsid w:val="006B674C"/>
    <w:rsid w:val="006C188E"/>
    <w:rsid w:val="006C24D3"/>
    <w:rsid w:val="006C29C3"/>
    <w:rsid w:val="006C3AD0"/>
    <w:rsid w:val="006C3B41"/>
    <w:rsid w:val="006C412D"/>
    <w:rsid w:val="006C41C9"/>
    <w:rsid w:val="006C44FE"/>
    <w:rsid w:val="006C6345"/>
    <w:rsid w:val="006C67EA"/>
    <w:rsid w:val="006C7831"/>
    <w:rsid w:val="006C7D77"/>
    <w:rsid w:val="006D1B40"/>
    <w:rsid w:val="006D1FF8"/>
    <w:rsid w:val="006D263A"/>
    <w:rsid w:val="006D2873"/>
    <w:rsid w:val="006D2A7B"/>
    <w:rsid w:val="006D322A"/>
    <w:rsid w:val="006D45CA"/>
    <w:rsid w:val="006D4BBE"/>
    <w:rsid w:val="006D4E55"/>
    <w:rsid w:val="006D5D39"/>
    <w:rsid w:val="006D79BF"/>
    <w:rsid w:val="006D79C0"/>
    <w:rsid w:val="006E0EE9"/>
    <w:rsid w:val="006E268E"/>
    <w:rsid w:val="006E36FF"/>
    <w:rsid w:val="006E3988"/>
    <w:rsid w:val="006E3D90"/>
    <w:rsid w:val="006E41AD"/>
    <w:rsid w:val="006E471C"/>
    <w:rsid w:val="006E49F4"/>
    <w:rsid w:val="006E4ABA"/>
    <w:rsid w:val="006E4B78"/>
    <w:rsid w:val="006E5881"/>
    <w:rsid w:val="006E6A8D"/>
    <w:rsid w:val="006E6B58"/>
    <w:rsid w:val="006E751B"/>
    <w:rsid w:val="006F0338"/>
    <w:rsid w:val="006F1935"/>
    <w:rsid w:val="006F1CA9"/>
    <w:rsid w:val="006F224B"/>
    <w:rsid w:val="006F278E"/>
    <w:rsid w:val="006F2F2C"/>
    <w:rsid w:val="006F4155"/>
    <w:rsid w:val="006F4947"/>
    <w:rsid w:val="006F4CA0"/>
    <w:rsid w:val="006F51D8"/>
    <w:rsid w:val="006F6C2B"/>
    <w:rsid w:val="00700980"/>
    <w:rsid w:val="0070155F"/>
    <w:rsid w:val="0070165B"/>
    <w:rsid w:val="007017F4"/>
    <w:rsid w:val="007021B9"/>
    <w:rsid w:val="00702701"/>
    <w:rsid w:val="00702858"/>
    <w:rsid w:val="007028EA"/>
    <w:rsid w:val="00702CEA"/>
    <w:rsid w:val="0070386C"/>
    <w:rsid w:val="00703F64"/>
    <w:rsid w:val="007050E7"/>
    <w:rsid w:val="00705864"/>
    <w:rsid w:val="007063BA"/>
    <w:rsid w:val="00706FC4"/>
    <w:rsid w:val="00707644"/>
    <w:rsid w:val="00707D1F"/>
    <w:rsid w:val="00707E0E"/>
    <w:rsid w:val="007112BE"/>
    <w:rsid w:val="00712517"/>
    <w:rsid w:val="007146F9"/>
    <w:rsid w:val="00714AA1"/>
    <w:rsid w:val="00714C3D"/>
    <w:rsid w:val="007177FC"/>
    <w:rsid w:val="00717C2E"/>
    <w:rsid w:val="00720145"/>
    <w:rsid w:val="00721252"/>
    <w:rsid w:val="00722DC0"/>
    <w:rsid w:val="00722ECE"/>
    <w:rsid w:val="007235E9"/>
    <w:rsid w:val="00723FFF"/>
    <w:rsid w:val="007241F3"/>
    <w:rsid w:val="0072447F"/>
    <w:rsid w:val="00724E97"/>
    <w:rsid w:val="0072541F"/>
    <w:rsid w:val="00725DF5"/>
    <w:rsid w:val="00726210"/>
    <w:rsid w:val="007266FB"/>
    <w:rsid w:val="00726D8E"/>
    <w:rsid w:val="00730B2B"/>
    <w:rsid w:val="00731115"/>
    <w:rsid w:val="00734C4F"/>
    <w:rsid w:val="007356F5"/>
    <w:rsid w:val="007358E9"/>
    <w:rsid w:val="0073592E"/>
    <w:rsid w:val="00736A76"/>
    <w:rsid w:val="00737A4C"/>
    <w:rsid w:val="00741269"/>
    <w:rsid w:val="00741F02"/>
    <w:rsid w:val="007422FC"/>
    <w:rsid w:val="00742415"/>
    <w:rsid w:val="00742720"/>
    <w:rsid w:val="00743CFB"/>
    <w:rsid w:val="00744027"/>
    <w:rsid w:val="007442B8"/>
    <w:rsid w:val="00744868"/>
    <w:rsid w:val="00745733"/>
    <w:rsid w:val="007457BA"/>
    <w:rsid w:val="0074668B"/>
    <w:rsid w:val="00747013"/>
    <w:rsid w:val="00751FCF"/>
    <w:rsid w:val="007565D9"/>
    <w:rsid w:val="00756B96"/>
    <w:rsid w:val="00760472"/>
    <w:rsid w:val="007609DA"/>
    <w:rsid w:val="00762927"/>
    <w:rsid w:val="007637D8"/>
    <w:rsid w:val="00764033"/>
    <w:rsid w:val="00764695"/>
    <w:rsid w:val="0076491D"/>
    <w:rsid w:val="007657D3"/>
    <w:rsid w:val="0076613B"/>
    <w:rsid w:val="00766B17"/>
    <w:rsid w:val="00770C13"/>
    <w:rsid w:val="00771004"/>
    <w:rsid w:val="00771186"/>
    <w:rsid w:val="00773398"/>
    <w:rsid w:val="007744CA"/>
    <w:rsid w:val="00774BAE"/>
    <w:rsid w:val="007753D1"/>
    <w:rsid w:val="007758BE"/>
    <w:rsid w:val="00775D02"/>
    <w:rsid w:val="00776154"/>
    <w:rsid w:val="007771F3"/>
    <w:rsid w:val="0078128E"/>
    <w:rsid w:val="0078164F"/>
    <w:rsid w:val="00781CC9"/>
    <w:rsid w:val="007825D1"/>
    <w:rsid w:val="00782BE0"/>
    <w:rsid w:val="00784C67"/>
    <w:rsid w:val="00785E73"/>
    <w:rsid w:val="00790A13"/>
    <w:rsid w:val="0079246B"/>
    <w:rsid w:val="0079266D"/>
    <w:rsid w:val="0079287A"/>
    <w:rsid w:val="0079300D"/>
    <w:rsid w:val="007950ED"/>
    <w:rsid w:val="007958D9"/>
    <w:rsid w:val="007964ED"/>
    <w:rsid w:val="0079794E"/>
    <w:rsid w:val="00797F8B"/>
    <w:rsid w:val="007A00D6"/>
    <w:rsid w:val="007A0364"/>
    <w:rsid w:val="007A1589"/>
    <w:rsid w:val="007A1D53"/>
    <w:rsid w:val="007A4B25"/>
    <w:rsid w:val="007A4B29"/>
    <w:rsid w:val="007A4CF1"/>
    <w:rsid w:val="007A5484"/>
    <w:rsid w:val="007A56AF"/>
    <w:rsid w:val="007A56B0"/>
    <w:rsid w:val="007A599F"/>
    <w:rsid w:val="007A6118"/>
    <w:rsid w:val="007A6210"/>
    <w:rsid w:val="007A6E96"/>
    <w:rsid w:val="007A788E"/>
    <w:rsid w:val="007A791B"/>
    <w:rsid w:val="007B0A1C"/>
    <w:rsid w:val="007B1161"/>
    <w:rsid w:val="007B204C"/>
    <w:rsid w:val="007B219B"/>
    <w:rsid w:val="007B22E3"/>
    <w:rsid w:val="007B2466"/>
    <w:rsid w:val="007B2E79"/>
    <w:rsid w:val="007B4032"/>
    <w:rsid w:val="007B4828"/>
    <w:rsid w:val="007B54F1"/>
    <w:rsid w:val="007B63F5"/>
    <w:rsid w:val="007C0308"/>
    <w:rsid w:val="007C03EA"/>
    <w:rsid w:val="007C03F4"/>
    <w:rsid w:val="007C1588"/>
    <w:rsid w:val="007C1F61"/>
    <w:rsid w:val="007C2050"/>
    <w:rsid w:val="007C31AF"/>
    <w:rsid w:val="007C3C0A"/>
    <w:rsid w:val="007C4AA6"/>
    <w:rsid w:val="007C4BE3"/>
    <w:rsid w:val="007C5A3C"/>
    <w:rsid w:val="007C5EBF"/>
    <w:rsid w:val="007C6740"/>
    <w:rsid w:val="007C6D42"/>
    <w:rsid w:val="007C730F"/>
    <w:rsid w:val="007D1A5D"/>
    <w:rsid w:val="007D27D5"/>
    <w:rsid w:val="007D2C4D"/>
    <w:rsid w:val="007D34D3"/>
    <w:rsid w:val="007D389E"/>
    <w:rsid w:val="007D665B"/>
    <w:rsid w:val="007D6786"/>
    <w:rsid w:val="007D703F"/>
    <w:rsid w:val="007E105C"/>
    <w:rsid w:val="007E1118"/>
    <w:rsid w:val="007E31A4"/>
    <w:rsid w:val="007E3388"/>
    <w:rsid w:val="007E4718"/>
    <w:rsid w:val="007E59A7"/>
    <w:rsid w:val="007E747B"/>
    <w:rsid w:val="007F08BC"/>
    <w:rsid w:val="007F0AC9"/>
    <w:rsid w:val="007F1391"/>
    <w:rsid w:val="007F2831"/>
    <w:rsid w:val="007F4DBC"/>
    <w:rsid w:val="007F5B29"/>
    <w:rsid w:val="007F6B42"/>
    <w:rsid w:val="007F7F9F"/>
    <w:rsid w:val="00800124"/>
    <w:rsid w:val="00800C03"/>
    <w:rsid w:val="008023E8"/>
    <w:rsid w:val="0080334E"/>
    <w:rsid w:val="0080337D"/>
    <w:rsid w:val="00803BB7"/>
    <w:rsid w:val="00803DE7"/>
    <w:rsid w:val="008047E9"/>
    <w:rsid w:val="0080512D"/>
    <w:rsid w:val="00807B25"/>
    <w:rsid w:val="00811105"/>
    <w:rsid w:val="008119E9"/>
    <w:rsid w:val="00811F09"/>
    <w:rsid w:val="008133BE"/>
    <w:rsid w:val="00814194"/>
    <w:rsid w:val="00814241"/>
    <w:rsid w:val="00814C2C"/>
    <w:rsid w:val="008154EE"/>
    <w:rsid w:val="00816144"/>
    <w:rsid w:val="00816612"/>
    <w:rsid w:val="00816B2C"/>
    <w:rsid w:val="008222CB"/>
    <w:rsid w:val="00824F0B"/>
    <w:rsid w:val="00825864"/>
    <w:rsid w:val="008261CA"/>
    <w:rsid w:val="008261D0"/>
    <w:rsid w:val="00826C0A"/>
    <w:rsid w:val="00826F6B"/>
    <w:rsid w:val="00827A15"/>
    <w:rsid w:val="00832984"/>
    <w:rsid w:val="008340CE"/>
    <w:rsid w:val="00834B2B"/>
    <w:rsid w:val="00835AEA"/>
    <w:rsid w:val="00835E7E"/>
    <w:rsid w:val="00840516"/>
    <w:rsid w:val="0084127E"/>
    <w:rsid w:val="00841F75"/>
    <w:rsid w:val="00843C0D"/>
    <w:rsid w:val="00843CC4"/>
    <w:rsid w:val="00845DFD"/>
    <w:rsid w:val="008463E3"/>
    <w:rsid w:val="00847900"/>
    <w:rsid w:val="0084796D"/>
    <w:rsid w:val="0085151F"/>
    <w:rsid w:val="008515FF"/>
    <w:rsid w:val="00851783"/>
    <w:rsid w:val="00851CFB"/>
    <w:rsid w:val="008522AF"/>
    <w:rsid w:val="008537FE"/>
    <w:rsid w:val="0085609B"/>
    <w:rsid w:val="008560C6"/>
    <w:rsid w:val="00856823"/>
    <w:rsid w:val="00857831"/>
    <w:rsid w:val="00861C1A"/>
    <w:rsid w:val="00862A32"/>
    <w:rsid w:val="00862DAB"/>
    <w:rsid w:val="0086365C"/>
    <w:rsid w:val="00865448"/>
    <w:rsid w:val="00865640"/>
    <w:rsid w:val="00866918"/>
    <w:rsid w:val="00867568"/>
    <w:rsid w:val="008702A8"/>
    <w:rsid w:val="00870931"/>
    <w:rsid w:val="00870CC1"/>
    <w:rsid w:val="0087126E"/>
    <w:rsid w:val="00871C13"/>
    <w:rsid w:val="00872B1B"/>
    <w:rsid w:val="00873EE9"/>
    <w:rsid w:val="0087441A"/>
    <w:rsid w:val="008745FE"/>
    <w:rsid w:val="00874E51"/>
    <w:rsid w:val="0087671F"/>
    <w:rsid w:val="008770EF"/>
    <w:rsid w:val="00877F7A"/>
    <w:rsid w:val="00883882"/>
    <w:rsid w:val="00883F45"/>
    <w:rsid w:val="0088409F"/>
    <w:rsid w:val="008842C7"/>
    <w:rsid w:val="008843AF"/>
    <w:rsid w:val="00884421"/>
    <w:rsid w:val="00885908"/>
    <w:rsid w:val="00885DAF"/>
    <w:rsid w:val="008867BD"/>
    <w:rsid w:val="00887141"/>
    <w:rsid w:val="008910FC"/>
    <w:rsid w:val="00893471"/>
    <w:rsid w:val="00894B3F"/>
    <w:rsid w:val="00894DC2"/>
    <w:rsid w:val="008973FD"/>
    <w:rsid w:val="008974F3"/>
    <w:rsid w:val="00897DC2"/>
    <w:rsid w:val="008A077E"/>
    <w:rsid w:val="008A0C7B"/>
    <w:rsid w:val="008A1448"/>
    <w:rsid w:val="008A14C2"/>
    <w:rsid w:val="008A1AFB"/>
    <w:rsid w:val="008A251D"/>
    <w:rsid w:val="008A33E6"/>
    <w:rsid w:val="008A34E0"/>
    <w:rsid w:val="008A3C1A"/>
    <w:rsid w:val="008A4BD6"/>
    <w:rsid w:val="008A5031"/>
    <w:rsid w:val="008A55B8"/>
    <w:rsid w:val="008A5ADE"/>
    <w:rsid w:val="008A6026"/>
    <w:rsid w:val="008A62C7"/>
    <w:rsid w:val="008A6407"/>
    <w:rsid w:val="008A6AD4"/>
    <w:rsid w:val="008A7061"/>
    <w:rsid w:val="008B105E"/>
    <w:rsid w:val="008B158C"/>
    <w:rsid w:val="008B20BE"/>
    <w:rsid w:val="008B270C"/>
    <w:rsid w:val="008B29DE"/>
    <w:rsid w:val="008B2A56"/>
    <w:rsid w:val="008B2DCA"/>
    <w:rsid w:val="008B4005"/>
    <w:rsid w:val="008B5FC3"/>
    <w:rsid w:val="008B6417"/>
    <w:rsid w:val="008B780A"/>
    <w:rsid w:val="008C0C4F"/>
    <w:rsid w:val="008C12CF"/>
    <w:rsid w:val="008C17C5"/>
    <w:rsid w:val="008C251B"/>
    <w:rsid w:val="008C2C7C"/>
    <w:rsid w:val="008C4178"/>
    <w:rsid w:val="008C4366"/>
    <w:rsid w:val="008C60BB"/>
    <w:rsid w:val="008C62E9"/>
    <w:rsid w:val="008C6841"/>
    <w:rsid w:val="008D0BFB"/>
    <w:rsid w:val="008D0E47"/>
    <w:rsid w:val="008D12FE"/>
    <w:rsid w:val="008D2D32"/>
    <w:rsid w:val="008D3647"/>
    <w:rsid w:val="008D441A"/>
    <w:rsid w:val="008D4DB0"/>
    <w:rsid w:val="008D4F97"/>
    <w:rsid w:val="008D51B9"/>
    <w:rsid w:val="008D5A70"/>
    <w:rsid w:val="008D6CBB"/>
    <w:rsid w:val="008D7C78"/>
    <w:rsid w:val="008E1452"/>
    <w:rsid w:val="008E2DDA"/>
    <w:rsid w:val="008E3098"/>
    <w:rsid w:val="008E34B4"/>
    <w:rsid w:val="008E3F58"/>
    <w:rsid w:val="008E7E7E"/>
    <w:rsid w:val="008F0C2D"/>
    <w:rsid w:val="008F1516"/>
    <w:rsid w:val="008F439E"/>
    <w:rsid w:val="008F4955"/>
    <w:rsid w:val="008F4C93"/>
    <w:rsid w:val="008F5302"/>
    <w:rsid w:val="008F559C"/>
    <w:rsid w:val="008F71E8"/>
    <w:rsid w:val="00901029"/>
    <w:rsid w:val="0090314B"/>
    <w:rsid w:val="00903D7D"/>
    <w:rsid w:val="009066DE"/>
    <w:rsid w:val="00906B29"/>
    <w:rsid w:val="00906D2E"/>
    <w:rsid w:val="00910196"/>
    <w:rsid w:val="0091082B"/>
    <w:rsid w:val="00911389"/>
    <w:rsid w:val="00913017"/>
    <w:rsid w:val="009147C4"/>
    <w:rsid w:val="0091480C"/>
    <w:rsid w:val="00915086"/>
    <w:rsid w:val="0091718F"/>
    <w:rsid w:val="00917C29"/>
    <w:rsid w:val="00920167"/>
    <w:rsid w:val="009216BF"/>
    <w:rsid w:val="009220B1"/>
    <w:rsid w:val="009221DA"/>
    <w:rsid w:val="009227FB"/>
    <w:rsid w:val="0092341C"/>
    <w:rsid w:val="0092358E"/>
    <w:rsid w:val="0092411E"/>
    <w:rsid w:val="00924235"/>
    <w:rsid w:val="0092432B"/>
    <w:rsid w:val="00925B14"/>
    <w:rsid w:val="0092720D"/>
    <w:rsid w:val="009273FF"/>
    <w:rsid w:val="00930310"/>
    <w:rsid w:val="00930429"/>
    <w:rsid w:val="0093048E"/>
    <w:rsid w:val="00930D4C"/>
    <w:rsid w:val="009330EA"/>
    <w:rsid w:val="0093311E"/>
    <w:rsid w:val="00933211"/>
    <w:rsid w:val="00933DE1"/>
    <w:rsid w:val="00935534"/>
    <w:rsid w:val="00935744"/>
    <w:rsid w:val="00941527"/>
    <w:rsid w:val="00941823"/>
    <w:rsid w:val="00942945"/>
    <w:rsid w:val="00942F06"/>
    <w:rsid w:val="00942FB8"/>
    <w:rsid w:val="00944FA3"/>
    <w:rsid w:val="00953579"/>
    <w:rsid w:val="00953779"/>
    <w:rsid w:val="00954055"/>
    <w:rsid w:val="00954485"/>
    <w:rsid w:val="00956146"/>
    <w:rsid w:val="00956529"/>
    <w:rsid w:val="00956AA7"/>
    <w:rsid w:val="00956BD7"/>
    <w:rsid w:val="00956F6D"/>
    <w:rsid w:val="00957536"/>
    <w:rsid w:val="00957EDE"/>
    <w:rsid w:val="00960C62"/>
    <w:rsid w:val="00962371"/>
    <w:rsid w:val="009636A8"/>
    <w:rsid w:val="009640EA"/>
    <w:rsid w:val="00964507"/>
    <w:rsid w:val="00965BF0"/>
    <w:rsid w:val="0096674E"/>
    <w:rsid w:val="00966C71"/>
    <w:rsid w:val="009674B9"/>
    <w:rsid w:val="00967A14"/>
    <w:rsid w:val="009706E1"/>
    <w:rsid w:val="00970905"/>
    <w:rsid w:val="00970FA5"/>
    <w:rsid w:val="009715A7"/>
    <w:rsid w:val="00971974"/>
    <w:rsid w:val="00973D08"/>
    <w:rsid w:val="00973E4C"/>
    <w:rsid w:val="00980F37"/>
    <w:rsid w:val="009810F4"/>
    <w:rsid w:val="00982978"/>
    <w:rsid w:val="00982BA9"/>
    <w:rsid w:val="00985EA0"/>
    <w:rsid w:val="00986417"/>
    <w:rsid w:val="00987743"/>
    <w:rsid w:val="00992188"/>
    <w:rsid w:val="00993B4D"/>
    <w:rsid w:val="0099468A"/>
    <w:rsid w:val="00996D04"/>
    <w:rsid w:val="00997879"/>
    <w:rsid w:val="00997AF8"/>
    <w:rsid w:val="009A1312"/>
    <w:rsid w:val="009A190B"/>
    <w:rsid w:val="009A259F"/>
    <w:rsid w:val="009A29EE"/>
    <w:rsid w:val="009A2AD4"/>
    <w:rsid w:val="009A3E39"/>
    <w:rsid w:val="009A3F43"/>
    <w:rsid w:val="009A43F2"/>
    <w:rsid w:val="009A4F19"/>
    <w:rsid w:val="009A51D6"/>
    <w:rsid w:val="009A56BF"/>
    <w:rsid w:val="009A5E31"/>
    <w:rsid w:val="009A6515"/>
    <w:rsid w:val="009B04C6"/>
    <w:rsid w:val="009B1EB6"/>
    <w:rsid w:val="009B2E0C"/>
    <w:rsid w:val="009B37E0"/>
    <w:rsid w:val="009B42B2"/>
    <w:rsid w:val="009B595B"/>
    <w:rsid w:val="009B5E82"/>
    <w:rsid w:val="009B6C1D"/>
    <w:rsid w:val="009B723C"/>
    <w:rsid w:val="009B7BF1"/>
    <w:rsid w:val="009B7F8C"/>
    <w:rsid w:val="009C0A2F"/>
    <w:rsid w:val="009C1D0A"/>
    <w:rsid w:val="009C241A"/>
    <w:rsid w:val="009C2983"/>
    <w:rsid w:val="009C3D7B"/>
    <w:rsid w:val="009C4184"/>
    <w:rsid w:val="009C42F3"/>
    <w:rsid w:val="009C548A"/>
    <w:rsid w:val="009C6120"/>
    <w:rsid w:val="009C627D"/>
    <w:rsid w:val="009C637A"/>
    <w:rsid w:val="009C656C"/>
    <w:rsid w:val="009C770A"/>
    <w:rsid w:val="009C7FF4"/>
    <w:rsid w:val="009D05A7"/>
    <w:rsid w:val="009D25E0"/>
    <w:rsid w:val="009D2ED4"/>
    <w:rsid w:val="009D30F0"/>
    <w:rsid w:val="009D3C78"/>
    <w:rsid w:val="009D3F90"/>
    <w:rsid w:val="009D5090"/>
    <w:rsid w:val="009D5F8A"/>
    <w:rsid w:val="009D6327"/>
    <w:rsid w:val="009D6363"/>
    <w:rsid w:val="009D656C"/>
    <w:rsid w:val="009D68E1"/>
    <w:rsid w:val="009D772D"/>
    <w:rsid w:val="009E03E5"/>
    <w:rsid w:val="009E105D"/>
    <w:rsid w:val="009E146B"/>
    <w:rsid w:val="009E3760"/>
    <w:rsid w:val="009E393C"/>
    <w:rsid w:val="009E3B46"/>
    <w:rsid w:val="009E4B6D"/>
    <w:rsid w:val="009E4DCB"/>
    <w:rsid w:val="009E5F7B"/>
    <w:rsid w:val="009F0077"/>
    <w:rsid w:val="009F009A"/>
    <w:rsid w:val="009F0864"/>
    <w:rsid w:val="009F0A3D"/>
    <w:rsid w:val="009F0A61"/>
    <w:rsid w:val="009F19BE"/>
    <w:rsid w:val="009F2314"/>
    <w:rsid w:val="009F3748"/>
    <w:rsid w:val="009F39E1"/>
    <w:rsid w:val="009F52D5"/>
    <w:rsid w:val="009F7FC5"/>
    <w:rsid w:val="00A00B26"/>
    <w:rsid w:val="00A012C3"/>
    <w:rsid w:val="00A016A0"/>
    <w:rsid w:val="00A02A6B"/>
    <w:rsid w:val="00A02E4F"/>
    <w:rsid w:val="00A036B3"/>
    <w:rsid w:val="00A03865"/>
    <w:rsid w:val="00A03BE2"/>
    <w:rsid w:val="00A04EEC"/>
    <w:rsid w:val="00A05643"/>
    <w:rsid w:val="00A06A5F"/>
    <w:rsid w:val="00A10A79"/>
    <w:rsid w:val="00A10B25"/>
    <w:rsid w:val="00A11C06"/>
    <w:rsid w:val="00A12D0C"/>
    <w:rsid w:val="00A133F3"/>
    <w:rsid w:val="00A14C01"/>
    <w:rsid w:val="00A14D37"/>
    <w:rsid w:val="00A14E61"/>
    <w:rsid w:val="00A14F42"/>
    <w:rsid w:val="00A160CC"/>
    <w:rsid w:val="00A1670D"/>
    <w:rsid w:val="00A1686C"/>
    <w:rsid w:val="00A204C6"/>
    <w:rsid w:val="00A204FE"/>
    <w:rsid w:val="00A20B9D"/>
    <w:rsid w:val="00A2101A"/>
    <w:rsid w:val="00A21677"/>
    <w:rsid w:val="00A22125"/>
    <w:rsid w:val="00A23A51"/>
    <w:rsid w:val="00A23B74"/>
    <w:rsid w:val="00A24BBB"/>
    <w:rsid w:val="00A253EC"/>
    <w:rsid w:val="00A2601F"/>
    <w:rsid w:val="00A27022"/>
    <w:rsid w:val="00A273B6"/>
    <w:rsid w:val="00A27E6E"/>
    <w:rsid w:val="00A30756"/>
    <w:rsid w:val="00A31561"/>
    <w:rsid w:val="00A31C63"/>
    <w:rsid w:val="00A338DA"/>
    <w:rsid w:val="00A3583C"/>
    <w:rsid w:val="00A362FB"/>
    <w:rsid w:val="00A36D9D"/>
    <w:rsid w:val="00A375F6"/>
    <w:rsid w:val="00A378F8"/>
    <w:rsid w:val="00A404A3"/>
    <w:rsid w:val="00A404D6"/>
    <w:rsid w:val="00A40CCE"/>
    <w:rsid w:val="00A417F4"/>
    <w:rsid w:val="00A419EB"/>
    <w:rsid w:val="00A41ECF"/>
    <w:rsid w:val="00A4396E"/>
    <w:rsid w:val="00A4495C"/>
    <w:rsid w:val="00A44AAE"/>
    <w:rsid w:val="00A4527D"/>
    <w:rsid w:val="00A45D29"/>
    <w:rsid w:val="00A4609C"/>
    <w:rsid w:val="00A46454"/>
    <w:rsid w:val="00A50BBF"/>
    <w:rsid w:val="00A50D66"/>
    <w:rsid w:val="00A513F8"/>
    <w:rsid w:val="00A52474"/>
    <w:rsid w:val="00A53DE3"/>
    <w:rsid w:val="00A5438B"/>
    <w:rsid w:val="00A54AA6"/>
    <w:rsid w:val="00A54FC7"/>
    <w:rsid w:val="00A556EF"/>
    <w:rsid w:val="00A57941"/>
    <w:rsid w:val="00A57952"/>
    <w:rsid w:val="00A61388"/>
    <w:rsid w:val="00A616BF"/>
    <w:rsid w:val="00A61E7A"/>
    <w:rsid w:val="00A6202D"/>
    <w:rsid w:val="00A629E4"/>
    <w:rsid w:val="00A62D09"/>
    <w:rsid w:val="00A645A1"/>
    <w:rsid w:val="00A64DA0"/>
    <w:rsid w:val="00A64FCF"/>
    <w:rsid w:val="00A65107"/>
    <w:rsid w:val="00A65D3A"/>
    <w:rsid w:val="00A65EEB"/>
    <w:rsid w:val="00A66617"/>
    <w:rsid w:val="00A6723E"/>
    <w:rsid w:val="00A677E1"/>
    <w:rsid w:val="00A707B8"/>
    <w:rsid w:val="00A70886"/>
    <w:rsid w:val="00A7148E"/>
    <w:rsid w:val="00A71B1A"/>
    <w:rsid w:val="00A71D17"/>
    <w:rsid w:val="00A72A11"/>
    <w:rsid w:val="00A72E17"/>
    <w:rsid w:val="00A7322F"/>
    <w:rsid w:val="00A73DE3"/>
    <w:rsid w:val="00A73E33"/>
    <w:rsid w:val="00A755CC"/>
    <w:rsid w:val="00A7563F"/>
    <w:rsid w:val="00A82877"/>
    <w:rsid w:val="00A82E90"/>
    <w:rsid w:val="00A8334B"/>
    <w:rsid w:val="00A84112"/>
    <w:rsid w:val="00A85F12"/>
    <w:rsid w:val="00A86413"/>
    <w:rsid w:val="00A86BA4"/>
    <w:rsid w:val="00A87052"/>
    <w:rsid w:val="00A9038D"/>
    <w:rsid w:val="00A906AD"/>
    <w:rsid w:val="00A9125D"/>
    <w:rsid w:val="00A91689"/>
    <w:rsid w:val="00A92F59"/>
    <w:rsid w:val="00A93DD2"/>
    <w:rsid w:val="00A942E3"/>
    <w:rsid w:val="00A943CB"/>
    <w:rsid w:val="00A968BD"/>
    <w:rsid w:val="00A9707E"/>
    <w:rsid w:val="00A97E33"/>
    <w:rsid w:val="00AA02B1"/>
    <w:rsid w:val="00AA059F"/>
    <w:rsid w:val="00AA09C7"/>
    <w:rsid w:val="00AA232E"/>
    <w:rsid w:val="00AA23AF"/>
    <w:rsid w:val="00AA24C4"/>
    <w:rsid w:val="00AA2D3B"/>
    <w:rsid w:val="00AA315B"/>
    <w:rsid w:val="00AA37F0"/>
    <w:rsid w:val="00AA3AB0"/>
    <w:rsid w:val="00AA45ED"/>
    <w:rsid w:val="00AA4AA8"/>
    <w:rsid w:val="00AA4C09"/>
    <w:rsid w:val="00AA6326"/>
    <w:rsid w:val="00AA6533"/>
    <w:rsid w:val="00AA733A"/>
    <w:rsid w:val="00AB045D"/>
    <w:rsid w:val="00AB063C"/>
    <w:rsid w:val="00AB07A7"/>
    <w:rsid w:val="00AB0B5E"/>
    <w:rsid w:val="00AB1DF1"/>
    <w:rsid w:val="00AB2BCF"/>
    <w:rsid w:val="00AB4864"/>
    <w:rsid w:val="00AB4AC8"/>
    <w:rsid w:val="00AB56DF"/>
    <w:rsid w:val="00AB5FF7"/>
    <w:rsid w:val="00AB6246"/>
    <w:rsid w:val="00AB7195"/>
    <w:rsid w:val="00AB7B65"/>
    <w:rsid w:val="00AB7E54"/>
    <w:rsid w:val="00AC0252"/>
    <w:rsid w:val="00AC1599"/>
    <w:rsid w:val="00AC1E5F"/>
    <w:rsid w:val="00AC4503"/>
    <w:rsid w:val="00AC4AC4"/>
    <w:rsid w:val="00AD03BF"/>
    <w:rsid w:val="00AD0727"/>
    <w:rsid w:val="00AD13CC"/>
    <w:rsid w:val="00AD2272"/>
    <w:rsid w:val="00AD24DE"/>
    <w:rsid w:val="00AD2B21"/>
    <w:rsid w:val="00AD3C5B"/>
    <w:rsid w:val="00AD3F86"/>
    <w:rsid w:val="00AD41EB"/>
    <w:rsid w:val="00AD4236"/>
    <w:rsid w:val="00AD4293"/>
    <w:rsid w:val="00AD4BE8"/>
    <w:rsid w:val="00AD5277"/>
    <w:rsid w:val="00AD5A93"/>
    <w:rsid w:val="00AE0C2F"/>
    <w:rsid w:val="00AE2399"/>
    <w:rsid w:val="00AE2482"/>
    <w:rsid w:val="00AE3466"/>
    <w:rsid w:val="00AE43E4"/>
    <w:rsid w:val="00AE57E3"/>
    <w:rsid w:val="00AE5CB9"/>
    <w:rsid w:val="00AE5D9C"/>
    <w:rsid w:val="00AE65B9"/>
    <w:rsid w:val="00AE7928"/>
    <w:rsid w:val="00AE7A1A"/>
    <w:rsid w:val="00AF0071"/>
    <w:rsid w:val="00AF0BD6"/>
    <w:rsid w:val="00AF0FDD"/>
    <w:rsid w:val="00AF1BC9"/>
    <w:rsid w:val="00AF2292"/>
    <w:rsid w:val="00AF2FEF"/>
    <w:rsid w:val="00AF433F"/>
    <w:rsid w:val="00AF504A"/>
    <w:rsid w:val="00B017BE"/>
    <w:rsid w:val="00B01F45"/>
    <w:rsid w:val="00B03437"/>
    <w:rsid w:val="00B03D93"/>
    <w:rsid w:val="00B045EF"/>
    <w:rsid w:val="00B04EEE"/>
    <w:rsid w:val="00B06C9D"/>
    <w:rsid w:val="00B118D6"/>
    <w:rsid w:val="00B11A37"/>
    <w:rsid w:val="00B128DC"/>
    <w:rsid w:val="00B135E5"/>
    <w:rsid w:val="00B155CE"/>
    <w:rsid w:val="00B159F3"/>
    <w:rsid w:val="00B2061A"/>
    <w:rsid w:val="00B20809"/>
    <w:rsid w:val="00B21264"/>
    <w:rsid w:val="00B2150D"/>
    <w:rsid w:val="00B2254D"/>
    <w:rsid w:val="00B240C3"/>
    <w:rsid w:val="00B24FDD"/>
    <w:rsid w:val="00B26220"/>
    <w:rsid w:val="00B27C2C"/>
    <w:rsid w:val="00B3005C"/>
    <w:rsid w:val="00B3189C"/>
    <w:rsid w:val="00B31C16"/>
    <w:rsid w:val="00B32682"/>
    <w:rsid w:val="00B332DD"/>
    <w:rsid w:val="00B33BA2"/>
    <w:rsid w:val="00B364A3"/>
    <w:rsid w:val="00B36969"/>
    <w:rsid w:val="00B402ED"/>
    <w:rsid w:val="00B40857"/>
    <w:rsid w:val="00B42099"/>
    <w:rsid w:val="00B423AC"/>
    <w:rsid w:val="00B42449"/>
    <w:rsid w:val="00B43A5C"/>
    <w:rsid w:val="00B441A5"/>
    <w:rsid w:val="00B45132"/>
    <w:rsid w:val="00B47E2E"/>
    <w:rsid w:val="00B5069E"/>
    <w:rsid w:val="00B5157C"/>
    <w:rsid w:val="00B5224A"/>
    <w:rsid w:val="00B53468"/>
    <w:rsid w:val="00B5439D"/>
    <w:rsid w:val="00B54D05"/>
    <w:rsid w:val="00B550FF"/>
    <w:rsid w:val="00B55402"/>
    <w:rsid w:val="00B56CAF"/>
    <w:rsid w:val="00B57F36"/>
    <w:rsid w:val="00B603EC"/>
    <w:rsid w:val="00B60443"/>
    <w:rsid w:val="00B605C5"/>
    <w:rsid w:val="00B6235C"/>
    <w:rsid w:val="00B63A56"/>
    <w:rsid w:val="00B63AFD"/>
    <w:rsid w:val="00B6546B"/>
    <w:rsid w:val="00B65929"/>
    <w:rsid w:val="00B65C20"/>
    <w:rsid w:val="00B66850"/>
    <w:rsid w:val="00B67E5B"/>
    <w:rsid w:val="00B7007E"/>
    <w:rsid w:val="00B70AF9"/>
    <w:rsid w:val="00B71ABA"/>
    <w:rsid w:val="00B73055"/>
    <w:rsid w:val="00B734F1"/>
    <w:rsid w:val="00B73F9E"/>
    <w:rsid w:val="00B740EF"/>
    <w:rsid w:val="00B7492C"/>
    <w:rsid w:val="00B75407"/>
    <w:rsid w:val="00B75B4C"/>
    <w:rsid w:val="00B75E2B"/>
    <w:rsid w:val="00B762CF"/>
    <w:rsid w:val="00B76CAB"/>
    <w:rsid w:val="00B770E8"/>
    <w:rsid w:val="00B77443"/>
    <w:rsid w:val="00B776C0"/>
    <w:rsid w:val="00B82163"/>
    <w:rsid w:val="00B87183"/>
    <w:rsid w:val="00B87257"/>
    <w:rsid w:val="00B873AA"/>
    <w:rsid w:val="00B876A0"/>
    <w:rsid w:val="00B87B25"/>
    <w:rsid w:val="00B907D3"/>
    <w:rsid w:val="00B90A4E"/>
    <w:rsid w:val="00B912B1"/>
    <w:rsid w:val="00B92216"/>
    <w:rsid w:val="00B92618"/>
    <w:rsid w:val="00B92E4C"/>
    <w:rsid w:val="00B931BC"/>
    <w:rsid w:val="00B937A9"/>
    <w:rsid w:val="00B94824"/>
    <w:rsid w:val="00B94938"/>
    <w:rsid w:val="00B956B8"/>
    <w:rsid w:val="00B958F1"/>
    <w:rsid w:val="00B95E93"/>
    <w:rsid w:val="00B9775F"/>
    <w:rsid w:val="00B979B6"/>
    <w:rsid w:val="00BA04C0"/>
    <w:rsid w:val="00BA0ED3"/>
    <w:rsid w:val="00BA1A86"/>
    <w:rsid w:val="00BA38A2"/>
    <w:rsid w:val="00BA496A"/>
    <w:rsid w:val="00BA54B6"/>
    <w:rsid w:val="00BA55E6"/>
    <w:rsid w:val="00BA5F1F"/>
    <w:rsid w:val="00BA71D1"/>
    <w:rsid w:val="00BA7D9E"/>
    <w:rsid w:val="00BA7E99"/>
    <w:rsid w:val="00BB2DFF"/>
    <w:rsid w:val="00BB33A1"/>
    <w:rsid w:val="00BB452F"/>
    <w:rsid w:val="00BB457E"/>
    <w:rsid w:val="00BB4C00"/>
    <w:rsid w:val="00BB5AD6"/>
    <w:rsid w:val="00BB6362"/>
    <w:rsid w:val="00BC0A12"/>
    <w:rsid w:val="00BC0A4F"/>
    <w:rsid w:val="00BC21D2"/>
    <w:rsid w:val="00BC2251"/>
    <w:rsid w:val="00BC3134"/>
    <w:rsid w:val="00BC3AB1"/>
    <w:rsid w:val="00BC4915"/>
    <w:rsid w:val="00BC4C58"/>
    <w:rsid w:val="00BC54C5"/>
    <w:rsid w:val="00BC58DB"/>
    <w:rsid w:val="00BC5A29"/>
    <w:rsid w:val="00BC6D21"/>
    <w:rsid w:val="00BC6F20"/>
    <w:rsid w:val="00BD1374"/>
    <w:rsid w:val="00BD19D5"/>
    <w:rsid w:val="00BD2F28"/>
    <w:rsid w:val="00BD4149"/>
    <w:rsid w:val="00BD43C7"/>
    <w:rsid w:val="00BD5184"/>
    <w:rsid w:val="00BD5B2A"/>
    <w:rsid w:val="00BD5C89"/>
    <w:rsid w:val="00BD62D7"/>
    <w:rsid w:val="00BD6935"/>
    <w:rsid w:val="00BD6ED6"/>
    <w:rsid w:val="00BD75E3"/>
    <w:rsid w:val="00BD76AE"/>
    <w:rsid w:val="00BD79AA"/>
    <w:rsid w:val="00BE039C"/>
    <w:rsid w:val="00BE0A20"/>
    <w:rsid w:val="00BE1360"/>
    <w:rsid w:val="00BE2CED"/>
    <w:rsid w:val="00BE37D9"/>
    <w:rsid w:val="00BE433F"/>
    <w:rsid w:val="00BE5591"/>
    <w:rsid w:val="00BE5AF2"/>
    <w:rsid w:val="00BE7C1E"/>
    <w:rsid w:val="00BE7DE3"/>
    <w:rsid w:val="00BF01C5"/>
    <w:rsid w:val="00BF07F9"/>
    <w:rsid w:val="00BF16A2"/>
    <w:rsid w:val="00BF1A13"/>
    <w:rsid w:val="00BF24B8"/>
    <w:rsid w:val="00BF27FD"/>
    <w:rsid w:val="00BF28BA"/>
    <w:rsid w:val="00BF3565"/>
    <w:rsid w:val="00BF42DF"/>
    <w:rsid w:val="00BF4B88"/>
    <w:rsid w:val="00BF4DF2"/>
    <w:rsid w:val="00BF51EA"/>
    <w:rsid w:val="00BF5AF3"/>
    <w:rsid w:val="00BF6227"/>
    <w:rsid w:val="00BF634F"/>
    <w:rsid w:val="00BF668A"/>
    <w:rsid w:val="00BF71B1"/>
    <w:rsid w:val="00C01214"/>
    <w:rsid w:val="00C029D7"/>
    <w:rsid w:val="00C03990"/>
    <w:rsid w:val="00C04116"/>
    <w:rsid w:val="00C041D0"/>
    <w:rsid w:val="00C05A59"/>
    <w:rsid w:val="00C05FEC"/>
    <w:rsid w:val="00C06044"/>
    <w:rsid w:val="00C07E97"/>
    <w:rsid w:val="00C11B46"/>
    <w:rsid w:val="00C11C1A"/>
    <w:rsid w:val="00C11CDF"/>
    <w:rsid w:val="00C12EE1"/>
    <w:rsid w:val="00C16F2D"/>
    <w:rsid w:val="00C20B8F"/>
    <w:rsid w:val="00C21082"/>
    <w:rsid w:val="00C21162"/>
    <w:rsid w:val="00C21419"/>
    <w:rsid w:val="00C21F94"/>
    <w:rsid w:val="00C22D3A"/>
    <w:rsid w:val="00C236A7"/>
    <w:rsid w:val="00C240E6"/>
    <w:rsid w:val="00C24C0B"/>
    <w:rsid w:val="00C25EA8"/>
    <w:rsid w:val="00C2616C"/>
    <w:rsid w:val="00C27031"/>
    <w:rsid w:val="00C30547"/>
    <w:rsid w:val="00C3066B"/>
    <w:rsid w:val="00C30AEF"/>
    <w:rsid w:val="00C30F25"/>
    <w:rsid w:val="00C31896"/>
    <w:rsid w:val="00C3294D"/>
    <w:rsid w:val="00C329D9"/>
    <w:rsid w:val="00C33213"/>
    <w:rsid w:val="00C351B8"/>
    <w:rsid w:val="00C35964"/>
    <w:rsid w:val="00C35CCF"/>
    <w:rsid w:val="00C3695F"/>
    <w:rsid w:val="00C37C69"/>
    <w:rsid w:val="00C401EB"/>
    <w:rsid w:val="00C403A5"/>
    <w:rsid w:val="00C40F32"/>
    <w:rsid w:val="00C42161"/>
    <w:rsid w:val="00C426B0"/>
    <w:rsid w:val="00C429C6"/>
    <w:rsid w:val="00C4432C"/>
    <w:rsid w:val="00C4578C"/>
    <w:rsid w:val="00C45B17"/>
    <w:rsid w:val="00C46148"/>
    <w:rsid w:val="00C4677D"/>
    <w:rsid w:val="00C47CA5"/>
    <w:rsid w:val="00C47D9A"/>
    <w:rsid w:val="00C50334"/>
    <w:rsid w:val="00C508BE"/>
    <w:rsid w:val="00C5107E"/>
    <w:rsid w:val="00C51799"/>
    <w:rsid w:val="00C52103"/>
    <w:rsid w:val="00C53837"/>
    <w:rsid w:val="00C539BE"/>
    <w:rsid w:val="00C54007"/>
    <w:rsid w:val="00C5443E"/>
    <w:rsid w:val="00C5443F"/>
    <w:rsid w:val="00C5541C"/>
    <w:rsid w:val="00C560C9"/>
    <w:rsid w:val="00C57283"/>
    <w:rsid w:val="00C572E8"/>
    <w:rsid w:val="00C6181A"/>
    <w:rsid w:val="00C628E3"/>
    <w:rsid w:val="00C62B60"/>
    <w:rsid w:val="00C64F8A"/>
    <w:rsid w:val="00C64FB5"/>
    <w:rsid w:val="00C66569"/>
    <w:rsid w:val="00C676E4"/>
    <w:rsid w:val="00C70DE2"/>
    <w:rsid w:val="00C71458"/>
    <w:rsid w:val="00C71CF0"/>
    <w:rsid w:val="00C728B5"/>
    <w:rsid w:val="00C72C5D"/>
    <w:rsid w:val="00C7423A"/>
    <w:rsid w:val="00C74AF9"/>
    <w:rsid w:val="00C7505C"/>
    <w:rsid w:val="00C75497"/>
    <w:rsid w:val="00C75737"/>
    <w:rsid w:val="00C76CCC"/>
    <w:rsid w:val="00C77903"/>
    <w:rsid w:val="00C77B5B"/>
    <w:rsid w:val="00C822BC"/>
    <w:rsid w:val="00C829D0"/>
    <w:rsid w:val="00C83039"/>
    <w:rsid w:val="00C83321"/>
    <w:rsid w:val="00C839E6"/>
    <w:rsid w:val="00C83A79"/>
    <w:rsid w:val="00C83DC8"/>
    <w:rsid w:val="00C848AA"/>
    <w:rsid w:val="00C854CB"/>
    <w:rsid w:val="00C85A99"/>
    <w:rsid w:val="00C8656B"/>
    <w:rsid w:val="00C92C82"/>
    <w:rsid w:val="00C93197"/>
    <w:rsid w:val="00C93232"/>
    <w:rsid w:val="00C935AF"/>
    <w:rsid w:val="00C945FF"/>
    <w:rsid w:val="00C94C7B"/>
    <w:rsid w:val="00C94E70"/>
    <w:rsid w:val="00C967E0"/>
    <w:rsid w:val="00C97AB5"/>
    <w:rsid w:val="00C97F7F"/>
    <w:rsid w:val="00CA1798"/>
    <w:rsid w:val="00CA1DA3"/>
    <w:rsid w:val="00CA223A"/>
    <w:rsid w:val="00CA2CA1"/>
    <w:rsid w:val="00CA2E67"/>
    <w:rsid w:val="00CA4415"/>
    <w:rsid w:val="00CA4D43"/>
    <w:rsid w:val="00CA65F0"/>
    <w:rsid w:val="00CA67CB"/>
    <w:rsid w:val="00CA724D"/>
    <w:rsid w:val="00CA72A4"/>
    <w:rsid w:val="00CA7C64"/>
    <w:rsid w:val="00CB1FFC"/>
    <w:rsid w:val="00CB25A9"/>
    <w:rsid w:val="00CB329F"/>
    <w:rsid w:val="00CB33C0"/>
    <w:rsid w:val="00CB4582"/>
    <w:rsid w:val="00CB4E16"/>
    <w:rsid w:val="00CB732C"/>
    <w:rsid w:val="00CB75B0"/>
    <w:rsid w:val="00CB7805"/>
    <w:rsid w:val="00CB7A6D"/>
    <w:rsid w:val="00CC0BFD"/>
    <w:rsid w:val="00CC215C"/>
    <w:rsid w:val="00CC2BDC"/>
    <w:rsid w:val="00CC361A"/>
    <w:rsid w:val="00CC3913"/>
    <w:rsid w:val="00CC3A82"/>
    <w:rsid w:val="00CC424E"/>
    <w:rsid w:val="00CC5645"/>
    <w:rsid w:val="00CC59E1"/>
    <w:rsid w:val="00CC602F"/>
    <w:rsid w:val="00CC76C6"/>
    <w:rsid w:val="00CC7762"/>
    <w:rsid w:val="00CC7C02"/>
    <w:rsid w:val="00CD04D5"/>
    <w:rsid w:val="00CD0BEA"/>
    <w:rsid w:val="00CD10D0"/>
    <w:rsid w:val="00CD184C"/>
    <w:rsid w:val="00CD1986"/>
    <w:rsid w:val="00CD1D62"/>
    <w:rsid w:val="00CD1E05"/>
    <w:rsid w:val="00CD2452"/>
    <w:rsid w:val="00CD475F"/>
    <w:rsid w:val="00CD59BA"/>
    <w:rsid w:val="00CD6B27"/>
    <w:rsid w:val="00CE0F99"/>
    <w:rsid w:val="00CE1D3C"/>
    <w:rsid w:val="00CE22A9"/>
    <w:rsid w:val="00CE2647"/>
    <w:rsid w:val="00CE2D03"/>
    <w:rsid w:val="00CE330A"/>
    <w:rsid w:val="00CE36C2"/>
    <w:rsid w:val="00CE433D"/>
    <w:rsid w:val="00CE459D"/>
    <w:rsid w:val="00CE47FB"/>
    <w:rsid w:val="00CE488E"/>
    <w:rsid w:val="00CE4FA6"/>
    <w:rsid w:val="00CE5D46"/>
    <w:rsid w:val="00CE6841"/>
    <w:rsid w:val="00CE75DC"/>
    <w:rsid w:val="00CE7D2C"/>
    <w:rsid w:val="00CF0D30"/>
    <w:rsid w:val="00CF133C"/>
    <w:rsid w:val="00CF164F"/>
    <w:rsid w:val="00CF1CD1"/>
    <w:rsid w:val="00CF1D4B"/>
    <w:rsid w:val="00CF32EB"/>
    <w:rsid w:val="00CF52DD"/>
    <w:rsid w:val="00CF5938"/>
    <w:rsid w:val="00CF64C1"/>
    <w:rsid w:val="00CF6EBF"/>
    <w:rsid w:val="00CF71A4"/>
    <w:rsid w:val="00CF7B61"/>
    <w:rsid w:val="00D00649"/>
    <w:rsid w:val="00D01D6A"/>
    <w:rsid w:val="00D027FC"/>
    <w:rsid w:val="00D02B1E"/>
    <w:rsid w:val="00D05A8A"/>
    <w:rsid w:val="00D065E9"/>
    <w:rsid w:val="00D06A4B"/>
    <w:rsid w:val="00D06B1B"/>
    <w:rsid w:val="00D06C36"/>
    <w:rsid w:val="00D07AFD"/>
    <w:rsid w:val="00D10A00"/>
    <w:rsid w:val="00D10C21"/>
    <w:rsid w:val="00D11067"/>
    <w:rsid w:val="00D120C1"/>
    <w:rsid w:val="00D121E2"/>
    <w:rsid w:val="00D123DC"/>
    <w:rsid w:val="00D13027"/>
    <w:rsid w:val="00D1338D"/>
    <w:rsid w:val="00D14304"/>
    <w:rsid w:val="00D14378"/>
    <w:rsid w:val="00D147EB"/>
    <w:rsid w:val="00D1578E"/>
    <w:rsid w:val="00D157F3"/>
    <w:rsid w:val="00D1668A"/>
    <w:rsid w:val="00D17148"/>
    <w:rsid w:val="00D17987"/>
    <w:rsid w:val="00D213C0"/>
    <w:rsid w:val="00D21C48"/>
    <w:rsid w:val="00D224EA"/>
    <w:rsid w:val="00D226EE"/>
    <w:rsid w:val="00D22DCB"/>
    <w:rsid w:val="00D22F98"/>
    <w:rsid w:val="00D2320A"/>
    <w:rsid w:val="00D2363E"/>
    <w:rsid w:val="00D237E1"/>
    <w:rsid w:val="00D2473F"/>
    <w:rsid w:val="00D247E5"/>
    <w:rsid w:val="00D272DB"/>
    <w:rsid w:val="00D27321"/>
    <w:rsid w:val="00D27E9D"/>
    <w:rsid w:val="00D30D28"/>
    <w:rsid w:val="00D30F02"/>
    <w:rsid w:val="00D31C7E"/>
    <w:rsid w:val="00D33A5E"/>
    <w:rsid w:val="00D35271"/>
    <w:rsid w:val="00D35921"/>
    <w:rsid w:val="00D35EBA"/>
    <w:rsid w:val="00D37082"/>
    <w:rsid w:val="00D401A5"/>
    <w:rsid w:val="00D40335"/>
    <w:rsid w:val="00D44BDA"/>
    <w:rsid w:val="00D467BE"/>
    <w:rsid w:val="00D5012B"/>
    <w:rsid w:val="00D51DDA"/>
    <w:rsid w:val="00D5348B"/>
    <w:rsid w:val="00D53E14"/>
    <w:rsid w:val="00D553E4"/>
    <w:rsid w:val="00D55E43"/>
    <w:rsid w:val="00D562C4"/>
    <w:rsid w:val="00D56429"/>
    <w:rsid w:val="00D5649C"/>
    <w:rsid w:val="00D57B99"/>
    <w:rsid w:val="00D605F7"/>
    <w:rsid w:val="00D61A6F"/>
    <w:rsid w:val="00D61AE6"/>
    <w:rsid w:val="00D62254"/>
    <w:rsid w:val="00D62EC9"/>
    <w:rsid w:val="00D63598"/>
    <w:rsid w:val="00D63D2E"/>
    <w:rsid w:val="00D63E95"/>
    <w:rsid w:val="00D6411E"/>
    <w:rsid w:val="00D648A2"/>
    <w:rsid w:val="00D64D93"/>
    <w:rsid w:val="00D6689C"/>
    <w:rsid w:val="00D712C7"/>
    <w:rsid w:val="00D71D1A"/>
    <w:rsid w:val="00D72648"/>
    <w:rsid w:val="00D72858"/>
    <w:rsid w:val="00D739E7"/>
    <w:rsid w:val="00D74021"/>
    <w:rsid w:val="00D74B9A"/>
    <w:rsid w:val="00D77092"/>
    <w:rsid w:val="00D77908"/>
    <w:rsid w:val="00D8101E"/>
    <w:rsid w:val="00D8165C"/>
    <w:rsid w:val="00D817FA"/>
    <w:rsid w:val="00D82288"/>
    <w:rsid w:val="00D82C44"/>
    <w:rsid w:val="00D83319"/>
    <w:rsid w:val="00D84CEC"/>
    <w:rsid w:val="00D90D1A"/>
    <w:rsid w:val="00D90F8C"/>
    <w:rsid w:val="00D91135"/>
    <w:rsid w:val="00D91411"/>
    <w:rsid w:val="00D915B6"/>
    <w:rsid w:val="00D91B0D"/>
    <w:rsid w:val="00D93D0B"/>
    <w:rsid w:val="00D93FA1"/>
    <w:rsid w:val="00D9523C"/>
    <w:rsid w:val="00D96D8F"/>
    <w:rsid w:val="00D9743C"/>
    <w:rsid w:val="00DA037F"/>
    <w:rsid w:val="00DA1C7A"/>
    <w:rsid w:val="00DA2669"/>
    <w:rsid w:val="00DA371E"/>
    <w:rsid w:val="00DA3CE0"/>
    <w:rsid w:val="00DA4B96"/>
    <w:rsid w:val="00DA5B0D"/>
    <w:rsid w:val="00DA5B38"/>
    <w:rsid w:val="00DA7AB1"/>
    <w:rsid w:val="00DA7BE7"/>
    <w:rsid w:val="00DB0851"/>
    <w:rsid w:val="00DB1C3A"/>
    <w:rsid w:val="00DB2D9E"/>
    <w:rsid w:val="00DB36C4"/>
    <w:rsid w:val="00DB3ADE"/>
    <w:rsid w:val="00DB4811"/>
    <w:rsid w:val="00DB49F9"/>
    <w:rsid w:val="00DB61CA"/>
    <w:rsid w:val="00DB6E39"/>
    <w:rsid w:val="00DC0050"/>
    <w:rsid w:val="00DC03F3"/>
    <w:rsid w:val="00DC0762"/>
    <w:rsid w:val="00DC0A75"/>
    <w:rsid w:val="00DC12B5"/>
    <w:rsid w:val="00DC15E3"/>
    <w:rsid w:val="00DC1E62"/>
    <w:rsid w:val="00DC1F82"/>
    <w:rsid w:val="00DC393B"/>
    <w:rsid w:val="00DC4D78"/>
    <w:rsid w:val="00DC4EFE"/>
    <w:rsid w:val="00DC5620"/>
    <w:rsid w:val="00DC57D2"/>
    <w:rsid w:val="00DC5ABF"/>
    <w:rsid w:val="00DC6745"/>
    <w:rsid w:val="00DC7C7F"/>
    <w:rsid w:val="00DD0571"/>
    <w:rsid w:val="00DD26DD"/>
    <w:rsid w:val="00DD2781"/>
    <w:rsid w:val="00DD3CE1"/>
    <w:rsid w:val="00DD4557"/>
    <w:rsid w:val="00DD4E44"/>
    <w:rsid w:val="00DD599F"/>
    <w:rsid w:val="00DD6D79"/>
    <w:rsid w:val="00DD72D1"/>
    <w:rsid w:val="00DE182F"/>
    <w:rsid w:val="00DE1E6F"/>
    <w:rsid w:val="00DE39FE"/>
    <w:rsid w:val="00DE4539"/>
    <w:rsid w:val="00DE486E"/>
    <w:rsid w:val="00DE4A40"/>
    <w:rsid w:val="00DE5234"/>
    <w:rsid w:val="00DE5C52"/>
    <w:rsid w:val="00DE62A0"/>
    <w:rsid w:val="00DE7589"/>
    <w:rsid w:val="00DF039E"/>
    <w:rsid w:val="00DF0950"/>
    <w:rsid w:val="00DF22EC"/>
    <w:rsid w:val="00DF2E15"/>
    <w:rsid w:val="00DF310E"/>
    <w:rsid w:val="00DF3679"/>
    <w:rsid w:val="00DF3D10"/>
    <w:rsid w:val="00DF4818"/>
    <w:rsid w:val="00DF51D3"/>
    <w:rsid w:val="00DF5503"/>
    <w:rsid w:val="00DF5BC8"/>
    <w:rsid w:val="00DF5F8C"/>
    <w:rsid w:val="00DF6EBC"/>
    <w:rsid w:val="00E00D1E"/>
    <w:rsid w:val="00E00DFB"/>
    <w:rsid w:val="00E00E61"/>
    <w:rsid w:val="00E030D3"/>
    <w:rsid w:val="00E03274"/>
    <w:rsid w:val="00E03336"/>
    <w:rsid w:val="00E035BD"/>
    <w:rsid w:val="00E03A9F"/>
    <w:rsid w:val="00E04305"/>
    <w:rsid w:val="00E04BB2"/>
    <w:rsid w:val="00E05E1E"/>
    <w:rsid w:val="00E064AE"/>
    <w:rsid w:val="00E068D0"/>
    <w:rsid w:val="00E069C8"/>
    <w:rsid w:val="00E06BFB"/>
    <w:rsid w:val="00E07C44"/>
    <w:rsid w:val="00E1022B"/>
    <w:rsid w:val="00E10320"/>
    <w:rsid w:val="00E10688"/>
    <w:rsid w:val="00E10929"/>
    <w:rsid w:val="00E115D0"/>
    <w:rsid w:val="00E11A72"/>
    <w:rsid w:val="00E123D8"/>
    <w:rsid w:val="00E12878"/>
    <w:rsid w:val="00E1392C"/>
    <w:rsid w:val="00E14EE9"/>
    <w:rsid w:val="00E15320"/>
    <w:rsid w:val="00E1605A"/>
    <w:rsid w:val="00E2028C"/>
    <w:rsid w:val="00E221E8"/>
    <w:rsid w:val="00E22224"/>
    <w:rsid w:val="00E22A2A"/>
    <w:rsid w:val="00E22CD4"/>
    <w:rsid w:val="00E25122"/>
    <w:rsid w:val="00E25E3B"/>
    <w:rsid w:val="00E27B35"/>
    <w:rsid w:val="00E31B7C"/>
    <w:rsid w:val="00E320D0"/>
    <w:rsid w:val="00E32D01"/>
    <w:rsid w:val="00E33458"/>
    <w:rsid w:val="00E3369C"/>
    <w:rsid w:val="00E342EB"/>
    <w:rsid w:val="00E35F07"/>
    <w:rsid w:val="00E3620B"/>
    <w:rsid w:val="00E36331"/>
    <w:rsid w:val="00E36DA5"/>
    <w:rsid w:val="00E36F43"/>
    <w:rsid w:val="00E41FF4"/>
    <w:rsid w:val="00E42749"/>
    <w:rsid w:val="00E427B6"/>
    <w:rsid w:val="00E43529"/>
    <w:rsid w:val="00E442C9"/>
    <w:rsid w:val="00E44956"/>
    <w:rsid w:val="00E44B25"/>
    <w:rsid w:val="00E46B6C"/>
    <w:rsid w:val="00E47466"/>
    <w:rsid w:val="00E47906"/>
    <w:rsid w:val="00E5012B"/>
    <w:rsid w:val="00E52254"/>
    <w:rsid w:val="00E52BDC"/>
    <w:rsid w:val="00E52C27"/>
    <w:rsid w:val="00E55DC0"/>
    <w:rsid w:val="00E566D7"/>
    <w:rsid w:val="00E579B5"/>
    <w:rsid w:val="00E6036F"/>
    <w:rsid w:val="00E61383"/>
    <w:rsid w:val="00E61914"/>
    <w:rsid w:val="00E629FD"/>
    <w:rsid w:val="00E63BCE"/>
    <w:rsid w:val="00E65F51"/>
    <w:rsid w:val="00E66713"/>
    <w:rsid w:val="00E70B07"/>
    <w:rsid w:val="00E7444D"/>
    <w:rsid w:val="00E7492C"/>
    <w:rsid w:val="00E75F45"/>
    <w:rsid w:val="00E7754A"/>
    <w:rsid w:val="00E77564"/>
    <w:rsid w:val="00E8176D"/>
    <w:rsid w:val="00E81828"/>
    <w:rsid w:val="00E823F7"/>
    <w:rsid w:val="00E8284B"/>
    <w:rsid w:val="00E829A4"/>
    <w:rsid w:val="00E82AF3"/>
    <w:rsid w:val="00E82C6E"/>
    <w:rsid w:val="00E82E1A"/>
    <w:rsid w:val="00E85542"/>
    <w:rsid w:val="00E8562F"/>
    <w:rsid w:val="00E85924"/>
    <w:rsid w:val="00E85A39"/>
    <w:rsid w:val="00E863C3"/>
    <w:rsid w:val="00E86A8F"/>
    <w:rsid w:val="00E86BE3"/>
    <w:rsid w:val="00E8705C"/>
    <w:rsid w:val="00E90344"/>
    <w:rsid w:val="00E907F2"/>
    <w:rsid w:val="00E90E2D"/>
    <w:rsid w:val="00E9149D"/>
    <w:rsid w:val="00E91743"/>
    <w:rsid w:val="00E91B69"/>
    <w:rsid w:val="00E91D8B"/>
    <w:rsid w:val="00E9206A"/>
    <w:rsid w:val="00E932D1"/>
    <w:rsid w:val="00E937FD"/>
    <w:rsid w:val="00E93DD9"/>
    <w:rsid w:val="00E96DCD"/>
    <w:rsid w:val="00E978C1"/>
    <w:rsid w:val="00E97DD4"/>
    <w:rsid w:val="00EA00AA"/>
    <w:rsid w:val="00EA0F75"/>
    <w:rsid w:val="00EA2B4B"/>
    <w:rsid w:val="00EA42E4"/>
    <w:rsid w:val="00EA47B5"/>
    <w:rsid w:val="00EA48D4"/>
    <w:rsid w:val="00EA4A44"/>
    <w:rsid w:val="00EA6670"/>
    <w:rsid w:val="00EA6BDD"/>
    <w:rsid w:val="00EA766B"/>
    <w:rsid w:val="00EA7902"/>
    <w:rsid w:val="00EB1A99"/>
    <w:rsid w:val="00EB2300"/>
    <w:rsid w:val="00EB2662"/>
    <w:rsid w:val="00EB287F"/>
    <w:rsid w:val="00EB3B33"/>
    <w:rsid w:val="00EB4315"/>
    <w:rsid w:val="00EB4C2E"/>
    <w:rsid w:val="00EB4CD5"/>
    <w:rsid w:val="00EB50AC"/>
    <w:rsid w:val="00EC0033"/>
    <w:rsid w:val="00EC10AD"/>
    <w:rsid w:val="00EC1777"/>
    <w:rsid w:val="00EC64C2"/>
    <w:rsid w:val="00EC6EE4"/>
    <w:rsid w:val="00EC779D"/>
    <w:rsid w:val="00ED0864"/>
    <w:rsid w:val="00ED13DF"/>
    <w:rsid w:val="00ED2FB9"/>
    <w:rsid w:val="00ED34EB"/>
    <w:rsid w:val="00ED4077"/>
    <w:rsid w:val="00ED6431"/>
    <w:rsid w:val="00ED6CCD"/>
    <w:rsid w:val="00ED753F"/>
    <w:rsid w:val="00ED7CFE"/>
    <w:rsid w:val="00EE29D6"/>
    <w:rsid w:val="00EE2D54"/>
    <w:rsid w:val="00EE30E6"/>
    <w:rsid w:val="00EE3E03"/>
    <w:rsid w:val="00EE4286"/>
    <w:rsid w:val="00EE4EB0"/>
    <w:rsid w:val="00EE5132"/>
    <w:rsid w:val="00EE64A0"/>
    <w:rsid w:val="00EE64C2"/>
    <w:rsid w:val="00EE6677"/>
    <w:rsid w:val="00EE7244"/>
    <w:rsid w:val="00EF0643"/>
    <w:rsid w:val="00EF1E37"/>
    <w:rsid w:val="00EF3C4F"/>
    <w:rsid w:val="00EF3DEE"/>
    <w:rsid w:val="00EF45C7"/>
    <w:rsid w:val="00EF532F"/>
    <w:rsid w:val="00EF53BD"/>
    <w:rsid w:val="00EF6468"/>
    <w:rsid w:val="00EF7EC7"/>
    <w:rsid w:val="00F00B1A"/>
    <w:rsid w:val="00F00C2B"/>
    <w:rsid w:val="00F00E80"/>
    <w:rsid w:val="00F01EDA"/>
    <w:rsid w:val="00F02773"/>
    <w:rsid w:val="00F02882"/>
    <w:rsid w:val="00F03D9B"/>
    <w:rsid w:val="00F046B5"/>
    <w:rsid w:val="00F04B66"/>
    <w:rsid w:val="00F050B2"/>
    <w:rsid w:val="00F057D5"/>
    <w:rsid w:val="00F0660D"/>
    <w:rsid w:val="00F07B28"/>
    <w:rsid w:val="00F07D04"/>
    <w:rsid w:val="00F103B8"/>
    <w:rsid w:val="00F10B0D"/>
    <w:rsid w:val="00F118DC"/>
    <w:rsid w:val="00F11E9B"/>
    <w:rsid w:val="00F1291D"/>
    <w:rsid w:val="00F12A7A"/>
    <w:rsid w:val="00F12AF9"/>
    <w:rsid w:val="00F133C4"/>
    <w:rsid w:val="00F13E57"/>
    <w:rsid w:val="00F1442E"/>
    <w:rsid w:val="00F1468E"/>
    <w:rsid w:val="00F15216"/>
    <w:rsid w:val="00F1598A"/>
    <w:rsid w:val="00F15BAF"/>
    <w:rsid w:val="00F15E16"/>
    <w:rsid w:val="00F22041"/>
    <w:rsid w:val="00F23C9B"/>
    <w:rsid w:val="00F24C05"/>
    <w:rsid w:val="00F2672B"/>
    <w:rsid w:val="00F268F5"/>
    <w:rsid w:val="00F3038B"/>
    <w:rsid w:val="00F30E6F"/>
    <w:rsid w:val="00F3173A"/>
    <w:rsid w:val="00F31749"/>
    <w:rsid w:val="00F320EB"/>
    <w:rsid w:val="00F322C9"/>
    <w:rsid w:val="00F3295F"/>
    <w:rsid w:val="00F32962"/>
    <w:rsid w:val="00F32EE7"/>
    <w:rsid w:val="00F33797"/>
    <w:rsid w:val="00F339EA"/>
    <w:rsid w:val="00F343DA"/>
    <w:rsid w:val="00F37493"/>
    <w:rsid w:val="00F37D57"/>
    <w:rsid w:val="00F37FB0"/>
    <w:rsid w:val="00F40004"/>
    <w:rsid w:val="00F411DD"/>
    <w:rsid w:val="00F41408"/>
    <w:rsid w:val="00F41DAC"/>
    <w:rsid w:val="00F4213E"/>
    <w:rsid w:val="00F432C1"/>
    <w:rsid w:val="00F449E1"/>
    <w:rsid w:val="00F4667C"/>
    <w:rsid w:val="00F46B3A"/>
    <w:rsid w:val="00F46F31"/>
    <w:rsid w:val="00F47EB5"/>
    <w:rsid w:val="00F502D6"/>
    <w:rsid w:val="00F50A95"/>
    <w:rsid w:val="00F5200D"/>
    <w:rsid w:val="00F52F88"/>
    <w:rsid w:val="00F548B3"/>
    <w:rsid w:val="00F54D1A"/>
    <w:rsid w:val="00F54DA3"/>
    <w:rsid w:val="00F54E4B"/>
    <w:rsid w:val="00F55352"/>
    <w:rsid w:val="00F56104"/>
    <w:rsid w:val="00F564BB"/>
    <w:rsid w:val="00F56AC2"/>
    <w:rsid w:val="00F56BEA"/>
    <w:rsid w:val="00F57A1A"/>
    <w:rsid w:val="00F57C7E"/>
    <w:rsid w:val="00F60400"/>
    <w:rsid w:val="00F61798"/>
    <w:rsid w:val="00F62094"/>
    <w:rsid w:val="00F63142"/>
    <w:rsid w:val="00F631DF"/>
    <w:rsid w:val="00F63318"/>
    <w:rsid w:val="00F63A9C"/>
    <w:rsid w:val="00F6409B"/>
    <w:rsid w:val="00F64925"/>
    <w:rsid w:val="00F64FFD"/>
    <w:rsid w:val="00F675BA"/>
    <w:rsid w:val="00F677BB"/>
    <w:rsid w:val="00F71E58"/>
    <w:rsid w:val="00F7293F"/>
    <w:rsid w:val="00F72AB2"/>
    <w:rsid w:val="00F7302E"/>
    <w:rsid w:val="00F733AC"/>
    <w:rsid w:val="00F748A4"/>
    <w:rsid w:val="00F7534C"/>
    <w:rsid w:val="00F75405"/>
    <w:rsid w:val="00F76928"/>
    <w:rsid w:val="00F76DD8"/>
    <w:rsid w:val="00F776AD"/>
    <w:rsid w:val="00F80ACF"/>
    <w:rsid w:val="00F81A7E"/>
    <w:rsid w:val="00F8207C"/>
    <w:rsid w:val="00F83361"/>
    <w:rsid w:val="00F83B65"/>
    <w:rsid w:val="00F855B2"/>
    <w:rsid w:val="00F876B1"/>
    <w:rsid w:val="00F8776D"/>
    <w:rsid w:val="00F87904"/>
    <w:rsid w:val="00F879EE"/>
    <w:rsid w:val="00F90C9A"/>
    <w:rsid w:val="00F919C5"/>
    <w:rsid w:val="00F91D84"/>
    <w:rsid w:val="00F928FF"/>
    <w:rsid w:val="00F93F2F"/>
    <w:rsid w:val="00FA0250"/>
    <w:rsid w:val="00FA1960"/>
    <w:rsid w:val="00FA1F9A"/>
    <w:rsid w:val="00FA2D58"/>
    <w:rsid w:val="00FA2D95"/>
    <w:rsid w:val="00FA3AF8"/>
    <w:rsid w:val="00FA589A"/>
    <w:rsid w:val="00FA6F16"/>
    <w:rsid w:val="00FB0A7C"/>
    <w:rsid w:val="00FB1343"/>
    <w:rsid w:val="00FB18D9"/>
    <w:rsid w:val="00FB2178"/>
    <w:rsid w:val="00FB3474"/>
    <w:rsid w:val="00FB3AA1"/>
    <w:rsid w:val="00FB5329"/>
    <w:rsid w:val="00FC2544"/>
    <w:rsid w:val="00FC473E"/>
    <w:rsid w:val="00FC48AF"/>
    <w:rsid w:val="00FC5242"/>
    <w:rsid w:val="00FC5EA3"/>
    <w:rsid w:val="00FC5F1E"/>
    <w:rsid w:val="00FC6CD0"/>
    <w:rsid w:val="00FC7579"/>
    <w:rsid w:val="00FC7FF9"/>
    <w:rsid w:val="00FD0F59"/>
    <w:rsid w:val="00FD192A"/>
    <w:rsid w:val="00FD20CC"/>
    <w:rsid w:val="00FD2473"/>
    <w:rsid w:val="00FD3B6E"/>
    <w:rsid w:val="00FD3CF6"/>
    <w:rsid w:val="00FD4BB7"/>
    <w:rsid w:val="00FD589E"/>
    <w:rsid w:val="00FD6EE1"/>
    <w:rsid w:val="00FD766C"/>
    <w:rsid w:val="00FE2B4A"/>
    <w:rsid w:val="00FE43B5"/>
    <w:rsid w:val="00FE4432"/>
    <w:rsid w:val="00FE486B"/>
    <w:rsid w:val="00FE62F0"/>
    <w:rsid w:val="00FE659E"/>
    <w:rsid w:val="00FE7197"/>
    <w:rsid w:val="00FE7966"/>
    <w:rsid w:val="00FF2CF4"/>
    <w:rsid w:val="00FF2DA0"/>
    <w:rsid w:val="00FF3C09"/>
    <w:rsid w:val="00FF3E8E"/>
    <w:rsid w:val="00FF3EA5"/>
    <w:rsid w:val="00FF4251"/>
    <w:rsid w:val="00FF4609"/>
    <w:rsid w:val="00FF47A1"/>
    <w:rsid w:val="00FF56EE"/>
    <w:rsid w:val="00FF6887"/>
    <w:rsid w:val="00FF795B"/>
    <w:rsid w:val="00FF7C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5169"/>
    <o:shapelayout v:ext="edit">
      <o:idmap v:ext="edit" data="1"/>
    </o:shapelayout>
  </w:shapeDefaults>
  <w:decimalSymbol w:val="."/>
  <w:listSeparator w:val=","/>
  <w14:docId w14:val="2A72313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567"/>
      </w:tabs>
      <w:spacing w:line="260" w:lineRule="exact"/>
    </w:pPr>
    <w:rPr>
      <w:sz w:val="22"/>
      <w:lang w:val="en-GB"/>
    </w:rPr>
  </w:style>
  <w:style w:type="paragraph" w:styleId="Heading1">
    <w:name w:val="heading 1"/>
    <w:basedOn w:val="Normal"/>
    <w:next w:val="Normal"/>
    <w:qFormat/>
    <w:pPr>
      <w:spacing w:before="240" w:after="120"/>
      <w:ind w:left="357" w:hanging="357"/>
      <w:outlineLvl w:val="0"/>
    </w:pPr>
    <w:rPr>
      <w:b/>
      <w:caps/>
      <w:sz w:val="26"/>
      <w:lang w:val="en-US"/>
    </w:rPr>
  </w:style>
  <w:style w:type="paragraph" w:styleId="Heading2">
    <w:name w:val="heading 2"/>
    <w:basedOn w:val="Normal"/>
    <w:next w:val="Normal"/>
    <w:qFormat/>
    <w:pPr>
      <w:keepNext/>
      <w:spacing w:before="240" w:after="60"/>
      <w:outlineLvl w:val="1"/>
    </w:pPr>
    <w:rPr>
      <w:rFonts w:ascii="Helvetica" w:hAnsi="Helvetica"/>
      <w:b/>
      <w:i/>
      <w:sz w:val="24"/>
    </w:rPr>
  </w:style>
  <w:style w:type="paragraph" w:styleId="Heading3">
    <w:name w:val="heading 3"/>
    <w:basedOn w:val="Normal"/>
    <w:next w:val="Normal"/>
    <w:qFormat/>
    <w:pPr>
      <w:keepNext/>
      <w:keepLines/>
      <w:spacing w:before="120" w:after="80"/>
      <w:outlineLvl w:val="2"/>
    </w:pPr>
    <w:rPr>
      <w:b/>
      <w:kern w:val="28"/>
      <w:sz w:val="24"/>
      <w:lang w:val="en-US"/>
    </w:rPr>
  </w:style>
  <w:style w:type="paragraph" w:styleId="Heading4">
    <w:name w:val="heading 4"/>
    <w:basedOn w:val="Normal"/>
    <w:next w:val="Normal"/>
    <w:qFormat/>
    <w:pPr>
      <w:keepNext/>
      <w:jc w:val="both"/>
      <w:outlineLvl w:val="3"/>
    </w:pPr>
    <w:rPr>
      <w:b/>
      <w:noProof/>
    </w:rPr>
  </w:style>
  <w:style w:type="paragraph" w:styleId="Heading5">
    <w:name w:val="heading 5"/>
    <w:basedOn w:val="Normal"/>
    <w:next w:val="Normal"/>
    <w:qFormat/>
    <w:pPr>
      <w:keepNext/>
      <w:jc w:val="both"/>
      <w:outlineLvl w:val="4"/>
    </w:pPr>
    <w:rPr>
      <w:noProof/>
    </w:rPr>
  </w:style>
  <w:style w:type="paragraph" w:styleId="Heading6">
    <w:name w:val="heading 6"/>
    <w:basedOn w:val="Normal"/>
    <w:next w:val="Normal"/>
    <w:qFormat/>
    <w:pPr>
      <w:keepNext/>
      <w:tabs>
        <w:tab w:val="left" w:pos="-720"/>
        <w:tab w:val="left" w:pos="4536"/>
      </w:tabs>
      <w:suppressAutoHyphens/>
      <w:outlineLvl w:val="5"/>
    </w:pPr>
    <w:rPr>
      <w:i/>
    </w:rPr>
  </w:style>
  <w:style w:type="paragraph" w:styleId="Heading7">
    <w:name w:val="heading 7"/>
    <w:basedOn w:val="Normal"/>
    <w:next w:val="Normal"/>
    <w:qFormat/>
    <w:pPr>
      <w:keepNext/>
      <w:tabs>
        <w:tab w:val="left" w:pos="-720"/>
        <w:tab w:val="left" w:pos="4536"/>
      </w:tabs>
      <w:suppressAutoHyphens/>
      <w:jc w:val="both"/>
      <w:outlineLvl w:val="6"/>
    </w:pPr>
    <w:rPr>
      <w:i/>
    </w:rPr>
  </w:style>
  <w:style w:type="paragraph" w:styleId="Heading8">
    <w:name w:val="heading 8"/>
    <w:basedOn w:val="Normal"/>
    <w:next w:val="Normal"/>
    <w:qFormat/>
    <w:pPr>
      <w:keepNext/>
      <w:ind w:left="567" w:hanging="567"/>
      <w:jc w:val="both"/>
      <w:outlineLvl w:val="7"/>
    </w:pPr>
    <w:rPr>
      <w:b/>
      <w:i/>
    </w:rPr>
  </w:style>
  <w:style w:type="paragraph" w:styleId="Heading9">
    <w:name w:val="heading 9"/>
    <w:basedOn w:val="Normal"/>
    <w:next w:val="Normal"/>
    <w:qFormat/>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spacing w:line="240" w:lineRule="auto"/>
    </w:pPr>
    <w:rPr>
      <w:rFonts w:ascii="Helvetica" w:hAnsi="Helvetica"/>
      <w:sz w:val="20"/>
    </w:rPr>
  </w:style>
  <w:style w:type="paragraph" w:styleId="Footer">
    <w:name w:val="footer"/>
    <w:basedOn w:val="Normal"/>
    <w:pPr>
      <w:tabs>
        <w:tab w:val="center" w:pos="4536"/>
        <w:tab w:val="center" w:pos="8930"/>
      </w:tabs>
      <w:spacing w:line="240" w:lineRule="auto"/>
    </w:pPr>
    <w:rPr>
      <w:rFonts w:ascii="Helvetica" w:hAnsi="Helvetica"/>
      <w:sz w:val="16"/>
    </w:rPr>
  </w:style>
  <w:style w:type="character" w:styleId="PageNumber">
    <w:name w:val="page number"/>
    <w:basedOn w:val="DefaultParagraphFont"/>
  </w:style>
  <w:style w:type="paragraph" w:styleId="BodyTextIndent">
    <w:name w:val="Body Text Indent"/>
    <w:basedOn w:val="Normal"/>
    <w:pPr>
      <w:tabs>
        <w:tab w:val="clear" w:pos="567"/>
      </w:tabs>
      <w:autoSpaceDE w:val="0"/>
      <w:autoSpaceDN w:val="0"/>
      <w:adjustRightInd w:val="0"/>
      <w:spacing w:line="240" w:lineRule="auto"/>
      <w:ind w:left="720"/>
      <w:jc w:val="both"/>
    </w:pPr>
    <w:rPr>
      <w:szCs w:val="22"/>
      <w:lang w:eastAsia="en-GB"/>
    </w:rPr>
  </w:style>
  <w:style w:type="paragraph" w:styleId="BodyText3">
    <w:name w:val="Body Text 3"/>
    <w:basedOn w:val="Normal"/>
    <w:pPr>
      <w:tabs>
        <w:tab w:val="clear" w:pos="567"/>
      </w:tabs>
      <w:autoSpaceDE w:val="0"/>
      <w:autoSpaceDN w:val="0"/>
      <w:adjustRightInd w:val="0"/>
      <w:spacing w:line="240" w:lineRule="auto"/>
      <w:jc w:val="both"/>
    </w:pPr>
    <w:rPr>
      <w:color w:val="0000FF"/>
      <w:szCs w:val="22"/>
      <w:lang w:eastAsia="en-GB"/>
    </w:rPr>
  </w:style>
  <w:style w:type="paragraph" w:styleId="BodyTextIndent2">
    <w:name w:val="Body Text Indent 2"/>
    <w:basedOn w:val="Normal"/>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BodyText">
    <w:name w:val="Body Text"/>
    <w:basedOn w:val="Normal"/>
    <w:pPr>
      <w:tabs>
        <w:tab w:val="clear" w:pos="567"/>
      </w:tabs>
      <w:spacing w:line="240" w:lineRule="auto"/>
    </w:pPr>
    <w:rPr>
      <w:i/>
      <w:color w:val="008000"/>
    </w:rPr>
  </w:style>
  <w:style w:type="paragraph" w:styleId="BodyText2">
    <w:name w:val="Body Text 2"/>
    <w:basedOn w:val="Normal"/>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CommentReference">
    <w:name w:val="annotation reference"/>
    <w:uiPriority w:val="99"/>
    <w:semiHidden/>
    <w:rPr>
      <w:sz w:val="16"/>
      <w:szCs w:val="16"/>
    </w:rPr>
  </w:style>
  <w:style w:type="paragraph" w:styleId="CommentText">
    <w:name w:val="annotation text"/>
    <w:aliases w:val="Comment Text Char1 Char,Comment Text Char Char Char,Comment Text Char1,Annotationtext"/>
    <w:basedOn w:val="Normal"/>
    <w:link w:val="CommentTextChar"/>
    <w:rPr>
      <w:sz w:val="20"/>
      <w:lang w:eastAsia="x-none"/>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styleId="DocumentMap">
    <w:name w:val="Document Map"/>
    <w:basedOn w:val="Normal"/>
    <w:semiHidden/>
    <w:pPr>
      <w:shd w:val="clear" w:color="auto" w:fill="000080"/>
    </w:pPr>
    <w:rPr>
      <w:rFonts w:ascii="Tahoma" w:hAnsi="Tahoma" w:cs="Tahoma"/>
    </w:rPr>
  </w:style>
  <w:style w:type="character" w:styleId="Hyperlink">
    <w:name w:val="Hyperlink"/>
    <w:uiPriority w:val="99"/>
    <w:rPr>
      <w:color w:val="0000FF"/>
      <w:u w:val="single"/>
    </w:rPr>
  </w:style>
  <w:style w:type="paragraph" w:customStyle="1" w:styleId="AHeader1">
    <w:name w:val="AHeader 1"/>
    <w:basedOn w:val="Normal"/>
    <w:pPr>
      <w:numPr>
        <w:numId w:val="1"/>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s>
    </w:pPr>
    <w:rPr>
      <w:sz w:val="22"/>
    </w:rPr>
  </w:style>
  <w:style w:type="paragraph" w:customStyle="1" w:styleId="AHeader3">
    <w:name w:val="AHeader 3"/>
    <w:basedOn w:val="AHeader2"/>
    <w:pPr>
      <w:numPr>
        <w:ilvl w:val="2"/>
      </w:numPr>
      <w:tabs>
        <w:tab w:val="clear" w:pos="1276"/>
        <w:tab w:val="num" w:pos="360"/>
      </w:tabs>
    </w:pPr>
  </w:style>
  <w:style w:type="paragraph" w:customStyle="1" w:styleId="AHeader2abc">
    <w:name w:val="AHeader 2 abc"/>
    <w:basedOn w:val="AHeader3"/>
    <w:pPr>
      <w:numPr>
        <w:ilvl w:val="3"/>
      </w:numPr>
      <w:tabs>
        <w:tab w:val="clear" w:pos="1276"/>
        <w:tab w:val="num" w:pos="360"/>
      </w:tabs>
      <w:jc w:val="both"/>
    </w:pPr>
    <w:rPr>
      <w:b w:val="0"/>
      <w:bCs w:val="0"/>
    </w:rPr>
  </w:style>
  <w:style w:type="paragraph" w:customStyle="1" w:styleId="AHeader3abc">
    <w:name w:val="AHeader 3 abc"/>
    <w:basedOn w:val="AHeader2abc"/>
    <w:pPr>
      <w:numPr>
        <w:ilvl w:val="4"/>
      </w:numPr>
      <w:tabs>
        <w:tab w:val="clear" w:pos="1701"/>
        <w:tab w:val="num" w:pos="360"/>
      </w:tabs>
    </w:pPr>
  </w:style>
  <w:style w:type="paragraph" w:styleId="BodyTextIndent3">
    <w:name w:val="Body Text Indent 3"/>
    <w:basedOn w:val="Normal"/>
    <w:pPr>
      <w:tabs>
        <w:tab w:val="left" w:pos="1134"/>
      </w:tabs>
      <w:autoSpaceDE w:val="0"/>
      <w:autoSpaceDN w:val="0"/>
      <w:adjustRightInd w:val="0"/>
      <w:ind w:left="633"/>
      <w:jc w:val="both"/>
    </w:pPr>
    <w:rPr>
      <w:szCs w:val="21"/>
    </w:rP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Text">
    <w:name w:val="Text"/>
    <w:aliases w:val="Graphic,Graphic Char Char,Graphic Char Char Char Char Char,Graphic Char Char Char Char Char Char Char C,notic,Text_10394,non tochic"/>
    <w:basedOn w:val="Normal"/>
    <w:link w:val="TextChar1"/>
    <w:qFormat/>
    <w:pPr>
      <w:tabs>
        <w:tab w:val="clear" w:pos="567"/>
      </w:tabs>
      <w:spacing w:before="120" w:line="240" w:lineRule="auto"/>
      <w:jc w:val="both"/>
    </w:pPr>
    <w:rPr>
      <w:sz w:val="24"/>
      <w:lang w:val="x-none" w:eastAsia="x-none"/>
    </w:rPr>
  </w:style>
  <w:style w:type="paragraph" w:styleId="CommentSubject">
    <w:name w:val="annotation subject"/>
    <w:basedOn w:val="CommentText"/>
    <w:next w:val="CommentText"/>
    <w:semiHidden/>
    <w:rPr>
      <w:b/>
      <w:bCs/>
    </w:rPr>
  </w:style>
  <w:style w:type="character" w:customStyle="1" w:styleId="TextChar">
    <w:name w:val="Text Char"/>
    <w:rPr>
      <w:sz w:val="24"/>
      <w:lang w:val="en-US" w:eastAsia="en-US" w:bidi="ar-SA"/>
    </w:rPr>
  </w:style>
  <w:style w:type="paragraph" w:customStyle="1" w:styleId="Paragraph">
    <w:name w:val="Paragraph"/>
    <w:basedOn w:val="Normal"/>
    <w:pPr>
      <w:tabs>
        <w:tab w:val="clear" w:pos="567"/>
      </w:tabs>
      <w:spacing w:after="300" w:line="380" w:lineRule="exact"/>
    </w:pPr>
    <w:rPr>
      <w:sz w:val="24"/>
      <w:lang w:val="en-US"/>
    </w:rPr>
  </w:style>
  <w:style w:type="paragraph" w:customStyle="1" w:styleId="TableCellCenter">
    <w:name w:val="Table Cell Center"/>
    <w:basedOn w:val="Paragraph"/>
    <w:pPr>
      <w:keepNext/>
      <w:keepLines/>
      <w:spacing w:before="50" w:after="50" w:line="240" w:lineRule="exact"/>
      <w:jc w:val="center"/>
    </w:pPr>
    <w:rPr>
      <w:sz w:val="20"/>
    </w:rPr>
  </w:style>
  <w:style w:type="paragraph" w:customStyle="1" w:styleId="TableFooter">
    <w:name w:val="Table Footer"/>
    <w:basedOn w:val="Paragraph"/>
    <w:pPr>
      <w:keepNext/>
      <w:keepLines/>
      <w:tabs>
        <w:tab w:val="right" w:pos="144"/>
      </w:tabs>
      <w:spacing w:before="60" w:after="0" w:line="240" w:lineRule="exact"/>
      <w:ind w:left="216" w:hanging="216"/>
    </w:pPr>
    <w:rPr>
      <w:sz w:val="20"/>
    </w:rPr>
  </w:style>
  <w:style w:type="paragraph" w:customStyle="1" w:styleId="TableTitle">
    <w:name w:val="Table Title"/>
    <w:basedOn w:val="Paragraph"/>
    <w:pPr>
      <w:keepNext/>
      <w:keepLines/>
      <w:spacing w:before="40" w:after="240" w:line="300" w:lineRule="exact"/>
      <w:jc w:val="center"/>
    </w:pPr>
  </w:style>
  <w:style w:type="paragraph" w:customStyle="1" w:styleId="TableFigureSpace">
    <w:name w:val="Table/Figure Space"/>
    <w:basedOn w:val="Paragraph"/>
    <w:next w:val="Paragraph"/>
    <w:pPr>
      <w:spacing w:after="40" w:line="240" w:lineRule="exact"/>
    </w:pPr>
  </w:style>
  <w:style w:type="character" w:customStyle="1" w:styleId="TableTitleChar">
    <w:name w:val="Table Title Char"/>
    <w:rPr>
      <w:sz w:val="24"/>
      <w:lang w:val="en-US" w:eastAsia="en-US" w:bidi="ar-SA"/>
    </w:rPr>
  </w:style>
  <w:style w:type="character" w:customStyle="1" w:styleId="ParagraphChar">
    <w:name w:val="Paragraph Char"/>
    <w:rPr>
      <w:sz w:val="24"/>
      <w:lang w:val="en-US" w:eastAsia="en-US" w:bidi="ar-SA"/>
    </w:rPr>
  </w:style>
  <w:style w:type="paragraph" w:customStyle="1" w:styleId="TableCellLeft">
    <w:name w:val="Table Cell Left"/>
    <w:basedOn w:val="Paragraph"/>
    <w:pPr>
      <w:keepNext/>
      <w:keepLines/>
      <w:spacing w:before="50" w:after="50" w:line="240" w:lineRule="exact"/>
    </w:pPr>
    <w:rPr>
      <w:sz w:val="20"/>
    </w:rPr>
  </w:style>
  <w:style w:type="paragraph" w:customStyle="1" w:styleId="ParagraphBold">
    <w:name w:val="Paragraph Bold"/>
    <w:basedOn w:val="Paragraph"/>
    <w:rPr>
      <w:b/>
      <w:szCs w:val="24"/>
    </w:rPr>
  </w:style>
  <w:style w:type="paragraph" w:styleId="Date">
    <w:name w:val="Date"/>
    <w:basedOn w:val="Normal"/>
    <w:next w:val="Normal"/>
    <w:pPr>
      <w:tabs>
        <w:tab w:val="clear" w:pos="567"/>
      </w:tabs>
      <w:spacing w:line="240" w:lineRule="auto"/>
    </w:pPr>
  </w:style>
  <w:style w:type="table" w:styleId="TableGrid">
    <w:name w:val="Table Grid"/>
    <w:basedOn w:val="TableNormal"/>
    <w:rsid w:val="00BE1360"/>
    <w:pPr>
      <w:tabs>
        <w:tab w:val="left" w:pos="567"/>
      </w:tabs>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
    <w:name w:val="Style"/>
    <w:basedOn w:val="Normal"/>
    <w:rsid w:val="00ED13DF"/>
    <w:pPr>
      <w:tabs>
        <w:tab w:val="clear" w:pos="567"/>
      </w:tabs>
      <w:spacing w:after="160" w:line="240" w:lineRule="exact"/>
    </w:pPr>
    <w:rPr>
      <w:rFonts w:ascii="Verdana" w:hAnsi="Verdana" w:cs="Verdana"/>
      <w:sz w:val="20"/>
    </w:rPr>
  </w:style>
  <w:style w:type="paragraph" w:customStyle="1" w:styleId="CarCar">
    <w:name w:val="Car Car"/>
    <w:basedOn w:val="Normal"/>
    <w:rsid w:val="00E15320"/>
    <w:pPr>
      <w:tabs>
        <w:tab w:val="clear" w:pos="567"/>
      </w:tabs>
      <w:spacing w:after="160" w:line="240" w:lineRule="exact"/>
    </w:pPr>
    <w:rPr>
      <w:rFonts w:ascii="Verdana" w:hAnsi="Verdana" w:cs="Verdana"/>
      <w:sz w:val="20"/>
    </w:rPr>
  </w:style>
  <w:style w:type="paragraph" w:customStyle="1" w:styleId="Table">
    <w:name w:val="Table"/>
    <w:aliases w:val="10 pt  Bold,9 pt,10 pt,9pt,table text 10 pt + Arial,Bold,Normal + (Latin) Arial,(Complex) Arial,legendpt,Table pt,Normal + Courier New,Courier New,Not Bold,Text + Courier New,legendt,9 pt Char Char,Table + (Latin) Courier New,Before:  0 pt,9"/>
    <w:basedOn w:val="Normal"/>
    <w:link w:val="TableChar"/>
    <w:qFormat/>
    <w:rsid w:val="007B2466"/>
    <w:pPr>
      <w:keepLines/>
      <w:tabs>
        <w:tab w:val="clear" w:pos="567"/>
        <w:tab w:val="left" w:pos="284"/>
      </w:tabs>
      <w:spacing w:before="40" w:after="20" w:line="240" w:lineRule="auto"/>
    </w:pPr>
    <w:rPr>
      <w:rFonts w:ascii="Arial" w:eastAsia="MS Mincho" w:hAnsi="Arial"/>
      <w:sz w:val="20"/>
      <w:szCs w:val="24"/>
      <w:lang w:val="x-none" w:eastAsia="x-none"/>
    </w:rPr>
  </w:style>
  <w:style w:type="paragraph" w:styleId="Revision">
    <w:name w:val="Revision"/>
    <w:hidden/>
    <w:uiPriority w:val="99"/>
    <w:semiHidden/>
    <w:rsid w:val="00EE4EB0"/>
    <w:rPr>
      <w:sz w:val="22"/>
      <w:lang w:val="en-GB"/>
    </w:rPr>
  </w:style>
  <w:style w:type="character" w:customStyle="1" w:styleId="TextChar1">
    <w:name w:val="Text Char1"/>
    <w:link w:val="Text"/>
    <w:rsid w:val="00F2672B"/>
    <w:rPr>
      <w:sz w:val="24"/>
    </w:rPr>
  </w:style>
  <w:style w:type="character" w:customStyle="1" w:styleId="CommentTextChar">
    <w:name w:val="Comment Text Char"/>
    <w:aliases w:val="Comment Text Char1 Char Char,Comment Text Char Char Char Char,Comment Text Char1 Char1,Annotationtext Char"/>
    <w:link w:val="CommentText"/>
    <w:rsid w:val="0019706D"/>
    <w:rPr>
      <w:lang w:val="en-GB"/>
    </w:rPr>
  </w:style>
  <w:style w:type="character" w:customStyle="1" w:styleId="TableChar">
    <w:name w:val="Table Char"/>
    <w:aliases w:val="10 pt  Bold Char,9 pt Char,10 pt Char,9pt Char,9 Char,legendpt Char,table text 10 pt + Arial Char,Bold Char,Normal + (Latin) Arial Char,(Complex) Arial Char,Table pt Char,Normal + Courier New Char,Italic Char,Justified Char,Left:  0&quot; Char"/>
    <w:link w:val="Table"/>
    <w:rsid w:val="0019706D"/>
    <w:rPr>
      <w:rFonts w:ascii="Arial" w:eastAsia="MS Mincho" w:hAnsi="Arial"/>
      <w:szCs w:val="24"/>
    </w:rPr>
  </w:style>
  <w:style w:type="paragraph" w:styleId="NormalWeb">
    <w:name w:val="Normal (Web)"/>
    <w:basedOn w:val="Normal"/>
    <w:uiPriority w:val="99"/>
    <w:semiHidden/>
    <w:unhideWhenUsed/>
    <w:rsid w:val="002B51E2"/>
    <w:pPr>
      <w:tabs>
        <w:tab w:val="clear" w:pos="567"/>
      </w:tabs>
      <w:spacing w:before="100" w:beforeAutospacing="1" w:after="100" w:afterAutospacing="1" w:line="240" w:lineRule="auto"/>
    </w:pPr>
    <w:rPr>
      <w:sz w:val="24"/>
      <w:szCs w:val="24"/>
      <w:lang w:val="en-US"/>
    </w:rPr>
  </w:style>
  <w:style w:type="paragraph" w:styleId="NoSpacing">
    <w:name w:val="No Spacing"/>
    <w:link w:val="NoSpacingChar"/>
    <w:uiPriority w:val="1"/>
    <w:qFormat/>
    <w:rsid w:val="00D1338D"/>
    <w:rPr>
      <w:sz w:val="22"/>
      <w:szCs w:val="22"/>
    </w:rPr>
  </w:style>
  <w:style w:type="character" w:customStyle="1" w:styleId="NoSpacingChar">
    <w:name w:val="No Spacing Char"/>
    <w:link w:val="NoSpacing"/>
    <w:uiPriority w:val="1"/>
    <w:rsid w:val="00D1338D"/>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45569">
      <w:bodyDiv w:val="1"/>
      <w:marLeft w:val="0"/>
      <w:marRight w:val="0"/>
      <w:marTop w:val="0"/>
      <w:marBottom w:val="0"/>
      <w:divBdr>
        <w:top w:val="none" w:sz="0" w:space="0" w:color="auto"/>
        <w:left w:val="none" w:sz="0" w:space="0" w:color="auto"/>
        <w:bottom w:val="none" w:sz="0" w:space="0" w:color="auto"/>
        <w:right w:val="none" w:sz="0" w:space="0" w:color="auto"/>
      </w:divBdr>
    </w:div>
    <w:div w:id="33776102">
      <w:bodyDiv w:val="1"/>
      <w:marLeft w:val="0"/>
      <w:marRight w:val="0"/>
      <w:marTop w:val="0"/>
      <w:marBottom w:val="0"/>
      <w:divBdr>
        <w:top w:val="none" w:sz="0" w:space="0" w:color="auto"/>
        <w:left w:val="none" w:sz="0" w:space="0" w:color="auto"/>
        <w:bottom w:val="none" w:sz="0" w:space="0" w:color="auto"/>
        <w:right w:val="none" w:sz="0" w:space="0" w:color="auto"/>
      </w:divBdr>
      <w:divsChild>
        <w:div w:id="637078736">
          <w:marLeft w:val="0"/>
          <w:marRight w:val="0"/>
          <w:marTop w:val="0"/>
          <w:marBottom w:val="0"/>
          <w:divBdr>
            <w:top w:val="none" w:sz="0" w:space="0" w:color="auto"/>
            <w:left w:val="none" w:sz="0" w:space="0" w:color="auto"/>
            <w:bottom w:val="none" w:sz="0" w:space="0" w:color="auto"/>
            <w:right w:val="none" w:sz="0" w:space="0" w:color="auto"/>
          </w:divBdr>
          <w:divsChild>
            <w:div w:id="852839347">
              <w:marLeft w:val="0"/>
              <w:marRight w:val="0"/>
              <w:marTop w:val="0"/>
              <w:marBottom w:val="0"/>
              <w:divBdr>
                <w:top w:val="none" w:sz="0" w:space="0" w:color="auto"/>
                <w:left w:val="none" w:sz="0" w:space="0" w:color="auto"/>
                <w:bottom w:val="none" w:sz="0" w:space="0" w:color="auto"/>
                <w:right w:val="none" w:sz="0" w:space="0" w:color="auto"/>
              </w:divBdr>
              <w:divsChild>
                <w:div w:id="1275557210">
                  <w:marLeft w:val="0"/>
                  <w:marRight w:val="0"/>
                  <w:marTop w:val="0"/>
                  <w:marBottom w:val="0"/>
                  <w:divBdr>
                    <w:top w:val="none" w:sz="0" w:space="0" w:color="auto"/>
                    <w:left w:val="none" w:sz="0" w:space="0" w:color="auto"/>
                    <w:bottom w:val="none" w:sz="0" w:space="0" w:color="auto"/>
                    <w:right w:val="none" w:sz="0" w:space="0" w:color="auto"/>
                  </w:divBdr>
                  <w:divsChild>
                    <w:div w:id="627852952">
                      <w:marLeft w:val="0"/>
                      <w:marRight w:val="0"/>
                      <w:marTop w:val="0"/>
                      <w:marBottom w:val="0"/>
                      <w:divBdr>
                        <w:top w:val="none" w:sz="0" w:space="0" w:color="auto"/>
                        <w:left w:val="none" w:sz="0" w:space="0" w:color="auto"/>
                        <w:bottom w:val="none" w:sz="0" w:space="0" w:color="auto"/>
                        <w:right w:val="none" w:sz="0" w:space="0" w:color="auto"/>
                      </w:divBdr>
                      <w:divsChild>
                        <w:div w:id="1157263652">
                          <w:marLeft w:val="0"/>
                          <w:marRight w:val="0"/>
                          <w:marTop w:val="0"/>
                          <w:marBottom w:val="0"/>
                          <w:divBdr>
                            <w:top w:val="none" w:sz="0" w:space="0" w:color="auto"/>
                            <w:left w:val="none" w:sz="0" w:space="0" w:color="auto"/>
                            <w:bottom w:val="none" w:sz="0" w:space="0" w:color="auto"/>
                            <w:right w:val="none" w:sz="0" w:space="0" w:color="auto"/>
                          </w:divBdr>
                          <w:divsChild>
                            <w:div w:id="1240746838">
                              <w:marLeft w:val="0"/>
                              <w:marRight w:val="0"/>
                              <w:marTop w:val="0"/>
                              <w:marBottom w:val="0"/>
                              <w:divBdr>
                                <w:top w:val="none" w:sz="0" w:space="0" w:color="auto"/>
                                <w:left w:val="none" w:sz="0" w:space="0" w:color="auto"/>
                                <w:bottom w:val="none" w:sz="0" w:space="0" w:color="auto"/>
                                <w:right w:val="none" w:sz="0" w:space="0" w:color="auto"/>
                              </w:divBdr>
                              <w:divsChild>
                                <w:div w:id="1834487307">
                                  <w:marLeft w:val="0"/>
                                  <w:marRight w:val="0"/>
                                  <w:marTop w:val="0"/>
                                  <w:marBottom w:val="0"/>
                                  <w:divBdr>
                                    <w:top w:val="none" w:sz="0" w:space="0" w:color="auto"/>
                                    <w:left w:val="none" w:sz="0" w:space="0" w:color="auto"/>
                                    <w:bottom w:val="none" w:sz="0" w:space="0" w:color="auto"/>
                                    <w:right w:val="none" w:sz="0" w:space="0" w:color="auto"/>
                                  </w:divBdr>
                                  <w:divsChild>
                                    <w:div w:id="67311207">
                                      <w:marLeft w:val="0"/>
                                      <w:marRight w:val="0"/>
                                      <w:marTop w:val="0"/>
                                      <w:marBottom w:val="0"/>
                                      <w:divBdr>
                                        <w:top w:val="none" w:sz="0" w:space="0" w:color="auto"/>
                                        <w:left w:val="none" w:sz="0" w:space="0" w:color="auto"/>
                                        <w:bottom w:val="none" w:sz="0" w:space="0" w:color="auto"/>
                                        <w:right w:val="none" w:sz="0" w:space="0" w:color="auto"/>
                                      </w:divBdr>
                                      <w:divsChild>
                                        <w:div w:id="27411988">
                                          <w:marLeft w:val="0"/>
                                          <w:marRight w:val="0"/>
                                          <w:marTop w:val="0"/>
                                          <w:marBottom w:val="495"/>
                                          <w:divBdr>
                                            <w:top w:val="none" w:sz="0" w:space="0" w:color="auto"/>
                                            <w:left w:val="none" w:sz="0" w:space="0" w:color="auto"/>
                                            <w:bottom w:val="none" w:sz="0" w:space="0" w:color="auto"/>
                                            <w:right w:val="none" w:sz="0" w:space="0" w:color="auto"/>
                                          </w:divBdr>
                                          <w:divsChild>
                                            <w:div w:id="49207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6532936">
      <w:bodyDiv w:val="1"/>
      <w:marLeft w:val="0"/>
      <w:marRight w:val="0"/>
      <w:marTop w:val="0"/>
      <w:marBottom w:val="0"/>
      <w:divBdr>
        <w:top w:val="none" w:sz="0" w:space="0" w:color="auto"/>
        <w:left w:val="none" w:sz="0" w:space="0" w:color="auto"/>
        <w:bottom w:val="none" w:sz="0" w:space="0" w:color="auto"/>
        <w:right w:val="none" w:sz="0" w:space="0" w:color="auto"/>
      </w:divBdr>
      <w:divsChild>
        <w:div w:id="451944971">
          <w:marLeft w:val="0"/>
          <w:marRight w:val="0"/>
          <w:marTop w:val="0"/>
          <w:marBottom w:val="0"/>
          <w:divBdr>
            <w:top w:val="none" w:sz="0" w:space="0" w:color="auto"/>
            <w:left w:val="none" w:sz="0" w:space="0" w:color="auto"/>
            <w:bottom w:val="none" w:sz="0" w:space="0" w:color="auto"/>
            <w:right w:val="none" w:sz="0" w:space="0" w:color="auto"/>
          </w:divBdr>
          <w:divsChild>
            <w:div w:id="1638024438">
              <w:marLeft w:val="0"/>
              <w:marRight w:val="0"/>
              <w:marTop w:val="0"/>
              <w:marBottom w:val="0"/>
              <w:divBdr>
                <w:top w:val="none" w:sz="0" w:space="0" w:color="auto"/>
                <w:left w:val="none" w:sz="0" w:space="0" w:color="auto"/>
                <w:bottom w:val="none" w:sz="0" w:space="0" w:color="auto"/>
                <w:right w:val="none" w:sz="0" w:space="0" w:color="auto"/>
              </w:divBdr>
              <w:divsChild>
                <w:div w:id="1127891054">
                  <w:marLeft w:val="0"/>
                  <w:marRight w:val="0"/>
                  <w:marTop w:val="0"/>
                  <w:marBottom w:val="0"/>
                  <w:divBdr>
                    <w:top w:val="none" w:sz="0" w:space="0" w:color="auto"/>
                    <w:left w:val="none" w:sz="0" w:space="0" w:color="auto"/>
                    <w:bottom w:val="none" w:sz="0" w:space="0" w:color="auto"/>
                    <w:right w:val="none" w:sz="0" w:space="0" w:color="auto"/>
                  </w:divBdr>
                  <w:divsChild>
                    <w:div w:id="1268611519">
                      <w:marLeft w:val="0"/>
                      <w:marRight w:val="0"/>
                      <w:marTop w:val="0"/>
                      <w:marBottom w:val="0"/>
                      <w:divBdr>
                        <w:top w:val="none" w:sz="0" w:space="0" w:color="auto"/>
                        <w:left w:val="none" w:sz="0" w:space="0" w:color="auto"/>
                        <w:bottom w:val="none" w:sz="0" w:space="0" w:color="auto"/>
                        <w:right w:val="none" w:sz="0" w:space="0" w:color="auto"/>
                      </w:divBdr>
                      <w:divsChild>
                        <w:div w:id="1012418590">
                          <w:marLeft w:val="0"/>
                          <w:marRight w:val="0"/>
                          <w:marTop w:val="0"/>
                          <w:marBottom w:val="0"/>
                          <w:divBdr>
                            <w:top w:val="none" w:sz="0" w:space="0" w:color="auto"/>
                            <w:left w:val="none" w:sz="0" w:space="0" w:color="auto"/>
                            <w:bottom w:val="none" w:sz="0" w:space="0" w:color="auto"/>
                            <w:right w:val="none" w:sz="0" w:space="0" w:color="auto"/>
                          </w:divBdr>
                          <w:divsChild>
                            <w:div w:id="447970431">
                              <w:marLeft w:val="0"/>
                              <w:marRight w:val="0"/>
                              <w:marTop w:val="0"/>
                              <w:marBottom w:val="0"/>
                              <w:divBdr>
                                <w:top w:val="none" w:sz="0" w:space="0" w:color="auto"/>
                                <w:left w:val="none" w:sz="0" w:space="0" w:color="auto"/>
                                <w:bottom w:val="none" w:sz="0" w:space="0" w:color="auto"/>
                                <w:right w:val="none" w:sz="0" w:space="0" w:color="auto"/>
                              </w:divBdr>
                              <w:divsChild>
                                <w:div w:id="236867183">
                                  <w:marLeft w:val="0"/>
                                  <w:marRight w:val="0"/>
                                  <w:marTop w:val="0"/>
                                  <w:marBottom w:val="0"/>
                                  <w:divBdr>
                                    <w:top w:val="none" w:sz="0" w:space="0" w:color="auto"/>
                                    <w:left w:val="none" w:sz="0" w:space="0" w:color="auto"/>
                                    <w:bottom w:val="none" w:sz="0" w:space="0" w:color="auto"/>
                                    <w:right w:val="none" w:sz="0" w:space="0" w:color="auto"/>
                                  </w:divBdr>
                                  <w:divsChild>
                                    <w:div w:id="1195926462">
                                      <w:marLeft w:val="0"/>
                                      <w:marRight w:val="0"/>
                                      <w:marTop w:val="0"/>
                                      <w:marBottom w:val="0"/>
                                      <w:divBdr>
                                        <w:top w:val="none" w:sz="0" w:space="0" w:color="auto"/>
                                        <w:left w:val="none" w:sz="0" w:space="0" w:color="auto"/>
                                        <w:bottom w:val="none" w:sz="0" w:space="0" w:color="auto"/>
                                        <w:right w:val="none" w:sz="0" w:space="0" w:color="auto"/>
                                      </w:divBdr>
                                      <w:divsChild>
                                        <w:div w:id="2086299157">
                                          <w:marLeft w:val="0"/>
                                          <w:marRight w:val="0"/>
                                          <w:marTop w:val="0"/>
                                          <w:marBottom w:val="495"/>
                                          <w:divBdr>
                                            <w:top w:val="none" w:sz="0" w:space="0" w:color="auto"/>
                                            <w:left w:val="none" w:sz="0" w:space="0" w:color="auto"/>
                                            <w:bottom w:val="none" w:sz="0" w:space="0" w:color="auto"/>
                                            <w:right w:val="none" w:sz="0" w:space="0" w:color="auto"/>
                                          </w:divBdr>
                                          <w:divsChild>
                                            <w:div w:id="501623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143800">
      <w:bodyDiv w:val="1"/>
      <w:marLeft w:val="0"/>
      <w:marRight w:val="0"/>
      <w:marTop w:val="0"/>
      <w:marBottom w:val="0"/>
      <w:divBdr>
        <w:top w:val="none" w:sz="0" w:space="0" w:color="auto"/>
        <w:left w:val="none" w:sz="0" w:space="0" w:color="auto"/>
        <w:bottom w:val="none" w:sz="0" w:space="0" w:color="auto"/>
        <w:right w:val="none" w:sz="0" w:space="0" w:color="auto"/>
      </w:divBdr>
    </w:div>
    <w:div w:id="225380500">
      <w:bodyDiv w:val="1"/>
      <w:marLeft w:val="0"/>
      <w:marRight w:val="0"/>
      <w:marTop w:val="0"/>
      <w:marBottom w:val="0"/>
      <w:divBdr>
        <w:top w:val="none" w:sz="0" w:space="0" w:color="auto"/>
        <w:left w:val="none" w:sz="0" w:space="0" w:color="auto"/>
        <w:bottom w:val="none" w:sz="0" w:space="0" w:color="auto"/>
        <w:right w:val="none" w:sz="0" w:space="0" w:color="auto"/>
      </w:divBdr>
      <w:divsChild>
        <w:div w:id="1118648714">
          <w:marLeft w:val="0"/>
          <w:marRight w:val="0"/>
          <w:marTop w:val="0"/>
          <w:marBottom w:val="0"/>
          <w:divBdr>
            <w:top w:val="none" w:sz="0" w:space="0" w:color="auto"/>
            <w:left w:val="none" w:sz="0" w:space="0" w:color="auto"/>
            <w:bottom w:val="none" w:sz="0" w:space="0" w:color="auto"/>
            <w:right w:val="none" w:sz="0" w:space="0" w:color="auto"/>
          </w:divBdr>
          <w:divsChild>
            <w:div w:id="1836721316">
              <w:marLeft w:val="0"/>
              <w:marRight w:val="0"/>
              <w:marTop w:val="0"/>
              <w:marBottom w:val="0"/>
              <w:divBdr>
                <w:top w:val="none" w:sz="0" w:space="0" w:color="auto"/>
                <w:left w:val="none" w:sz="0" w:space="0" w:color="auto"/>
                <w:bottom w:val="none" w:sz="0" w:space="0" w:color="auto"/>
                <w:right w:val="none" w:sz="0" w:space="0" w:color="auto"/>
              </w:divBdr>
              <w:divsChild>
                <w:div w:id="481507258">
                  <w:marLeft w:val="0"/>
                  <w:marRight w:val="0"/>
                  <w:marTop w:val="0"/>
                  <w:marBottom w:val="0"/>
                  <w:divBdr>
                    <w:top w:val="none" w:sz="0" w:space="0" w:color="auto"/>
                    <w:left w:val="none" w:sz="0" w:space="0" w:color="auto"/>
                    <w:bottom w:val="none" w:sz="0" w:space="0" w:color="auto"/>
                    <w:right w:val="none" w:sz="0" w:space="0" w:color="auto"/>
                  </w:divBdr>
                  <w:divsChild>
                    <w:div w:id="1950619403">
                      <w:marLeft w:val="0"/>
                      <w:marRight w:val="0"/>
                      <w:marTop w:val="0"/>
                      <w:marBottom w:val="0"/>
                      <w:divBdr>
                        <w:top w:val="none" w:sz="0" w:space="0" w:color="auto"/>
                        <w:left w:val="none" w:sz="0" w:space="0" w:color="auto"/>
                        <w:bottom w:val="none" w:sz="0" w:space="0" w:color="auto"/>
                        <w:right w:val="none" w:sz="0" w:space="0" w:color="auto"/>
                      </w:divBdr>
                      <w:divsChild>
                        <w:div w:id="383333749">
                          <w:marLeft w:val="0"/>
                          <w:marRight w:val="0"/>
                          <w:marTop w:val="0"/>
                          <w:marBottom w:val="0"/>
                          <w:divBdr>
                            <w:top w:val="none" w:sz="0" w:space="0" w:color="auto"/>
                            <w:left w:val="none" w:sz="0" w:space="0" w:color="auto"/>
                            <w:bottom w:val="none" w:sz="0" w:space="0" w:color="auto"/>
                            <w:right w:val="none" w:sz="0" w:space="0" w:color="auto"/>
                          </w:divBdr>
                          <w:divsChild>
                            <w:div w:id="219175015">
                              <w:marLeft w:val="0"/>
                              <w:marRight w:val="0"/>
                              <w:marTop w:val="0"/>
                              <w:marBottom w:val="0"/>
                              <w:divBdr>
                                <w:top w:val="none" w:sz="0" w:space="0" w:color="auto"/>
                                <w:left w:val="none" w:sz="0" w:space="0" w:color="auto"/>
                                <w:bottom w:val="none" w:sz="0" w:space="0" w:color="auto"/>
                                <w:right w:val="none" w:sz="0" w:space="0" w:color="auto"/>
                              </w:divBdr>
                              <w:divsChild>
                                <w:div w:id="347483987">
                                  <w:marLeft w:val="0"/>
                                  <w:marRight w:val="0"/>
                                  <w:marTop w:val="0"/>
                                  <w:marBottom w:val="0"/>
                                  <w:divBdr>
                                    <w:top w:val="none" w:sz="0" w:space="0" w:color="auto"/>
                                    <w:left w:val="none" w:sz="0" w:space="0" w:color="auto"/>
                                    <w:bottom w:val="none" w:sz="0" w:space="0" w:color="auto"/>
                                    <w:right w:val="none" w:sz="0" w:space="0" w:color="auto"/>
                                  </w:divBdr>
                                  <w:divsChild>
                                    <w:div w:id="595553578">
                                      <w:marLeft w:val="0"/>
                                      <w:marRight w:val="0"/>
                                      <w:marTop w:val="0"/>
                                      <w:marBottom w:val="0"/>
                                      <w:divBdr>
                                        <w:top w:val="none" w:sz="0" w:space="0" w:color="auto"/>
                                        <w:left w:val="none" w:sz="0" w:space="0" w:color="auto"/>
                                        <w:bottom w:val="none" w:sz="0" w:space="0" w:color="auto"/>
                                        <w:right w:val="none" w:sz="0" w:space="0" w:color="auto"/>
                                      </w:divBdr>
                                      <w:divsChild>
                                        <w:div w:id="894003685">
                                          <w:marLeft w:val="0"/>
                                          <w:marRight w:val="0"/>
                                          <w:marTop w:val="0"/>
                                          <w:marBottom w:val="495"/>
                                          <w:divBdr>
                                            <w:top w:val="none" w:sz="0" w:space="0" w:color="auto"/>
                                            <w:left w:val="none" w:sz="0" w:space="0" w:color="auto"/>
                                            <w:bottom w:val="none" w:sz="0" w:space="0" w:color="auto"/>
                                            <w:right w:val="none" w:sz="0" w:space="0" w:color="auto"/>
                                          </w:divBdr>
                                          <w:divsChild>
                                            <w:div w:id="113306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58568118">
      <w:bodyDiv w:val="1"/>
      <w:marLeft w:val="0"/>
      <w:marRight w:val="0"/>
      <w:marTop w:val="0"/>
      <w:marBottom w:val="0"/>
      <w:divBdr>
        <w:top w:val="none" w:sz="0" w:space="0" w:color="auto"/>
        <w:left w:val="none" w:sz="0" w:space="0" w:color="auto"/>
        <w:bottom w:val="none" w:sz="0" w:space="0" w:color="auto"/>
        <w:right w:val="none" w:sz="0" w:space="0" w:color="auto"/>
      </w:divBdr>
    </w:div>
    <w:div w:id="269238071">
      <w:bodyDiv w:val="1"/>
      <w:marLeft w:val="0"/>
      <w:marRight w:val="0"/>
      <w:marTop w:val="0"/>
      <w:marBottom w:val="0"/>
      <w:divBdr>
        <w:top w:val="none" w:sz="0" w:space="0" w:color="auto"/>
        <w:left w:val="none" w:sz="0" w:space="0" w:color="auto"/>
        <w:bottom w:val="none" w:sz="0" w:space="0" w:color="auto"/>
        <w:right w:val="none" w:sz="0" w:space="0" w:color="auto"/>
      </w:divBdr>
      <w:divsChild>
        <w:div w:id="648632650">
          <w:marLeft w:val="0"/>
          <w:marRight w:val="0"/>
          <w:marTop w:val="0"/>
          <w:marBottom w:val="0"/>
          <w:divBdr>
            <w:top w:val="none" w:sz="0" w:space="0" w:color="auto"/>
            <w:left w:val="none" w:sz="0" w:space="0" w:color="auto"/>
            <w:bottom w:val="none" w:sz="0" w:space="0" w:color="auto"/>
            <w:right w:val="none" w:sz="0" w:space="0" w:color="auto"/>
          </w:divBdr>
          <w:divsChild>
            <w:div w:id="1053576095">
              <w:marLeft w:val="0"/>
              <w:marRight w:val="0"/>
              <w:marTop w:val="0"/>
              <w:marBottom w:val="0"/>
              <w:divBdr>
                <w:top w:val="none" w:sz="0" w:space="0" w:color="auto"/>
                <w:left w:val="none" w:sz="0" w:space="0" w:color="auto"/>
                <w:bottom w:val="none" w:sz="0" w:space="0" w:color="auto"/>
                <w:right w:val="none" w:sz="0" w:space="0" w:color="auto"/>
              </w:divBdr>
              <w:divsChild>
                <w:div w:id="1729720933">
                  <w:marLeft w:val="0"/>
                  <w:marRight w:val="0"/>
                  <w:marTop w:val="0"/>
                  <w:marBottom w:val="0"/>
                  <w:divBdr>
                    <w:top w:val="none" w:sz="0" w:space="0" w:color="auto"/>
                    <w:left w:val="none" w:sz="0" w:space="0" w:color="auto"/>
                    <w:bottom w:val="none" w:sz="0" w:space="0" w:color="auto"/>
                    <w:right w:val="none" w:sz="0" w:space="0" w:color="auto"/>
                  </w:divBdr>
                  <w:divsChild>
                    <w:div w:id="424083642">
                      <w:marLeft w:val="0"/>
                      <w:marRight w:val="0"/>
                      <w:marTop w:val="0"/>
                      <w:marBottom w:val="0"/>
                      <w:divBdr>
                        <w:top w:val="none" w:sz="0" w:space="0" w:color="auto"/>
                        <w:left w:val="none" w:sz="0" w:space="0" w:color="auto"/>
                        <w:bottom w:val="none" w:sz="0" w:space="0" w:color="auto"/>
                        <w:right w:val="none" w:sz="0" w:space="0" w:color="auto"/>
                      </w:divBdr>
                      <w:divsChild>
                        <w:div w:id="1486049723">
                          <w:marLeft w:val="0"/>
                          <w:marRight w:val="0"/>
                          <w:marTop w:val="0"/>
                          <w:marBottom w:val="0"/>
                          <w:divBdr>
                            <w:top w:val="none" w:sz="0" w:space="0" w:color="auto"/>
                            <w:left w:val="none" w:sz="0" w:space="0" w:color="auto"/>
                            <w:bottom w:val="none" w:sz="0" w:space="0" w:color="auto"/>
                            <w:right w:val="none" w:sz="0" w:space="0" w:color="auto"/>
                          </w:divBdr>
                          <w:divsChild>
                            <w:div w:id="1630823747">
                              <w:marLeft w:val="0"/>
                              <w:marRight w:val="0"/>
                              <w:marTop w:val="0"/>
                              <w:marBottom w:val="0"/>
                              <w:divBdr>
                                <w:top w:val="none" w:sz="0" w:space="0" w:color="auto"/>
                                <w:left w:val="none" w:sz="0" w:space="0" w:color="auto"/>
                                <w:bottom w:val="none" w:sz="0" w:space="0" w:color="auto"/>
                                <w:right w:val="none" w:sz="0" w:space="0" w:color="auto"/>
                              </w:divBdr>
                              <w:divsChild>
                                <w:div w:id="306276402">
                                  <w:marLeft w:val="0"/>
                                  <w:marRight w:val="0"/>
                                  <w:marTop w:val="0"/>
                                  <w:marBottom w:val="0"/>
                                  <w:divBdr>
                                    <w:top w:val="none" w:sz="0" w:space="0" w:color="auto"/>
                                    <w:left w:val="none" w:sz="0" w:space="0" w:color="auto"/>
                                    <w:bottom w:val="none" w:sz="0" w:space="0" w:color="auto"/>
                                    <w:right w:val="none" w:sz="0" w:space="0" w:color="auto"/>
                                  </w:divBdr>
                                  <w:divsChild>
                                    <w:div w:id="18703054">
                                      <w:marLeft w:val="0"/>
                                      <w:marRight w:val="0"/>
                                      <w:marTop w:val="0"/>
                                      <w:marBottom w:val="0"/>
                                      <w:divBdr>
                                        <w:top w:val="none" w:sz="0" w:space="0" w:color="auto"/>
                                        <w:left w:val="none" w:sz="0" w:space="0" w:color="auto"/>
                                        <w:bottom w:val="none" w:sz="0" w:space="0" w:color="auto"/>
                                        <w:right w:val="none" w:sz="0" w:space="0" w:color="auto"/>
                                      </w:divBdr>
                                      <w:divsChild>
                                        <w:div w:id="4943303">
                                          <w:marLeft w:val="0"/>
                                          <w:marRight w:val="0"/>
                                          <w:marTop w:val="0"/>
                                          <w:marBottom w:val="495"/>
                                          <w:divBdr>
                                            <w:top w:val="none" w:sz="0" w:space="0" w:color="auto"/>
                                            <w:left w:val="none" w:sz="0" w:space="0" w:color="auto"/>
                                            <w:bottom w:val="none" w:sz="0" w:space="0" w:color="auto"/>
                                            <w:right w:val="none" w:sz="0" w:space="0" w:color="auto"/>
                                          </w:divBdr>
                                          <w:divsChild>
                                            <w:div w:id="1216233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66569294">
      <w:bodyDiv w:val="1"/>
      <w:marLeft w:val="0"/>
      <w:marRight w:val="0"/>
      <w:marTop w:val="0"/>
      <w:marBottom w:val="0"/>
      <w:divBdr>
        <w:top w:val="none" w:sz="0" w:space="0" w:color="auto"/>
        <w:left w:val="none" w:sz="0" w:space="0" w:color="auto"/>
        <w:bottom w:val="none" w:sz="0" w:space="0" w:color="auto"/>
        <w:right w:val="none" w:sz="0" w:space="0" w:color="auto"/>
      </w:divBdr>
      <w:divsChild>
        <w:div w:id="28454856">
          <w:marLeft w:val="0"/>
          <w:marRight w:val="0"/>
          <w:marTop w:val="0"/>
          <w:marBottom w:val="0"/>
          <w:divBdr>
            <w:top w:val="none" w:sz="0" w:space="0" w:color="auto"/>
            <w:left w:val="none" w:sz="0" w:space="0" w:color="auto"/>
            <w:bottom w:val="none" w:sz="0" w:space="0" w:color="auto"/>
            <w:right w:val="none" w:sz="0" w:space="0" w:color="auto"/>
          </w:divBdr>
          <w:divsChild>
            <w:div w:id="769547687">
              <w:marLeft w:val="0"/>
              <w:marRight w:val="0"/>
              <w:marTop w:val="0"/>
              <w:marBottom w:val="0"/>
              <w:divBdr>
                <w:top w:val="none" w:sz="0" w:space="0" w:color="auto"/>
                <w:left w:val="none" w:sz="0" w:space="0" w:color="auto"/>
                <w:bottom w:val="none" w:sz="0" w:space="0" w:color="auto"/>
                <w:right w:val="none" w:sz="0" w:space="0" w:color="auto"/>
              </w:divBdr>
              <w:divsChild>
                <w:div w:id="1745488314">
                  <w:marLeft w:val="0"/>
                  <w:marRight w:val="0"/>
                  <w:marTop w:val="0"/>
                  <w:marBottom w:val="0"/>
                  <w:divBdr>
                    <w:top w:val="none" w:sz="0" w:space="0" w:color="auto"/>
                    <w:left w:val="none" w:sz="0" w:space="0" w:color="auto"/>
                    <w:bottom w:val="none" w:sz="0" w:space="0" w:color="auto"/>
                    <w:right w:val="none" w:sz="0" w:space="0" w:color="auto"/>
                  </w:divBdr>
                  <w:divsChild>
                    <w:div w:id="1774740510">
                      <w:marLeft w:val="0"/>
                      <w:marRight w:val="0"/>
                      <w:marTop w:val="0"/>
                      <w:marBottom w:val="0"/>
                      <w:divBdr>
                        <w:top w:val="none" w:sz="0" w:space="0" w:color="auto"/>
                        <w:left w:val="none" w:sz="0" w:space="0" w:color="auto"/>
                        <w:bottom w:val="none" w:sz="0" w:space="0" w:color="auto"/>
                        <w:right w:val="none" w:sz="0" w:space="0" w:color="auto"/>
                      </w:divBdr>
                      <w:divsChild>
                        <w:div w:id="945698012">
                          <w:marLeft w:val="0"/>
                          <w:marRight w:val="0"/>
                          <w:marTop w:val="0"/>
                          <w:marBottom w:val="0"/>
                          <w:divBdr>
                            <w:top w:val="none" w:sz="0" w:space="0" w:color="auto"/>
                            <w:left w:val="none" w:sz="0" w:space="0" w:color="auto"/>
                            <w:bottom w:val="none" w:sz="0" w:space="0" w:color="auto"/>
                            <w:right w:val="none" w:sz="0" w:space="0" w:color="auto"/>
                          </w:divBdr>
                          <w:divsChild>
                            <w:div w:id="569772087">
                              <w:marLeft w:val="0"/>
                              <w:marRight w:val="0"/>
                              <w:marTop w:val="0"/>
                              <w:marBottom w:val="0"/>
                              <w:divBdr>
                                <w:top w:val="none" w:sz="0" w:space="0" w:color="auto"/>
                                <w:left w:val="none" w:sz="0" w:space="0" w:color="auto"/>
                                <w:bottom w:val="none" w:sz="0" w:space="0" w:color="auto"/>
                                <w:right w:val="none" w:sz="0" w:space="0" w:color="auto"/>
                              </w:divBdr>
                              <w:divsChild>
                                <w:div w:id="1224679070">
                                  <w:marLeft w:val="0"/>
                                  <w:marRight w:val="0"/>
                                  <w:marTop w:val="0"/>
                                  <w:marBottom w:val="0"/>
                                  <w:divBdr>
                                    <w:top w:val="none" w:sz="0" w:space="0" w:color="auto"/>
                                    <w:left w:val="none" w:sz="0" w:space="0" w:color="auto"/>
                                    <w:bottom w:val="none" w:sz="0" w:space="0" w:color="auto"/>
                                    <w:right w:val="none" w:sz="0" w:space="0" w:color="auto"/>
                                  </w:divBdr>
                                  <w:divsChild>
                                    <w:div w:id="1184127835">
                                      <w:marLeft w:val="0"/>
                                      <w:marRight w:val="0"/>
                                      <w:marTop w:val="0"/>
                                      <w:marBottom w:val="0"/>
                                      <w:divBdr>
                                        <w:top w:val="none" w:sz="0" w:space="0" w:color="auto"/>
                                        <w:left w:val="none" w:sz="0" w:space="0" w:color="auto"/>
                                        <w:bottom w:val="none" w:sz="0" w:space="0" w:color="auto"/>
                                        <w:right w:val="none" w:sz="0" w:space="0" w:color="auto"/>
                                      </w:divBdr>
                                      <w:divsChild>
                                        <w:div w:id="1883908384">
                                          <w:marLeft w:val="0"/>
                                          <w:marRight w:val="0"/>
                                          <w:marTop w:val="0"/>
                                          <w:marBottom w:val="495"/>
                                          <w:divBdr>
                                            <w:top w:val="none" w:sz="0" w:space="0" w:color="auto"/>
                                            <w:left w:val="none" w:sz="0" w:space="0" w:color="auto"/>
                                            <w:bottom w:val="none" w:sz="0" w:space="0" w:color="auto"/>
                                            <w:right w:val="none" w:sz="0" w:space="0" w:color="auto"/>
                                          </w:divBdr>
                                          <w:divsChild>
                                            <w:div w:id="190261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8819990">
      <w:bodyDiv w:val="1"/>
      <w:marLeft w:val="0"/>
      <w:marRight w:val="0"/>
      <w:marTop w:val="0"/>
      <w:marBottom w:val="0"/>
      <w:divBdr>
        <w:top w:val="none" w:sz="0" w:space="0" w:color="auto"/>
        <w:left w:val="none" w:sz="0" w:space="0" w:color="auto"/>
        <w:bottom w:val="none" w:sz="0" w:space="0" w:color="auto"/>
        <w:right w:val="none" w:sz="0" w:space="0" w:color="auto"/>
      </w:divBdr>
    </w:div>
    <w:div w:id="442311154">
      <w:bodyDiv w:val="1"/>
      <w:marLeft w:val="0"/>
      <w:marRight w:val="0"/>
      <w:marTop w:val="0"/>
      <w:marBottom w:val="0"/>
      <w:divBdr>
        <w:top w:val="none" w:sz="0" w:space="0" w:color="auto"/>
        <w:left w:val="none" w:sz="0" w:space="0" w:color="auto"/>
        <w:bottom w:val="none" w:sz="0" w:space="0" w:color="auto"/>
        <w:right w:val="none" w:sz="0" w:space="0" w:color="auto"/>
      </w:divBdr>
      <w:divsChild>
        <w:div w:id="1230457755">
          <w:marLeft w:val="0"/>
          <w:marRight w:val="0"/>
          <w:marTop w:val="0"/>
          <w:marBottom w:val="0"/>
          <w:divBdr>
            <w:top w:val="none" w:sz="0" w:space="0" w:color="auto"/>
            <w:left w:val="none" w:sz="0" w:space="0" w:color="auto"/>
            <w:bottom w:val="none" w:sz="0" w:space="0" w:color="auto"/>
            <w:right w:val="none" w:sz="0" w:space="0" w:color="auto"/>
          </w:divBdr>
          <w:divsChild>
            <w:div w:id="1370299075">
              <w:marLeft w:val="0"/>
              <w:marRight w:val="0"/>
              <w:marTop w:val="0"/>
              <w:marBottom w:val="0"/>
              <w:divBdr>
                <w:top w:val="none" w:sz="0" w:space="0" w:color="auto"/>
                <w:left w:val="none" w:sz="0" w:space="0" w:color="auto"/>
                <w:bottom w:val="none" w:sz="0" w:space="0" w:color="auto"/>
                <w:right w:val="none" w:sz="0" w:space="0" w:color="auto"/>
              </w:divBdr>
              <w:divsChild>
                <w:div w:id="560137682">
                  <w:marLeft w:val="0"/>
                  <w:marRight w:val="0"/>
                  <w:marTop w:val="0"/>
                  <w:marBottom w:val="0"/>
                  <w:divBdr>
                    <w:top w:val="none" w:sz="0" w:space="0" w:color="auto"/>
                    <w:left w:val="none" w:sz="0" w:space="0" w:color="auto"/>
                    <w:bottom w:val="none" w:sz="0" w:space="0" w:color="auto"/>
                    <w:right w:val="none" w:sz="0" w:space="0" w:color="auto"/>
                  </w:divBdr>
                  <w:divsChild>
                    <w:div w:id="1601060402">
                      <w:marLeft w:val="0"/>
                      <w:marRight w:val="0"/>
                      <w:marTop w:val="0"/>
                      <w:marBottom w:val="0"/>
                      <w:divBdr>
                        <w:top w:val="none" w:sz="0" w:space="0" w:color="auto"/>
                        <w:left w:val="none" w:sz="0" w:space="0" w:color="auto"/>
                        <w:bottom w:val="none" w:sz="0" w:space="0" w:color="auto"/>
                        <w:right w:val="none" w:sz="0" w:space="0" w:color="auto"/>
                      </w:divBdr>
                      <w:divsChild>
                        <w:div w:id="1323317541">
                          <w:marLeft w:val="0"/>
                          <w:marRight w:val="0"/>
                          <w:marTop w:val="0"/>
                          <w:marBottom w:val="0"/>
                          <w:divBdr>
                            <w:top w:val="none" w:sz="0" w:space="0" w:color="auto"/>
                            <w:left w:val="none" w:sz="0" w:space="0" w:color="auto"/>
                            <w:bottom w:val="none" w:sz="0" w:space="0" w:color="auto"/>
                            <w:right w:val="none" w:sz="0" w:space="0" w:color="auto"/>
                          </w:divBdr>
                          <w:divsChild>
                            <w:div w:id="1703819083">
                              <w:marLeft w:val="0"/>
                              <w:marRight w:val="0"/>
                              <w:marTop w:val="0"/>
                              <w:marBottom w:val="0"/>
                              <w:divBdr>
                                <w:top w:val="none" w:sz="0" w:space="0" w:color="auto"/>
                                <w:left w:val="none" w:sz="0" w:space="0" w:color="auto"/>
                                <w:bottom w:val="none" w:sz="0" w:space="0" w:color="auto"/>
                                <w:right w:val="none" w:sz="0" w:space="0" w:color="auto"/>
                              </w:divBdr>
                              <w:divsChild>
                                <w:div w:id="1792899103">
                                  <w:marLeft w:val="0"/>
                                  <w:marRight w:val="0"/>
                                  <w:marTop w:val="0"/>
                                  <w:marBottom w:val="0"/>
                                  <w:divBdr>
                                    <w:top w:val="none" w:sz="0" w:space="0" w:color="auto"/>
                                    <w:left w:val="none" w:sz="0" w:space="0" w:color="auto"/>
                                    <w:bottom w:val="none" w:sz="0" w:space="0" w:color="auto"/>
                                    <w:right w:val="none" w:sz="0" w:space="0" w:color="auto"/>
                                  </w:divBdr>
                                  <w:divsChild>
                                    <w:div w:id="94398657">
                                      <w:marLeft w:val="0"/>
                                      <w:marRight w:val="0"/>
                                      <w:marTop w:val="0"/>
                                      <w:marBottom w:val="0"/>
                                      <w:divBdr>
                                        <w:top w:val="none" w:sz="0" w:space="0" w:color="auto"/>
                                        <w:left w:val="none" w:sz="0" w:space="0" w:color="auto"/>
                                        <w:bottom w:val="none" w:sz="0" w:space="0" w:color="auto"/>
                                        <w:right w:val="none" w:sz="0" w:space="0" w:color="auto"/>
                                      </w:divBdr>
                                      <w:divsChild>
                                        <w:div w:id="497884853">
                                          <w:marLeft w:val="0"/>
                                          <w:marRight w:val="0"/>
                                          <w:marTop w:val="0"/>
                                          <w:marBottom w:val="495"/>
                                          <w:divBdr>
                                            <w:top w:val="none" w:sz="0" w:space="0" w:color="auto"/>
                                            <w:left w:val="none" w:sz="0" w:space="0" w:color="auto"/>
                                            <w:bottom w:val="none" w:sz="0" w:space="0" w:color="auto"/>
                                            <w:right w:val="none" w:sz="0" w:space="0" w:color="auto"/>
                                          </w:divBdr>
                                          <w:divsChild>
                                            <w:div w:id="192695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5264104">
      <w:bodyDiv w:val="1"/>
      <w:marLeft w:val="0"/>
      <w:marRight w:val="0"/>
      <w:marTop w:val="0"/>
      <w:marBottom w:val="0"/>
      <w:divBdr>
        <w:top w:val="none" w:sz="0" w:space="0" w:color="auto"/>
        <w:left w:val="none" w:sz="0" w:space="0" w:color="auto"/>
        <w:bottom w:val="none" w:sz="0" w:space="0" w:color="auto"/>
        <w:right w:val="none" w:sz="0" w:space="0" w:color="auto"/>
      </w:divBdr>
    </w:div>
    <w:div w:id="554976139">
      <w:bodyDiv w:val="1"/>
      <w:marLeft w:val="0"/>
      <w:marRight w:val="0"/>
      <w:marTop w:val="0"/>
      <w:marBottom w:val="0"/>
      <w:divBdr>
        <w:top w:val="none" w:sz="0" w:space="0" w:color="auto"/>
        <w:left w:val="none" w:sz="0" w:space="0" w:color="auto"/>
        <w:bottom w:val="none" w:sz="0" w:space="0" w:color="auto"/>
        <w:right w:val="none" w:sz="0" w:space="0" w:color="auto"/>
      </w:divBdr>
      <w:divsChild>
        <w:div w:id="1040279947">
          <w:marLeft w:val="0"/>
          <w:marRight w:val="0"/>
          <w:marTop w:val="0"/>
          <w:marBottom w:val="0"/>
          <w:divBdr>
            <w:top w:val="none" w:sz="0" w:space="0" w:color="auto"/>
            <w:left w:val="none" w:sz="0" w:space="0" w:color="auto"/>
            <w:bottom w:val="none" w:sz="0" w:space="0" w:color="auto"/>
            <w:right w:val="none" w:sz="0" w:space="0" w:color="auto"/>
          </w:divBdr>
          <w:divsChild>
            <w:div w:id="1702439483">
              <w:marLeft w:val="0"/>
              <w:marRight w:val="0"/>
              <w:marTop w:val="0"/>
              <w:marBottom w:val="0"/>
              <w:divBdr>
                <w:top w:val="none" w:sz="0" w:space="0" w:color="auto"/>
                <w:left w:val="none" w:sz="0" w:space="0" w:color="auto"/>
                <w:bottom w:val="none" w:sz="0" w:space="0" w:color="auto"/>
                <w:right w:val="none" w:sz="0" w:space="0" w:color="auto"/>
              </w:divBdr>
              <w:divsChild>
                <w:div w:id="1015231401">
                  <w:marLeft w:val="0"/>
                  <w:marRight w:val="0"/>
                  <w:marTop w:val="0"/>
                  <w:marBottom w:val="0"/>
                  <w:divBdr>
                    <w:top w:val="none" w:sz="0" w:space="0" w:color="auto"/>
                    <w:left w:val="none" w:sz="0" w:space="0" w:color="auto"/>
                    <w:bottom w:val="none" w:sz="0" w:space="0" w:color="auto"/>
                    <w:right w:val="none" w:sz="0" w:space="0" w:color="auto"/>
                  </w:divBdr>
                  <w:divsChild>
                    <w:div w:id="981615355">
                      <w:marLeft w:val="0"/>
                      <w:marRight w:val="0"/>
                      <w:marTop w:val="0"/>
                      <w:marBottom w:val="0"/>
                      <w:divBdr>
                        <w:top w:val="none" w:sz="0" w:space="0" w:color="auto"/>
                        <w:left w:val="none" w:sz="0" w:space="0" w:color="auto"/>
                        <w:bottom w:val="none" w:sz="0" w:space="0" w:color="auto"/>
                        <w:right w:val="none" w:sz="0" w:space="0" w:color="auto"/>
                      </w:divBdr>
                      <w:divsChild>
                        <w:div w:id="2078086667">
                          <w:marLeft w:val="0"/>
                          <w:marRight w:val="0"/>
                          <w:marTop w:val="0"/>
                          <w:marBottom w:val="0"/>
                          <w:divBdr>
                            <w:top w:val="none" w:sz="0" w:space="0" w:color="auto"/>
                            <w:left w:val="none" w:sz="0" w:space="0" w:color="auto"/>
                            <w:bottom w:val="none" w:sz="0" w:space="0" w:color="auto"/>
                            <w:right w:val="none" w:sz="0" w:space="0" w:color="auto"/>
                          </w:divBdr>
                          <w:divsChild>
                            <w:div w:id="1673410113">
                              <w:marLeft w:val="0"/>
                              <w:marRight w:val="0"/>
                              <w:marTop w:val="0"/>
                              <w:marBottom w:val="0"/>
                              <w:divBdr>
                                <w:top w:val="none" w:sz="0" w:space="0" w:color="auto"/>
                                <w:left w:val="none" w:sz="0" w:space="0" w:color="auto"/>
                                <w:bottom w:val="none" w:sz="0" w:space="0" w:color="auto"/>
                                <w:right w:val="none" w:sz="0" w:space="0" w:color="auto"/>
                              </w:divBdr>
                              <w:divsChild>
                                <w:div w:id="2106917404">
                                  <w:marLeft w:val="0"/>
                                  <w:marRight w:val="0"/>
                                  <w:marTop w:val="0"/>
                                  <w:marBottom w:val="0"/>
                                  <w:divBdr>
                                    <w:top w:val="none" w:sz="0" w:space="0" w:color="auto"/>
                                    <w:left w:val="none" w:sz="0" w:space="0" w:color="auto"/>
                                    <w:bottom w:val="none" w:sz="0" w:space="0" w:color="auto"/>
                                    <w:right w:val="none" w:sz="0" w:space="0" w:color="auto"/>
                                  </w:divBdr>
                                  <w:divsChild>
                                    <w:div w:id="373506343">
                                      <w:marLeft w:val="0"/>
                                      <w:marRight w:val="0"/>
                                      <w:marTop w:val="0"/>
                                      <w:marBottom w:val="0"/>
                                      <w:divBdr>
                                        <w:top w:val="none" w:sz="0" w:space="0" w:color="auto"/>
                                        <w:left w:val="none" w:sz="0" w:space="0" w:color="auto"/>
                                        <w:bottom w:val="none" w:sz="0" w:space="0" w:color="auto"/>
                                        <w:right w:val="none" w:sz="0" w:space="0" w:color="auto"/>
                                      </w:divBdr>
                                      <w:divsChild>
                                        <w:div w:id="732042889">
                                          <w:marLeft w:val="0"/>
                                          <w:marRight w:val="0"/>
                                          <w:marTop w:val="0"/>
                                          <w:marBottom w:val="495"/>
                                          <w:divBdr>
                                            <w:top w:val="none" w:sz="0" w:space="0" w:color="auto"/>
                                            <w:left w:val="none" w:sz="0" w:space="0" w:color="auto"/>
                                            <w:bottom w:val="none" w:sz="0" w:space="0" w:color="auto"/>
                                            <w:right w:val="none" w:sz="0" w:space="0" w:color="auto"/>
                                          </w:divBdr>
                                          <w:divsChild>
                                            <w:div w:id="55393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3612337">
      <w:bodyDiv w:val="1"/>
      <w:marLeft w:val="0"/>
      <w:marRight w:val="0"/>
      <w:marTop w:val="0"/>
      <w:marBottom w:val="0"/>
      <w:divBdr>
        <w:top w:val="none" w:sz="0" w:space="0" w:color="auto"/>
        <w:left w:val="none" w:sz="0" w:space="0" w:color="auto"/>
        <w:bottom w:val="none" w:sz="0" w:space="0" w:color="auto"/>
        <w:right w:val="none" w:sz="0" w:space="0" w:color="auto"/>
      </w:divBdr>
      <w:divsChild>
        <w:div w:id="1656913446">
          <w:marLeft w:val="0"/>
          <w:marRight w:val="0"/>
          <w:marTop w:val="0"/>
          <w:marBottom w:val="0"/>
          <w:divBdr>
            <w:top w:val="none" w:sz="0" w:space="0" w:color="auto"/>
            <w:left w:val="none" w:sz="0" w:space="0" w:color="auto"/>
            <w:bottom w:val="none" w:sz="0" w:space="0" w:color="auto"/>
            <w:right w:val="none" w:sz="0" w:space="0" w:color="auto"/>
          </w:divBdr>
          <w:divsChild>
            <w:div w:id="2059275467">
              <w:marLeft w:val="0"/>
              <w:marRight w:val="0"/>
              <w:marTop w:val="0"/>
              <w:marBottom w:val="0"/>
              <w:divBdr>
                <w:top w:val="none" w:sz="0" w:space="0" w:color="auto"/>
                <w:left w:val="none" w:sz="0" w:space="0" w:color="auto"/>
                <w:bottom w:val="none" w:sz="0" w:space="0" w:color="auto"/>
                <w:right w:val="none" w:sz="0" w:space="0" w:color="auto"/>
              </w:divBdr>
              <w:divsChild>
                <w:div w:id="1366754711">
                  <w:marLeft w:val="0"/>
                  <w:marRight w:val="0"/>
                  <w:marTop w:val="0"/>
                  <w:marBottom w:val="0"/>
                  <w:divBdr>
                    <w:top w:val="none" w:sz="0" w:space="0" w:color="auto"/>
                    <w:left w:val="none" w:sz="0" w:space="0" w:color="auto"/>
                    <w:bottom w:val="none" w:sz="0" w:space="0" w:color="auto"/>
                    <w:right w:val="none" w:sz="0" w:space="0" w:color="auto"/>
                  </w:divBdr>
                  <w:divsChild>
                    <w:div w:id="182977952">
                      <w:marLeft w:val="0"/>
                      <w:marRight w:val="0"/>
                      <w:marTop w:val="0"/>
                      <w:marBottom w:val="0"/>
                      <w:divBdr>
                        <w:top w:val="none" w:sz="0" w:space="0" w:color="auto"/>
                        <w:left w:val="none" w:sz="0" w:space="0" w:color="auto"/>
                        <w:bottom w:val="none" w:sz="0" w:space="0" w:color="auto"/>
                        <w:right w:val="none" w:sz="0" w:space="0" w:color="auto"/>
                      </w:divBdr>
                      <w:divsChild>
                        <w:div w:id="406731960">
                          <w:marLeft w:val="0"/>
                          <w:marRight w:val="0"/>
                          <w:marTop w:val="0"/>
                          <w:marBottom w:val="0"/>
                          <w:divBdr>
                            <w:top w:val="none" w:sz="0" w:space="0" w:color="auto"/>
                            <w:left w:val="none" w:sz="0" w:space="0" w:color="auto"/>
                            <w:bottom w:val="none" w:sz="0" w:space="0" w:color="auto"/>
                            <w:right w:val="none" w:sz="0" w:space="0" w:color="auto"/>
                          </w:divBdr>
                          <w:divsChild>
                            <w:div w:id="464739205">
                              <w:marLeft w:val="0"/>
                              <w:marRight w:val="0"/>
                              <w:marTop w:val="0"/>
                              <w:marBottom w:val="0"/>
                              <w:divBdr>
                                <w:top w:val="none" w:sz="0" w:space="0" w:color="auto"/>
                                <w:left w:val="none" w:sz="0" w:space="0" w:color="auto"/>
                                <w:bottom w:val="none" w:sz="0" w:space="0" w:color="auto"/>
                                <w:right w:val="none" w:sz="0" w:space="0" w:color="auto"/>
                              </w:divBdr>
                              <w:divsChild>
                                <w:div w:id="1706367078">
                                  <w:marLeft w:val="0"/>
                                  <w:marRight w:val="0"/>
                                  <w:marTop w:val="0"/>
                                  <w:marBottom w:val="0"/>
                                  <w:divBdr>
                                    <w:top w:val="none" w:sz="0" w:space="0" w:color="auto"/>
                                    <w:left w:val="none" w:sz="0" w:space="0" w:color="auto"/>
                                    <w:bottom w:val="none" w:sz="0" w:space="0" w:color="auto"/>
                                    <w:right w:val="none" w:sz="0" w:space="0" w:color="auto"/>
                                  </w:divBdr>
                                  <w:divsChild>
                                    <w:div w:id="1465848929">
                                      <w:marLeft w:val="0"/>
                                      <w:marRight w:val="0"/>
                                      <w:marTop w:val="0"/>
                                      <w:marBottom w:val="0"/>
                                      <w:divBdr>
                                        <w:top w:val="none" w:sz="0" w:space="0" w:color="auto"/>
                                        <w:left w:val="none" w:sz="0" w:space="0" w:color="auto"/>
                                        <w:bottom w:val="none" w:sz="0" w:space="0" w:color="auto"/>
                                        <w:right w:val="none" w:sz="0" w:space="0" w:color="auto"/>
                                      </w:divBdr>
                                      <w:divsChild>
                                        <w:div w:id="2034383011">
                                          <w:marLeft w:val="0"/>
                                          <w:marRight w:val="0"/>
                                          <w:marTop w:val="0"/>
                                          <w:marBottom w:val="495"/>
                                          <w:divBdr>
                                            <w:top w:val="none" w:sz="0" w:space="0" w:color="auto"/>
                                            <w:left w:val="none" w:sz="0" w:space="0" w:color="auto"/>
                                            <w:bottom w:val="none" w:sz="0" w:space="0" w:color="auto"/>
                                            <w:right w:val="none" w:sz="0" w:space="0" w:color="auto"/>
                                          </w:divBdr>
                                          <w:divsChild>
                                            <w:div w:id="65687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7256092">
      <w:bodyDiv w:val="1"/>
      <w:marLeft w:val="0"/>
      <w:marRight w:val="0"/>
      <w:marTop w:val="0"/>
      <w:marBottom w:val="0"/>
      <w:divBdr>
        <w:top w:val="none" w:sz="0" w:space="0" w:color="auto"/>
        <w:left w:val="none" w:sz="0" w:space="0" w:color="auto"/>
        <w:bottom w:val="none" w:sz="0" w:space="0" w:color="auto"/>
        <w:right w:val="none" w:sz="0" w:space="0" w:color="auto"/>
      </w:divBdr>
      <w:divsChild>
        <w:div w:id="173308861">
          <w:marLeft w:val="0"/>
          <w:marRight w:val="0"/>
          <w:marTop w:val="0"/>
          <w:marBottom w:val="0"/>
          <w:divBdr>
            <w:top w:val="none" w:sz="0" w:space="0" w:color="auto"/>
            <w:left w:val="none" w:sz="0" w:space="0" w:color="auto"/>
            <w:bottom w:val="none" w:sz="0" w:space="0" w:color="auto"/>
            <w:right w:val="none" w:sz="0" w:space="0" w:color="auto"/>
          </w:divBdr>
          <w:divsChild>
            <w:div w:id="1419521631">
              <w:marLeft w:val="0"/>
              <w:marRight w:val="0"/>
              <w:marTop w:val="0"/>
              <w:marBottom w:val="0"/>
              <w:divBdr>
                <w:top w:val="none" w:sz="0" w:space="0" w:color="auto"/>
                <w:left w:val="none" w:sz="0" w:space="0" w:color="auto"/>
                <w:bottom w:val="none" w:sz="0" w:space="0" w:color="auto"/>
                <w:right w:val="none" w:sz="0" w:space="0" w:color="auto"/>
              </w:divBdr>
              <w:divsChild>
                <w:div w:id="1147094523">
                  <w:marLeft w:val="0"/>
                  <w:marRight w:val="0"/>
                  <w:marTop w:val="0"/>
                  <w:marBottom w:val="0"/>
                  <w:divBdr>
                    <w:top w:val="none" w:sz="0" w:space="0" w:color="auto"/>
                    <w:left w:val="none" w:sz="0" w:space="0" w:color="auto"/>
                    <w:bottom w:val="none" w:sz="0" w:space="0" w:color="auto"/>
                    <w:right w:val="none" w:sz="0" w:space="0" w:color="auto"/>
                  </w:divBdr>
                  <w:divsChild>
                    <w:div w:id="413549087">
                      <w:marLeft w:val="0"/>
                      <w:marRight w:val="0"/>
                      <w:marTop w:val="0"/>
                      <w:marBottom w:val="0"/>
                      <w:divBdr>
                        <w:top w:val="none" w:sz="0" w:space="0" w:color="auto"/>
                        <w:left w:val="none" w:sz="0" w:space="0" w:color="auto"/>
                        <w:bottom w:val="none" w:sz="0" w:space="0" w:color="auto"/>
                        <w:right w:val="none" w:sz="0" w:space="0" w:color="auto"/>
                      </w:divBdr>
                      <w:divsChild>
                        <w:div w:id="1475755957">
                          <w:marLeft w:val="0"/>
                          <w:marRight w:val="0"/>
                          <w:marTop w:val="0"/>
                          <w:marBottom w:val="0"/>
                          <w:divBdr>
                            <w:top w:val="none" w:sz="0" w:space="0" w:color="auto"/>
                            <w:left w:val="none" w:sz="0" w:space="0" w:color="auto"/>
                            <w:bottom w:val="none" w:sz="0" w:space="0" w:color="auto"/>
                            <w:right w:val="none" w:sz="0" w:space="0" w:color="auto"/>
                          </w:divBdr>
                          <w:divsChild>
                            <w:div w:id="1035929015">
                              <w:marLeft w:val="0"/>
                              <w:marRight w:val="0"/>
                              <w:marTop w:val="0"/>
                              <w:marBottom w:val="0"/>
                              <w:divBdr>
                                <w:top w:val="none" w:sz="0" w:space="0" w:color="auto"/>
                                <w:left w:val="none" w:sz="0" w:space="0" w:color="auto"/>
                                <w:bottom w:val="none" w:sz="0" w:space="0" w:color="auto"/>
                                <w:right w:val="none" w:sz="0" w:space="0" w:color="auto"/>
                              </w:divBdr>
                              <w:divsChild>
                                <w:div w:id="2107576429">
                                  <w:marLeft w:val="0"/>
                                  <w:marRight w:val="0"/>
                                  <w:marTop w:val="0"/>
                                  <w:marBottom w:val="0"/>
                                  <w:divBdr>
                                    <w:top w:val="none" w:sz="0" w:space="0" w:color="auto"/>
                                    <w:left w:val="none" w:sz="0" w:space="0" w:color="auto"/>
                                    <w:bottom w:val="none" w:sz="0" w:space="0" w:color="auto"/>
                                    <w:right w:val="none" w:sz="0" w:space="0" w:color="auto"/>
                                  </w:divBdr>
                                  <w:divsChild>
                                    <w:div w:id="981538891">
                                      <w:marLeft w:val="0"/>
                                      <w:marRight w:val="0"/>
                                      <w:marTop w:val="0"/>
                                      <w:marBottom w:val="0"/>
                                      <w:divBdr>
                                        <w:top w:val="none" w:sz="0" w:space="0" w:color="auto"/>
                                        <w:left w:val="none" w:sz="0" w:space="0" w:color="auto"/>
                                        <w:bottom w:val="none" w:sz="0" w:space="0" w:color="auto"/>
                                        <w:right w:val="none" w:sz="0" w:space="0" w:color="auto"/>
                                      </w:divBdr>
                                      <w:divsChild>
                                        <w:div w:id="23754135">
                                          <w:marLeft w:val="0"/>
                                          <w:marRight w:val="0"/>
                                          <w:marTop w:val="0"/>
                                          <w:marBottom w:val="495"/>
                                          <w:divBdr>
                                            <w:top w:val="none" w:sz="0" w:space="0" w:color="auto"/>
                                            <w:left w:val="none" w:sz="0" w:space="0" w:color="auto"/>
                                            <w:bottom w:val="none" w:sz="0" w:space="0" w:color="auto"/>
                                            <w:right w:val="none" w:sz="0" w:space="0" w:color="auto"/>
                                          </w:divBdr>
                                          <w:divsChild>
                                            <w:div w:id="4209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0260914">
      <w:bodyDiv w:val="1"/>
      <w:marLeft w:val="0"/>
      <w:marRight w:val="0"/>
      <w:marTop w:val="0"/>
      <w:marBottom w:val="0"/>
      <w:divBdr>
        <w:top w:val="none" w:sz="0" w:space="0" w:color="auto"/>
        <w:left w:val="none" w:sz="0" w:space="0" w:color="auto"/>
        <w:bottom w:val="none" w:sz="0" w:space="0" w:color="auto"/>
        <w:right w:val="none" w:sz="0" w:space="0" w:color="auto"/>
      </w:divBdr>
      <w:divsChild>
        <w:div w:id="815798098">
          <w:marLeft w:val="0"/>
          <w:marRight w:val="0"/>
          <w:marTop w:val="0"/>
          <w:marBottom w:val="0"/>
          <w:divBdr>
            <w:top w:val="none" w:sz="0" w:space="0" w:color="auto"/>
            <w:left w:val="none" w:sz="0" w:space="0" w:color="auto"/>
            <w:bottom w:val="none" w:sz="0" w:space="0" w:color="auto"/>
            <w:right w:val="none" w:sz="0" w:space="0" w:color="auto"/>
          </w:divBdr>
          <w:divsChild>
            <w:div w:id="1960838122">
              <w:marLeft w:val="0"/>
              <w:marRight w:val="0"/>
              <w:marTop w:val="0"/>
              <w:marBottom w:val="0"/>
              <w:divBdr>
                <w:top w:val="none" w:sz="0" w:space="0" w:color="auto"/>
                <w:left w:val="none" w:sz="0" w:space="0" w:color="auto"/>
                <w:bottom w:val="none" w:sz="0" w:space="0" w:color="auto"/>
                <w:right w:val="none" w:sz="0" w:space="0" w:color="auto"/>
              </w:divBdr>
              <w:divsChild>
                <w:div w:id="484207146">
                  <w:marLeft w:val="0"/>
                  <w:marRight w:val="0"/>
                  <w:marTop w:val="0"/>
                  <w:marBottom w:val="0"/>
                  <w:divBdr>
                    <w:top w:val="none" w:sz="0" w:space="0" w:color="auto"/>
                    <w:left w:val="none" w:sz="0" w:space="0" w:color="auto"/>
                    <w:bottom w:val="none" w:sz="0" w:space="0" w:color="auto"/>
                    <w:right w:val="none" w:sz="0" w:space="0" w:color="auto"/>
                  </w:divBdr>
                  <w:divsChild>
                    <w:div w:id="1225071252">
                      <w:marLeft w:val="0"/>
                      <w:marRight w:val="0"/>
                      <w:marTop w:val="0"/>
                      <w:marBottom w:val="0"/>
                      <w:divBdr>
                        <w:top w:val="none" w:sz="0" w:space="0" w:color="auto"/>
                        <w:left w:val="none" w:sz="0" w:space="0" w:color="auto"/>
                        <w:bottom w:val="none" w:sz="0" w:space="0" w:color="auto"/>
                        <w:right w:val="none" w:sz="0" w:space="0" w:color="auto"/>
                      </w:divBdr>
                      <w:divsChild>
                        <w:div w:id="1535271221">
                          <w:marLeft w:val="0"/>
                          <w:marRight w:val="0"/>
                          <w:marTop w:val="0"/>
                          <w:marBottom w:val="0"/>
                          <w:divBdr>
                            <w:top w:val="none" w:sz="0" w:space="0" w:color="auto"/>
                            <w:left w:val="none" w:sz="0" w:space="0" w:color="auto"/>
                            <w:bottom w:val="none" w:sz="0" w:space="0" w:color="auto"/>
                            <w:right w:val="none" w:sz="0" w:space="0" w:color="auto"/>
                          </w:divBdr>
                          <w:divsChild>
                            <w:div w:id="1869220086">
                              <w:marLeft w:val="0"/>
                              <w:marRight w:val="0"/>
                              <w:marTop w:val="0"/>
                              <w:marBottom w:val="0"/>
                              <w:divBdr>
                                <w:top w:val="none" w:sz="0" w:space="0" w:color="auto"/>
                                <w:left w:val="none" w:sz="0" w:space="0" w:color="auto"/>
                                <w:bottom w:val="none" w:sz="0" w:space="0" w:color="auto"/>
                                <w:right w:val="none" w:sz="0" w:space="0" w:color="auto"/>
                              </w:divBdr>
                              <w:divsChild>
                                <w:div w:id="1468663241">
                                  <w:marLeft w:val="0"/>
                                  <w:marRight w:val="0"/>
                                  <w:marTop w:val="0"/>
                                  <w:marBottom w:val="0"/>
                                  <w:divBdr>
                                    <w:top w:val="none" w:sz="0" w:space="0" w:color="auto"/>
                                    <w:left w:val="none" w:sz="0" w:space="0" w:color="auto"/>
                                    <w:bottom w:val="none" w:sz="0" w:space="0" w:color="auto"/>
                                    <w:right w:val="none" w:sz="0" w:space="0" w:color="auto"/>
                                  </w:divBdr>
                                  <w:divsChild>
                                    <w:div w:id="1296714412">
                                      <w:marLeft w:val="0"/>
                                      <w:marRight w:val="0"/>
                                      <w:marTop w:val="0"/>
                                      <w:marBottom w:val="0"/>
                                      <w:divBdr>
                                        <w:top w:val="none" w:sz="0" w:space="0" w:color="auto"/>
                                        <w:left w:val="none" w:sz="0" w:space="0" w:color="auto"/>
                                        <w:bottom w:val="none" w:sz="0" w:space="0" w:color="auto"/>
                                        <w:right w:val="none" w:sz="0" w:space="0" w:color="auto"/>
                                      </w:divBdr>
                                      <w:divsChild>
                                        <w:div w:id="1945383881">
                                          <w:marLeft w:val="0"/>
                                          <w:marRight w:val="0"/>
                                          <w:marTop w:val="0"/>
                                          <w:marBottom w:val="495"/>
                                          <w:divBdr>
                                            <w:top w:val="none" w:sz="0" w:space="0" w:color="auto"/>
                                            <w:left w:val="none" w:sz="0" w:space="0" w:color="auto"/>
                                            <w:bottom w:val="none" w:sz="0" w:space="0" w:color="auto"/>
                                            <w:right w:val="none" w:sz="0" w:space="0" w:color="auto"/>
                                          </w:divBdr>
                                          <w:divsChild>
                                            <w:div w:id="97387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37957088">
      <w:bodyDiv w:val="1"/>
      <w:marLeft w:val="0"/>
      <w:marRight w:val="0"/>
      <w:marTop w:val="0"/>
      <w:marBottom w:val="0"/>
      <w:divBdr>
        <w:top w:val="none" w:sz="0" w:space="0" w:color="auto"/>
        <w:left w:val="none" w:sz="0" w:space="0" w:color="auto"/>
        <w:bottom w:val="none" w:sz="0" w:space="0" w:color="auto"/>
        <w:right w:val="none" w:sz="0" w:space="0" w:color="auto"/>
      </w:divBdr>
    </w:div>
    <w:div w:id="650183319">
      <w:bodyDiv w:val="1"/>
      <w:marLeft w:val="0"/>
      <w:marRight w:val="0"/>
      <w:marTop w:val="0"/>
      <w:marBottom w:val="0"/>
      <w:divBdr>
        <w:top w:val="none" w:sz="0" w:space="0" w:color="auto"/>
        <w:left w:val="none" w:sz="0" w:space="0" w:color="auto"/>
        <w:bottom w:val="none" w:sz="0" w:space="0" w:color="auto"/>
        <w:right w:val="none" w:sz="0" w:space="0" w:color="auto"/>
      </w:divBdr>
      <w:divsChild>
        <w:div w:id="1945260622">
          <w:marLeft w:val="0"/>
          <w:marRight w:val="0"/>
          <w:marTop w:val="0"/>
          <w:marBottom w:val="0"/>
          <w:divBdr>
            <w:top w:val="none" w:sz="0" w:space="0" w:color="auto"/>
            <w:left w:val="none" w:sz="0" w:space="0" w:color="auto"/>
            <w:bottom w:val="none" w:sz="0" w:space="0" w:color="auto"/>
            <w:right w:val="none" w:sz="0" w:space="0" w:color="auto"/>
          </w:divBdr>
          <w:divsChild>
            <w:div w:id="1480610131">
              <w:marLeft w:val="0"/>
              <w:marRight w:val="0"/>
              <w:marTop w:val="0"/>
              <w:marBottom w:val="0"/>
              <w:divBdr>
                <w:top w:val="none" w:sz="0" w:space="0" w:color="auto"/>
                <w:left w:val="none" w:sz="0" w:space="0" w:color="auto"/>
                <w:bottom w:val="none" w:sz="0" w:space="0" w:color="auto"/>
                <w:right w:val="none" w:sz="0" w:space="0" w:color="auto"/>
              </w:divBdr>
              <w:divsChild>
                <w:div w:id="1133183225">
                  <w:marLeft w:val="0"/>
                  <w:marRight w:val="0"/>
                  <w:marTop w:val="0"/>
                  <w:marBottom w:val="0"/>
                  <w:divBdr>
                    <w:top w:val="none" w:sz="0" w:space="0" w:color="auto"/>
                    <w:left w:val="none" w:sz="0" w:space="0" w:color="auto"/>
                    <w:bottom w:val="none" w:sz="0" w:space="0" w:color="auto"/>
                    <w:right w:val="none" w:sz="0" w:space="0" w:color="auto"/>
                  </w:divBdr>
                  <w:divsChild>
                    <w:div w:id="1489587908">
                      <w:marLeft w:val="0"/>
                      <w:marRight w:val="0"/>
                      <w:marTop w:val="0"/>
                      <w:marBottom w:val="0"/>
                      <w:divBdr>
                        <w:top w:val="none" w:sz="0" w:space="0" w:color="auto"/>
                        <w:left w:val="none" w:sz="0" w:space="0" w:color="auto"/>
                        <w:bottom w:val="none" w:sz="0" w:space="0" w:color="auto"/>
                        <w:right w:val="none" w:sz="0" w:space="0" w:color="auto"/>
                      </w:divBdr>
                      <w:divsChild>
                        <w:div w:id="1537045044">
                          <w:marLeft w:val="0"/>
                          <w:marRight w:val="0"/>
                          <w:marTop w:val="0"/>
                          <w:marBottom w:val="0"/>
                          <w:divBdr>
                            <w:top w:val="none" w:sz="0" w:space="0" w:color="auto"/>
                            <w:left w:val="none" w:sz="0" w:space="0" w:color="auto"/>
                            <w:bottom w:val="none" w:sz="0" w:space="0" w:color="auto"/>
                            <w:right w:val="none" w:sz="0" w:space="0" w:color="auto"/>
                          </w:divBdr>
                          <w:divsChild>
                            <w:div w:id="1541163432">
                              <w:marLeft w:val="0"/>
                              <w:marRight w:val="0"/>
                              <w:marTop w:val="0"/>
                              <w:marBottom w:val="0"/>
                              <w:divBdr>
                                <w:top w:val="none" w:sz="0" w:space="0" w:color="auto"/>
                                <w:left w:val="none" w:sz="0" w:space="0" w:color="auto"/>
                                <w:bottom w:val="none" w:sz="0" w:space="0" w:color="auto"/>
                                <w:right w:val="none" w:sz="0" w:space="0" w:color="auto"/>
                              </w:divBdr>
                              <w:divsChild>
                                <w:div w:id="385035850">
                                  <w:marLeft w:val="0"/>
                                  <w:marRight w:val="0"/>
                                  <w:marTop w:val="0"/>
                                  <w:marBottom w:val="0"/>
                                  <w:divBdr>
                                    <w:top w:val="none" w:sz="0" w:space="0" w:color="auto"/>
                                    <w:left w:val="none" w:sz="0" w:space="0" w:color="auto"/>
                                    <w:bottom w:val="none" w:sz="0" w:space="0" w:color="auto"/>
                                    <w:right w:val="none" w:sz="0" w:space="0" w:color="auto"/>
                                  </w:divBdr>
                                  <w:divsChild>
                                    <w:div w:id="1456483011">
                                      <w:marLeft w:val="0"/>
                                      <w:marRight w:val="0"/>
                                      <w:marTop w:val="0"/>
                                      <w:marBottom w:val="0"/>
                                      <w:divBdr>
                                        <w:top w:val="none" w:sz="0" w:space="0" w:color="auto"/>
                                        <w:left w:val="none" w:sz="0" w:space="0" w:color="auto"/>
                                        <w:bottom w:val="none" w:sz="0" w:space="0" w:color="auto"/>
                                        <w:right w:val="none" w:sz="0" w:space="0" w:color="auto"/>
                                      </w:divBdr>
                                      <w:divsChild>
                                        <w:div w:id="1187139388">
                                          <w:marLeft w:val="0"/>
                                          <w:marRight w:val="0"/>
                                          <w:marTop w:val="0"/>
                                          <w:marBottom w:val="495"/>
                                          <w:divBdr>
                                            <w:top w:val="none" w:sz="0" w:space="0" w:color="auto"/>
                                            <w:left w:val="none" w:sz="0" w:space="0" w:color="auto"/>
                                            <w:bottom w:val="none" w:sz="0" w:space="0" w:color="auto"/>
                                            <w:right w:val="none" w:sz="0" w:space="0" w:color="auto"/>
                                          </w:divBdr>
                                          <w:divsChild>
                                            <w:div w:id="172224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50446285">
      <w:bodyDiv w:val="1"/>
      <w:marLeft w:val="0"/>
      <w:marRight w:val="0"/>
      <w:marTop w:val="0"/>
      <w:marBottom w:val="0"/>
      <w:divBdr>
        <w:top w:val="none" w:sz="0" w:space="0" w:color="auto"/>
        <w:left w:val="none" w:sz="0" w:space="0" w:color="auto"/>
        <w:bottom w:val="none" w:sz="0" w:space="0" w:color="auto"/>
        <w:right w:val="none" w:sz="0" w:space="0" w:color="auto"/>
      </w:divBdr>
      <w:divsChild>
        <w:div w:id="1270426378">
          <w:marLeft w:val="0"/>
          <w:marRight w:val="0"/>
          <w:marTop w:val="0"/>
          <w:marBottom w:val="0"/>
          <w:divBdr>
            <w:top w:val="none" w:sz="0" w:space="0" w:color="auto"/>
            <w:left w:val="none" w:sz="0" w:space="0" w:color="auto"/>
            <w:bottom w:val="none" w:sz="0" w:space="0" w:color="auto"/>
            <w:right w:val="none" w:sz="0" w:space="0" w:color="auto"/>
          </w:divBdr>
          <w:divsChild>
            <w:div w:id="227156052">
              <w:marLeft w:val="0"/>
              <w:marRight w:val="0"/>
              <w:marTop w:val="0"/>
              <w:marBottom w:val="0"/>
              <w:divBdr>
                <w:top w:val="none" w:sz="0" w:space="0" w:color="auto"/>
                <w:left w:val="none" w:sz="0" w:space="0" w:color="auto"/>
                <w:bottom w:val="none" w:sz="0" w:space="0" w:color="auto"/>
                <w:right w:val="none" w:sz="0" w:space="0" w:color="auto"/>
              </w:divBdr>
              <w:divsChild>
                <w:div w:id="700277931">
                  <w:marLeft w:val="0"/>
                  <w:marRight w:val="0"/>
                  <w:marTop w:val="0"/>
                  <w:marBottom w:val="0"/>
                  <w:divBdr>
                    <w:top w:val="none" w:sz="0" w:space="0" w:color="auto"/>
                    <w:left w:val="none" w:sz="0" w:space="0" w:color="auto"/>
                    <w:bottom w:val="none" w:sz="0" w:space="0" w:color="auto"/>
                    <w:right w:val="none" w:sz="0" w:space="0" w:color="auto"/>
                  </w:divBdr>
                  <w:divsChild>
                    <w:div w:id="1548444230">
                      <w:marLeft w:val="0"/>
                      <w:marRight w:val="0"/>
                      <w:marTop w:val="0"/>
                      <w:marBottom w:val="0"/>
                      <w:divBdr>
                        <w:top w:val="none" w:sz="0" w:space="0" w:color="auto"/>
                        <w:left w:val="none" w:sz="0" w:space="0" w:color="auto"/>
                        <w:bottom w:val="none" w:sz="0" w:space="0" w:color="auto"/>
                        <w:right w:val="none" w:sz="0" w:space="0" w:color="auto"/>
                      </w:divBdr>
                      <w:divsChild>
                        <w:div w:id="1595671758">
                          <w:marLeft w:val="0"/>
                          <w:marRight w:val="0"/>
                          <w:marTop w:val="0"/>
                          <w:marBottom w:val="0"/>
                          <w:divBdr>
                            <w:top w:val="none" w:sz="0" w:space="0" w:color="auto"/>
                            <w:left w:val="none" w:sz="0" w:space="0" w:color="auto"/>
                            <w:bottom w:val="none" w:sz="0" w:space="0" w:color="auto"/>
                            <w:right w:val="none" w:sz="0" w:space="0" w:color="auto"/>
                          </w:divBdr>
                          <w:divsChild>
                            <w:div w:id="990912770">
                              <w:marLeft w:val="0"/>
                              <w:marRight w:val="0"/>
                              <w:marTop w:val="0"/>
                              <w:marBottom w:val="0"/>
                              <w:divBdr>
                                <w:top w:val="none" w:sz="0" w:space="0" w:color="auto"/>
                                <w:left w:val="none" w:sz="0" w:space="0" w:color="auto"/>
                                <w:bottom w:val="none" w:sz="0" w:space="0" w:color="auto"/>
                                <w:right w:val="none" w:sz="0" w:space="0" w:color="auto"/>
                              </w:divBdr>
                              <w:divsChild>
                                <w:div w:id="483545369">
                                  <w:marLeft w:val="0"/>
                                  <w:marRight w:val="0"/>
                                  <w:marTop w:val="0"/>
                                  <w:marBottom w:val="0"/>
                                  <w:divBdr>
                                    <w:top w:val="none" w:sz="0" w:space="0" w:color="auto"/>
                                    <w:left w:val="none" w:sz="0" w:space="0" w:color="auto"/>
                                    <w:bottom w:val="none" w:sz="0" w:space="0" w:color="auto"/>
                                    <w:right w:val="none" w:sz="0" w:space="0" w:color="auto"/>
                                  </w:divBdr>
                                  <w:divsChild>
                                    <w:div w:id="309947520">
                                      <w:marLeft w:val="0"/>
                                      <w:marRight w:val="0"/>
                                      <w:marTop w:val="0"/>
                                      <w:marBottom w:val="0"/>
                                      <w:divBdr>
                                        <w:top w:val="none" w:sz="0" w:space="0" w:color="auto"/>
                                        <w:left w:val="none" w:sz="0" w:space="0" w:color="auto"/>
                                        <w:bottom w:val="none" w:sz="0" w:space="0" w:color="auto"/>
                                        <w:right w:val="none" w:sz="0" w:space="0" w:color="auto"/>
                                      </w:divBdr>
                                      <w:divsChild>
                                        <w:div w:id="992638658">
                                          <w:marLeft w:val="0"/>
                                          <w:marRight w:val="0"/>
                                          <w:marTop w:val="0"/>
                                          <w:marBottom w:val="495"/>
                                          <w:divBdr>
                                            <w:top w:val="none" w:sz="0" w:space="0" w:color="auto"/>
                                            <w:left w:val="none" w:sz="0" w:space="0" w:color="auto"/>
                                            <w:bottom w:val="none" w:sz="0" w:space="0" w:color="auto"/>
                                            <w:right w:val="none" w:sz="0" w:space="0" w:color="auto"/>
                                          </w:divBdr>
                                          <w:divsChild>
                                            <w:div w:id="42469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07631947">
      <w:bodyDiv w:val="1"/>
      <w:marLeft w:val="0"/>
      <w:marRight w:val="0"/>
      <w:marTop w:val="0"/>
      <w:marBottom w:val="0"/>
      <w:divBdr>
        <w:top w:val="none" w:sz="0" w:space="0" w:color="auto"/>
        <w:left w:val="none" w:sz="0" w:space="0" w:color="auto"/>
        <w:bottom w:val="none" w:sz="0" w:space="0" w:color="auto"/>
        <w:right w:val="none" w:sz="0" w:space="0" w:color="auto"/>
      </w:divBdr>
      <w:divsChild>
        <w:div w:id="1144472639">
          <w:marLeft w:val="0"/>
          <w:marRight w:val="0"/>
          <w:marTop w:val="0"/>
          <w:marBottom w:val="0"/>
          <w:divBdr>
            <w:top w:val="none" w:sz="0" w:space="0" w:color="auto"/>
            <w:left w:val="none" w:sz="0" w:space="0" w:color="auto"/>
            <w:bottom w:val="none" w:sz="0" w:space="0" w:color="auto"/>
            <w:right w:val="none" w:sz="0" w:space="0" w:color="auto"/>
          </w:divBdr>
          <w:divsChild>
            <w:div w:id="25177280">
              <w:marLeft w:val="0"/>
              <w:marRight w:val="0"/>
              <w:marTop w:val="0"/>
              <w:marBottom w:val="0"/>
              <w:divBdr>
                <w:top w:val="none" w:sz="0" w:space="0" w:color="auto"/>
                <w:left w:val="none" w:sz="0" w:space="0" w:color="auto"/>
                <w:bottom w:val="none" w:sz="0" w:space="0" w:color="auto"/>
                <w:right w:val="none" w:sz="0" w:space="0" w:color="auto"/>
              </w:divBdr>
              <w:divsChild>
                <w:div w:id="392848878">
                  <w:marLeft w:val="0"/>
                  <w:marRight w:val="0"/>
                  <w:marTop w:val="0"/>
                  <w:marBottom w:val="0"/>
                  <w:divBdr>
                    <w:top w:val="none" w:sz="0" w:space="0" w:color="auto"/>
                    <w:left w:val="none" w:sz="0" w:space="0" w:color="auto"/>
                    <w:bottom w:val="none" w:sz="0" w:space="0" w:color="auto"/>
                    <w:right w:val="none" w:sz="0" w:space="0" w:color="auto"/>
                  </w:divBdr>
                  <w:divsChild>
                    <w:div w:id="2073429974">
                      <w:marLeft w:val="0"/>
                      <w:marRight w:val="0"/>
                      <w:marTop w:val="0"/>
                      <w:marBottom w:val="0"/>
                      <w:divBdr>
                        <w:top w:val="none" w:sz="0" w:space="0" w:color="auto"/>
                        <w:left w:val="none" w:sz="0" w:space="0" w:color="auto"/>
                        <w:bottom w:val="none" w:sz="0" w:space="0" w:color="auto"/>
                        <w:right w:val="none" w:sz="0" w:space="0" w:color="auto"/>
                      </w:divBdr>
                      <w:divsChild>
                        <w:div w:id="1892379992">
                          <w:marLeft w:val="0"/>
                          <w:marRight w:val="0"/>
                          <w:marTop w:val="0"/>
                          <w:marBottom w:val="0"/>
                          <w:divBdr>
                            <w:top w:val="none" w:sz="0" w:space="0" w:color="auto"/>
                            <w:left w:val="none" w:sz="0" w:space="0" w:color="auto"/>
                            <w:bottom w:val="none" w:sz="0" w:space="0" w:color="auto"/>
                            <w:right w:val="none" w:sz="0" w:space="0" w:color="auto"/>
                          </w:divBdr>
                          <w:divsChild>
                            <w:div w:id="1299645343">
                              <w:marLeft w:val="0"/>
                              <w:marRight w:val="0"/>
                              <w:marTop w:val="0"/>
                              <w:marBottom w:val="0"/>
                              <w:divBdr>
                                <w:top w:val="none" w:sz="0" w:space="0" w:color="auto"/>
                                <w:left w:val="none" w:sz="0" w:space="0" w:color="auto"/>
                                <w:bottom w:val="none" w:sz="0" w:space="0" w:color="auto"/>
                                <w:right w:val="none" w:sz="0" w:space="0" w:color="auto"/>
                              </w:divBdr>
                              <w:divsChild>
                                <w:div w:id="37246410">
                                  <w:marLeft w:val="0"/>
                                  <w:marRight w:val="0"/>
                                  <w:marTop w:val="0"/>
                                  <w:marBottom w:val="0"/>
                                  <w:divBdr>
                                    <w:top w:val="none" w:sz="0" w:space="0" w:color="auto"/>
                                    <w:left w:val="none" w:sz="0" w:space="0" w:color="auto"/>
                                    <w:bottom w:val="none" w:sz="0" w:space="0" w:color="auto"/>
                                    <w:right w:val="none" w:sz="0" w:space="0" w:color="auto"/>
                                  </w:divBdr>
                                  <w:divsChild>
                                    <w:div w:id="219945669">
                                      <w:marLeft w:val="0"/>
                                      <w:marRight w:val="0"/>
                                      <w:marTop w:val="0"/>
                                      <w:marBottom w:val="0"/>
                                      <w:divBdr>
                                        <w:top w:val="none" w:sz="0" w:space="0" w:color="auto"/>
                                        <w:left w:val="none" w:sz="0" w:space="0" w:color="auto"/>
                                        <w:bottom w:val="none" w:sz="0" w:space="0" w:color="auto"/>
                                        <w:right w:val="none" w:sz="0" w:space="0" w:color="auto"/>
                                      </w:divBdr>
                                      <w:divsChild>
                                        <w:div w:id="670837593">
                                          <w:marLeft w:val="0"/>
                                          <w:marRight w:val="0"/>
                                          <w:marTop w:val="0"/>
                                          <w:marBottom w:val="495"/>
                                          <w:divBdr>
                                            <w:top w:val="none" w:sz="0" w:space="0" w:color="auto"/>
                                            <w:left w:val="none" w:sz="0" w:space="0" w:color="auto"/>
                                            <w:bottom w:val="none" w:sz="0" w:space="0" w:color="auto"/>
                                            <w:right w:val="none" w:sz="0" w:space="0" w:color="auto"/>
                                          </w:divBdr>
                                          <w:divsChild>
                                            <w:div w:id="532697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2079230">
      <w:bodyDiv w:val="1"/>
      <w:marLeft w:val="0"/>
      <w:marRight w:val="0"/>
      <w:marTop w:val="0"/>
      <w:marBottom w:val="0"/>
      <w:divBdr>
        <w:top w:val="none" w:sz="0" w:space="0" w:color="auto"/>
        <w:left w:val="none" w:sz="0" w:space="0" w:color="auto"/>
        <w:bottom w:val="none" w:sz="0" w:space="0" w:color="auto"/>
        <w:right w:val="none" w:sz="0" w:space="0" w:color="auto"/>
      </w:divBdr>
    </w:div>
    <w:div w:id="1015689385">
      <w:bodyDiv w:val="1"/>
      <w:marLeft w:val="0"/>
      <w:marRight w:val="0"/>
      <w:marTop w:val="0"/>
      <w:marBottom w:val="0"/>
      <w:divBdr>
        <w:top w:val="none" w:sz="0" w:space="0" w:color="auto"/>
        <w:left w:val="none" w:sz="0" w:space="0" w:color="auto"/>
        <w:bottom w:val="none" w:sz="0" w:space="0" w:color="auto"/>
        <w:right w:val="none" w:sz="0" w:space="0" w:color="auto"/>
      </w:divBdr>
      <w:divsChild>
        <w:div w:id="2013027866">
          <w:marLeft w:val="0"/>
          <w:marRight w:val="0"/>
          <w:marTop w:val="0"/>
          <w:marBottom w:val="0"/>
          <w:divBdr>
            <w:top w:val="none" w:sz="0" w:space="0" w:color="auto"/>
            <w:left w:val="none" w:sz="0" w:space="0" w:color="auto"/>
            <w:bottom w:val="none" w:sz="0" w:space="0" w:color="auto"/>
            <w:right w:val="none" w:sz="0" w:space="0" w:color="auto"/>
          </w:divBdr>
          <w:divsChild>
            <w:div w:id="2015060959">
              <w:marLeft w:val="0"/>
              <w:marRight w:val="0"/>
              <w:marTop w:val="0"/>
              <w:marBottom w:val="0"/>
              <w:divBdr>
                <w:top w:val="none" w:sz="0" w:space="0" w:color="auto"/>
                <w:left w:val="none" w:sz="0" w:space="0" w:color="auto"/>
                <w:bottom w:val="none" w:sz="0" w:space="0" w:color="auto"/>
                <w:right w:val="none" w:sz="0" w:space="0" w:color="auto"/>
              </w:divBdr>
              <w:divsChild>
                <w:div w:id="413432817">
                  <w:marLeft w:val="0"/>
                  <w:marRight w:val="0"/>
                  <w:marTop w:val="0"/>
                  <w:marBottom w:val="0"/>
                  <w:divBdr>
                    <w:top w:val="none" w:sz="0" w:space="0" w:color="auto"/>
                    <w:left w:val="none" w:sz="0" w:space="0" w:color="auto"/>
                    <w:bottom w:val="none" w:sz="0" w:space="0" w:color="auto"/>
                    <w:right w:val="none" w:sz="0" w:space="0" w:color="auto"/>
                  </w:divBdr>
                  <w:divsChild>
                    <w:div w:id="1810391985">
                      <w:marLeft w:val="0"/>
                      <w:marRight w:val="0"/>
                      <w:marTop w:val="0"/>
                      <w:marBottom w:val="0"/>
                      <w:divBdr>
                        <w:top w:val="none" w:sz="0" w:space="0" w:color="auto"/>
                        <w:left w:val="none" w:sz="0" w:space="0" w:color="auto"/>
                        <w:bottom w:val="none" w:sz="0" w:space="0" w:color="auto"/>
                        <w:right w:val="none" w:sz="0" w:space="0" w:color="auto"/>
                      </w:divBdr>
                      <w:divsChild>
                        <w:div w:id="326251606">
                          <w:marLeft w:val="0"/>
                          <w:marRight w:val="0"/>
                          <w:marTop w:val="0"/>
                          <w:marBottom w:val="0"/>
                          <w:divBdr>
                            <w:top w:val="none" w:sz="0" w:space="0" w:color="auto"/>
                            <w:left w:val="none" w:sz="0" w:space="0" w:color="auto"/>
                            <w:bottom w:val="none" w:sz="0" w:space="0" w:color="auto"/>
                            <w:right w:val="none" w:sz="0" w:space="0" w:color="auto"/>
                          </w:divBdr>
                          <w:divsChild>
                            <w:div w:id="1834757524">
                              <w:marLeft w:val="0"/>
                              <w:marRight w:val="0"/>
                              <w:marTop w:val="0"/>
                              <w:marBottom w:val="0"/>
                              <w:divBdr>
                                <w:top w:val="none" w:sz="0" w:space="0" w:color="auto"/>
                                <w:left w:val="none" w:sz="0" w:space="0" w:color="auto"/>
                                <w:bottom w:val="none" w:sz="0" w:space="0" w:color="auto"/>
                                <w:right w:val="none" w:sz="0" w:space="0" w:color="auto"/>
                              </w:divBdr>
                              <w:divsChild>
                                <w:div w:id="326520363">
                                  <w:marLeft w:val="0"/>
                                  <w:marRight w:val="0"/>
                                  <w:marTop w:val="0"/>
                                  <w:marBottom w:val="0"/>
                                  <w:divBdr>
                                    <w:top w:val="none" w:sz="0" w:space="0" w:color="auto"/>
                                    <w:left w:val="none" w:sz="0" w:space="0" w:color="auto"/>
                                    <w:bottom w:val="none" w:sz="0" w:space="0" w:color="auto"/>
                                    <w:right w:val="none" w:sz="0" w:space="0" w:color="auto"/>
                                  </w:divBdr>
                                  <w:divsChild>
                                    <w:div w:id="683434725">
                                      <w:marLeft w:val="0"/>
                                      <w:marRight w:val="0"/>
                                      <w:marTop w:val="0"/>
                                      <w:marBottom w:val="0"/>
                                      <w:divBdr>
                                        <w:top w:val="none" w:sz="0" w:space="0" w:color="auto"/>
                                        <w:left w:val="none" w:sz="0" w:space="0" w:color="auto"/>
                                        <w:bottom w:val="none" w:sz="0" w:space="0" w:color="auto"/>
                                        <w:right w:val="none" w:sz="0" w:space="0" w:color="auto"/>
                                      </w:divBdr>
                                      <w:divsChild>
                                        <w:div w:id="1962035066">
                                          <w:marLeft w:val="0"/>
                                          <w:marRight w:val="0"/>
                                          <w:marTop w:val="0"/>
                                          <w:marBottom w:val="495"/>
                                          <w:divBdr>
                                            <w:top w:val="none" w:sz="0" w:space="0" w:color="auto"/>
                                            <w:left w:val="none" w:sz="0" w:space="0" w:color="auto"/>
                                            <w:bottom w:val="none" w:sz="0" w:space="0" w:color="auto"/>
                                            <w:right w:val="none" w:sz="0" w:space="0" w:color="auto"/>
                                          </w:divBdr>
                                          <w:divsChild>
                                            <w:div w:id="37180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2510678">
      <w:bodyDiv w:val="1"/>
      <w:marLeft w:val="0"/>
      <w:marRight w:val="0"/>
      <w:marTop w:val="0"/>
      <w:marBottom w:val="0"/>
      <w:divBdr>
        <w:top w:val="none" w:sz="0" w:space="0" w:color="auto"/>
        <w:left w:val="none" w:sz="0" w:space="0" w:color="auto"/>
        <w:bottom w:val="none" w:sz="0" w:space="0" w:color="auto"/>
        <w:right w:val="none" w:sz="0" w:space="0" w:color="auto"/>
      </w:divBdr>
      <w:divsChild>
        <w:div w:id="1426804920">
          <w:marLeft w:val="0"/>
          <w:marRight w:val="0"/>
          <w:marTop w:val="0"/>
          <w:marBottom w:val="0"/>
          <w:divBdr>
            <w:top w:val="none" w:sz="0" w:space="0" w:color="auto"/>
            <w:left w:val="none" w:sz="0" w:space="0" w:color="auto"/>
            <w:bottom w:val="none" w:sz="0" w:space="0" w:color="auto"/>
            <w:right w:val="none" w:sz="0" w:space="0" w:color="auto"/>
          </w:divBdr>
          <w:divsChild>
            <w:div w:id="667172874">
              <w:marLeft w:val="0"/>
              <w:marRight w:val="0"/>
              <w:marTop w:val="0"/>
              <w:marBottom w:val="0"/>
              <w:divBdr>
                <w:top w:val="none" w:sz="0" w:space="0" w:color="auto"/>
                <w:left w:val="none" w:sz="0" w:space="0" w:color="auto"/>
                <w:bottom w:val="none" w:sz="0" w:space="0" w:color="auto"/>
                <w:right w:val="none" w:sz="0" w:space="0" w:color="auto"/>
              </w:divBdr>
              <w:divsChild>
                <w:div w:id="1217621347">
                  <w:marLeft w:val="0"/>
                  <w:marRight w:val="0"/>
                  <w:marTop w:val="0"/>
                  <w:marBottom w:val="0"/>
                  <w:divBdr>
                    <w:top w:val="none" w:sz="0" w:space="0" w:color="auto"/>
                    <w:left w:val="none" w:sz="0" w:space="0" w:color="auto"/>
                    <w:bottom w:val="none" w:sz="0" w:space="0" w:color="auto"/>
                    <w:right w:val="none" w:sz="0" w:space="0" w:color="auto"/>
                  </w:divBdr>
                  <w:divsChild>
                    <w:div w:id="1279145159">
                      <w:marLeft w:val="0"/>
                      <w:marRight w:val="0"/>
                      <w:marTop w:val="0"/>
                      <w:marBottom w:val="0"/>
                      <w:divBdr>
                        <w:top w:val="none" w:sz="0" w:space="0" w:color="auto"/>
                        <w:left w:val="none" w:sz="0" w:space="0" w:color="auto"/>
                        <w:bottom w:val="none" w:sz="0" w:space="0" w:color="auto"/>
                        <w:right w:val="none" w:sz="0" w:space="0" w:color="auto"/>
                      </w:divBdr>
                      <w:divsChild>
                        <w:div w:id="1483933535">
                          <w:marLeft w:val="0"/>
                          <w:marRight w:val="0"/>
                          <w:marTop w:val="0"/>
                          <w:marBottom w:val="0"/>
                          <w:divBdr>
                            <w:top w:val="none" w:sz="0" w:space="0" w:color="auto"/>
                            <w:left w:val="none" w:sz="0" w:space="0" w:color="auto"/>
                            <w:bottom w:val="none" w:sz="0" w:space="0" w:color="auto"/>
                            <w:right w:val="none" w:sz="0" w:space="0" w:color="auto"/>
                          </w:divBdr>
                          <w:divsChild>
                            <w:div w:id="1415740213">
                              <w:marLeft w:val="0"/>
                              <w:marRight w:val="0"/>
                              <w:marTop w:val="0"/>
                              <w:marBottom w:val="0"/>
                              <w:divBdr>
                                <w:top w:val="none" w:sz="0" w:space="0" w:color="auto"/>
                                <w:left w:val="none" w:sz="0" w:space="0" w:color="auto"/>
                                <w:bottom w:val="none" w:sz="0" w:space="0" w:color="auto"/>
                                <w:right w:val="none" w:sz="0" w:space="0" w:color="auto"/>
                              </w:divBdr>
                              <w:divsChild>
                                <w:div w:id="1090347174">
                                  <w:marLeft w:val="0"/>
                                  <w:marRight w:val="0"/>
                                  <w:marTop w:val="0"/>
                                  <w:marBottom w:val="0"/>
                                  <w:divBdr>
                                    <w:top w:val="none" w:sz="0" w:space="0" w:color="auto"/>
                                    <w:left w:val="none" w:sz="0" w:space="0" w:color="auto"/>
                                    <w:bottom w:val="none" w:sz="0" w:space="0" w:color="auto"/>
                                    <w:right w:val="none" w:sz="0" w:space="0" w:color="auto"/>
                                  </w:divBdr>
                                  <w:divsChild>
                                    <w:div w:id="1184170803">
                                      <w:marLeft w:val="0"/>
                                      <w:marRight w:val="0"/>
                                      <w:marTop w:val="0"/>
                                      <w:marBottom w:val="0"/>
                                      <w:divBdr>
                                        <w:top w:val="none" w:sz="0" w:space="0" w:color="auto"/>
                                        <w:left w:val="none" w:sz="0" w:space="0" w:color="auto"/>
                                        <w:bottom w:val="none" w:sz="0" w:space="0" w:color="auto"/>
                                        <w:right w:val="none" w:sz="0" w:space="0" w:color="auto"/>
                                      </w:divBdr>
                                      <w:divsChild>
                                        <w:div w:id="694115973">
                                          <w:marLeft w:val="0"/>
                                          <w:marRight w:val="0"/>
                                          <w:marTop w:val="0"/>
                                          <w:marBottom w:val="495"/>
                                          <w:divBdr>
                                            <w:top w:val="none" w:sz="0" w:space="0" w:color="auto"/>
                                            <w:left w:val="none" w:sz="0" w:space="0" w:color="auto"/>
                                            <w:bottom w:val="none" w:sz="0" w:space="0" w:color="auto"/>
                                            <w:right w:val="none" w:sz="0" w:space="0" w:color="auto"/>
                                          </w:divBdr>
                                          <w:divsChild>
                                            <w:div w:id="44971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5244684">
      <w:bodyDiv w:val="1"/>
      <w:marLeft w:val="0"/>
      <w:marRight w:val="0"/>
      <w:marTop w:val="0"/>
      <w:marBottom w:val="0"/>
      <w:divBdr>
        <w:top w:val="none" w:sz="0" w:space="0" w:color="auto"/>
        <w:left w:val="none" w:sz="0" w:space="0" w:color="auto"/>
        <w:bottom w:val="none" w:sz="0" w:space="0" w:color="auto"/>
        <w:right w:val="none" w:sz="0" w:space="0" w:color="auto"/>
      </w:divBdr>
      <w:divsChild>
        <w:div w:id="1106728217">
          <w:marLeft w:val="0"/>
          <w:marRight w:val="0"/>
          <w:marTop w:val="0"/>
          <w:marBottom w:val="0"/>
          <w:divBdr>
            <w:top w:val="none" w:sz="0" w:space="0" w:color="auto"/>
            <w:left w:val="none" w:sz="0" w:space="0" w:color="auto"/>
            <w:bottom w:val="none" w:sz="0" w:space="0" w:color="auto"/>
            <w:right w:val="none" w:sz="0" w:space="0" w:color="auto"/>
          </w:divBdr>
          <w:divsChild>
            <w:div w:id="384334074">
              <w:marLeft w:val="0"/>
              <w:marRight w:val="0"/>
              <w:marTop w:val="0"/>
              <w:marBottom w:val="0"/>
              <w:divBdr>
                <w:top w:val="none" w:sz="0" w:space="0" w:color="auto"/>
                <w:left w:val="none" w:sz="0" w:space="0" w:color="auto"/>
                <w:bottom w:val="none" w:sz="0" w:space="0" w:color="auto"/>
                <w:right w:val="none" w:sz="0" w:space="0" w:color="auto"/>
              </w:divBdr>
              <w:divsChild>
                <w:div w:id="595678234">
                  <w:marLeft w:val="0"/>
                  <w:marRight w:val="0"/>
                  <w:marTop w:val="0"/>
                  <w:marBottom w:val="0"/>
                  <w:divBdr>
                    <w:top w:val="none" w:sz="0" w:space="0" w:color="auto"/>
                    <w:left w:val="none" w:sz="0" w:space="0" w:color="auto"/>
                    <w:bottom w:val="none" w:sz="0" w:space="0" w:color="auto"/>
                    <w:right w:val="none" w:sz="0" w:space="0" w:color="auto"/>
                  </w:divBdr>
                  <w:divsChild>
                    <w:div w:id="829953597">
                      <w:marLeft w:val="0"/>
                      <w:marRight w:val="0"/>
                      <w:marTop w:val="0"/>
                      <w:marBottom w:val="0"/>
                      <w:divBdr>
                        <w:top w:val="none" w:sz="0" w:space="0" w:color="auto"/>
                        <w:left w:val="none" w:sz="0" w:space="0" w:color="auto"/>
                        <w:bottom w:val="none" w:sz="0" w:space="0" w:color="auto"/>
                        <w:right w:val="none" w:sz="0" w:space="0" w:color="auto"/>
                      </w:divBdr>
                      <w:divsChild>
                        <w:div w:id="180093870">
                          <w:marLeft w:val="0"/>
                          <w:marRight w:val="0"/>
                          <w:marTop w:val="0"/>
                          <w:marBottom w:val="0"/>
                          <w:divBdr>
                            <w:top w:val="none" w:sz="0" w:space="0" w:color="auto"/>
                            <w:left w:val="none" w:sz="0" w:space="0" w:color="auto"/>
                            <w:bottom w:val="none" w:sz="0" w:space="0" w:color="auto"/>
                            <w:right w:val="none" w:sz="0" w:space="0" w:color="auto"/>
                          </w:divBdr>
                          <w:divsChild>
                            <w:div w:id="604272729">
                              <w:marLeft w:val="0"/>
                              <w:marRight w:val="0"/>
                              <w:marTop w:val="0"/>
                              <w:marBottom w:val="0"/>
                              <w:divBdr>
                                <w:top w:val="none" w:sz="0" w:space="0" w:color="auto"/>
                                <w:left w:val="none" w:sz="0" w:space="0" w:color="auto"/>
                                <w:bottom w:val="none" w:sz="0" w:space="0" w:color="auto"/>
                                <w:right w:val="none" w:sz="0" w:space="0" w:color="auto"/>
                              </w:divBdr>
                              <w:divsChild>
                                <w:div w:id="1129472785">
                                  <w:marLeft w:val="0"/>
                                  <w:marRight w:val="0"/>
                                  <w:marTop w:val="0"/>
                                  <w:marBottom w:val="0"/>
                                  <w:divBdr>
                                    <w:top w:val="none" w:sz="0" w:space="0" w:color="auto"/>
                                    <w:left w:val="none" w:sz="0" w:space="0" w:color="auto"/>
                                    <w:bottom w:val="none" w:sz="0" w:space="0" w:color="auto"/>
                                    <w:right w:val="none" w:sz="0" w:space="0" w:color="auto"/>
                                  </w:divBdr>
                                  <w:divsChild>
                                    <w:div w:id="70582994">
                                      <w:marLeft w:val="0"/>
                                      <w:marRight w:val="0"/>
                                      <w:marTop w:val="0"/>
                                      <w:marBottom w:val="0"/>
                                      <w:divBdr>
                                        <w:top w:val="none" w:sz="0" w:space="0" w:color="auto"/>
                                        <w:left w:val="none" w:sz="0" w:space="0" w:color="auto"/>
                                        <w:bottom w:val="none" w:sz="0" w:space="0" w:color="auto"/>
                                        <w:right w:val="none" w:sz="0" w:space="0" w:color="auto"/>
                                      </w:divBdr>
                                      <w:divsChild>
                                        <w:div w:id="1367221994">
                                          <w:marLeft w:val="0"/>
                                          <w:marRight w:val="0"/>
                                          <w:marTop w:val="0"/>
                                          <w:marBottom w:val="495"/>
                                          <w:divBdr>
                                            <w:top w:val="none" w:sz="0" w:space="0" w:color="auto"/>
                                            <w:left w:val="none" w:sz="0" w:space="0" w:color="auto"/>
                                            <w:bottom w:val="none" w:sz="0" w:space="0" w:color="auto"/>
                                            <w:right w:val="none" w:sz="0" w:space="0" w:color="auto"/>
                                          </w:divBdr>
                                          <w:divsChild>
                                            <w:div w:id="164823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7848527">
      <w:bodyDiv w:val="1"/>
      <w:marLeft w:val="0"/>
      <w:marRight w:val="0"/>
      <w:marTop w:val="0"/>
      <w:marBottom w:val="0"/>
      <w:divBdr>
        <w:top w:val="none" w:sz="0" w:space="0" w:color="auto"/>
        <w:left w:val="none" w:sz="0" w:space="0" w:color="auto"/>
        <w:bottom w:val="none" w:sz="0" w:space="0" w:color="auto"/>
        <w:right w:val="none" w:sz="0" w:space="0" w:color="auto"/>
      </w:divBdr>
      <w:divsChild>
        <w:div w:id="240331467">
          <w:marLeft w:val="0"/>
          <w:marRight w:val="0"/>
          <w:marTop w:val="0"/>
          <w:marBottom w:val="0"/>
          <w:divBdr>
            <w:top w:val="none" w:sz="0" w:space="0" w:color="auto"/>
            <w:left w:val="none" w:sz="0" w:space="0" w:color="auto"/>
            <w:bottom w:val="none" w:sz="0" w:space="0" w:color="auto"/>
            <w:right w:val="none" w:sz="0" w:space="0" w:color="auto"/>
          </w:divBdr>
          <w:divsChild>
            <w:div w:id="2065371728">
              <w:marLeft w:val="0"/>
              <w:marRight w:val="0"/>
              <w:marTop w:val="0"/>
              <w:marBottom w:val="0"/>
              <w:divBdr>
                <w:top w:val="none" w:sz="0" w:space="0" w:color="auto"/>
                <w:left w:val="none" w:sz="0" w:space="0" w:color="auto"/>
                <w:bottom w:val="none" w:sz="0" w:space="0" w:color="auto"/>
                <w:right w:val="none" w:sz="0" w:space="0" w:color="auto"/>
              </w:divBdr>
              <w:divsChild>
                <w:div w:id="1687904846">
                  <w:marLeft w:val="0"/>
                  <w:marRight w:val="0"/>
                  <w:marTop w:val="0"/>
                  <w:marBottom w:val="0"/>
                  <w:divBdr>
                    <w:top w:val="none" w:sz="0" w:space="0" w:color="auto"/>
                    <w:left w:val="none" w:sz="0" w:space="0" w:color="auto"/>
                    <w:bottom w:val="none" w:sz="0" w:space="0" w:color="auto"/>
                    <w:right w:val="none" w:sz="0" w:space="0" w:color="auto"/>
                  </w:divBdr>
                  <w:divsChild>
                    <w:div w:id="1386834313">
                      <w:marLeft w:val="0"/>
                      <w:marRight w:val="0"/>
                      <w:marTop w:val="0"/>
                      <w:marBottom w:val="0"/>
                      <w:divBdr>
                        <w:top w:val="none" w:sz="0" w:space="0" w:color="auto"/>
                        <w:left w:val="none" w:sz="0" w:space="0" w:color="auto"/>
                        <w:bottom w:val="none" w:sz="0" w:space="0" w:color="auto"/>
                        <w:right w:val="none" w:sz="0" w:space="0" w:color="auto"/>
                      </w:divBdr>
                      <w:divsChild>
                        <w:div w:id="812597688">
                          <w:marLeft w:val="0"/>
                          <w:marRight w:val="0"/>
                          <w:marTop w:val="0"/>
                          <w:marBottom w:val="0"/>
                          <w:divBdr>
                            <w:top w:val="none" w:sz="0" w:space="0" w:color="auto"/>
                            <w:left w:val="none" w:sz="0" w:space="0" w:color="auto"/>
                            <w:bottom w:val="none" w:sz="0" w:space="0" w:color="auto"/>
                            <w:right w:val="none" w:sz="0" w:space="0" w:color="auto"/>
                          </w:divBdr>
                          <w:divsChild>
                            <w:div w:id="435759452">
                              <w:marLeft w:val="0"/>
                              <w:marRight w:val="0"/>
                              <w:marTop w:val="0"/>
                              <w:marBottom w:val="0"/>
                              <w:divBdr>
                                <w:top w:val="none" w:sz="0" w:space="0" w:color="auto"/>
                                <w:left w:val="none" w:sz="0" w:space="0" w:color="auto"/>
                                <w:bottom w:val="none" w:sz="0" w:space="0" w:color="auto"/>
                                <w:right w:val="none" w:sz="0" w:space="0" w:color="auto"/>
                              </w:divBdr>
                              <w:divsChild>
                                <w:div w:id="4018833">
                                  <w:marLeft w:val="0"/>
                                  <w:marRight w:val="0"/>
                                  <w:marTop w:val="0"/>
                                  <w:marBottom w:val="0"/>
                                  <w:divBdr>
                                    <w:top w:val="none" w:sz="0" w:space="0" w:color="auto"/>
                                    <w:left w:val="none" w:sz="0" w:space="0" w:color="auto"/>
                                    <w:bottom w:val="none" w:sz="0" w:space="0" w:color="auto"/>
                                    <w:right w:val="none" w:sz="0" w:space="0" w:color="auto"/>
                                  </w:divBdr>
                                  <w:divsChild>
                                    <w:div w:id="1547139631">
                                      <w:marLeft w:val="0"/>
                                      <w:marRight w:val="0"/>
                                      <w:marTop w:val="0"/>
                                      <w:marBottom w:val="0"/>
                                      <w:divBdr>
                                        <w:top w:val="none" w:sz="0" w:space="0" w:color="auto"/>
                                        <w:left w:val="none" w:sz="0" w:space="0" w:color="auto"/>
                                        <w:bottom w:val="none" w:sz="0" w:space="0" w:color="auto"/>
                                        <w:right w:val="none" w:sz="0" w:space="0" w:color="auto"/>
                                      </w:divBdr>
                                      <w:divsChild>
                                        <w:div w:id="1347053694">
                                          <w:marLeft w:val="0"/>
                                          <w:marRight w:val="0"/>
                                          <w:marTop w:val="0"/>
                                          <w:marBottom w:val="495"/>
                                          <w:divBdr>
                                            <w:top w:val="none" w:sz="0" w:space="0" w:color="auto"/>
                                            <w:left w:val="none" w:sz="0" w:space="0" w:color="auto"/>
                                            <w:bottom w:val="none" w:sz="0" w:space="0" w:color="auto"/>
                                            <w:right w:val="none" w:sz="0" w:space="0" w:color="auto"/>
                                          </w:divBdr>
                                          <w:divsChild>
                                            <w:div w:id="207323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7452777">
      <w:bodyDiv w:val="1"/>
      <w:marLeft w:val="0"/>
      <w:marRight w:val="0"/>
      <w:marTop w:val="0"/>
      <w:marBottom w:val="0"/>
      <w:divBdr>
        <w:top w:val="none" w:sz="0" w:space="0" w:color="auto"/>
        <w:left w:val="none" w:sz="0" w:space="0" w:color="auto"/>
        <w:bottom w:val="none" w:sz="0" w:space="0" w:color="auto"/>
        <w:right w:val="none" w:sz="0" w:space="0" w:color="auto"/>
      </w:divBdr>
      <w:divsChild>
        <w:div w:id="1339845639">
          <w:marLeft w:val="0"/>
          <w:marRight w:val="0"/>
          <w:marTop w:val="0"/>
          <w:marBottom w:val="0"/>
          <w:divBdr>
            <w:top w:val="none" w:sz="0" w:space="0" w:color="auto"/>
            <w:left w:val="none" w:sz="0" w:space="0" w:color="auto"/>
            <w:bottom w:val="none" w:sz="0" w:space="0" w:color="auto"/>
            <w:right w:val="none" w:sz="0" w:space="0" w:color="auto"/>
          </w:divBdr>
          <w:divsChild>
            <w:div w:id="101001141">
              <w:marLeft w:val="0"/>
              <w:marRight w:val="0"/>
              <w:marTop w:val="0"/>
              <w:marBottom w:val="0"/>
              <w:divBdr>
                <w:top w:val="none" w:sz="0" w:space="0" w:color="auto"/>
                <w:left w:val="none" w:sz="0" w:space="0" w:color="auto"/>
                <w:bottom w:val="none" w:sz="0" w:space="0" w:color="auto"/>
                <w:right w:val="none" w:sz="0" w:space="0" w:color="auto"/>
              </w:divBdr>
              <w:divsChild>
                <w:div w:id="1972325648">
                  <w:marLeft w:val="0"/>
                  <w:marRight w:val="0"/>
                  <w:marTop w:val="0"/>
                  <w:marBottom w:val="0"/>
                  <w:divBdr>
                    <w:top w:val="none" w:sz="0" w:space="0" w:color="auto"/>
                    <w:left w:val="none" w:sz="0" w:space="0" w:color="auto"/>
                    <w:bottom w:val="none" w:sz="0" w:space="0" w:color="auto"/>
                    <w:right w:val="none" w:sz="0" w:space="0" w:color="auto"/>
                  </w:divBdr>
                  <w:divsChild>
                    <w:div w:id="2010407515">
                      <w:marLeft w:val="0"/>
                      <w:marRight w:val="0"/>
                      <w:marTop w:val="0"/>
                      <w:marBottom w:val="0"/>
                      <w:divBdr>
                        <w:top w:val="none" w:sz="0" w:space="0" w:color="auto"/>
                        <w:left w:val="none" w:sz="0" w:space="0" w:color="auto"/>
                        <w:bottom w:val="none" w:sz="0" w:space="0" w:color="auto"/>
                        <w:right w:val="none" w:sz="0" w:space="0" w:color="auto"/>
                      </w:divBdr>
                      <w:divsChild>
                        <w:div w:id="1612130263">
                          <w:marLeft w:val="0"/>
                          <w:marRight w:val="0"/>
                          <w:marTop w:val="0"/>
                          <w:marBottom w:val="0"/>
                          <w:divBdr>
                            <w:top w:val="none" w:sz="0" w:space="0" w:color="auto"/>
                            <w:left w:val="none" w:sz="0" w:space="0" w:color="auto"/>
                            <w:bottom w:val="none" w:sz="0" w:space="0" w:color="auto"/>
                            <w:right w:val="none" w:sz="0" w:space="0" w:color="auto"/>
                          </w:divBdr>
                          <w:divsChild>
                            <w:div w:id="2096778228">
                              <w:marLeft w:val="0"/>
                              <w:marRight w:val="0"/>
                              <w:marTop w:val="0"/>
                              <w:marBottom w:val="0"/>
                              <w:divBdr>
                                <w:top w:val="none" w:sz="0" w:space="0" w:color="auto"/>
                                <w:left w:val="none" w:sz="0" w:space="0" w:color="auto"/>
                                <w:bottom w:val="none" w:sz="0" w:space="0" w:color="auto"/>
                                <w:right w:val="none" w:sz="0" w:space="0" w:color="auto"/>
                              </w:divBdr>
                              <w:divsChild>
                                <w:div w:id="22101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2578115">
      <w:bodyDiv w:val="1"/>
      <w:marLeft w:val="0"/>
      <w:marRight w:val="0"/>
      <w:marTop w:val="0"/>
      <w:marBottom w:val="0"/>
      <w:divBdr>
        <w:top w:val="none" w:sz="0" w:space="0" w:color="auto"/>
        <w:left w:val="none" w:sz="0" w:space="0" w:color="auto"/>
        <w:bottom w:val="none" w:sz="0" w:space="0" w:color="auto"/>
        <w:right w:val="none" w:sz="0" w:space="0" w:color="auto"/>
      </w:divBdr>
    </w:div>
    <w:div w:id="1196190022">
      <w:bodyDiv w:val="1"/>
      <w:marLeft w:val="0"/>
      <w:marRight w:val="0"/>
      <w:marTop w:val="0"/>
      <w:marBottom w:val="0"/>
      <w:divBdr>
        <w:top w:val="none" w:sz="0" w:space="0" w:color="auto"/>
        <w:left w:val="none" w:sz="0" w:space="0" w:color="auto"/>
        <w:bottom w:val="none" w:sz="0" w:space="0" w:color="auto"/>
        <w:right w:val="none" w:sz="0" w:space="0" w:color="auto"/>
      </w:divBdr>
    </w:div>
    <w:div w:id="1227958973">
      <w:bodyDiv w:val="1"/>
      <w:marLeft w:val="0"/>
      <w:marRight w:val="0"/>
      <w:marTop w:val="0"/>
      <w:marBottom w:val="0"/>
      <w:divBdr>
        <w:top w:val="none" w:sz="0" w:space="0" w:color="auto"/>
        <w:left w:val="none" w:sz="0" w:space="0" w:color="auto"/>
        <w:bottom w:val="none" w:sz="0" w:space="0" w:color="auto"/>
        <w:right w:val="none" w:sz="0" w:space="0" w:color="auto"/>
      </w:divBdr>
      <w:divsChild>
        <w:div w:id="2066373623">
          <w:marLeft w:val="0"/>
          <w:marRight w:val="0"/>
          <w:marTop w:val="0"/>
          <w:marBottom w:val="0"/>
          <w:divBdr>
            <w:top w:val="none" w:sz="0" w:space="0" w:color="auto"/>
            <w:left w:val="none" w:sz="0" w:space="0" w:color="auto"/>
            <w:bottom w:val="none" w:sz="0" w:space="0" w:color="auto"/>
            <w:right w:val="none" w:sz="0" w:space="0" w:color="auto"/>
          </w:divBdr>
          <w:divsChild>
            <w:div w:id="95030473">
              <w:marLeft w:val="0"/>
              <w:marRight w:val="0"/>
              <w:marTop w:val="0"/>
              <w:marBottom w:val="0"/>
              <w:divBdr>
                <w:top w:val="none" w:sz="0" w:space="0" w:color="auto"/>
                <w:left w:val="none" w:sz="0" w:space="0" w:color="auto"/>
                <w:bottom w:val="none" w:sz="0" w:space="0" w:color="auto"/>
                <w:right w:val="none" w:sz="0" w:space="0" w:color="auto"/>
              </w:divBdr>
              <w:divsChild>
                <w:div w:id="1521703422">
                  <w:marLeft w:val="0"/>
                  <w:marRight w:val="0"/>
                  <w:marTop w:val="0"/>
                  <w:marBottom w:val="0"/>
                  <w:divBdr>
                    <w:top w:val="none" w:sz="0" w:space="0" w:color="auto"/>
                    <w:left w:val="none" w:sz="0" w:space="0" w:color="auto"/>
                    <w:bottom w:val="none" w:sz="0" w:space="0" w:color="auto"/>
                    <w:right w:val="none" w:sz="0" w:space="0" w:color="auto"/>
                  </w:divBdr>
                  <w:divsChild>
                    <w:div w:id="1526210464">
                      <w:marLeft w:val="0"/>
                      <w:marRight w:val="0"/>
                      <w:marTop w:val="0"/>
                      <w:marBottom w:val="0"/>
                      <w:divBdr>
                        <w:top w:val="none" w:sz="0" w:space="0" w:color="auto"/>
                        <w:left w:val="none" w:sz="0" w:space="0" w:color="auto"/>
                        <w:bottom w:val="none" w:sz="0" w:space="0" w:color="auto"/>
                        <w:right w:val="none" w:sz="0" w:space="0" w:color="auto"/>
                      </w:divBdr>
                      <w:divsChild>
                        <w:div w:id="616136358">
                          <w:marLeft w:val="0"/>
                          <w:marRight w:val="0"/>
                          <w:marTop w:val="0"/>
                          <w:marBottom w:val="0"/>
                          <w:divBdr>
                            <w:top w:val="none" w:sz="0" w:space="0" w:color="auto"/>
                            <w:left w:val="none" w:sz="0" w:space="0" w:color="auto"/>
                            <w:bottom w:val="none" w:sz="0" w:space="0" w:color="auto"/>
                            <w:right w:val="none" w:sz="0" w:space="0" w:color="auto"/>
                          </w:divBdr>
                          <w:divsChild>
                            <w:div w:id="35396751">
                              <w:marLeft w:val="0"/>
                              <w:marRight w:val="0"/>
                              <w:marTop w:val="0"/>
                              <w:marBottom w:val="0"/>
                              <w:divBdr>
                                <w:top w:val="none" w:sz="0" w:space="0" w:color="auto"/>
                                <w:left w:val="none" w:sz="0" w:space="0" w:color="auto"/>
                                <w:bottom w:val="none" w:sz="0" w:space="0" w:color="auto"/>
                                <w:right w:val="none" w:sz="0" w:space="0" w:color="auto"/>
                              </w:divBdr>
                              <w:divsChild>
                                <w:div w:id="974532534">
                                  <w:marLeft w:val="0"/>
                                  <w:marRight w:val="0"/>
                                  <w:marTop w:val="0"/>
                                  <w:marBottom w:val="0"/>
                                  <w:divBdr>
                                    <w:top w:val="none" w:sz="0" w:space="0" w:color="auto"/>
                                    <w:left w:val="none" w:sz="0" w:space="0" w:color="auto"/>
                                    <w:bottom w:val="none" w:sz="0" w:space="0" w:color="auto"/>
                                    <w:right w:val="none" w:sz="0" w:space="0" w:color="auto"/>
                                  </w:divBdr>
                                  <w:divsChild>
                                    <w:div w:id="1144153640">
                                      <w:marLeft w:val="0"/>
                                      <w:marRight w:val="0"/>
                                      <w:marTop w:val="0"/>
                                      <w:marBottom w:val="0"/>
                                      <w:divBdr>
                                        <w:top w:val="none" w:sz="0" w:space="0" w:color="auto"/>
                                        <w:left w:val="none" w:sz="0" w:space="0" w:color="auto"/>
                                        <w:bottom w:val="none" w:sz="0" w:space="0" w:color="auto"/>
                                        <w:right w:val="none" w:sz="0" w:space="0" w:color="auto"/>
                                      </w:divBdr>
                                      <w:divsChild>
                                        <w:div w:id="1884173834">
                                          <w:marLeft w:val="0"/>
                                          <w:marRight w:val="0"/>
                                          <w:marTop w:val="0"/>
                                          <w:marBottom w:val="495"/>
                                          <w:divBdr>
                                            <w:top w:val="none" w:sz="0" w:space="0" w:color="auto"/>
                                            <w:left w:val="none" w:sz="0" w:space="0" w:color="auto"/>
                                            <w:bottom w:val="none" w:sz="0" w:space="0" w:color="auto"/>
                                            <w:right w:val="none" w:sz="0" w:space="0" w:color="auto"/>
                                          </w:divBdr>
                                          <w:divsChild>
                                            <w:div w:id="46250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66616412">
      <w:bodyDiv w:val="1"/>
      <w:marLeft w:val="0"/>
      <w:marRight w:val="0"/>
      <w:marTop w:val="0"/>
      <w:marBottom w:val="0"/>
      <w:divBdr>
        <w:top w:val="none" w:sz="0" w:space="0" w:color="auto"/>
        <w:left w:val="none" w:sz="0" w:space="0" w:color="auto"/>
        <w:bottom w:val="none" w:sz="0" w:space="0" w:color="auto"/>
        <w:right w:val="none" w:sz="0" w:space="0" w:color="auto"/>
      </w:divBdr>
      <w:divsChild>
        <w:div w:id="791241026">
          <w:marLeft w:val="0"/>
          <w:marRight w:val="0"/>
          <w:marTop w:val="0"/>
          <w:marBottom w:val="0"/>
          <w:divBdr>
            <w:top w:val="none" w:sz="0" w:space="0" w:color="auto"/>
            <w:left w:val="none" w:sz="0" w:space="0" w:color="auto"/>
            <w:bottom w:val="none" w:sz="0" w:space="0" w:color="auto"/>
            <w:right w:val="none" w:sz="0" w:space="0" w:color="auto"/>
          </w:divBdr>
          <w:divsChild>
            <w:div w:id="287588845">
              <w:marLeft w:val="0"/>
              <w:marRight w:val="0"/>
              <w:marTop w:val="0"/>
              <w:marBottom w:val="0"/>
              <w:divBdr>
                <w:top w:val="none" w:sz="0" w:space="0" w:color="auto"/>
                <w:left w:val="none" w:sz="0" w:space="0" w:color="auto"/>
                <w:bottom w:val="none" w:sz="0" w:space="0" w:color="auto"/>
                <w:right w:val="none" w:sz="0" w:space="0" w:color="auto"/>
              </w:divBdr>
              <w:divsChild>
                <w:div w:id="514609862">
                  <w:marLeft w:val="0"/>
                  <w:marRight w:val="0"/>
                  <w:marTop w:val="0"/>
                  <w:marBottom w:val="0"/>
                  <w:divBdr>
                    <w:top w:val="none" w:sz="0" w:space="0" w:color="auto"/>
                    <w:left w:val="none" w:sz="0" w:space="0" w:color="auto"/>
                    <w:bottom w:val="none" w:sz="0" w:space="0" w:color="auto"/>
                    <w:right w:val="none" w:sz="0" w:space="0" w:color="auto"/>
                  </w:divBdr>
                  <w:divsChild>
                    <w:div w:id="1851017789">
                      <w:marLeft w:val="0"/>
                      <w:marRight w:val="0"/>
                      <w:marTop w:val="0"/>
                      <w:marBottom w:val="0"/>
                      <w:divBdr>
                        <w:top w:val="none" w:sz="0" w:space="0" w:color="auto"/>
                        <w:left w:val="none" w:sz="0" w:space="0" w:color="auto"/>
                        <w:bottom w:val="none" w:sz="0" w:space="0" w:color="auto"/>
                        <w:right w:val="none" w:sz="0" w:space="0" w:color="auto"/>
                      </w:divBdr>
                      <w:divsChild>
                        <w:div w:id="1465932045">
                          <w:marLeft w:val="0"/>
                          <w:marRight w:val="0"/>
                          <w:marTop w:val="0"/>
                          <w:marBottom w:val="0"/>
                          <w:divBdr>
                            <w:top w:val="none" w:sz="0" w:space="0" w:color="auto"/>
                            <w:left w:val="none" w:sz="0" w:space="0" w:color="auto"/>
                            <w:bottom w:val="none" w:sz="0" w:space="0" w:color="auto"/>
                            <w:right w:val="none" w:sz="0" w:space="0" w:color="auto"/>
                          </w:divBdr>
                          <w:divsChild>
                            <w:div w:id="315692086">
                              <w:marLeft w:val="0"/>
                              <w:marRight w:val="0"/>
                              <w:marTop w:val="0"/>
                              <w:marBottom w:val="0"/>
                              <w:divBdr>
                                <w:top w:val="none" w:sz="0" w:space="0" w:color="auto"/>
                                <w:left w:val="none" w:sz="0" w:space="0" w:color="auto"/>
                                <w:bottom w:val="none" w:sz="0" w:space="0" w:color="auto"/>
                                <w:right w:val="none" w:sz="0" w:space="0" w:color="auto"/>
                              </w:divBdr>
                              <w:divsChild>
                                <w:div w:id="2113042000">
                                  <w:marLeft w:val="0"/>
                                  <w:marRight w:val="0"/>
                                  <w:marTop w:val="0"/>
                                  <w:marBottom w:val="0"/>
                                  <w:divBdr>
                                    <w:top w:val="none" w:sz="0" w:space="0" w:color="auto"/>
                                    <w:left w:val="none" w:sz="0" w:space="0" w:color="auto"/>
                                    <w:bottom w:val="none" w:sz="0" w:space="0" w:color="auto"/>
                                    <w:right w:val="none" w:sz="0" w:space="0" w:color="auto"/>
                                  </w:divBdr>
                                  <w:divsChild>
                                    <w:div w:id="1458449017">
                                      <w:marLeft w:val="0"/>
                                      <w:marRight w:val="0"/>
                                      <w:marTop w:val="0"/>
                                      <w:marBottom w:val="0"/>
                                      <w:divBdr>
                                        <w:top w:val="none" w:sz="0" w:space="0" w:color="auto"/>
                                        <w:left w:val="none" w:sz="0" w:space="0" w:color="auto"/>
                                        <w:bottom w:val="none" w:sz="0" w:space="0" w:color="auto"/>
                                        <w:right w:val="none" w:sz="0" w:space="0" w:color="auto"/>
                                      </w:divBdr>
                                      <w:divsChild>
                                        <w:div w:id="943734557">
                                          <w:marLeft w:val="0"/>
                                          <w:marRight w:val="0"/>
                                          <w:marTop w:val="0"/>
                                          <w:marBottom w:val="495"/>
                                          <w:divBdr>
                                            <w:top w:val="none" w:sz="0" w:space="0" w:color="auto"/>
                                            <w:left w:val="none" w:sz="0" w:space="0" w:color="auto"/>
                                            <w:bottom w:val="none" w:sz="0" w:space="0" w:color="auto"/>
                                            <w:right w:val="none" w:sz="0" w:space="0" w:color="auto"/>
                                          </w:divBdr>
                                          <w:divsChild>
                                            <w:div w:id="13422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72205876">
      <w:bodyDiv w:val="1"/>
      <w:marLeft w:val="0"/>
      <w:marRight w:val="0"/>
      <w:marTop w:val="0"/>
      <w:marBottom w:val="0"/>
      <w:divBdr>
        <w:top w:val="none" w:sz="0" w:space="0" w:color="auto"/>
        <w:left w:val="none" w:sz="0" w:space="0" w:color="auto"/>
        <w:bottom w:val="none" w:sz="0" w:space="0" w:color="auto"/>
        <w:right w:val="none" w:sz="0" w:space="0" w:color="auto"/>
      </w:divBdr>
      <w:divsChild>
        <w:div w:id="450980126">
          <w:marLeft w:val="0"/>
          <w:marRight w:val="0"/>
          <w:marTop w:val="0"/>
          <w:marBottom w:val="0"/>
          <w:divBdr>
            <w:top w:val="none" w:sz="0" w:space="0" w:color="auto"/>
            <w:left w:val="none" w:sz="0" w:space="0" w:color="auto"/>
            <w:bottom w:val="none" w:sz="0" w:space="0" w:color="auto"/>
            <w:right w:val="none" w:sz="0" w:space="0" w:color="auto"/>
          </w:divBdr>
          <w:divsChild>
            <w:div w:id="650182717">
              <w:marLeft w:val="0"/>
              <w:marRight w:val="0"/>
              <w:marTop w:val="0"/>
              <w:marBottom w:val="0"/>
              <w:divBdr>
                <w:top w:val="none" w:sz="0" w:space="0" w:color="auto"/>
                <w:left w:val="none" w:sz="0" w:space="0" w:color="auto"/>
                <w:bottom w:val="none" w:sz="0" w:space="0" w:color="auto"/>
                <w:right w:val="none" w:sz="0" w:space="0" w:color="auto"/>
              </w:divBdr>
              <w:divsChild>
                <w:div w:id="1234047675">
                  <w:marLeft w:val="0"/>
                  <w:marRight w:val="0"/>
                  <w:marTop w:val="0"/>
                  <w:marBottom w:val="0"/>
                  <w:divBdr>
                    <w:top w:val="none" w:sz="0" w:space="0" w:color="auto"/>
                    <w:left w:val="none" w:sz="0" w:space="0" w:color="auto"/>
                    <w:bottom w:val="none" w:sz="0" w:space="0" w:color="auto"/>
                    <w:right w:val="none" w:sz="0" w:space="0" w:color="auto"/>
                  </w:divBdr>
                  <w:divsChild>
                    <w:div w:id="2064477160">
                      <w:marLeft w:val="0"/>
                      <w:marRight w:val="0"/>
                      <w:marTop w:val="0"/>
                      <w:marBottom w:val="0"/>
                      <w:divBdr>
                        <w:top w:val="none" w:sz="0" w:space="0" w:color="auto"/>
                        <w:left w:val="none" w:sz="0" w:space="0" w:color="auto"/>
                        <w:bottom w:val="none" w:sz="0" w:space="0" w:color="auto"/>
                        <w:right w:val="none" w:sz="0" w:space="0" w:color="auto"/>
                      </w:divBdr>
                      <w:divsChild>
                        <w:div w:id="1335961379">
                          <w:marLeft w:val="0"/>
                          <w:marRight w:val="0"/>
                          <w:marTop w:val="0"/>
                          <w:marBottom w:val="0"/>
                          <w:divBdr>
                            <w:top w:val="none" w:sz="0" w:space="0" w:color="auto"/>
                            <w:left w:val="none" w:sz="0" w:space="0" w:color="auto"/>
                            <w:bottom w:val="none" w:sz="0" w:space="0" w:color="auto"/>
                            <w:right w:val="none" w:sz="0" w:space="0" w:color="auto"/>
                          </w:divBdr>
                          <w:divsChild>
                            <w:div w:id="251742418">
                              <w:marLeft w:val="0"/>
                              <w:marRight w:val="0"/>
                              <w:marTop w:val="0"/>
                              <w:marBottom w:val="0"/>
                              <w:divBdr>
                                <w:top w:val="none" w:sz="0" w:space="0" w:color="auto"/>
                                <w:left w:val="none" w:sz="0" w:space="0" w:color="auto"/>
                                <w:bottom w:val="none" w:sz="0" w:space="0" w:color="auto"/>
                                <w:right w:val="none" w:sz="0" w:space="0" w:color="auto"/>
                              </w:divBdr>
                              <w:divsChild>
                                <w:div w:id="418526933">
                                  <w:marLeft w:val="0"/>
                                  <w:marRight w:val="0"/>
                                  <w:marTop w:val="0"/>
                                  <w:marBottom w:val="0"/>
                                  <w:divBdr>
                                    <w:top w:val="none" w:sz="0" w:space="0" w:color="auto"/>
                                    <w:left w:val="none" w:sz="0" w:space="0" w:color="auto"/>
                                    <w:bottom w:val="none" w:sz="0" w:space="0" w:color="auto"/>
                                    <w:right w:val="none" w:sz="0" w:space="0" w:color="auto"/>
                                  </w:divBdr>
                                  <w:divsChild>
                                    <w:div w:id="1888105683">
                                      <w:marLeft w:val="0"/>
                                      <w:marRight w:val="0"/>
                                      <w:marTop w:val="0"/>
                                      <w:marBottom w:val="0"/>
                                      <w:divBdr>
                                        <w:top w:val="none" w:sz="0" w:space="0" w:color="auto"/>
                                        <w:left w:val="none" w:sz="0" w:space="0" w:color="auto"/>
                                        <w:bottom w:val="none" w:sz="0" w:space="0" w:color="auto"/>
                                        <w:right w:val="none" w:sz="0" w:space="0" w:color="auto"/>
                                      </w:divBdr>
                                      <w:divsChild>
                                        <w:div w:id="234365383">
                                          <w:marLeft w:val="0"/>
                                          <w:marRight w:val="0"/>
                                          <w:marTop w:val="0"/>
                                          <w:marBottom w:val="495"/>
                                          <w:divBdr>
                                            <w:top w:val="none" w:sz="0" w:space="0" w:color="auto"/>
                                            <w:left w:val="none" w:sz="0" w:space="0" w:color="auto"/>
                                            <w:bottom w:val="none" w:sz="0" w:space="0" w:color="auto"/>
                                            <w:right w:val="none" w:sz="0" w:space="0" w:color="auto"/>
                                          </w:divBdr>
                                          <w:divsChild>
                                            <w:div w:id="932471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0352170">
      <w:bodyDiv w:val="1"/>
      <w:marLeft w:val="0"/>
      <w:marRight w:val="0"/>
      <w:marTop w:val="0"/>
      <w:marBottom w:val="0"/>
      <w:divBdr>
        <w:top w:val="none" w:sz="0" w:space="0" w:color="auto"/>
        <w:left w:val="none" w:sz="0" w:space="0" w:color="auto"/>
        <w:bottom w:val="none" w:sz="0" w:space="0" w:color="auto"/>
        <w:right w:val="none" w:sz="0" w:space="0" w:color="auto"/>
      </w:divBdr>
      <w:divsChild>
        <w:div w:id="657921301">
          <w:marLeft w:val="0"/>
          <w:marRight w:val="0"/>
          <w:marTop w:val="0"/>
          <w:marBottom w:val="0"/>
          <w:divBdr>
            <w:top w:val="none" w:sz="0" w:space="0" w:color="auto"/>
            <w:left w:val="none" w:sz="0" w:space="0" w:color="auto"/>
            <w:bottom w:val="none" w:sz="0" w:space="0" w:color="auto"/>
            <w:right w:val="none" w:sz="0" w:space="0" w:color="auto"/>
          </w:divBdr>
          <w:divsChild>
            <w:div w:id="1459713800">
              <w:marLeft w:val="0"/>
              <w:marRight w:val="0"/>
              <w:marTop w:val="0"/>
              <w:marBottom w:val="0"/>
              <w:divBdr>
                <w:top w:val="none" w:sz="0" w:space="0" w:color="auto"/>
                <w:left w:val="none" w:sz="0" w:space="0" w:color="auto"/>
                <w:bottom w:val="none" w:sz="0" w:space="0" w:color="auto"/>
                <w:right w:val="none" w:sz="0" w:space="0" w:color="auto"/>
              </w:divBdr>
              <w:divsChild>
                <w:div w:id="1088965009">
                  <w:marLeft w:val="0"/>
                  <w:marRight w:val="0"/>
                  <w:marTop w:val="0"/>
                  <w:marBottom w:val="0"/>
                  <w:divBdr>
                    <w:top w:val="none" w:sz="0" w:space="0" w:color="auto"/>
                    <w:left w:val="none" w:sz="0" w:space="0" w:color="auto"/>
                    <w:bottom w:val="none" w:sz="0" w:space="0" w:color="auto"/>
                    <w:right w:val="none" w:sz="0" w:space="0" w:color="auto"/>
                  </w:divBdr>
                  <w:divsChild>
                    <w:div w:id="303510393">
                      <w:marLeft w:val="0"/>
                      <w:marRight w:val="0"/>
                      <w:marTop w:val="0"/>
                      <w:marBottom w:val="0"/>
                      <w:divBdr>
                        <w:top w:val="none" w:sz="0" w:space="0" w:color="auto"/>
                        <w:left w:val="none" w:sz="0" w:space="0" w:color="auto"/>
                        <w:bottom w:val="none" w:sz="0" w:space="0" w:color="auto"/>
                        <w:right w:val="none" w:sz="0" w:space="0" w:color="auto"/>
                      </w:divBdr>
                      <w:divsChild>
                        <w:div w:id="1823540318">
                          <w:marLeft w:val="0"/>
                          <w:marRight w:val="0"/>
                          <w:marTop w:val="0"/>
                          <w:marBottom w:val="0"/>
                          <w:divBdr>
                            <w:top w:val="none" w:sz="0" w:space="0" w:color="auto"/>
                            <w:left w:val="none" w:sz="0" w:space="0" w:color="auto"/>
                            <w:bottom w:val="none" w:sz="0" w:space="0" w:color="auto"/>
                            <w:right w:val="none" w:sz="0" w:space="0" w:color="auto"/>
                          </w:divBdr>
                          <w:divsChild>
                            <w:div w:id="356930021">
                              <w:marLeft w:val="0"/>
                              <w:marRight w:val="0"/>
                              <w:marTop w:val="0"/>
                              <w:marBottom w:val="0"/>
                              <w:divBdr>
                                <w:top w:val="none" w:sz="0" w:space="0" w:color="auto"/>
                                <w:left w:val="none" w:sz="0" w:space="0" w:color="auto"/>
                                <w:bottom w:val="none" w:sz="0" w:space="0" w:color="auto"/>
                                <w:right w:val="none" w:sz="0" w:space="0" w:color="auto"/>
                              </w:divBdr>
                              <w:divsChild>
                                <w:div w:id="484736887">
                                  <w:marLeft w:val="0"/>
                                  <w:marRight w:val="0"/>
                                  <w:marTop w:val="0"/>
                                  <w:marBottom w:val="0"/>
                                  <w:divBdr>
                                    <w:top w:val="none" w:sz="0" w:space="0" w:color="auto"/>
                                    <w:left w:val="none" w:sz="0" w:space="0" w:color="auto"/>
                                    <w:bottom w:val="none" w:sz="0" w:space="0" w:color="auto"/>
                                    <w:right w:val="none" w:sz="0" w:space="0" w:color="auto"/>
                                  </w:divBdr>
                                  <w:divsChild>
                                    <w:div w:id="688262819">
                                      <w:marLeft w:val="0"/>
                                      <w:marRight w:val="0"/>
                                      <w:marTop w:val="0"/>
                                      <w:marBottom w:val="0"/>
                                      <w:divBdr>
                                        <w:top w:val="none" w:sz="0" w:space="0" w:color="auto"/>
                                        <w:left w:val="none" w:sz="0" w:space="0" w:color="auto"/>
                                        <w:bottom w:val="none" w:sz="0" w:space="0" w:color="auto"/>
                                        <w:right w:val="none" w:sz="0" w:space="0" w:color="auto"/>
                                      </w:divBdr>
                                      <w:divsChild>
                                        <w:div w:id="1940331820">
                                          <w:marLeft w:val="0"/>
                                          <w:marRight w:val="0"/>
                                          <w:marTop w:val="0"/>
                                          <w:marBottom w:val="495"/>
                                          <w:divBdr>
                                            <w:top w:val="none" w:sz="0" w:space="0" w:color="auto"/>
                                            <w:left w:val="none" w:sz="0" w:space="0" w:color="auto"/>
                                            <w:bottom w:val="none" w:sz="0" w:space="0" w:color="auto"/>
                                            <w:right w:val="none" w:sz="0" w:space="0" w:color="auto"/>
                                          </w:divBdr>
                                          <w:divsChild>
                                            <w:div w:id="37318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2346041">
      <w:bodyDiv w:val="1"/>
      <w:marLeft w:val="0"/>
      <w:marRight w:val="0"/>
      <w:marTop w:val="0"/>
      <w:marBottom w:val="0"/>
      <w:divBdr>
        <w:top w:val="none" w:sz="0" w:space="0" w:color="auto"/>
        <w:left w:val="none" w:sz="0" w:space="0" w:color="auto"/>
        <w:bottom w:val="none" w:sz="0" w:space="0" w:color="auto"/>
        <w:right w:val="none" w:sz="0" w:space="0" w:color="auto"/>
      </w:divBdr>
    </w:div>
    <w:div w:id="1372725480">
      <w:bodyDiv w:val="1"/>
      <w:marLeft w:val="0"/>
      <w:marRight w:val="0"/>
      <w:marTop w:val="0"/>
      <w:marBottom w:val="0"/>
      <w:divBdr>
        <w:top w:val="none" w:sz="0" w:space="0" w:color="auto"/>
        <w:left w:val="none" w:sz="0" w:space="0" w:color="auto"/>
        <w:bottom w:val="none" w:sz="0" w:space="0" w:color="auto"/>
        <w:right w:val="none" w:sz="0" w:space="0" w:color="auto"/>
      </w:divBdr>
      <w:divsChild>
        <w:div w:id="175463125">
          <w:marLeft w:val="0"/>
          <w:marRight w:val="0"/>
          <w:marTop w:val="0"/>
          <w:marBottom w:val="0"/>
          <w:divBdr>
            <w:top w:val="none" w:sz="0" w:space="0" w:color="auto"/>
            <w:left w:val="none" w:sz="0" w:space="0" w:color="auto"/>
            <w:bottom w:val="none" w:sz="0" w:space="0" w:color="auto"/>
            <w:right w:val="none" w:sz="0" w:space="0" w:color="auto"/>
          </w:divBdr>
          <w:divsChild>
            <w:div w:id="1370767261">
              <w:marLeft w:val="0"/>
              <w:marRight w:val="0"/>
              <w:marTop w:val="0"/>
              <w:marBottom w:val="0"/>
              <w:divBdr>
                <w:top w:val="none" w:sz="0" w:space="0" w:color="auto"/>
                <w:left w:val="none" w:sz="0" w:space="0" w:color="auto"/>
                <w:bottom w:val="none" w:sz="0" w:space="0" w:color="auto"/>
                <w:right w:val="none" w:sz="0" w:space="0" w:color="auto"/>
              </w:divBdr>
              <w:divsChild>
                <w:div w:id="925766679">
                  <w:marLeft w:val="0"/>
                  <w:marRight w:val="0"/>
                  <w:marTop w:val="0"/>
                  <w:marBottom w:val="0"/>
                  <w:divBdr>
                    <w:top w:val="none" w:sz="0" w:space="0" w:color="auto"/>
                    <w:left w:val="none" w:sz="0" w:space="0" w:color="auto"/>
                    <w:bottom w:val="none" w:sz="0" w:space="0" w:color="auto"/>
                    <w:right w:val="none" w:sz="0" w:space="0" w:color="auto"/>
                  </w:divBdr>
                  <w:divsChild>
                    <w:div w:id="45029779">
                      <w:marLeft w:val="0"/>
                      <w:marRight w:val="0"/>
                      <w:marTop w:val="0"/>
                      <w:marBottom w:val="0"/>
                      <w:divBdr>
                        <w:top w:val="none" w:sz="0" w:space="0" w:color="auto"/>
                        <w:left w:val="none" w:sz="0" w:space="0" w:color="auto"/>
                        <w:bottom w:val="none" w:sz="0" w:space="0" w:color="auto"/>
                        <w:right w:val="none" w:sz="0" w:space="0" w:color="auto"/>
                      </w:divBdr>
                      <w:divsChild>
                        <w:div w:id="883759936">
                          <w:marLeft w:val="0"/>
                          <w:marRight w:val="0"/>
                          <w:marTop w:val="0"/>
                          <w:marBottom w:val="0"/>
                          <w:divBdr>
                            <w:top w:val="none" w:sz="0" w:space="0" w:color="auto"/>
                            <w:left w:val="none" w:sz="0" w:space="0" w:color="auto"/>
                            <w:bottom w:val="none" w:sz="0" w:space="0" w:color="auto"/>
                            <w:right w:val="none" w:sz="0" w:space="0" w:color="auto"/>
                          </w:divBdr>
                          <w:divsChild>
                            <w:div w:id="1394233004">
                              <w:marLeft w:val="0"/>
                              <w:marRight w:val="0"/>
                              <w:marTop w:val="0"/>
                              <w:marBottom w:val="0"/>
                              <w:divBdr>
                                <w:top w:val="none" w:sz="0" w:space="0" w:color="auto"/>
                                <w:left w:val="none" w:sz="0" w:space="0" w:color="auto"/>
                                <w:bottom w:val="none" w:sz="0" w:space="0" w:color="auto"/>
                                <w:right w:val="none" w:sz="0" w:space="0" w:color="auto"/>
                              </w:divBdr>
                              <w:divsChild>
                                <w:div w:id="99423305">
                                  <w:marLeft w:val="0"/>
                                  <w:marRight w:val="0"/>
                                  <w:marTop w:val="0"/>
                                  <w:marBottom w:val="0"/>
                                  <w:divBdr>
                                    <w:top w:val="none" w:sz="0" w:space="0" w:color="auto"/>
                                    <w:left w:val="none" w:sz="0" w:space="0" w:color="auto"/>
                                    <w:bottom w:val="none" w:sz="0" w:space="0" w:color="auto"/>
                                    <w:right w:val="none" w:sz="0" w:space="0" w:color="auto"/>
                                  </w:divBdr>
                                  <w:divsChild>
                                    <w:div w:id="744571018">
                                      <w:marLeft w:val="0"/>
                                      <w:marRight w:val="0"/>
                                      <w:marTop w:val="0"/>
                                      <w:marBottom w:val="0"/>
                                      <w:divBdr>
                                        <w:top w:val="none" w:sz="0" w:space="0" w:color="auto"/>
                                        <w:left w:val="none" w:sz="0" w:space="0" w:color="auto"/>
                                        <w:bottom w:val="none" w:sz="0" w:space="0" w:color="auto"/>
                                        <w:right w:val="none" w:sz="0" w:space="0" w:color="auto"/>
                                      </w:divBdr>
                                      <w:divsChild>
                                        <w:div w:id="1660766391">
                                          <w:marLeft w:val="0"/>
                                          <w:marRight w:val="0"/>
                                          <w:marTop w:val="0"/>
                                          <w:marBottom w:val="495"/>
                                          <w:divBdr>
                                            <w:top w:val="none" w:sz="0" w:space="0" w:color="auto"/>
                                            <w:left w:val="none" w:sz="0" w:space="0" w:color="auto"/>
                                            <w:bottom w:val="none" w:sz="0" w:space="0" w:color="auto"/>
                                            <w:right w:val="none" w:sz="0" w:space="0" w:color="auto"/>
                                          </w:divBdr>
                                          <w:divsChild>
                                            <w:div w:id="146427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7545003">
      <w:bodyDiv w:val="1"/>
      <w:marLeft w:val="0"/>
      <w:marRight w:val="0"/>
      <w:marTop w:val="0"/>
      <w:marBottom w:val="0"/>
      <w:divBdr>
        <w:top w:val="none" w:sz="0" w:space="0" w:color="auto"/>
        <w:left w:val="none" w:sz="0" w:space="0" w:color="auto"/>
        <w:bottom w:val="none" w:sz="0" w:space="0" w:color="auto"/>
        <w:right w:val="none" w:sz="0" w:space="0" w:color="auto"/>
      </w:divBdr>
    </w:div>
    <w:div w:id="1616280468">
      <w:bodyDiv w:val="1"/>
      <w:marLeft w:val="0"/>
      <w:marRight w:val="0"/>
      <w:marTop w:val="0"/>
      <w:marBottom w:val="0"/>
      <w:divBdr>
        <w:top w:val="none" w:sz="0" w:space="0" w:color="auto"/>
        <w:left w:val="none" w:sz="0" w:space="0" w:color="auto"/>
        <w:bottom w:val="none" w:sz="0" w:space="0" w:color="auto"/>
        <w:right w:val="none" w:sz="0" w:space="0" w:color="auto"/>
      </w:divBdr>
      <w:divsChild>
        <w:div w:id="811555388">
          <w:marLeft w:val="0"/>
          <w:marRight w:val="0"/>
          <w:marTop w:val="0"/>
          <w:marBottom w:val="0"/>
          <w:divBdr>
            <w:top w:val="none" w:sz="0" w:space="0" w:color="auto"/>
            <w:left w:val="none" w:sz="0" w:space="0" w:color="auto"/>
            <w:bottom w:val="none" w:sz="0" w:space="0" w:color="auto"/>
            <w:right w:val="none" w:sz="0" w:space="0" w:color="auto"/>
          </w:divBdr>
          <w:divsChild>
            <w:div w:id="1416317955">
              <w:marLeft w:val="0"/>
              <w:marRight w:val="0"/>
              <w:marTop w:val="0"/>
              <w:marBottom w:val="0"/>
              <w:divBdr>
                <w:top w:val="none" w:sz="0" w:space="0" w:color="auto"/>
                <w:left w:val="none" w:sz="0" w:space="0" w:color="auto"/>
                <w:bottom w:val="none" w:sz="0" w:space="0" w:color="auto"/>
                <w:right w:val="none" w:sz="0" w:space="0" w:color="auto"/>
              </w:divBdr>
              <w:divsChild>
                <w:div w:id="1538198137">
                  <w:marLeft w:val="0"/>
                  <w:marRight w:val="0"/>
                  <w:marTop w:val="0"/>
                  <w:marBottom w:val="0"/>
                  <w:divBdr>
                    <w:top w:val="none" w:sz="0" w:space="0" w:color="auto"/>
                    <w:left w:val="none" w:sz="0" w:space="0" w:color="auto"/>
                    <w:bottom w:val="none" w:sz="0" w:space="0" w:color="auto"/>
                    <w:right w:val="none" w:sz="0" w:space="0" w:color="auto"/>
                  </w:divBdr>
                  <w:divsChild>
                    <w:div w:id="653797127">
                      <w:marLeft w:val="0"/>
                      <w:marRight w:val="0"/>
                      <w:marTop w:val="0"/>
                      <w:marBottom w:val="0"/>
                      <w:divBdr>
                        <w:top w:val="none" w:sz="0" w:space="0" w:color="auto"/>
                        <w:left w:val="none" w:sz="0" w:space="0" w:color="auto"/>
                        <w:bottom w:val="none" w:sz="0" w:space="0" w:color="auto"/>
                        <w:right w:val="none" w:sz="0" w:space="0" w:color="auto"/>
                      </w:divBdr>
                      <w:divsChild>
                        <w:div w:id="389885239">
                          <w:marLeft w:val="0"/>
                          <w:marRight w:val="0"/>
                          <w:marTop w:val="0"/>
                          <w:marBottom w:val="0"/>
                          <w:divBdr>
                            <w:top w:val="none" w:sz="0" w:space="0" w:color="auto"/>
                            <w:left w:val="none" w:sz="0" w:space="0" w:color="auto"/>
                            <w:bottom w:val="none" w:sz="0" w:space="0" w:color="auto"/>
                            <w:right w:val="none" w:sz="0" w:space="0" w:color="auto"/>
                          </w:divBdr>
                          <w:divsChild>
                            <w:div w:id="440151120">
                              <w:marLeft w:val="0"/>
                              <w:marRight w:val="0"/>
                              <w:marTop w:val="0"/>
                              <w:marBottom w:val="0"/>
                              <w:divBdr>
                                <w:top w:val="none" w:sz="0" w:space="0" w:color="auto"/>
                                <w:left w:val="none" w:sz="0" w:space="0" w:color="auto"/>
                                <w:bottom w:val="none" w:sz="0" w:space="0" w:color="auto"/>
                                <w:right w:val="none" w:sz="0" w:space="0" w:color="auto"/>
                              </w:divBdr>
                              <w:divsChild>
                                <w:div w:id="788548307">
                                  <w:marLeft w:val="0"/>
                                  <w:marRight w:val="0"/>
                                  <w:marTop w:val="0"/>
                                  <w:marBottom w:val="0"/>
                                  <w:divBdr>
                                    <w:top w:val="none" w:sz="0" w:space="0" w:color="auto"/>
                                    <w:left w:val="none" w:sz="0" w:space="0" w:color="auto"/>
                                    <w:bottom w:val="none" w:sz="0" w:space="0" w:color="auto"/>
                                    <w:right w:val="none" w:sz="0" w:space="0" w:color="auto"/>
                                  </w:divBdr>
                                  <w:divsChild>
                                    <w:div w:id="839389443">
                                      <w:marLeft w:val="0"/>
                                      <w:marRight w:val="0"/>
                                      <w:marTop w:val="0"/>
                                      <w:marBottom w:val="0"/>
                                      <w:divBdr>
                                        <w:top w:val="none" w:sz="0" w:space="0" w:color="auto"/>
                                        <w:left w:val="none" w:sz="0" w:space="0" w:color="auto"/>
                                        <w:bottom w:val="none" w:sz="0" w:space="0" w:color="auto"/>
                                        <w:right w:val="none" w:sz="0" w:space="0" w:color="auto"/>
                                      </w:divBdr>
                                      <w:divsChild>
                                        <w:div w:id="2140101489">
                                          <w:marLeft w:val="0"/>
                                          <w:marRight w:val="0"/>
                                          <w:marTop w:val="0"/>
                                          <w:marBottom w:val="495"/>
                                          <w:divBdr>
                                            <w:top w:val="none" w:sz="0" w:space="0" w:color="auto"/>
                                            <w:left w:val="none" w:sz="0" w:space="0" w:color="auto"/>
                                            <w:bottom w:val="none" w:sz="0" w:space="0" w:color="auto"/>
                                            <w:right w:val="none" w:sz="0" w:space="0" w:color="auto"/>
                                          </w:divBdr>
                                          <w:divsChild>
                                            <w:div w:id="207631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16347739">
      <w:bodyDiv w:val="1"/>
      <w:marLeft w:val="0"/>
      <w:marRight w:val="0"/>
      <w:marTop w:val="0"/>
      <w:marBottom w:val="0"/>
      <w:divBdr>
        <w:top w:val="none" w:sz="0" w:space="0" w:color="auto"/>
        <w:left w:val="none" w:sz="0" w:space="0" w:color="auto"/>
        <w:bottom w:val="none" w:sz="0" w:space="0" w:color="auto"/>
        <w:right w:val="none" w:sz="0" w:space="0" w:color="auto"/>
      </w:divBdr>
      <w:divsChild>
        <w:div w:id="136186453">
          <w:marLeft w:val="0"/>
          <w:marRight w:val="0"/>
          <w:marTop w:val="0"/>
          <w:marBottom w:val="0"/>
          <w:divBdr>
            <w:top w:val="none" w:sz="0" w:space="0" w:color="auto"/>
            <w:left w:val="none" w:sz="0" w:space="0" w:color="auto"/>
            <w:bottom w:val="none" w:sz="0" w:space="0" w:color="auto"/>
            <w:right w:val="none" w:sz="0" w:space="0" w:color="auto"/>
          </w:divBdr>
          <w:divsChild>
            <w:div w:id="1485463809">
              <w:marLeft w:val="0"/>
              <w:marRight w:val="0"/>
              <w:marTop w:val="0"/>
              <w:marBottom w:val="0"/>
              <w:divBdr>
                <w:top w:val="none" w:sz="0" w:space="0" w:color="auto"/>
                <w:left w:val="none" w:sz="0" w:space="0" w:color="auto"/>
                <w:bottom w:val="none" w:sz="0" w:space="0" w:color="auto"/>
                <w:right w:val="none" w:sz="0" w:space="0" w:color="auto"/>
              </w:divBdr>
              <w:divsChild>
                <w:div w:id="1760524662">
                  <w:marLeft w:val="0"/>
                  <w:marRight w:val="0"/>
                  <w:marTop w:val="0"/>
                  <w:marBottom w:val="0"/>
                  <w:divBdr>
                    <w:top w:val="none" w:sz="0" w:space="0" w:color="auto"/>
                    <w:left w:val="none" w:sz="0" w:space="0" w:color="auto"/>
                    <w:bottom w:val="none" w:sz="0" w:space="0" w:color="auto"/>
                    <w:right w:val="none" w:sz="0" w:space="0" w:color="auto"/>
                  </w:divBdr>
                  <w:divsChild>
                    <w:div w:id="1048147552">
                      <w:marLeft w:val="0"/>
                      <w:marRight w:val="0"/>
                      <w:marTop w:val="0"/>
                      <w:marBottom w:val="0"/>
                      <w:divBdr>
                        <w:top w:val="none" w:sz="0" w:space="0" w:color="auto"/>
                        <w:left w:val="none" w:sz="0" w:space="0" w:color="auto"/>
                        <w:bottom w:val="none" w:sz="0" w:space="0" w:color="auto"/>
                        <w:right w:val="none" w:sz="0" w:space="0" w:color="auto"/>
                      </w:divBdr>
                      <w:divsChild>
                        <w:div w:id="1601983272">
                          <w:marLeft w:val="0"/>
                          <w:marRight w:val="0"/>
                          <w:marTop w:val="0"/>
                          <w:marBottom w:val="0"/>
                          <w:divBdr>
                            <w:top w:val="none" w:sz="0" w:space="0" w:color="auto"/>
                            <w:left w:val="none" w:sz="0" w:space="0" w:color="auto"/>
                            <w:bottom w:val="none" w:sz="0" w:space="0" w:color="auto"/>
                            <w:right w:val="none" w:sz="0" w:space="0" w:color="auto"/>
                          </w:divBdr>
                          <w:divsChild>
                            <w:div w:id="1598906510">
                              <w:marLeft w:val="0"/>
                              <w:marRight w:val="0"/>
                              <w:marTop w:val="0"/>
                              <w:marBottom w:val="0"/>
                              <w:divBdr>
                                <w:top w:val="none" w:sz="0" w:space="0" w:color="auto"/>
                                <w:left w:val="none" w:sz="0" w:space="0" w:color="auto"/>
                                <w:bottom w:val="none" w:sz="0" w:space="0" w:color="auto"/>
                                <w:right w:val="none" w:sz="0" w:space="0" w:color="auto"/>
                              </w:divBdr>
                              <w:divsChild>
                                <w:div w:id="2107269966">
                                  <w:marLeft w:val="0"/>
                                  <w:marRight w:val="0"/>
                                  <w:marTop w:val="0"/>
                                  <w:marBottom w:val="0"/>
                                  <w:divBdr>
                                    <w:top w:val="none" w:sz="0" w:space="0" w:color="auto"/>
                                    <w:left w:val="none" w:sz="0" w:space="0" w:color="auto"/>
                                    <w:bottom w:val="none" w:sz="0" w:space="0" w:color="auto"/>
                                    <w:right w:val="none" w:sz="0" w:space="0" w:color="auto"/>
                                  </w:divBdr>
                                  <w:divsChild>
                                    <w:div w:id="1088690638">
                                      <w:marLeft w:val="0"/>
                                      <w:marRight w:val="0"/>
                                      <w:marTop w:val="0"/>
                                      <w:marBottom w:val="0"/>
                                      <w:divBdr>
                                        <w:top w:val="none" w:sz="0" w:space="0" w:color="auto"/>
                                        <w:left w:val="none" w:sz="0" w:space="0" w:color="auto"/>
                                        <w:bottom w:val="none" w:sz="0" w:space="0" w:color="auto"/>
                                        <w:right w:val="none" w:sz="0" w:space="0" w:color="auto"/>
                                      </w:divBdr>
                                      <w:divsChild>
                                        <w:div w:id="2052221581">
                                          <w:marLeft w:val="0"/>
                                          <w:marRight w:val="0"/>
                                          <w:marTop w:val="0"/>
                                          <w:marBottom w:val="495"/>
                                          <w:divBdr>
                                            <w:top w:val="none" w:sz="0" w:space="0" w:color="auto"/>
                                            <w:left w:val="none" w:sz="0" w:space="0" w:color="auto"/>
                                            <w:bottom w:val="none" w:sz="0" w:space="0" w:color="auto"/>
                                            <w:right w:val="none" w:sz="0" w:space="0" w:color="auto"/>
                                          </w:divBdr>
                                          <w:divsChild>
                                            <w:div w:id="2179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2710790">
      <w:bodyDiv w:val="1"/>
      <w:marLeft w:val="0"/>
      <w:marRight w:val="0"/>
      <w:marTop w:val="0"/>
      <w:marBottom w:val="0"/>
      <w:divBdr>
        <w:top w:val="none" w:sz="0" w:space="0" w:color="auto"/>
        <w:left w:val="none" w:sz="0" w:space="0" w:color="auto"/>
        <w:bottom w:val="none" w:sz="0" w:space="0" w:color="auto"/>
        <w:right w:val="none" w:sz="0" w:space="0" w:color="auto"/>
      </w:divBdr>
      <w:divsChild>
        <w:div w:id="2064206936">
          <w:marLeft w:val="0"/>
          <w:marRight w:val="0"/>
          <w:marTop w:val="0"/>
          <w:marBottom w:val="0"/>
          <w:divBdr>
            <w:top w:val="none" w:sz="0" w:space="0" w:color="auto"/>
            <w:left w:val="none" w:sz="0" w:space="0" w:color="auto"/>
            <w:bottom w:val="none" w:sz="0" w:space="0" w:color="auto"/>
            <w:right w:val="none" w:sz="0" w:space="0" w:color="auto"/>
          </w:divBdr>
          <w:divsChild>
            <w:div w:id="1669559948">
              <w:marLeft w:val="0"/>
              <w:marRight w:val="0"/>
              <w:marTop w:val="0"/>
              <w:marBottom w:val="0"/>
              <w:divBdr>
                <w:top w:val="none" w:sz="0" w:space="0" w:color="auto"/>
                <w:left w:val="none" w:sz="0" w:space="0" w:color="auto"/>
                <w:bottom w:val="none" w:sz="0" w:space="0" w:color="auto"/>
                <w:right w:val="none" w:sz="0" w:space="0" w:color="auto"/>
              </w:divBdr>
              <w:divsChild>
                <w:div w:id="1483422069">
                  <w:marLeft w:val="0"/>
                  <w:marRight w:val="0"/>
                  <w:marTop w:val="0"/>
                  <w:marBottom w:val="0"/>
                  <w:divBdr>
                    <w:top w:val="none" w:sz="0" w:space="0" w:color="auto"/>
                    <w:left w:val="none" w:sz="0" w:space="0" w:color="auto"/>
                    <w:bottom w:val="none" w:sz="0" w:space="0" w:color="auto"/>
                    <w:right w:val="none" w:sz="0" w:space="0" w:color="auto"/>
                  </w:divBdr>
                  <w:divsChild>
                    <w:div w:id="612833310">
                      <w:marLeft w:val="0"/>
                      <w:marRight w:val="0"/>
                      <w:marTop w:val="0"/>
                      <w:marBottom w:val="0"/>
                      <w:divBdr>
                        <w:top w:val="none" w:sz="0" w:space="0" w:color="auto"/>
                        <w:left w:val="none" w:sz="0" w:space="0" w:color="auto"/>
                        <w:bottom w:val="none" w:sz="0" w:space="0" w:color="auto"/>
                        <w:right w:val="none" w:sz="0" w:space="0" w:color="auto"/>
                      </w:divBdr>
                      <w:divsChild>
                        <w:div w:id="408311388">
                          <w:marLeft w:val="0"/>
                          <w:marRight w:val="0"/>
                          <w:marTop w:val="0"/>
                          <w:marBottom w:val="0"/>
                          <w:divBdr>
                            <w:top w:val="none" w:sz="0" w:space="0" w:color="auto"/>
                            <w:left w:val="none" w:sz="0" w:space="0" w:color="auto"/>
                            <w:bottom w:val="none" w:sz="0" w:space="0" w:color="auto"/>
                            <w:right w:val="none" w:sz="0" w:space="0" w:color="auto"/>
                          </w:divBdr>
                          <w:divsChild>
                            <w:div w:id="131138417">
                              <w:marLeft w:val="0"/>
                              <w:marRight w:val="0"/>
                              <w:marTop w:val="0"/>
                              <w:marBottom w:val="0"/>
                              <w:divBdr>
                                <w:top w:val="none" w:sz="0" w:space="0" w:color="auto"/>
                                <w:left w:val="none" w:sz="0" w:space="0" w:color="auto"/>
                                <w:bottom w:val="none" w:sz="0" w:space="0" w:color="auto"/>
                                <w:right w:val="none" w:sz="0" w:space="0" w:color="auto"/>
                              </w:divBdr>
                              <w:divsChild>
                                <w:div w:id="1877545718">
                                  <w:marLeft w:val="0"/>
                                  <w:marRight w:val="0"/>
                                  <w:marTop w:val="0"/>
                                  <w:marBottom w:val="0"/>
                                  <w:divBdr>
                                    <w:top w:val="none" w:sz="0" w:space="0" w:color="auto"/>
                                    <w:left w:val="none" w:sz="0" w:space="0" w:color="auto"/>
                                    <w:bottom w:val="none" w:sz="0" w:space="0" w:color="auto"/>
                                    <w:right w:val="none" w:sz="0" w:space="0" w:color="auto"/>
                                  </w:divBdr>
                                  <w:divsChild>
                                    <w:div w:id="1289631147">
                                      <w:marLeft w:val="0"/>
                                      <w:marRight w:val="0"/>
                                      <w:marTop w:val="0"/>
                                      <w:marBottom w:val="0"/>
                                      <w:divBdr>
                                        <w:top w:val="none" w:sz="0" w:space="0" w:color="auto"/>
                                        <w:left w:val="none" w:sz="0" w:space="0" w:color="auto"/>
                                        <w:bottom w:val="none" w:sz="0" w:space="0" w:color="auto"/>
                                        <w:right w:val="none" w:sz="0" w:space="0" w:color="auto"/>
                                      </w:divBdr>
                                      <w:divsChild>
                                        <w:div w:id="20210797">
                                          <w:marLeft w:val="0"/>
                                          <w:marRight w:val="0"/>
                                          <w:marTop w:val="0"/>
                                          <w:marBottom w:val="0"/>
                                          <w:divBdr>
                                            <w:top w:val="none" w:sz="0" w:space="0" w:color="auto"/>
                                            <w:left w:val="none" w:sz="0" w:space="0" w:color="auto"/>
                                            <w:bottom w:val="none" w:sz="0" w:space="0" w:color="auto"/>
                                            <w:right w:val="none" w:sz="0" w:space="0" w:color="auto"/>
                                          </w:divBdr>
                                          <w:divsChild>
                                            <w:div w:id="905333325">
                                              <w:marLeft w:val="0"/>
                                              <w:marRight w:val="0"/>
                                              <w:marTop w:val="0"/>
                                              <w:marBottom w:val="495"/>
                                              <w:divBdr>
                                                <w:top w:val="none" w:sz="0" w:space="0" w:color="auto"/>
                                                <w:left w:val="none" w:sz="0" w:space="0" w:color="auto"/>
                                                <w:bottom w:val="none" w:sz="0" w:space="0" w:color="auto"/>
                                                <w:right w:val="none" w:sz="0" w:space="0" w:color="auto"/>
                                              </w:divBdr>
                                              <w:divsChild>
                                                <w:div w:id="37430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59799906">
      <w:bodyDiv w:val="1"/>
      <w:marLeft w:val="0"/>
      <w:marRight w:val="0"/>
      <w:marTop w:val="0"/>
      <w:marBottom w:val="0"/>
      <w:divBdr>
        <w:top w:val="none" w:sz="0" w:space="0" w:color="auto"/>
        <w:left w:val="none" w:sz="0" w:space="0" w:color="auto"/>
        <w:bottom w:val="none" w:sz="0" w:space="0" w:color="auto"/>
        <w:right w:val="none" w:sz="0" w:space="0" w:color="auto"/>
      </w:divBdr>
    </w:div>
    <w:div w:id="1974403197">
      <w:bodyDiv w:val="1"/>
      <w:marLeft w:val="0"/>
      <w:marRight w:val="0"/>
      <w:marTop w:val="0"/>
      <w:marBottom w:val="0"/>
      <w:divBdr>
        <w:top w:val="none" w:sz="0" w:space="0" w:color="auto"/>
        <w:left w:val="none" w:sz="0" w:space="0" w:color="auto"/>
        <w:bottom w:val="none" w:sz="0" w:space="0" w:color="auto"/>
        <w:right w:val="none" w:sz="0" w:space="0" w:color="auto"/>
      </w:divBdr>
      <w:divsChild>
        <w:div w:id="526870225">
          <w:marLeft w:val="0"/>
          <w:marRight w:val="0"/>
          <w:marTop w:val="0"/>
          <w:marBottom w:val="0"/>
          <w:divBdr>
            <w:top w:val="none" w:sz="0" w:space="0" w:color="auto"/>
            <w:left w:val="none" w:sz="0" w:space="0" w:color="auto"/>
            <w:bottom w:val="none" w:sz="0" w:space="0" w:color="auto"/>
            <w:right w:val="none" w:sz="0" w:space="0" w:color="auto"/>
          </w:divBdr>
          <w:divsChild>
            <w:div w:id="445272214">
              <w:marLeft w:val="0"/>
              <w:marRight w:val="0"/>
              <w:marTop w:val="0"/>
              <w:marBottom w:val="0"/>
              <w:divBdr>
                <w:top w:val="none" w:sz="0" w:space="0" w:color="auto"/>
                <w:left w:val="none" w:sz="0" w:space="0" w:color="auto"/>
                <w:bottom w:val="none" w:sz="0" w:space="0" w:color="auto"/>
                <w:right w:val="none" w:sz="0" w:space="0" w:color="auto"/>
              </w:divBdr>
              <w:divsChild>
                <w:div w:id="537010599">
                  <w:marLeft w:val="0"/>
                  <w:marRight w:val="0"/>
                  <w:marTop w:val="0"/>
                  <w:marBottom w:val="0"/>
                  <w:divBdr>
                    <w:top w:val="none" w:sz="0" w:space="0" w:color="auto"/>
                    <w:left w:val="none" w:sz="0" w:space="0" w:color="auto"/>
                    <w:bottom w:val="none" w:sz="0" w:space="0" w:color="auto"/>
                    <w:right w:val="none" w:sz="0" w:space="0" w:color="auto"/>
                  </w:divBdr>
                  <w:divsChild>
                    <w:div w:id="879904373">
                      <w:marLeft w:val="0"/>
                      <w:marRight w:val="0"/>
                      <w:marTop w:val="0"/>
                      <w:marBottom w:val="0"/>
                      <w:divBdr>
                        <w:top w:val="none" w:sz="0" w:space="0" w:color="auto"/>
                        <w:left w:val="none" w:sz="0" w:space="0" w:color="auto"/>
                        <w:bottom w:val="none" w:sz="0" w:space="0" w:color="auto"/>
                        <w:right w:val="none" w:sz="0" w:space="0" w:color="auto"/>
                      </w:divBdr>
                      <w:divsChild>
                        <w:div w:id="929579851">
                          <w:marLeft w:val="0"/>
                          <w:marRight w:val="0"/>
                          <w:marTop w:val="0"/>
                          <w:marBottom w:val="0"/>
                          <w:divBdr>
                            <w:top w:val="none" w:sz="0" w:space="0" w:color="auto"/>
                            <w:left w:val="none" w:sz="0" w:space="0" w:color="auto"/>
                            <w:bottom w:val="none" w:sz="0" w:space="0" w:color="auto"/>
                            <w:right w:val="none" w:sz="0" w:space="0" w:color="auto"/>
                          </w:divBdr>
                          <w:divsChild>
                            <w:div w:id="1147015014">
                              <w:marLeft w:val="0"/>
                              <w:marRight w:val="0"/>
                              <w:marTop w:val="0"/>
                              <w:marBottom w:val="0"/>
                              <w:divBdr>
                                <w:top w:val="none" w:sz="0" w:space="0" w:color="auto"/>
                                <w:left w:val="none" w:sz="0" w:space="0" w:color="auto"/>
                                <w:bottom w:val="none" w:sz="0" w:space="0" w:color="auto"/>
                                <w:right w:val="none" w:sz="0" w:space="0" w:color="auto"/>
                              </w:divBdr>
                              <w:divsChild>
                                <w:div w:id="640774257">
                                  <w:marLeft w:val="0"/>
                                  <w:marRight w:val="0"/>
                                  <w:marTop w:val="0"/>
                                  <w:marBottom w:val="0"/>
                                  <w:divBdr>
                                    <w:top w:val="none" w:sz="0" w:space="0" w:color="auto"/>
                                    <w:left w:val="none" w:sz="0" w:space="0" w:color="auto"/>
                                    <w:bottom w:val="none" w:sz="0" w:space="0" w:color="auto"/>
                                    <w:right w:val="none" w:sz="0" w:space="0" w:color="auto"/>
                                  </w:divBdr>
                                  <w:divsChild>
                                    <w:div w:id="1429038191">
                                      <w:marLeft w:val="0"/>
                                      <w:marRight w:val="0"/>
                                      <w:marTop w:val="0"/>
                                      <w:marBottom w:val="0"/>
                                      <w:divBdr>
                                        <w:top w:val="none" w:sz="0" w:space="0" w:color="auto"/>
                                        <w:left w:val="none" w:sz="0" w:space="0" w:color="auto"/>
                                        <w:bottom w:val="none" w:sz="0" w:space="0" w:color="auto"/>
                                        <w:right w:val="none" w:sz="0" w:space="0" w:color="auto"/>
                                      </w:divBdr>
                                      <w:divsChild>
                                        <w:div w:id="739645007">
                                          <w:marLeft w:val="0"/>
                                          <w:marRight w:val="0"/>
                                          <w:marTop w:val="0"/>
                                          <w:marBottom w:val="495"/>
                                          <w:divBdr>
                                            <w:top w:val="none" w:sz="0" w:space="0" w:color="auto"/>
                                            <w:left w:val="none" w:sz="0" w:space="0" w:color="auto"/>
                                            <w:bottom w:val="none" w:sz="0" w:space="0" w:color="auto"/>
                                            <w:right w:val="none" w:sz="0" w:space="0" w:color="auto"/>
                                          </w:divBdr>
                                          <w:divsChild>
                                            <w:div w:id="65688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05425424">
      <w:bodyDiv w:val="1"/>
      <w:marLeft w:val="0"/>
      <w:marRight w:val="0"/>
      <w:marTop w:val="0"/>
      <w:marBottom w:val="0"/>
      <w:divBdr>
        <w:top w:val="none" w:sz="0" w:space="0" w:color="auto"/>
        <w:left w:val="none" w:sz="0" w:space="0" w:color="auto"/>
        <w:bottom w:val="none" w:sz="0" w:space="0" w:color="auto"/>
        <w:right w:val="none" w:sz="0" w:space="0" w:color="auto"/>
      </w:divBdr>
      <w:divsChild>
        <w:div w:id="508909077">
          <w:marLeft w:val="0"/>
          <w:marRight w:val="0"/>
          <w:marTop w:val="0"/>
          <w:marBottom w:val="0"/>
          <w:divBdr>
            <w:top w:val="none" w:sz="0" w:space="0" w:color="auto"/>
            <w:left w:val="none" w:sz="0" w:space="0" w:color="auto"/>
            <w:bottom w:val="none" w:sz="0" w:space="0" w:color="auto"/>
            <w:right w:val="none" w:sz="0" w:space="0" w:color="auto"/>
          </w:divBdr>
          <w:divsChild>
            <w:div w:id="1701857950">
              <w:marLeft w:val="0"/>
              <w:marRight w:val="0"/>
              <w:marTop w:val="0"/>
              <w:marBottom w:val="0"/>
              <w:divBdr>
                <w:top w:val="none" w:sz="0" w:space="0" w:color="auto"/>
                <w:left w:val="none" w:sz="0" w:space="0" w:color="auto"/>
                <w:bottom w:val="none" w:sz="0" w:space="0" w:color="auto"/>
                <w:right w:val="none" w:sz="0" w:space="0" w:color="auto"/>
              </w:divBdr>
              <w:divsChild>
                <w:div w:id="1649556857">
                  <w:marLeft w:val="0"/>
                  <w:marRight w:val="0"/>
                  <w:marTop w:val="0"/>
                  <w:marBottom w:val="0"/>
                  <w:divBdr>
                    <w:top w:val="none" w:sz="0" w:space="0" w:color="auto"/>
                    <w:left w:val="none" w:sz="0" w:space="0" w:color="auto"/>
                    <w:bottom w:val="none" w:sz="0" w:space="0" w:color="auto"/>
                    <w:right w:val="none" w:sz="0" w:space="0" w:color="auto"/>
                  </w:divBdr>
                  <w:divsChild>
                    <w:div w:id="1736777529">
                      <w:marLeft w:val="0"/>
                      <w:marRight w:val="0"/>
                      <w:marTop w:val="0"/>
                      <w:marBottom w:val="0"/>
                      <w:divBdr>
                        <w:top w:val="none" w:sz="0" w:space="0" w:color="auto"/>
                        <w:left w:val="none" w:sz="0" w:space="0" w:color="auto"/>
                        <w:bottom w:val="none" w:sz="0" w:space="0" w:color="auto"/>
                        <w:right w:val="none" w:sz="0" w:space="0" w:color="auto"/>
                      </w:divBdr>
                      <w:divsChild>
                        <w:div w:id="1977758593">
                          <w:marLeft w:val="0"/>
                          <w:marRight w:val="0"/>
                          <w:marTop w:val="0"/>
                          <w:marBottom w:val="0"/>
                          <w:divBdr>
                            <w:top w:val="none" w:sz="0" w:space="0" w:color="auto"/>
                            <w:left w:val="none" w:sz="0" w:space="0" w:color="auto"/>
                            <w:bottom w:val="none" w:sz="0" w:space="0" w:color="auto"/>
                            <w:right w:val="none" w:sz="0" w:space="0" w:color="auto"/>
                          </w:divBdr>
                          <w:divsChild>
                            <w:div w:id="640771329">
                              <w:marLeft w:val="0"/>
                              <w:marRight w:val="0"/>
                              <w:marTop w:val="0"/>
                              <w:marBottom w:val="0"/>
                              <w:divBdr>
                                <w:top w:val="none" w:sz="0" w:space="0" w:color="auto"/>
                                <w:left w:val="none" w:sz="0" w:space="0" w:color="auto"/>
                                <w:bottom w:val="none" w:sz="0" w:space="0" w:color="auto"/>
                                <w:right w:val="none" w:sz="0" w:space="0" w:color="auto"/>
                              </w:divBdr>
                              <w:divsChild>
                                <w:div w:id="351881916">
                                  <w:marLeft w:val="0"/>
                                  <w:marRight w:val="0"/>
                                  <w:marTop w:val="0"/>
                                  <w:marBottom w:val="0"/>
                                  <w:divBdr>
                                    <w:top w:val="none" w:sz="0" w:space="0" w:color="auto"/>
                                    <w:left w:val="none" w:sz="0" w:space="0" w:color="auto"/>
                                    <w:bottom w:val="none" w:sz="0" w:space="0" w:color="auto"/>
                                    <w:right w:val="none" w:sz="0" w:space="0" w:color="auto"/>
                                  </w:divBdr>
                                  <w:divsChild>
                                    <w:div w:id="1985887100">
                                      <w:marLeft w:val="0"/>
                                      <w:marRight w:val="0"/>
                                      <w:marTop w:val="0"/>
                                      <w:marBottom w:val="0"/>
                                      <w:divBdr>
                                        <w:top w:val="none" w:sz="0" w:space="0" w:color="auto"/>
                                        <w:left w:val="none" w:sz="0" w:space="0" w:color="auto"/>
                                        <w:bottom w:val="none" w:sz="0" w:space="0" w:color="auto"/>
                                        <w:right w:val="none" w:sz="0" w:space="0" w:color="auto"/>
                                      </w:divBdr>
                                      <w:divsChild>
                                        <w:div w:id="1480152580">
                                          <w:marLeft w:val="0"/>
                                          <w:marRight w:val="0"/>
                                          <w:marTop w:val="0"/>
                                          <w:marBottom w:val="495"/>
                                          <w:divBdr>
                                            <w:top w:val="none" w:sz="0" w:space="0" w:color="auto"/>
                                            <w:left w:val="none" w:sz="0" w:space="0" w:color="auto"/>
                                            <w:bottom w:val="none" w:sz="0" w:space="0" w:color="auto"/>
                                            <w:right w:val="none" w:sz="0" w:space="0" w:color="auto"/>
                                          </w:divBdr>
                                          <w:divsChild>
                                            <w:div w:id="2159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0107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7.png"/><Relationship Id="rId26" Type="http://schemas.openxmlformats.org/officeDocument/2006/relationships/hyperlink" Target="http://www.ema.europa.eu" TargetMode="External"/><Relationship Id="rId39" Type="http://schemas.openxmlformats.org/officeDocument/2006/relationships/customXml" Target="../customXml/item3.xml"/><Relationship Id="rId21" Type="http://schemas.openxmlformats.org/officeDocument/2006/relationships/image" Target="media/image10.png"/><Relationship Id="rId34"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ema.europa.eu" TargetMode="External"/><Relationship Id="rId20" Type="http://schemas.openxmlformats.org/officeDocument/2006/relationships/image" Target="media/image9.emf"/><Relationship Id="rId29" Type="http://schemas.openxmlformats.org/officeDocument/2006/relationships/image" Target="media/image15.png"/><Relationship Id="rId41"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www.ema.europa.eu" TargetMode="External"/><Relationship Id="rId32" Type="http://schemas.openxmlformats.org/officeDocument/2006/relationships/hyperlink" Target="http://www.ema.europa.eu/docs/en_GB/document_library/Template_or_form/2013/03/WC500139752.doc" TargetMode="External"/><Relationship Id="rId37" Type="http://schemas.openxmlformats.org/officeDocument/2006/relationships/theme" Target="theme/theme1.xml"/><Relationship Id="rId40"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2.png"/><Relationship Id="rId28" Type="http://schemas.openxmlformats.org/officeDocument/2006/relationships/image" Target="media/image14.png"/><Relationship Id="rId36"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image" Target="media/image8.emf"/><Relationship Id="rId31" Type="http://schemas.openxmlformats.org/officeDocument/2006/relationships/hyperlink" Target="http://www.ema.europa.eu" TargetMode="External"/><Relationship Id="rId4" Type="http://schemas.openxmlformats.org/officeDocument/2006/relationships/settings" Target="setting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image" Target="media/image5.png"/><Relationship Id="rId22" Type="http://schemas.openxmlformats.org/officeDocument/2006/relationships/image" Target="media/image11.png"/><Relationship Id="rId27" Type="http://schemas.openxmlformats.org/officeDocument/2006/relationships/image" Target="media/image13.png"/><Relationship Id="rId30" Type="http://schemas.openxmlformats.org/officeDocument/2006/relationships/image" Target="media/image16.jpeg"/><Relationship Id="rId35" Type="http://schemas.openxmlformats.org/officeDocument/2006/relationships/footer" Target="footer2.xml"/><Relationship Id="rId8" Type="http://schemas.openxmlformats.org/officeDocument/2006/relationships/hyperlink" Target="https://www.ema.europa.eu/en/medicines/human/EPAR/lucentis" TargetMode="External"/><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hyperlink" Target="http://www.ema.europa.eu/docs/en_GB/document_library/Template_or_form/2013/03/WC500139752.doc" TargetMode="External"/><Relationship Id="rId25" Type="http://schemas.openxmlformats.org/officeDocument/2006/relationships/hyperlink" Target="http://www.ema.europa.eu/docs/en_GB/document_library/Template_or_form/2013/03/WC500139752.doc" TargetMode="External"/><Relationship Id="rId33" Type="http://schemas.openxmlformats.org/officeDocument/2006/relationships/hyperlink" Target="http://www.ema.europa.eu" TargetMode="External"/><Relationship Id="rId38"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e31c5d67a2890bde20fb237a282fc8a">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25c44b69152ce8649c3fec59efc2eb4"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EMADOC-1700519818-2767373</_dlc_DocId>
    <_dlc_DocIdUrl xmlns="a034c160-bfb7-45f5-8632-2eb7e0508071">
      <Url>https://euema.sharepoint.com/sites/CRM/_layouts/15/DocIdRedir.aspx?ID=EMADOC-1700519818-2767373</Url>
      <Description>EMADOC-1700519818-2767373</Description>
    </_dlc_DocIdUrl>
  </documentManagement>
</p:properties>
</file>

<file path=customXml/itemProps1.xml><?xml version="1.0" encoding="utf-8"?>
<ds:datastoreItem xmlns:ds="http://schemas.openxmlformats.org/officeDocument/2006/customXml" ds:itemID="{316ABC89-D0A7-4A23-99C8-9B7C2510550E}">
  <ds:schemaRefs>
    <ds:schemaRef ds:uri="http://schemas.openxmlformats.org/officeDocument/2006/bibliography"/>
  </ds:schemaRefs>
</ds:datastoreItem>
</file>

<file path=customXml/itemProps2.xml><?xml version="1.0" encoding="utf-8"?>
<ds:datastoreItem xmlns:ds="http://schemas.openxmlformats.org/officeDocument/2006/customXml" ds:itemID="{DAE0A813-2210-4667-A628-D53B580D49D8}"/>
</file>

<file path=customXml/itemProps3.xml><?xml version="1.0" encoding="utf-8"?>
<ds:datastoreItem xmlns:ds="http://schemas.openxmlformats.org/officeDocument/2006/customXml" ds:itemID="{A6968C76-B3F5-4ACB-AD33-A1BE8E91C535}"/>
</file>

<file path=customXml/itemProps4.xml><?xml version="1.0" encoding="utf-8"?>
<ds:datastoreItem xmlns:ds="http://schemas.openxmlformats.org/officeDocument/2006/customXml" ds:itemID="{6DE71C9E-FBAE-4B2D-9532-4D252F3AAE95}"/>
</file>

<file path=customXml/itemProps5.xml><?xml version="1.0" encoding="utf-8"?>
<ds:datastoreItem xmlns:ds="http://schemas.openxmlformats.org/officeDocument/2006/customXml" ds:itemID="{9AA67610-A62B-45B5-861E-B365EA70A14B}"/>
</file>

<file path=docMetadata/LabelInfo.xml><?xml version="1.0" encoding="utf-8"?>
<clbl:labelList xmlns:clbl="http://schemas.microsoft.com/office/2020/mipLabelMetadata">
  <clbl:label id="{3c9bec58-8084-492e-8360-0e1cfe36408c}" enabled="1" method="Standard" siteId="{f35a6974-607f-47d4-82d7-ff31d7dc53a5}"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101</Pages>
  <Words>32775</Words>
  <Characters>176285</Characters>
  <Application>Microsoft Office Word</Application>
  <DocSecurity>0</DocSecurity>
  <Lines>1469</Lines>
  <Paragraphs>417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208643</CharactersWithSpaces>
  <SharedDoc>false</SharedDoc>
  <HLinks>
    <vt:vector size="24" baseType="variant">
      <vt:variant>
        <vt:i4>2359399</vt:i4>
      </vt:variant>
      <vt:variant>
        <vt:i4>45</vt:i4>
      </vt:variant>
      <vt:variant>
        <vt:i4>0</vt:i4>
      </vt:variant>
      <vt:variant>
        <vt:i4>5</vt:i4>
      </vt:variant>
      <vt:variant>
        <vt:lpwstr>http://www.ema.europa.eu/docs/en_GB/document_library/Template_or_form/2013/03/WC500139752.doc</vt:lpwstr>
      </vt:variant>
      <vt:variant>
        <vt:lpwstr/>
      </vt:variant>
      <vt:variant>
        <vt:i4>2359399</vt:i4>
      </vt:variant>
      <vt:variant>
        <vt:i4>36</vt:i4>
      </vt:variant>
      <vt:variant>
        <vt:i4>0</vt:i4>
      </vt:variant>
      <vt:variant>
        <vt:i4>5</vt:i4>
      </vt:variant>
      <vt:variant>
        <vt:lpwstr>http://www.ema.europa.eu/docs/en_GB/document_library/Template_or_form/2013/03/WC500139752.doc</vt:lpwstr>
      </vt:variant>
      <vt:variant>
        <vt:lpwstr/>
      </vt:variant>
      <vt:variant>
        <vt:i4>2359399</vt:i4>
      </vt:variant>
      <vt:variant>
        <vt:i4>15</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Lucentis: EPAR - Product information - tracked changes</dc:title>
  <dc:subject/>
  <dc:creator/>
  <cp:keywords/>
  <cp:lastModifiedBy/>
  <cp:revision>1</cp:revision>
  <dcterms:created xsi:type="dcterms:W3CDTF">2025-09-12T09:14:00Z</dcterms:created>
  <dcterms:modified xsi:type="dcterms:W3CDTF">2025-09-12T09:14:00Z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2023-03-14T16:46:49Z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ab23cbfd-78b1-4c10-941c-15e4660418b3</vt:lpwstr>
  </property>
  <property fmtid="{D5CDD505-2E9C-101B-9397-08002B2CF9AE}" pid="8" name="MSIP_Label_3c9bec58-8084-492e-8360-0e1cfe36408c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64f97d76-86be-4d93-bd64-ab89ff94cc3d</vt:lpwstr>
  </property>
</Properties>
</file>